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DQWMG6GH796A059GQPRNRLJ87ZC0OYPREX0XBJDBXFMRTGCTNRBRICJVFYYTPBRRBSMX9OLIZIW78HXJRJFARFFZ8RZMWIWBAEODPHB3297CDF30088E9C3C060BC6CACF474954" Type="http://schemas.microsoft.com/office/2006/relationships/officeDocumentMain" Target="docProps/core.xml"/><Relationship Id="CQWMR6GP796Q05HGQKR8ML0R7ZC0OXPR9E0XFJEOXFB8TFLTZIBJKCJ6FYRTP86RXUMXSOL5ZHJD8IEJQXFA0F8Q89CMWL5BANOOYHB379B05E3879A15FF5DBA42B5C4444219C"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before="0" w:line="560" w:lineRule="exact"/>
        <w:ind w:right="0"/>
        <w:jc w:val="center"/>
        <w:textAlignment w:val="auto"/>
        <w:rPr>
          <w:rFonts w:hint="eastAsia" w:ascii="宋体" w:eastAsia="宋体"/>
          <w:b/>
          <w:sz w:val="36"/>
        </w:rPr>
      </w:pPr>
      <w:bookmarkStart w:id="0" w:name="招商证券股份有限公司优先股投资风险揭示书"/>
      <w:bookmarkEnd w:id="0"/>
      <w:r>
        <w:rPr>
          <w:rFonts w:hint="eastAsia" w:ascii="宋体" w:eastAsia="宋体"/>
          <w:b/>
          <w:sz w:val="36"/>
        </w:rPr>
        <w:t>招商证券股份有限公司</w:t>
      </w:r>
      <w:r>
        <w:rPr>
          <w:rFonts w:hint="eastAsia" w:ascii="宋体" w:eastAsia="宋体"/>
          <w:b/>
          <w:sz w:val="36"/>
          <w:lang w:val="en-US" w:eastAsia="zh-CN"/>
        </w:rPr>
        <w:t>上海证券交易所</w:t>
      </w:r>
      <w:r>
        <w:rPr>
          <w:rFonts w:hint="eastAsia" w:ascii="宋体" w:eastAsia="宋体"/>
          <w:b/>
          <w:sz w:val="36"/>
        </w:rPr>
        <w:t>优先股投资风险揭示书</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600" w:firstLineChars="200"/>
        <w:textAlignment w:val="auto"/>
      </w:pP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600" w:firstLineChars="200"/>
        <w:textAlignment w:val="auto"/>
      </w:pPr>
      <w:r>
        <w:t>优先股是介于股票和债券之间的一种股债混合投融资工具， 在产品设计上既有股性也有债性特点，在我国境内资本市场还是一个全新的证券品种。为使投资者充分了解</w:t>
      </w:r>
      <w:r>
        <w:rPr>
          <w:rFonts w:hint="eastAsia"/>
          <w:lang w:val="en-US" w:eastAsia="zh-CN"/>
        </w:rPr>
        <w:t>上海证券交易所（以下简称“上交所”）</w:t>
      </w:r>
      <w:r>
        <w:t>优先股投资风险，我司制订《招商证券股份有限公司</w:t>
      </w:r>
      <w:r>
        <w:rPr>
          <w:rFonts w:hint="eastAsia"/>
          <w:lang w:val="en-US" w:eastAsia="zh-CN"/>
        </w:rPr>
        <w:t>上海证券交易所</w:t>
      </w:r>
      <w:r>
        <w:t>优先股投资风险揭示书》（以下简称《风险揭示书》），向参与优先股交易或者转让的投资者全面介绍优先股的产品特征、运行规则和相关制度规则，充分揭示投资风险，并要求签署优先股投资风险揭示书。</w:t>
      </w:r>
    </w:p>
    <w:p>
      <w:pPr>
        <w:pStyle w:val="2"/>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602" w:firstLineChars="200"/>
        <w:textAlignment w:val="auto"/>
      </w:pPr>
      <w:r>
        <w:t>一、 重要提示</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600" w:firstLineChars="200"/>
        <w:jc w:val="both"/>
        <w:textAlignment w:val="auto"/>
      </w:pPr>
      <w:r>
        <w:rPr>
          <w:rFonts w:hint="eastAsia"/>
          <w:lang w:eastAsia="zh-CN"/>
        </w:rPr>
        <w:t>（</w:t>
      </w:r>
      <w:r>
        <w:rPr>
          <w:rFonts w:hint="eastAsia"/>
          <w:lang w:val="en-US" w:eastAsia="zh-CN"/>
        </w:rPr>
        <w:t>一</w:t>
      </w:r>
      <w:r>
        <w:rPr>
          <w:rFonts w:hint="eastAsia"/>
          <w:lang w:eastAsia="zh-CN"/>
        </w:rPr>
        <w:t>）</w:t>
      </w:r>
      <w:r>
        <w:rPr>
          <w:spacing w:val="-12"/>
        </w:rPr>
        <w:t>优先股上市、交易、转让、信息披露等业务规则与普通股的相关业务规则存在差别，在参与优先股投资之前，投资者应认真阅读</w:t>
      </w:r>
      <w:r>
        <w:rPr>
          <w:rFonts w:hint="eastAsia"/>
          <w:spacing w:val="-2"/>
          <w:lang w:val="en-US" w:eastAsia="zh-CN"/>
        </w:rPr>
        <w:t>《中华人民共和国公司法》（以下简称《公司法》）、</w:t>
      </w:r>
      <w:r>
        <w:rPr>
          <w:spacing w:val="-12"/>
        </w:rPr>
        <w:t>《中华人民共和国证券法》</w:t>
      </w:r>
      <w:r>
        <w:rPr>
          <w:rFonts w:hint="eastAsia"/>
          <w:spacing w:val="-2"/>
          <w:lang w:eastAsia="zh-CN"/>
        </w:rPr>
        <w:t>（</w:t>
      </w:r>
      <w:r>
        <w:rPr>
          <w:rFonts w:hint="eastAsia"/>
          <w:spacing w:val="-2"/>
          <w:lang w:val="en-US" w:eastAsia="zh-CN"/>
        </w:rPr>
        <w:t>以下简称《证券法》</w:t>
      </w:r>
      <w:r>
        <w:rPr>
          <w:rFonts w:hint="eastAsia"/>
          <w:spacing w:val="-2"/>
          <w:lang w:eastAsia="zh-CN"/>
        </w:rPr>
        <w:t>）</w:t>
      </w:r>
      <w:r>
        <w:rPr>
          <w:spacing w:val="-12"/>
        </w:rPr>
        <w:t>、《国务院关于开展优先股试点的指导意见》、</w:t>
      </w:r>
      <w:r>
        <w:rPr>
          <w:spacing w:val="-6"/>
        </w:rPr>
        <w:t>《优先股试点管理办法》、</w:t>
      </w:r>
      <w:r>
        <w:rPr>
          <w:rFonts w:hint="eastAsia"/>
          <w:spacing w:val="-6"/>
          <w:lang w:eastAsia="zh-CN"/>
        </w:rPr>
        <w:t>《</w:t>
      </w:r>
      <w:r>
        <w:t>上海证券交易所优先股</w:t>
      </w:r>
      <w:r>
        <w:rPr>
          <w:rFonts w:hint="eastAsia"/>
          <w:lang w:val="en-US" w:eastAsia="zh-CN"/>
        </w:rPr>
        <w:t>试点业务实施细则</w:t>
      </w:r>
      <w:r>
        <w:rPr>
          <w:rFonts w:hint="eastAsia"/>
          <w:lang w:eastAsia="zh-CN"/>
        </w:rPr>
        <w:t>》</w:t>
      </w:r>
      <w:r>
        <w:rPr>
          <w:rFonts w:hint="eastAsia"/>
          <w:spacing w:val="-1"/>
          <w:lang w:eastAsia="zh-CN"/>
        </w:rPr>
        <w:t>、《</w:t>
      </w:r>
      <w:r>
        <w:rPr>
          <w:rFonts w:hint="eastAsia"/>
          <w:spacing w:val="-1"/>
          <w:lang w:val="en-US" w:eastAsia="zh-CN"/>
        </w:rPr>
        <w:t>上海证券交易所股票上市规则</w:t>
      </w:r>
      <w:r>
        <w:rPr>
          <w:rFonts w:hint="eastAsia"/>
          <w:spacing w:val="-1"/>
          <w:lang w:eastAsia="zh-CN"/>
        </w:rPr>
        <w:t>》《</w:t>
      </w:r>
      <w:r>
        <w:rPr>
          <w:rFonts w:hint="eastAsia"/>
          <w:spacing w:val="-1"/>
          <w:lang w:val="en-US" w:eastAsia="zh-CN"/>
        </w:rPr>
        <w:t>上海证券交易所科创板股票上市规则</w:t>
      </w:r>
      <w:r>
        <w:rPr>
          <w:rFonts w:hint="eastAsia"/>
          <w:spacing w:val="-1"/>
          <w:lang w:eastAsia="zh-CN"/>
        </w:rPr>
        <w:t>》（</w:t>
      </w:r>
      <w:r>
        <w:rPr>
          <w:rFonts w:hint="eastAsia"/>
          <w:spacing w:val="-1"/>
          <w:lang w:val="en-US" w:eastAsia="zh-CN"/>
        </w:rPr>
        <w:t>以下统称《股票上市规则》</w:t>
      </w:r>
      <w:r>
        <w:rPr>
          <w:rFonts w:hint="eastAsia"/>
          <w:spacing w:val="-1"/>
          <w:lang w:eastAsia="zh-CN"/>
        </w:rPr>
        <w:t>）</w:t>
      </w:r>
      <w:r>
        <w:rPr>
          <w:rFonts w:hint="eastAsia"/>
          <w:lang w:val="en-US" w:eastAsia="zh-CN"/>
        </w:rPr>
        <w:t>等</w:t>
      </w:r>
      <w:r>
        <w:t>有关规范性文件、法规、规章和业务规则。</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600" w:firstLineChars="200"/>
        <w:jc w:val="both"/>
        <w:textAlignment w:val="auto"/>
      </w:pPr>
      <w:r>
        <w:rPr>
          <w:rFonts w:hint="eastAsia"/>
          <w:lang w:eastAsia="zh-CN"/>
        </w:rPr>
        <w:t>（</w:t>
      </w:r>
      <w:r>
        <w:rPr>
          <w:rFonts w:hint="eastAsia"/>
          <w:lang w:val="en-US" w:eastAsia="zh-CN"/>
        </w:rPr>
        <w:t>二</w:t>
      </w:r>
      <w:r>
        <w:rPr>
          <w:rFonts w:hint="eastAsia"/>
          <w:lang w:eastAsia="zh-CN"/>
        </w:rPr>
        <w:t>）</w:t>
      </w:r>
      <w:r>
        <w:rPr>
          <w:spacing w:val="-13"/>
        </w:rPr>
        <w:t>优先股的条款比较复杂，</w:t>
      </w:r>
      <w:r>
        <w:rPr>
          <w:spacing w:val="-2"/>
        </w:rPr>
        <w:t>不同的条款决定了不同的优先股类别，在参与优先股投资之前，投资者应充分关注优先股的具体条款内容，仔细</w:t>
      </w:r>
      <w:r>
        <w:rPr>
          <w:spacing w:val="-19"/>
        </w:rPr>
        <w:t>研读相关公司的</w:t>
      </w:r>
      <w:r>
        <w:rPr>
          <w:rFonts w:hint="eastAsia"/>
          <w:spacing w:val="-19"/>
          <w:lang w:val="en-US" w:eastAsia="zh-CN"/>
        </w:rPr>
        <w:t>定期报告、临时报告、募</w:t>
      </w:r>
      <w:r>
        <w:rPr>
          <w:rFonts w:hint="eastAsia" w:hAnsi="仿宋" w:cs="仿宋"/>
        </w:rPr>
        <w:t>集说明书、上市公告书等</w:t>
      </w:r>
      <w:r>
        <w:t>，做到理性投资，切忌盲目跟风。</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600" w:firstLineChars="200"/>
        <w:jc w:val="both"/>
        <w:textAlignment w:val="auto"/>
      </w:pPr>
      <w:r>
        <w:rPr>
          <w:rFonts w:hint="eastAsia"/>
          <w:lang w:eastAsia="zh-CN"/>
        </w:rPr>
        <w:t>（</w:t>
      </w:r>
      <w:r>
        <w:rPr>
          <w:rFonts w:hint="eastAsia"/>
          <w:lang w:val="en-US" w:eastAsia="zh-CN"/>
        </w:rPr>
        <w:t>三</w:t>
      </w:r>
      <w:r>
        <w:rPr>
          <w:rFonts w:hint="eastAsia"/>
          <w:lang w:eastAsia="zh-CN"/>
        </w:rPr>
        <w:t>）</w:t>
      </w:r>
      <w:r>
        <w:t>本风险揭示书无法详尽列示优先股的全部投资风险</w:t>
      </w:r>
      <w:r>
        <w:rPr>
          <w:rFonts w:hint="eastAsia"/>
          <w:lang w:eastAsia="zh-CN"/>
        </w:rPr>
        <w:t>。</w:t>
      </w:r>
      <w:r>
        <w:t>投资者在参与此项业务前，请务必对此有清醒认识。</w:t>
      </w:r>
    </w:p>
    <w:p>
      <w:pPr>
        <w:pStyle w:val="2"/>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602" w:firstLineChars="200"/>
        <w:textAlignment w:val="auto"/>
      </w:pPr>
      <w:r>
        <w:t>二、 优先股投资风险揭示</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600" w:firstLineChars="200"/>
        <w:textAlignment w:val="auto"/>
      </w:pPr>
      <w:r>
        <w:rPr>
          <w:rFonts w:hint="eastAsia"/>
          <w:lang w:eastAsia="zh-CN"/>
        </w:rPr>
        <w:t>（</w:t>
      </w:r>
      <w:r>
        <w:rPr>
          <w:rFonts w:hint="eastAsia"/>
          <w:lang w:val="en-US" w:eastAsia="zh-CN"/>
        </w:rPr>
        <w:t>一</w:t>
      </w:r>
      <w:r>
        <w:rPr>
          <w:rFonts w:hint="eastAsia"/>
          <w:lang w:eastAsia="zh-CN"/>
        </w:rPr>
        <w:t>）</w:t>
      </w:r>
      <w:r>
        <w:t>股东权利的特殊性可能带来的风险</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580" w:firstLineChars="200"/>
        <w:jc w:val="both"/>
        <w:textAlignment w:val="auto"/>
      </w:pPr>
      <w:r>
        <w:rPr>
          <w:spacing w:val="-5"/>
        </w:rPr>
        <w:t>优先股是独立于普通股的类别股份，优先股股东权利具有特</w:t>
      </w:r>
      <w:r>
        <w:rPr>
          <w:spacing w:val="-2"/>
        </w:rPr>
        <w:t>殊性，如认知不到位，可能给投资者造成投资风险。包括但不限</w:t>
      </w:r>
      <w:r>
        <w:t>于：</w:t>
      </w:r>
    </w:p>
    <w:p>
      <w:pPr>
        <w:pStyle w:val="6"/>
        <w:keepNext w:val="0"/>
        <w:keepLines w:val="0"/>
        <w:pageBreakBefore w:val="0"/>
        <w:widowControl w:val="0"/>
        <w:numPr>
          <w:ilvl w:val="0"/>
          <w:numId w:val="0"/>
        </w:numPr>
        <w:tabs>
          <w:tab w:val="left" w:pos="1069"/>
        </w:tabs>
        <w:kinsoku/>
        <w:wordWrap/>
        <w:overflowPunct/>
        <w:topLinePunct w:val="0"/>
        <w:autoSpaceDE w:val="0"/>
        <w:autoSpaceDN w:val="0"/>
        <w:bidi w:val="0"/>
        <w:adjustRightInd/>
        <w:snapToGrid w:val="0"/>
        <w:spacing w:before="0" w:after="0" w:line="560" w:lineRule="exact"/>
        <w:ind w:leftChars="0" w:right="0" w:rightChars="0" w:firstLine="580" w:firstLineChars="200"/>
        <w:jc w:val="both"/>
        <w:textAlignment w:val="auto"/>
        <w:rPr>
          <w:sz w:val="30"/>
        </w:rPr>
      </w:pPr>
      <w:r>
        <w:rPr>
          <w:rFonts w:hint="eastAsia"/>
          <w:spacing w:val="-5"/>
          <w:sz w:val="30"/>
          <w:lang w:val="en-US" w:eastAsia="zh-CN"/>
        </w:rPr>
        <w:t>1.</w:t>
      </w:r>
      <w:r>
        <w:rPr>
          <w:spacing w:val="-5"/>
          <w:sz w:val="30"/>
        </w:rPr>
        <w:t>投资者应充分关注优先股与普通股的差异。优先股股份持</w:t>
      </w:r>
      <w:r>
        <w:rPr>
          <w:spacing w:val="-2"/>
          <w:sz w:val="30"/>
        </w:rPr>
        <w:t>有人优先于普通股股东分配公司利润和剩</w:t>
      </w:r>
      <w:r>
        <w:rPr>
          <w:rFonts w:hint="eastAsia"/>
          <w:spacing w:val="-2"/>
          <w:sz w:val="30"/>
          <w:lang w:val="en-US" w:eastAsia="zh-CN"/>
        </w:rPr>
        <w:t>余</w:t>
      </w:r>
      <w:r>
        <w:rPr>
          <w:spacing w:val="-2"/>
          <w:sz w:val="30"/>
        </w:rPr>
        <w:t>财产，但参与公司决策管理等权利受到限制。除与优先股股东利益相关的若干事项外，如修改公司章程中与优先股相</w:t>
      </w:r>
      <w:r>
        <w:rPr>
          <w:spacing w:val="-19"/>
          <w:sz w:val="30"/>
        </w:rPr>
        <w:t>关的内容、发行优先股、减少注册资本超过百分之十、公司合并、</w:t>
      </w:r>
      <w:r>
        <w:rPr>
          <w:spacing w:val="-2"/>
          <w:sz w:val="30"/>
        </w:rPr>
        <w:t>分立、解散或者变更公司形式等，优先股股东一般无权出席股东</w:t>
      </w:r>
      <w:r>
        <w:rPr>
          <w:sz w:val="30"/>
        </w:rPr>
        <w:t>大会决议并行使表决权。</w:t>
      </w:r>
      <w:r>
        <w:rPr>
          <w:spacing w:val="-2"/>
          <w:sz w:val="30"/>
        </w:rPr>
        <w:t>根据发行文件约定，商业银行</w:t>
      </w:r>
      <w:r>
        <w:rPr>
          <w:rFonts w:hint="eastAsia"/>
          <w:spacing w:val="-2"/>
          <w:sz w:val="30"/>
          <w:lang w:val="en-US" w:eastAsia="zh-CN"/>
        </w:rPr>
        <w:t>向特定对象</w:t>
      </w:r>
      <w:r>
        <w:rPr>
          <w:spacing w:val="-2"/>
          <w:sz w:val="30"/>
        </w:rPr>
        <w:t>发行的优先股在触发事件发生时可能被强制转换为普通股。</w:t>
      </w:r>
    </w:p>
    <w:p>
      <w:pPr>
        <w:pStyle w:val="6"/>
        <w:keepNext w:val="0"/>
        <w:keepLines w:val="0"/>
        <w:pageBreakBefore w:val="0"/>
        <w:widowControl w:val="0"/>
        <w:numPr>
          <w:ilvl w:val="0"/>
          <w:numId w:val="0"/>
        </w:numPr>
        <w:tabs>
          <w:tab w:val="left" w:pos="1069"/>
        </w:tabs>
        <w:kinsoku/>
        <w:wordWrap/>
        <w:overflowPunct/>
        <w:topLinePunct w:val="0"/>
        <w:autoSpaceDE w:val="0"/>
        <w:autoSpaceDN w:val="0"/>
        <w:bidi w:val="0"/>
        <w:adjustRightInd/>
        <w:snapToGrid w:val="0"/>
        <w:spacing w:before="0" w:after="0" w:line="560" w:lineRule="exact"/>
        <w:ind w:leftChars="0" w:right="0" w:rightChars="0" w:firstLine="592" w:firstLineChars="200"/>
        <w:jc w:val="both"/>
        <w:textAlignment w:val="auto"/>
        <w:rPr>
          <w:sz w:val="30"/>
        </w:rPr>
      </w:pPr>
      <w:r>
        <w:rPr>
          <w:rFonts w:hint="eastAsia"/>
          <w:spacing w:val="-2"/>
          <w:sz w:val="30"/>
          <w:lang w:val="en-US" w:eastAsia="zh-CN"/>
        </w:rPr>
        <w:t>2.</w:t>
      </w:r>
      <w:r>
        <w:rPr>
          <w:spacing w:val="-2"/>
          <w:sz w:val="30"/>
        </w:rPr>
        <w:t>投资者应当充分关注优先股表决权恢复情形。公司累计3个会计年度或者连续2个会计年度未按约定支付优先股股息</w:t>
      </w:r>
      <w:r>
        <w:rPr>
          <w:spacing w:val="-3"/>
          <w:sz w:val="30"/>
        </w:rPr>
        <w:t>的，优先股股东有权出席股东大会并行使表决权。对于股息可累积到下一会计年度的优先股，表决权恢复直至公司全额支付所欠股息；对于股息不可累积的优先股，表决权恢复直至公司全额</w:t>
      </w:r>
      <w:r>
        <w:rPr>
          <w:rFonts w:hint="eastAsia"/>
          <w:spacing w:val="-3"/>
          <w:sz w:val="30"/>
          <w:lang w:val="en-US" w:eastAsia="zh-CN"/>
        </w:rPr>
        <w:t>支付</w:t>
      </w:r>
      <w:r>
        <w:rPr>
          <w:spacing w:val="11"/>
          <w:sz w:val="30"/>
        </w:rPr>
        <w:t>当年所欠股息。公司章程可规定优先股表决权恢复的其他情</w:t>
      </w:r>
      <w:r>
        <w:rPr>
          <w:sz w:val="30"/>
        </w:rPr>
        <w:t>形。</w:t>
      </w:r>
    </w:p>
    <w:p>
      <w:pPr>
        <w:pStyle w:val="6"/>
        <w:keepNext w:val="0"/>
        <w:keepLines w:val="0"/>
        <w:pageBreakBefore w:val="0"/>
        <w:widowControl w:val="0"/>
        <w:numPr>
          <w:ilvl w:val="0"/>
          <w:numId w:val="0"/>
        </w:numPr>
        <w:tabs>
          <w:tab w:val="left" w:pos="1376"/>
        </w:tabs>
        <w:kinsoku/>
        <w:wordWrap/>
        <w:overflowPunct/>
        <w:topLinePunct w:val="0"/>
        <w:autoSpaceDE w:val="0"/>
        <w:autoSpaceDN w:val="0"/>
        <w:bidi w:val="0"/>
        <w:adjustRightInd/>
        <w:snapToGrid w:val="0"/>
        <w:spacing w:before="0" w:after="0" w:line="560" w:lineRule="exact"/>
        <w:ind w:leftChars="0" w:right="0" w:rightChars="0" w:firstLine="580" w:firstLineChars="200"/>
        <w:jc w:val="both"/>
        <w:textAlignment w:val="auto"/>
        <w:rPr>
          <w:sz w:val="30"/>
        </w:rPr>
      </w:pPr>
      <w:r>
        <w:rPr>
          <w:rFonts w:hint="eastAsia"/>
          <w:spacing w:val="-5"/>
          <w:sz w:val="30"/>
          <w:lang w:val="en-US" w:eastAsia="zh-CN"/>
        </w:rPr>
        <w:t>3.</w:t>
      </w:r>
      <w:r>
        <w:rPr>
          <w:spacing w:val="-5"/>
          <w:sz w:val="30"/>
        </w:rPr>
        <w:t>投资者应充分关注优先股与债券的差异。优先股具有固</w:t>
      </w:r>
      <w:r>
        <w:rPr>
          <w:spacing w:val="-2"/>
          <w:sz w:val="30"/>
        </w:rPr>
        <w:t>定收益证券的特征，</w:t>
      </w:r>
      <w:r>
        <w:rPr>
          <w:rFonts w:hint="eastAsia"/>
          <w:spacing w:val="-2"/>
          <w:sz w:val="30"/>
          <w:lang w:val="en-US" w:eastAsia="zh-CN"/>
        </w:rPr>
        <w:t>但并不代表债权债务关系</w:t>
      </w:r>
      <w:r>
        <w:rPr>
          <w:spacing w:val="-2"/>
          <w:sz w:val="30"/>
        </w:rPr>
        <w:t>。一般而言，发行人无到期归还本金的</w:t>
      </w:r>
      <w:r>
        <w:rPr>
          <w:sz w:val="30"/>
        </w:rPr>
        <w:t>义务，可分配税后利润不足以足额支付股息的并不构成违约。</w:t>
      </w:r>
    </w:p>
    <w:p>
      <w:pPr>
        <w:pStyle w:val="6"/>
        <w:keepNext w:val="0"/>
        <w:keepLines w:val="0"/>
        <w:pageBreakBefore w:val="0"/>
        <w:widowControl w:val="0"/>
        <w:numPr>
          <w:ilvl w:val="0"/>
          <w:numId w:val="0"/>
        </w:numPr>
        <w:tabs>
          <w:tab w:val="left" w:pos="1076"/>
        </w:tabs>
        <w:kinsoku/>
        <w:wordWrap/>
        <w:overflowPunct/>
        <w:topLinePunct w:val="0"/>
        <w:autoSpaceDE w:val="0"/>
        <w:autoSpaceDN w:val="0"/>
        <w:bidi w:val="0"/>
        <w:adjustRightInd/>
        <w:snapToGrid w:val="0"/>
        <w:spacing w:before="0" w:after="0" w:line="560" w:lineRule="exact"/>
        <w:ind w:leftChars="0" w:right="0" w:rightChars="0" w:firstLine="600" w:firstLineChars="200"/>
        <w:jc w:val="left"/>
        <w:textAlignment w:val="auto"/>
        <w:rPr>
          <w:rFonts w:hint="eastAsia" w:eastAsia="仿宋"/>
          <w:sz w:val="30"/>
          <w:lang w:eastAsia="zh-CN"/>
        </w:rPr>
      </w:pPr>
      <w:r>
        <w:rPr>
          <w:rFonts w:hint="eastAsia"/>
          <w:sz w:val="30"/>
          <w:lang w:val="en-US" w:eastAsia="zh-CN"/>
        </w:rPr>
        <w:t>4.</w:t>
      </w:r>
      <w:r>
        <w:rPr>
          <w:sz w:val="30"/>
        </w:rPr>
        <w:t>投资者应充分关注优先股的具体条款内容，主要包括</w:t>
      </w:r>
      <w:r>
        <w:rPr>
          <w:rFonts w:hint="eastAsia"/>
          <w:sz w:val="30"/>
          <w:lang w:eastAsia="zh-CN"/>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hint="eastAsia"/>
          <w:sz w:val="30"/>
          <w:lang w:eastAsia="zh-CN"/>
        </w:rPr>
      </w:pPr>
      <w:r>
        <w:rPr>
          <w:rFonts w:hint="eastAsia"/>
          <w:sz w:val="30"/>
          <w:lang w:eastAsia="zh-CN"/>
        </w:rPr>
        <w:t>（</w:t>
      </w:r>
      <w:r>
        <w:rPr>
          <w:rFonts w:hint="eastAsia"/>
          <w:sz w:val="30"/>
          <w:lang w:val="en-US" w:eastAsia="zh-CN"/>
        </w:rPr>
        <w:t>1</w:t>
      </w:r>
      <w:r>
        <w:rPr>
          <w:rFonts w:hint="eastAsia"/>
          <w:sz w:val="30"/>
          <w:lang w:eastAsia="zh-CN"/>
        </w:rPr>
        <w:t>）</w:t>
      </w:r>
      <w:r>
        <w:rPr>
          <w:sz w:val="30"/>
        </w:rPr>
        <w:t>优先股股息率是采用固定股息率还是浮动股息率，股</w:t>
      </w:r>
      <w:r>
        <w:rPr>
          <w:rFonts w:hint="eastAsia"/>
          <w:sz w:val="30"/>
        </w:rPr>
        <w:t>息是否可以累积到下一会计年度，并相应明确固定股息率水平或浮动股息率计算方法等</w:t>
      </w:r>
      <w:r>
        <w:rPr>
          <w:rFonts w:hint="eastAsia"/>
          <w:sz w:val="30"/>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left="0" w:leftChars="0" w:right="0" w:firstLine="656" w:firstLineChars="200"/>
        <w:jc w:val="both"/>
        <w:textAlignment w:val="auto"/>
      </w:pPr>
      <w:r>
        <w:rPr>
          <w:rFonts w:hint="eastAsia"/>
          <w:spacing w:val="14"/>
          <w:sz w:val="30"/>
          <w:lang w:eastAsia="zh-CN"/>
        </w:rPr>
        <w:t>（</w:t>
      </w:r>
      <w:r>
        <w:rPr>
          <w:rFonts w:hint="eastAsia"/>
          <w:spacing w:val="14"/>
          <w:sz w:val="30"/>
          <w:lang w:val="en-US" w:eastAsia="zh-CN"/>
        </w:rPr>
        <w:t>2</w:t>
      </w:r>
      <w:r>
        <w:rPr>
          <w:rFonts w:hint="eastAsia"/>
          <w:spacing w:val="14"/>
          <w:sz w:val="30"/>
          <w:lang w:eastAsia="zh-CN"/>
        </w:rPr>
        <w:t>）</w:t>
      </w:r>
      <w:r>
        <w:rPr>
          <w:spacing w:val="14"/>
          <w:sz w:val="30"/>
        </w:rPr>
        <w:t>公司在有可分配税后利润的情况下是否必须分配利润；</w:t>
      </w:r>
    </w:p>
    <w:p>
      <w:pPr>
        <w:pStyle w:val="6"/>
        <w:keepNext w:val="0"/>
        <w:keepLines w:val="0"/>
        <w:pageBreakBefore w:val="0"/>
        <w:widowControl w:val="0"/>
        <w:numPr>
          <w:ilvl w:val="0"/>
          <w:numId w:val="0"/>
        </w:numPr>
        <w:tabs>
          <w:tab w:val="left" w:pos="1580"/>
        </w:tabs>
        <w:kinsoku/>
        <w:wordWrap/>
        <w:overflowPunct/>
        <w:topLinePunct w:val="0"/>
        <w:autoSpaceDE w:val="0"/>
        <w:autoSpaceDN w:val="0"/>
        <w:bidi w:val="0"/>
        <w:adjustRightInd/>
        <w:snapToGrid w:val="0"/>
        <w:spacing w:before="0" w:after="0" w:line="560" w:lineRule="exact"/>
        <w:ind w:leftChars="0" w:right="0" w:rightChars="0" w:firstLine="600" w:firstLineChars="200"/>
        <w:jc w:val="both"/>
        <w:textAlignment w:val="auto"/>
        <w:rPr>
          <w:sz w:val="30"/>
        </w:rPr>
      </w:pPr>
      <w:r>
        <w:rPr>
          <w:rFonts w:hint="eastAsia"/>
          <w:sz w:val="30"/>
          <w:lang w:eastAsia="zh-CN"/>
        </w:rPr>
        <w:t>（</w:t>
      </w:r>
      <w:r>
        <w:rPr>
          <w:rFonts w:hint="eastAsia"/>
          <w:sz w:val="30"/>
          <w:lang w:val="en-US" w:eastAsia="zh-CN"/>
        </w:rPr>
        <w:t>3</w:t>
      </w:r>
      <w:r>
        <w:rPr>
          <w:rFonts w:hint="eastAsia"/>
          <w:sz w:val="30"/>
          <w:lang w:eastAsia="zh-CN"/>
        </w:rPr>
        <w:t>）</w:t>
      </w:r>
      <w:r>
        <w:rPr>
          <w:sz w:val="30"/>
        </w:rPr>
        <w:t>如果公司因本会计年度可分配利润不足而未向优先股股东足额派发股息，差额部分是否累积到下一会计年度；</w:t>
      </w:r>
    </w:p>
    <w:p>
      <w:pPr>
        <w:pStyle w:val="6"/>
        <w:keepNext w:val="0"/>
        <w:keepLines w:val="0"/>
        <w:pageBreakBefore w:val="0"/>
        <w:widowControl w:val="0"/>
        <w:numPr>
          <w:ilvl w:val="0"/>
          <w:numId w:val="0"/>
        </w:numPr>
        <w:tabs>
          <w:tab w:val="left" w:pos="1580"/>
        </w:tabs>
        <w:kinsoku/>
        <w:wordWrap/>
        <w:overflowPunct/>
        <w:topLinePunct w:val="0"/>
        <w:autoSpaceDE w:val="0"/>
        <w:autoSpaceDN w:val="0"/>
        <w:bidi w:val="0"/>
        <w:adjustRightInd/>
        <w:snapToGrid w:val="0"/>
        <w:spacing w:before="0" w:after="0" w:line="560" w:lineRule="exact"/>
        <w:ind w:leftChars="0" w:right="0" w:rightChars="0" w:firstLine="600" w:firstLineChars="200"/>
        <w:jc w:val="both"/>
        <w:textAlignment w:val="auto"/>
        <w:rPr>
          <w:sz w:val="30"/>
        </w:rPr>
      </w:pPr>
      <w:r>
        <w:rPr>
          <w:rFonts w:hint="eastAsia"/>
          <w:sz w:val="30"/>
          <w:lang w:eastAsia="zh-CN"/>
        </w:rPr>
        <w:t>（</w:t>
      </w:r>
      <w:r>
        <w:rPr>
          <w:rFonts w:hint="eastAsia"/>
          <w:sz w:val="30"/>
          <w:lang w:val="en-US" w:eastAsia="zh-CN"/>
        </w:rPr>
        <w:t>4</w:t>
      </w:r>
      <w:r>
        <w:rPr>
          <w:rFonts w:hint="eastAsia"/>
          <w:sz w:val="30"/>
          <w:lang w:eastAsia="zh-CN"/>
        </w:rPr>
        <w:t>）</w:t>
      </w:r>
      <w:r>
        <w:rPr>
          <w:sz w:val="30"/>
        </w:rPr>
        <w:t>优先股股东按照约定的股息率分配股息后，是否有权同普通股股东一起参加剩余利润分配；</w:t>
      </w:r>
    </w:p>
    <w:p>
      <w:pPr>
        <w:pStyle w:val="6"/>
        <w:keepNext w:val="0"/>
        <w:keepLines w:val="0"/>
        <w:pageBreakBefore w:val="0"/>
        <w:widowControl w:val="0"/>
        <w:numPr>
          <w:ilvl w:val="0"/>
          <w:numId w:val="0"/>
        </w:numPr>
        <w:tabs>
          <w:tab w:val="left" w:pos="1580"/>
        </w:tabs>
        <w:kinsoku/>
        <w:wordWrap/>
        <w:overflowPunct/>
        <w:topLinePunct w:val="0"/>
        <w:autoSpaceDE w:val="0"/>
        <w:autoSpaceDN w:val="0"/>
        <w:bidi w:val="0"/>
        <w:adjustRightInd/>
        <w:snapToGrid w:val="0"/>
        <w:spacing w:before="0" w:after="0" w:line="560" w:lineRule="exact"/>
        <w:ind w:leftChars="0" w:right="0" w:rightChars="0" w:firstLine="600" w:firstLineChars="200"/>
        <w:jc w:val="both"/>
        <w:textAlignment w:val="auto"/>
        <w:rPr>
          <w:sz w:val="30"/>
        </w:rPr>
      </w:pPr>
      <w:r>
        <w:rPr>
          <w:rFonts w:hint="eastAsia"/>
          <w:sz w:val="30"/>
          <w:lang w:eastAsia="zh-CN"/>
        </w:rPr>
        <w:t>（</w:t>
      </w:r>
      <w:r>
        <w:rPr>
          <w:rFonts w:hint="eastAsia"/>
          <w:sz w:val="30"/>
          <w:lang w:val="en-US" w:eastAsia="zh-CN"/>
        </w:rPr>
        <w:t>5</w:t>
      </w:r>
      <w:r>
        <w:rPr>
          <w:rFonts w:hint="eastAsia"/>
          <w:sz w:val="30"/>
          <w:lang w:eastAsia="zh-CN"/>
        </w:rPr>
        <w:t>）</w:t>
      </w:r>
      <w:r>
        <w:rPr>
          <w:sz w:val="30"/>
        </w:rPr>
        <w:t>优先股是否可以转换成普通股，或者在何种情形下可以转换为普通股；</w:t>
      </w:r>
    </w:p>
    <w:p>
      <w:pPr>
        <w:pStyle w:val="6"/>
        <w:keepNext w:val="0"/>
        <w:keepLines w:val="0"/>
        <w:pageBreakBefore w:val="0"/>
        <w:widowControl w:val="0"/>
        <w:numPr>
          <w:ilvl w:val="0"/>
          <w:numId w:val="0"/>
        </w:numPr>
        <w:tabs>
          <w:tab w:val="left" w:pos="1580"/>
        </w:tabs>
        <w:kinsoku/>
        <w:wordWrap/>
        <w:overflowPunct/>
        <w:topLinePunct w:val="0"/>
        <w:autoSpaceDE w:val="0"/>
        <w:autoSpaceDN w:val="0"/>
        <w:bidi w:val="0"/>
        <w:adjustRightInd/>
        <w:snapToGrid w:val="0"/>
        <w:spacing w:before="0" w:after="0" w:line="560" w:lineRule="exact"/>
        <w:ind w:leftChars="0" w:right="0" w:rightChars="0" w:firstLine="600" w:firstLineChars="200"/>
        <w:jc w:val="both"/>
        <w:textAlignment w:val="auto"/>
        <w:rPr>
          <w:sz w:val="30"/>
        </w:rPr>
      </w:pPr>
      <w:r>
        <w:rPr>
          <w:rFonts w:hint="eastAsia"/>
          <w:sz w:val="30"/>
          <w:lang w:eastAsia="zh-CN"/>
        </w:rPr>
        <w:t>（</w:t>
      </w:r>
      <w:r>
        <w:rPr>
          <w:rFonts w:hint="eastAsia"/>
          <w:sz w:val="30"/>
          <w:lang w:val="en-US" w:eastAsia="zh-CN"/>
        </w:rPr>
        <w:t>6</w:t>
      </w:r>
      <w:r>
        <w:rPr>
          <w:rFonts w:hint="eastAsia"/>
          <w:sz w:val="30"/>
          <w:lang w:eastAsia="zh-CN"/>
        </w:rPr>
        <w:t>）</w:t>
      </w:r>
      <w:r>
        <w:rPr>
          <w:sz w:val="30"/>
        </w:rPr>
        <w:t>发行人是否可以行使赎回权，优先股股东是否可以行使回售权，等等。</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600" w:firstLineChars="200"/>
        <w:textAlignment w:val="auto"/>
      </w:pPr>
      <w:r>
        <w:rPr>
          <w:rFonts w:hint="eastAsia"/>
          <w:lang w:eastAsia="zh-CN"/>
        </w:rPr>
        <w:t>（</w:t>
      </w:r>
      <w:r>
        <w:rPr>
          <w:rFonts w:hint="eastAsia"/>
          <w:lang w:val="en-US" w:eastAsia="zh-CN"/>
        </w:rPr>
        <w:t>二</w:t>
      </w:r>
      <w:r>
        <w:rPr>
          <w:rFonts w:hint="eastAsia"/>
          <w:lang w:eastAsia="zh-CN"/>
        </w:rPr>
        <w:t>）</w:t>
      </w:r>
      <w:r>
        <w:t>规则差异可能带来的风险</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568" w:firstLineChars="200"/>
        <w:jc w:val="both"/>
        <w:textAlignment w:val="auto"/>
      </w:pPr>
      <w:r>
        <w:rPr>
          <w:spacing w:val="-8"/>
        </w:rPr>
        <w:t>优先股在上市、交易、转让、信息披露等方面与普通</w:t>
      </w:r>
      <w:r>
        <w:rPr>
          <w:spacing w:val="-2"/>
        </w:rPr>
        <w:t>股的业务规则存在较大的差异。如认知不到位，可能给投资者造</w:t>
      </w:r>
      <w:r>
        <w:t>成投资风险。包括但不限于：</w:t>
      </w:r>
    </w:p>
    <w:p>
      <w:pPr>
        <w:pStyle w:val="6"/>
        <w:keepNext w:val="0"/>
        <w:keepLines w:val="0"/>
        <w:pageBreakBefore w:val="0"/>
        <w:widowControl w:val="0"/>
        <w:numPr>
          <w:ilvl w:val="0"/>
          <w:numId w:val="0"/>
        </w:numPr>
        <w:tabs>
          <w:tab w:val="left" w:pos="1376"/>
        </w:tabs>
        <w:kinsoku/>
        <w:wordWrap/>
        <w:overflowPunct/>
        <w:topLinePunct w:val="0"/>
        <w:autoSpaceDE w:val="0"/>
        <w:autoSpaceDN w:val="0"/>
        <w:bidi w:val="0"/>
        <w:adjustRightInd/>
        <w:snapToGrid w:val="0"/>
        <w:spacing w:before="0" w:after="0" w:line="560" w:lineRule="exact"/>
        <w:ind w:leftChars="0" w:right="0" w:rightChars="0" w:firstLine="576" w:firstLineChars="200"/>
        <w:jc w:val="both"/>
        <w:textAlignment w:val="auto"/>
        <w:rPr>
          <w:sz w:val="30"/>
        </w:rPr>
      </w:pPr>
      <w:r>
        <w:rPr>
          <w:rFonts w:hint="eastAsia"/>
          <w:spacing w:val="-6"/>
          <w:sz w:val="30"/>
          <w:lang w:val="en-US" w:eastAsia="zh-CN"/>
        </w:rPr>
        <w:t>1.</w:t>
      </w:r>
      <w:r>
        <w:rPr>
          <w:spacing w:val="-6"/>
          <w:sz w:val="30"/>
        </w:rPr>
        <w:t>对于上交所上市的优先股和普通股都存在</w:t>
      </w:r>
      <w:r>
        <w:rPr>
          <w:spacing w:val="-2"/>
          <w:sz w:val="30"/>
        </w:rPr>
        <w:t>被实施退市风险警示、终止上市等退市风险，但相关</w:t>
      </w:r>
      <w:r>
        <w:rPr>
          <w:sz w:val="30"/>
        </w:rPr>
        <w:t>业务规则存在差异。如同一优先股连续20</w:t>
      </w:r>
      <w:r>
        <w:rPr>
          <w:spacing w:val="-3"/>
          <w:sz w:val="30"/>
        </w:rPr>
        <w:t>个交</w:t>
      </w:r>
      <w:bookmarkStart w:id="1" w:name="_GoBack"/>
      <w:bookmarkEnd w:id="1"/>
      <w:r>
        <w:rPr>
          <w:spacing w:val="-3"/>
          <w:sz w:val="30"/>
        </w:rPr>
        <w:t>易</w:t>
      </w:r>
      <w:r>
        <w:rPr>
          <w:rFonts w:hint="eastAsia"/>
          <w:spacing w:val="-3"/>
          <w:sz w:val="30"/>
          <w:lang w:val="en-US" w:eastAsia="zh-CN"/>
        </w:rPr>
        <w:t>日</w:t>
      </w:r>
      <w:r>
        <w:rPr>
          <w:spacing w:val="-3"/>
          <w:sz w:val="30"/>
        </w:rPr>
        <w:t>收盘市值均低</w:t>
      </w:r>
      <w:r>
        <w:rPr>
          <w:sz w:val="30"/>
        </w:rPr>
        <w:t>于人民币5000</w:t>
      </w:r>
      <w:r>
        <w:rPr>
          <w:spacing w:val="-1"/>
          <w:sz w:val="30"/>
        </w:rPr>
        <w:t>万元，该优先股存在被上海证券交易所终止上市的</w:t>
      </w:r>
      <w:r>
        <w:rPr>
          <w:sz w:val="30"/>
        </w:rPr>
        <w:t>风险，而普通股不存在相关规定。</w:t>
      </w:r>
    </w:p>
    <w:p>
      <w:pPr>
        <w:pStyle w:val="6"/>
        <w:keepNext w:val="0"/>
        <w:keepLines w:val="0"/>
        <w:pageBreakBefore w:val="0"/>
        <w:widowControl w:val="0"/>
        <w:numPr>
          <w:ilvl w:val="0"/>
          <w:numId w:val="0"/>
        </w:numPr>
        <w:tabs>
          <w:tab w:val="left" w:pos="1376"/>
        </w:tabs>
        <w:kinsoku/>
        <w:wordWrap/>
        <w:overflowPunct/>
        <w:topLinePunct w:val="0"/>
        <w:autoSpaceDE w:val="0"/>
        <w:autoSpaceDN w:val="0"/>
        <w:bidi w:val="0"/>
        <w:adjustRightInd/>
        <w:snapToGrid w:val="0"/>
        <w:spacing w:before="0" w:after="0" w:line="560" w:lineRule="exact"/>
        <w:ind w:leftChars="0" w:right="0" w:rightChars="0" w:firstLine="580" w:firstLineChars="200"/>
        <w:jc w:val="both"/>
        <w:textAlignment w:val="auto"/>
        <w:rPr>
          <w:sz w:val="30"/>
        </w:rPr>
      </w:pPr>
      <w:r>
        <w:rPr>
          <w:rFonts w:hint="eastAsia"/>
          <w:spacing w:val="-5"/>
          <w:sz w:val="30"/>
          <w:lang w:val="en-US" w:eastAsia="zh-CN"/>
        </w:rPr>
        <w:t>2.</w:t>
      </w:r>
      <w:r>
        <w:rPr>
          <w:rFonts w:hint="eastAsia"/>
          <w:spacing w:val="-5"/>
          <w:sz w:val="30"/>
        </w:rPr>
        <w:t>上市优先股交易机制特殊性可能产生的风险。优先股每股票面金额为100元；优先股上市首日和日常交易设置价格涨跌幅限制，主板涨跌幅比例为10%，科创板涨跌幅比例为20%</w:t>
      </w:r>
      <w:r>
        <w:rPr>
          <w:rFonts w:hint="eastAsia"/>
          <w:spacing w:val="-5"/>
          <w:sz w:val="30"/>
          <w:lang w:eastAsia="zh-CN"/>
        </w:rPr>
        <w:t>；</w:t>
      </w:r>
      <w:r>
        <w:rPr>
          <w:rFonts w:hint="eastAsia"/>
          <w:spacing w:val="-2"/>
          <w:sz w:val="30"/>
          <w:lang w:val="en-US" w:eastAsia="zh-CN"/>
        </w:rPr>
        <w:t>优先股</w:t>
      </w:r>
      <w:r>
        <w:rPr>
          <w:spacing w:val="-2"/>
          <w:sz w:val="30"/>
        </w:rPr>
        <w:t>交易信息单独显示，不纳入上交所有关普通股的指数计算。上交所优先股</w:t>
      </w:r>
      <w:r>
        <w:rPr>
          <w:sz w:val="30"/>
        </w:rPr>
        <w:t>异常波动情形采用特殊的认定标准。</w:t>
      </w:r>
    </w:p>
    <w:p>
      <w:pPr>
        <w:keepNext w:val="0"/>
        <w:keepLines w:val="0"/>
        <w:pageBreakBefore w:val="0"/>
        <w:widowControl w:val="0"/>
        <w:kinsoku/>
        <w:wordWrap/>
        <w:overflowPunct/>
        <w:topLinePunct w:val="0"/>
        <w:autoSpaceDE w:val="0"/>
        <w:autoSpaceDN w:val="0"/>
        <w:bidi w:val="0"/>
        <w:adjustRightInd/>
        <w:snapToGrid w:val="0"/>
        <w:spacing w:line="560" w:lineRule="exact"/>
        <w:ind w:firstLine="580" w:firstLineChars="200"/>
        <w:textAlignment w:val="auto"/>
        <w:rPr>
          <w:rFonts w:ascii="仿宋" w:hAnsi="仿宋" w:eastAsia="仿宋" w:cs="仿宋"/>
          <w:spacing w:val="-2"/>
          <w:sz w:val="30"/>
          <w:szCs w:val="22"/>
          <w:lang w:val="zh-CN" w:eastAsia="zh-CN" w:bidi="zh-CN"/>
        </w:rPr>
      </w:pPr>
      <w:r>
        <w:rPr>
          <w:rFonts w:hint="eastAsia"/>
          <w:spacing w:val="-5"/>
          <w:sz w:val="30"/>
          <w:lang w:val="en-US" w:eastAsia="zh-CN"/>
        </w:rPr>
        <w:t>3.向特定对象</w:t>
      </w:r>
      <w:r>
        <w:rPr>
          <w:rFonts w:ascii="仿宋" w:hAnsi="仿宋" w:eastAsia="仿宋" w:cs="仿宋"/>
          <w:spacing w:val="-2"/>
          <w:sz w:val="30"/>
          <w:szCs w:val="22"/>
          <w:lang w:val="zh-CN" w:eastAsia="zh-CN" w:bidi="zh-CN"/>
        </w:rPr>
        <w:t>发行的优先股转让无法成交的风险。</w:t>
      </w:r>
      <w:r>
        <w:rPr>
          <w:rFonts w:hint="eastAsia" w:ascii="仿宋" w:hAnsi="仿宋" w:eastAsia="仿宋" w:cs="仿宋"/>
          <w:spacing w:val="-2"/>
          <w:sz w:val="30"/>
          <w:szCs w:val="22"/>
          <w:lang w:val="zh-CN" w:eastAsia="zh-CN" w:bidi="zh-CN"/>
        </w:rPr>
        <w:t>向特定对象发行的优先股在交易所市场的转让只能在不超过200名合格投资者之间进行</w:t>
      </w:r>
      <w:r>
        <w:rPr>
          <w:rFonts w:hint="eastAsia" w:cs="仿宋"/>
          <w:spacing w:val="-2"/>
          <w:sz w:val="30"/>
          <w:szCs w:val="22"/>
          <w:lang w:val="zh-CN" w:eastAsia="zh-CN" w:bidi="zh-CN"/>
        </w:rPr>
        <w:t>。</w:t>
      </w:r>
      <w:r>
        <w:rPr>
          <w:rFonts w:ascii="仿宋" w:hAnsi="仿宋" w:eastAsia="仿宋" w:cs="仿宋"/>
          <w:spacing w:val="-2"/>
          <w:sz w:val="30"/>
          <w:szCs w:val="22"/>
          <w:lang w:val="zh-CN" w:eastAsia="zh-CN" w:bidi="zh-CN"/>
        </w:rPr>
        <w:t>当转让导致优先股投资者超过200人时，优先股转让将出现无法成交。</w:t>
      </w:r>
    </w:p>
    <w:p>
      <w:pPr>
        <w:keepNext w:val="0"/>
        <w:keepLines w:val="0"/>
        <w:pageBreakBefore w:val="0"/>
        <w:widowControl w:val="0"/>
        <w:kinsoku/>
        <w:wordWrap/>
        <w:overflowPunct/>
        <w:topLinePunct w:val="0"/>
        <w:autoSpaceDE w:val="0"/>
        <w:autoSpaceDN w:val="0"/>
        <w:bidi w:val="0"/>
        <w:adjustRightInd/>
        <w:snapToGrid/>
        <w:spacing w:line="560" w:lineRule="exact"/>
        <w:ind w:firstLine="592" w:firstLineChars="200"/>
        <w:jc w:val="both"/>
        <w:textAlignment w:val="auto"/>
        <w:rPr>
          <w:rFonts w:ascii="仿宋" w:hAnsi="仿宋" w:eastAsia="仿宋" w:cs="仿宋"/>
          <w:spacing w:val="-2"/>
          <w:sz w:val="30"/>
          <w:szCs w:val="22"/>
          <w:lang w:val="zh-CN" w:eastAsia="zh-CN" w:bidi="zh-CN"/>
        </w:rPr>
      </w:pPr>
      <w:r>
        <w:rPr>
          <w:rFonts w:hint="eastAsia" w:cs="仿宋"/>
          <w:spacing w:val="-2"/>
          <w:sz w:val="30"/>
          <w:szCs w:val="22"/>
          <w:lang w:val="en-US" w:eastAsia="zh-CN" w:bidi="zh-CN"/>
        </w:rPr>
        <w:t>4</w:t>
      </w:r>
      <w:r>
        <w:rPr>
          <w:rFonts w:hint="eastAsia" w:ascii="仿宋" w:hAnsi="仿宋" w:eastAsia="仿宋" w:cs="仿宋"/>
          <w:spacing w:val="-2"/>
          <w:sz w:val="30"/>
          <w:szCs w:val="22"/>
          <w:lang w:val="en-US" w:eastAsia="zh-CN" w:bidi="zh-CN"/>
        </w:rPr>
        <w:t>.</w:t>
      </w:r>
      <w:r>
        <w:rPr>
          <w:rFonts w:ascii="仿宋" w:hAnsi="仿宋" w:eastAsia="仿宋" w:cs="仿宋"/>
          <w:spacing w:val="-2"/>
          <w:sz w:val="30"/>
          <w:szCs w:val="22"/>
          <w:lang w:val="zh-CN" w:eastAsia="zh-CN" w:bidi="zh-CN"/>
        </w:rPr>
        <w:t>投资者应当充分关注优先股信息披露的特殊情形。优先股表决权恢复及其终止时，投资者应当充分关注相关提示性公告。投资者持有优先股达到优先股股本总额20%时应当及时披露，以后每增加或者减少10%时披露，涉及股份回购、重大重组的，还需按照股份回购、重大重组程序和要求履行审议程序和披露义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36" w:firstLineChars="200"/>
        <w:jc w:val="both"/>
        <w:textAlignment w:val="auto"/>
      </w:pPr>
      <w:r>
        <w:rPr>
          <w:rFonts w:hint="eastAsia"/>
          <w:spacing w:val="9"/>
          <w:sz w:val="30"/>
          <w:lang w:val="en-US" w:eastAsia="zh-CN"/>
        </w:rPr>
        <w:t>5.</w:t>
      </w:r>
      <w:r>
        <w:rPr>
          <w:spacing w:val="9"/>
          <w:sz w:val="30"/>
        </w:rPr>
        <w:t>投资者应当充分关注需要合并计算恢复表决权的优先股</w:t>
      </w:r>
      <w:r>
        <w:rPr>
          <w:sz w:val="30"/>
        </w:rPr>
        <w:t>与普通股的特殊情形：</w:t>
      </w:r>
      <w:r>
        <w:rPr>
          <w:spacing w:val="-15"/>
        </w:rPr>
        <w:t>（</w:t>
      </w:r>
      <w:r>
        <w:rPr>
          <w:rFonts w:hint="eastAsia"/>
          <w:spacing w:val="-15"/>
          <w:lang w:val="en-US" w:eastAsia="zh-CN"/>
        </w:rPr>
        <w:t>1</w:t>
      </w:r>
      <w:r>
        <w:rPr>
          <w:spacing w:val="-15"/>
        </w:rPr>
        <w:t>）</w:t>
      </w:r>
      <w:r>
        <w:rPr>
          <w:spacing w:val="-10"/>
        </w:rPr>
        <w:t>根据《公司法》第一百条，</w:t>
      </w:r>
      <w:r>
        <w:rPr>
          <w:rFonts w:hint="eastAsia"/>
          <w:spacing w:val="-10"/>
          <w:lang w:val="en-US" w:eastAsia="zh-CN"/>
        </w:rPr>
        <w:t>请求召开临时</w:t>
      </w:r>
      <w:r>
        <w:rPr>
          <w:spacing w:val="-4"/>
        </w:rPr>
        <w:t>股东大会；</w:t>
      </w:r>
      <w:r>
        <w:rPr>
          <w:spacing w:val="-15"/>
        </w:rPr>
        <w:t>（</w:t>
      </w:r>
      <w:r>
        <w:rPr>
          <w:rFonts w:hint="eastAsia"/>
          <w:spacing w:val="-15"/>
          <w:lang w:val="en-US" w:eastAsia="zh-CN"/>
        </w:rPr>
        <w:t>2</w:t>
      </w:r>
      <w:r>
        <w:rPr>
          <w:spacing w:val="-15"/>
        </w:rPr>
        <w:t>）</w:t>
      </w:r>
      <w:r>
        <w:rPr>
          <w:spacing w:val="-10"/>
        </w:rPr>
        <w:t>根据《公司法》第一百零一条，召集</w:t>
      </w:r>
      <w:r>
        <w:rPr>
          <w:spacing w:val="-4"/>
        </w:rPr>
        <w:t>和主持股东大会；</w:t>
      </w:r>
      <w:r>
        <w:rPr>
          <w:spacing w:val="-15"/>
        </w:rPr>
        <w:t>（</w:t>
      </w:r>
      <w:r>
        <w:rPr>
          <w:rFonts w:hint="eastAsia"/>
          <w:spacing w:val="-15"/>
          <w:lang w:val="en-US" w:eastAsia="zh-CN"/>
        </w:rPr>
        <w:t>3</w:t>
      </w:r>
      <w:r>
        <w:rPr>
          <w:spacing w:val="-15"/>
        </w:rPr>
        <w:t>）</w:t>
      </w:r>
      <w:r>
        <w:rPr>
          <w:spacing w:val="-9"/>
        </w:rPr>
        <w:t>根据《公司法》第一百零二条，提交股东</w:t>
      </w:r>
      <w:r>
        <w:rPr>
          <w:spacing w:val="-11"/>
        </w:rPr>
        <w:t>大会临时提案；</w:t>
      </w:r>
      <w:r>
        <w:rPr>
          <w:spacing w:val="-15"/>
        </w:rPr>
        <w:t>（</w:t>
      </w:r>
      <w:r>
        <w:rPr>
          <w:rFonts w:hint="eastAsia"/>
          <w:spacing w:val="-15"/>
          <w:lang w:val="en-US" w:eastAsia="zh-CN"/>
        </w:rPr>
        <w:t>4</w:t>
      </w:r>
      <w:r>
        <w:rPr>
          <w:spacing w:val="-15"/>
        </w:rPr>
        <w:t>）</w:t>
      </w:r>
      <w:r>
        <w:rPr>
          <w:spacing w:val="-10"/>
        </w:rPr>
        <w:t>根据《公司法》第二百一十</w:t>
      </w:r>
      <w:r>
        <w:rPr>
          <w:rFonts w:hint="eastAsia"/>
          <w:spacing w:val="-10"/>
          <w:lang w:val="en-US" w:eastAsia="zh-CN"/>
        </w:rPr>
        <w:t>六</w:t>
      </w:r>
      <w:r>
        <w:rPr>
          <w:spacing w:val="-10"/>
        </w:rPr>
        <w:t>条，认定控股</w:t>
      </w:r>
      <w:r>
        <w:rPr>
          <w:spacing w:val="-9"/>
        </w:rPr>
        <w:t>股东；</w:t>
      </w:r>
      <w:r>
        <w:rPr>
          <w:spacing w:val="-15"/>
        </w:rPr>
        <w:t>（</w:t>
      </w:r>
      <w:r>
        <w:rPr>
          <w:rFonts w:hint="eastAsia"/>
          <w:spacing w:val="-15"/>
          <w:lang w:val="en-US" w:eastAsia="zh-CN"/>
        </w:rPr>
        <w:t>5</w:t>
      </w:r>
      <w:r>
        <w:rPr>
          <w:spacing w:val="-15"/>
        </w:rPr>
        <w:t>）</w:t>
      </w:r>
      <w:r>
        <w:rPr>
          <w:spacing w:val="-10"/>
        </w:rPr>
        <w:t>根据《证券法》第</w:t>
      </w:r>
      <w:r>
        <w:rPr>
          <w:rFonts w:hint="eastAsia"/>
          <w:spacing w:val="-10"/>
          <w:lang w:val="en-US" w:eastAsia="zh-CN"/>
        </w:rPr>
        <w:t>四</w:t>
      </w:r>
      <w:r>
        <w:rPr>
          <w:spacing w:val="-10"/>
        </w:rPr>
        <w:t>十四条</w:t>
      </w:r>
      <w:r>
        <w:rPr>
          <w:rFonts w:hint="eastAsia"/>
          <w:spacing w:val="-10"/>
          <w:lang w:eastAsia="zh-CN"/>
        </w:rPr>
        <w:t>、</w:t>
      </w:r>
      <w:r>
        <w:rPr>
          <w:rFonts w:hint="eastAsia"/>
          <w:spacing w:val="-10"/>
          <w:lang w:val="en-US" w:eastAsia="zh-CN"/>
        </w:rPr>
        <w:t>第五十一条、</w:t>
      </w:r>
      <w:r>
        <w:rPr>
          <w:spacing w:val="-10"/>
        </w:rPr>
        <w:t>第</w:t>
      </w:r>
      <w:r>
        <w:rPr>
          <w:rFonts w:hint="eastAsia"/>
          <w:spacing w:val="-10"/>
          <w:lang w:val="en-US" w:eastAsia="zh-CN"/>
        </w:rPr>
        <w:t>八十</w:t>
      </w:r>
      <w:r>
        <w:rPr>
          <w:spacing w:val="-10"/>
        </w:rPr>
        <w:t>条，认定持有</w:t>
      </w:r>
      <w:r>
        <w:rPr>
          <w:spacing w:val="-2"/>
        </w:rPr>
        <w:t>公司</w:t>
      </w:r>
      <w:r>
        <w:rPr>
          <w:rFonts w:hint="eastAsia"/>
          <w:spacing w:val="-2"/>
          <w:lang w:val="en-US" w:eastAsia="zh-CN"/>
        </w:rPr>
        <w:t>百分之五以上股份的股东</w:t>
      </w:r>
      <w:r>
        <w:rPr>
          <w:rFonts w:hint="eastAsia"/>
          <w:spacing w:val="-2"/>
          <w:lang w:eastAsia="zh-CN"/>
        </w:rPr>
        <w:t>；</w:t>
      </w:r>
      <w:r>
        <w:t>（6）</w:t>
      </w:r>
      <w:r>
        <w:rPr>
          <w:spacing w:val="-2"/>
        </w:rPr>
        <w:t>根据《</w:t>
      </w:r>
      <w:r>
        <w:rPr>
          <w:rFonts w:hint="eastAsia"/>
          <w:spacing w:val="-2"/>
          <w:lang w:val="en-US" w:eastAsia="zh-CN"/>
        </w:rPr>
        <w:t>股票</w:t>
      </w:r>
      <w:r>
        <w:rPr>
          <w:spacing w:val="-2"/>
        </w:rPr>
        <w:t>上市规则》</w:t>
      </w:r>
      <w:r>
        <w:rPr>
          <w:rFonts w:hint="eastAsia"/>
          <w:spacing w:val="-2"/>
          <w:lang w:val="en-US" w:eastAsia="zh-CN"/>
        </w:rPr>
        <w:t>的有关</w:t>
      </w:r>
      <w:r>
        <w:t>规定，认定持有公司百分之五以上股份的关联人。</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hint="eastAsia"/>
          <w:sz w:val="30"/>
          <w:lang w:eastAsia="zh-CN"/>
        </w:rPr>
      </w:pPr>
    </w:p>
    <w:p>
      <w:pPr>
        <w:pStyle w:val="2"/>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578" w:firstLineChars="200"/>
        <w:jc w:val="both"/>
        <w:textAlignment w:val="auto"/>
        <w:rPr>
          <w:spacing w:val="-6"/>
        </w:rPr>
      </w:pPr>
    </w:p>
    <w:p>
      <w:pPr>
        <w:pStyle w:val="2"/>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578" w:firstLineChars="200"/>
        <w:jc w:val="both"/>
        <w:textAlignment w:val="auto"/>
        <w:rPr>
          <w:spacing w:val="-6"/>
        </w:rPr>
      </w:pPr>
    </w:p>
    <w:p>
      <w:pPr>
        <w:pStyle w:val="2"/>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578" w:firstLineChars="200"/>
        <w:jc w:val="both"/>
        <w:textAlignment w:val="auto"/>
      </w:pPr>
      <w:r>
        <w:rPr>
          <w:spacing w:val="-6"/>
        </w:rPr>
        <w:t>上述风险揭示事项仅为列举性质，未能详尽列明投资优先股的所有风险因素，您在参与优先股投资前，还应认真阅读相关公司的</w:t>
      </w:r>
      <w:r>
        <w:rPr>
          <w:rFonts w:hint="eastAsia"/>
          <w:spacing w:val="-19"/>
          <w:lang w:val="en-US" w:eastAsia="zh-CN"/>
        </w:rPr>
        <w:t>定期报告、临时报告、募</w:t>
      </w:r>
      <w:r>
        <w:rPr>
          <w:rFonts w:hint="eastAsia" w:hAnsi="仿宋" w:cs="仿宋"/>
        </w:rPr>
        <w:t>集说明书、上市公告书</w:t>
      </w:r>
      <w:r>
        <w:rPr>
          <w:spacing w:val="-2"/>
        </w:rPr>
        <w:t>等，</w:t>
      </w:r>
      <w:r>
        <w:rPr>
          <w:rFonts w:hint="eastAsia"/>
        </w:rPr>
        <w:t>熟悉该项业务相关法律法规、交易所相关业务规则等，</w:t>
      </w:r>
      <w:r>
        <w:rPr>
          <w:spacing w:val="-2"/>
        </w:rPr>
        <w:t>对其他可能存在的</w:t>
      </w:r>
      <w:r>
        <w:rPr>
          <w:spacing w:val="-4"/>
        </w:rPr>
        <w:t>风险因素也应有所了解和掌握，并确信自己已做好足够的风险评</w:t>
      </w:r>
      <w:r>
        <w:rPr>
          <w:spacing w:val="-3"/>
        </w:rPr>
        <w:t>估与财务安排，避免因参与优先股投资而遭受难以承受的损失。</w:t>
      </w:r>
      <w:r>
        <w:rPr>
          <w:rFonts w:hint="eastAsia"/>
          <w:spacing w:val="-3"/>
        </w:rPr>
        <w:t>同时，本公司敬告投资者不要参与非法证券活动。</w:t>
      </w:r>
    </w:p>
    <w:p>
      <w:pPr>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602" w:firstLineChars="200"/>
        <w:jc w:val="left"/>
        <w:textAlignment w:val="auto"/>
        <w:rPr>
          <w:b/>
          <w:sz w:val="30"/>
        </w:rPr>
      </w:pPr>
      <w:r>
        <w:rPr>
          <w:b/>
          <w:sz w:val="30"/>
        </w:rPr>
        <w:t>投资者在本风险揭示书上签字，即表明投资者已经理解并愿意自行承担参与优先股投资的风险和损失。</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textAlignment w:val="auto"/>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textAlignment w:val="auto"/>
      </w:pPr>
      <w:r>
        <w:t>投资者签署栏：</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00" w:firstLineChars="200"/>
        <w:textAlignment w:val="auto"/>
        <w:rPr>
          <w:rFonts w:hint="eastAsia"/>
          <w:sz w:val="30"/>
          <w:lang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4" w:firstLineChars="200"/>
        <w:jc w:val="both"/>
        <w:textAlignment w:val="auto"/>
      </w:pPr>
      <w:r>
        <w:rPr>
          <w:spacing w:val="-9"/>
        </w:rPr>
        <w:t>本人</w:t>
      </w:r>
      <w:r>
        <w:t>（投资者</w:t>
      </w:r>
      <w:r>
        <w:rPr>
          <w:spacing w:val="-17"/>
        </w:rPr>
        <w:t>）</w:t>
      </w:r>
      <w:r>
        <w:rPr>
          <w:spacing w:val="-5"/>
        </w:rPr>
        <w:t>对上述《招商证券股份有限公司</w:t>
      </w:r>
      <w:r>
        <w:rPr>
          <w:rFonts w:hint="eastAsia"/>
          <w:spacing w:val="-5"/>
          <w:lang w:val="en-US" w:eastAsia="zh-CN"/>
        </w:rPr>
        <w:t>上海证券交易所</w:t>
      </w:r>
      <w:r>
        <w:rPr>
          <w:spacing w:val="-5"/>
        </w:rPr>
        <w:t>优先股投资</w:t>
      </w:r>
      <w:r>
        <w:rPr>
          <w:spacing w:val="-2"/>
        </w:rPr>
        <w:t>风险揭示书》的内容已经充分理解，承诺本人愿意参与优先股的</w:t>
      </w:r>
      <w:r>
        <w:t>投资，并愿意承担优先股的投资风险。</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jc w:val="both"/>
        <w:textAlignment w:val="auto"/>
        <w:rPr>
          <w:rFonts w:hint="eastAsia"/>
        </w:rPr>
      </w:pPr>
      <w:r>
        <w:rPr>
          <w:rFonts w:hint="eastAsia"/>
        </w:rPr>
        <w:t>特此声明。</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jc w:val="center"/>
        <w:textAlignment w:val="auto"/>
        <w:rPr>
          <w:rFonts w:hint="eastAsia"/>
          <w:lang w:val="en-US" w:eastAsia="zh-CN"/>
        </w:rPr>
      </w:pPr>
      <w:r>
        <w:rPr>
          <w:rFonts w:hint="eastAsia"/>
          <w:lang w:val="en-US" w:eastAsia="zh-CN"/>
        </w:rPr>
        <w:t xml:space="preserve">                   股东代码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jc w:val="center"/>
        <w:textAlignment w:val="auto"/>
        <w:rPr>
          <w:rFonts w:hint="eastAsia"/>
          <w:lang w:val="en-US" w:eastAsia="zh-CN"/>
        </w:rPr>
      </w:pPr>
      <w:r>
        <w:rPr>
          <w:rFonts w:hint="eastAsia"/>
          <w:lang w:val="en-US" w:eastAsia="zh-CN"/>
        </w:rPr>
        <w:t xml:space="preserve">                  签名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jc w:val="center"/>
        <w:textAlignment w:val="auto"/>
        <w:rPr>
          <w:rFonts w:hint="default"/>
          <w:lang w:val="en-US" w:eastAsia="zh-CN"/>
        </w:rPr>
      </w:pPr>
      <w:r>
        <w:rPr>
          <w:rFonts w:hint="eastAsia"/>
          <w:lang w:val="en-US" w:eastAsia="zh-CN"/>
        </w:rPr>
        <w:t xml:space="preserve">                 日期</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jc w:val="center"/>
        <w:textAlignment w:val="auto"/>
        <w:rPr>
          <w:rFonts w:hint="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jc w:val="center"/>
        <w:textAlignment w:val="auto"/>
        <w:rPr>
          <w:rFonts w:hint="eastAsia"/>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r>
        <w:t>注：</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pPr>
      <w:r>
        <w:t>1、本风险揭示书内容的字号应当不小于小三号。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firstLineChars="0"/>
        <w:jc w:val="left"/>
        <w:textAlignment w:val="auto"/>
        <w:rPr>
          <w:rFonts w:hint="default"/>
          <w:lang w:val="en-US" w:eastAsia="zh-CN"/>
        </w:rPr>
      </w:pPr>
      <w:r>
        <w:t>2</w:t>
      </w:r>
      <w:r>
        <w:rPr>
          <w:spacing w:val="-23"/>
        </w:rPr>
        <w:t>、纸质签署《风险揭示书》一式两份，营业部与投资者各执一份。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966D6"/>
    <w:rsid w:val="04F027A9"/>
    <w:rsid w:val="056B1912"/>
    <w:rsid w:val="07D325CF"/>
    <w:rsid w:val="0FD936A9"/>
    <w:rsid w:val="164F559B"/>
    <w:rsid w:val="17CC05CC"/>
    <w:rsid w:val="1F44705C"/>
    <w:rsid w:val="1F693C26"/>
    <w:rsid w:val="22B16DCA"/>
    <w:rsid w:val="23C535FE"/>
    <w:rsid w:val="2E67111B"/>
    <w:rsid w:val="313D6058"/>
    <w:rsid w:val="3192053F"/>
    <w:rsid w:val="376607AC"/>
    <w:rsid w:val="3F317B4B"/>
    <w:rsid w:val="3F4B3594"/>
    <w:rsid w:val="418A4486"/>
    <w:rsid w:val="43E47C67"/>
    <w:rsid w:val="451F1AA5"/>
    <w:rsid w:val="4905007D"/>
    <w:rsid w:val="49E80AF9"/>
    <w:rsid w:val="4D624D84"/>
    <w:rsid w:val="515B1A65"/>
    <w:rsid w:val="515E5F9C"/>
    <w:rsid w:val="51A3027C"/>
    <w:rsid w:val="53D07A8E"/>
    <w:rsid w:val="54A966D6"/>
    <w:rsid w:val="585D60C3"/>
    <w:rsid w:val="588E49D7"/>
    <w:rsid w:val="5C6462A1"/>
    <w:rsid w:val="5C6B707D"/>
    <w:rsid w:val="69F40BE1"/>
    <w:rsid w:val="6ADB44B4"/>
    <w:rsid w:val="71214766"/>
    <w:rsid w:val="721A1E32"/>
    <w:rsid w:val="76455943"/>
    <w:rsid w:val="78756943"/>
    <w:rsid w:val="7F1D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15"/>
      <w:outlineLvl w:val="1"/>
    </w:pPr>
    <w:rPr>
      <w:rFonts w:ascii="仿宋" w:hAnsi="仿宋" w:eastAsia="仿宋" w:cs="仿宋"/>
      <w:b/>
      <w:bCs/>
      <w:sz w:val="30"/>
      <w:szCs w:val="30"/>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0"/>
      <w:szCs w:val="30"/>
      <w:lang w:val="zh-CN" w:eastAsia="zh-CN" w:bidi="zh-CN"/>
    </w:rPr>
  </w:style>
  <w:style w:type="paragraph" w:styleId="6">
    <w:name w:val="List Paragraph"/>
    <w:basedOn w:val="1"/>
    <w:qFormat/>
    <w:uiPriority w:val="1"/>
    <w:pPr>
      <w:spacing w:before="3"/>
      <w:ind w:left="116" w:right="266" w:firstLine="66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llq</Company>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2023-05-09T12:36:00Z</dcterms:created>
  <dc:creator>user</dc:creator>
  <cp:lastModifiedBy>user</cp:lastModifiedBy>
  <dcterms:modified xsi:type="dcterms:W3CDTF">2023-05-31T02:58:52Z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989EDCF52624401199B9C766115A737F</vt:lpwstr>
  </property>
  <property fmtid="{D5CDD505-2E9C-101B-9397-08002B2CF9AE}" pid="4" name="_KSOProductBuildMID">
    <vt:lpwstr>DQWMG6GH796A059GQPRNRLJ87ZC0OYPREX0XBJDBXFMRTGCTNRBRICJVFYYTPBRRBSMX9OLIZIW78HXJRJFARFFZ8RZMWIWBAEODPHB3297CDF30088E9C3C060BC6CACF474954</vt:lpwstr>
  </property>
  <property fmtid="{D5CDD505-2E9C-101B-9397-08002B2CF9AE}" pid="5" name="_KSOProductBuildSID">
    <vt:lpwstr>CQWMR6GP796Q05HGQKR8ML0R7ZC0OXPR9E0XFJEOXFB8TFLTZIBJKCJ6FYRTP86RXUMXSOL5ZHJD8IEJQXFA0F8Q89CMWL5BANOOYHB379B05E3879A15FF5DBA42B5C4444219C</vt:lpwstr>
  </property>
</Properties>
</file>