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7779" w14:textId="6B2FD75B" w:rsidR="00284C3B" w:rsidRDefault="00284C3B" w:rsidP="004822F9">
      <w:pPr>
        <w:spacing w:line="520" w:lineRule="exact"/>
        <w:jc w:val="center"/>
        <w:rPr>
          <w:rFonts w:ascii="黑体" w:eastAsia="黑体" w:hAnsi="Times New Roman"/>
          <w:kern w:val="0"/>
          <w:sz w:val="30"/>
          <w:szCs w:val="30"/>
        </w:rPr>
      </w:pPr>
      <w:r>
        <w:rPr>
          <w:rFonts w:ascii="黑体" w:eastAsia="黑体" w:hAnsi="Times New Roman" w:hint="eastAsia"/>
          <w:kern w:val="0"/>
          <w:sz w:val="30"/>
          <w:szCs w:val="30"/>
        </w:rPr>
        <w:t>深交所</w:t>
      </w:r>
      <w:r w:rsidR="004822F9" w:rsidRPr="004822F9">
        <w:rPr>
          <w:rFonts w:ascii="黑体" w:eastAsia="黑体" w:hAnsi="Times New Roman" w:hint="eastAsia"/>
          <w:kern w:val="0"/>
          <w:sz w:val="30"/>
          <w:szCs w:val="30"/>
        </w:rPr>
        <w:t>退市整理股票交易风险揭示书</w:t>
      </w:r>
      <w:r w:rsidR="00527247">
        <w:rPr>
          <w:rFonts w:ascii="黑体" w:eastAsia="黑体" w:hAnsi="Times New Roman" w:hint="eastAsia"/>
          <w:kern w:val="0"/>
          <w:sz w:val="30"/>
          <w:szCs w:val="30"/>
        </w:rPr>
        <w:t>（2</w:t>
      </w:r>
      <w:r w:rsidR="00527247">
        <w:rPr>
          <w:rFonts w:ascii="黑体" w:eastAsia="黑体" w:hAnsi="Times New Roman"/>
          <w:kern w:val="0"/>
          <w:sz w:val="30"/>
          <w:szCs w:val="30"/>
        </w:rPr>
        <w:t>021</w:t>
      </w:r>
      <w:r w:rsidR="00527247">
        <w:rPr>
          <w:rFonts w:ascii="黑体" w:eastAsia="黑体" w:hAnsi="Times New Roman" w:hint="eastAsia"/>
          <w:kern w:val="0"/>
          <w:sz w:val="30"/>
          <w:szCs w:val="30"/>
        </w:rPr>
        <w:t>年2月启用）</w:t>
      </w:r>
    </w:p>
    <w:p w14:paraId="21745944" w14:textId="77777777" w:rsidR="00284C3B" w:rsidRDefault="00284C3B" w:rsidP="001D0B93">
      <w:pPr>
        <w:spacing w:line="360" w:lineRule="auto"/>
        <w:rPr>
          <w:rFonts w:ascii="宋体" w:hAnsi="宋体"/>
          <w:sz w:val="30"/>
          <w:szCs w:val="30"/>
        </w:rPr>
      </w:pPr>
      <w:r>
        <w:rPr>
          <w:rFonts w:ascii="宋体" w:hAnsi="宋体" w:hint="eastAsia"/>
          <w:sz w:val="24"/>
        </w:rPr>
        <w:t>尊敬的投资者:</w:t>
      </w:r>
    </w:p>
    <w:p w14:paraId="0791465F" w14:textId="77777777" w:rsidR="00284C3B" w:rsidRDefault="00284C3B" w:rsidP="001D0B93">
      <w:pPr>
        <w:spacing w:line="360" w:lineRule="auto"/>
        <w:ind w:firstLine="420"/>
        <w:rPr>
          <w:rFonts w:ascii="宋体" w:hAnsi="宋体"/>
          <w:sz w:val="24"/>
        </w:rPr>
      </w:pPr>
      <w:r>
        <w:rPr>
          <w:rFonts w:ascii="宋体" w:hAnsi="宋体" w:hint="eastAsia"/>
          <w:sz w:val="24"/>
        </w:rPr>
        <w:t>为了使您</w:t>
      </w:r>
      <w:r w:rsidR="003D38A4" w:rsidRPr="003D38A4">
        <w:rPr>
          <w:rFonts w:ascii="宋体" w:hAnsi="宋体" w:hint="eastAsia"/>
          <w:sz w:val="24"/>
        </w:rPr>
        <w:t>充分了解被深圳证券交易所</w:t>
      </w:r>
      <w:proofErr w:type="gramStart"/>
      <w:r w:rsidR="003D38A4" w:rsidRPr="003D38A4">
        <w:rPr>
          <w:rFonts w:ascii="宋体" w:hAnsi="宋体" w:hint="eastAsia"/>
          <w:sz w:val="24"/>
        </w:rPr>
        <w:t>作出</w:t>
      </w:r>
      <w:proofErr w:type="gramEnd"/>
      <w:r w:rsidR="003D38A4" w:rsidRPr="003D38A4">
        <w:rPr>
          <w:rFonts w:ascii="宋体" w:hAnsi="宋体" w:hint="eastAsia"/>
          <w:sz w:val="24"/>
        </w:rPr>
        <w:t>终止上市决定但处于退市整理期尚未摘牌的股票（以下简称退市整理股票）</w:t>
      </w:r>
      <w:r>
        <w:rPr>
          <w:rFonts w:ascii="宋体" w:hAnsi="宋体" w:hint="eastAsia"/>
          <w:sz w:val="24"/>
        </w:rPr>
        <w:t>的交易风险，根据深交所《股票上市规则》、《创业板股票上市规则》和《</w:t>
      </w:r>
      <w:r w:rsidR="004822F9" w:rsidRPr="004822F9">
        <w:rPr>
          <w:rFonts w:ascii="宋体" w:hAnsi="宋体" w:hint="eastAsia"/>
          <w:sz w:val="24"/>
        </w:rPr>
        <w:t>关于发布</w:t>
      </w:r>
      <w:r w:rsidR="004822F9">
        <w:rPr>
          <w:rFonts w:ascii="宋体" w:hAnsi="宋体" w:hint="eastAsia"/>
          <w:sz w:val="24"/>
        </w:rPr>
        <w:t>&lt;</w:t>
      </w:r>
      <w:r w:rsidR="004822F9" w:rsidRPr="004822F9">
        <w:rPr>
          <w:rFonts w:ascii="宋体" w:hAnsi="宋体" w:hint="eastAsia"/>
          <w:sz w:val="24"/>
        </w:rPr>
        <w:t>深圳证券交易所证券交易业务指南第2号——风险警示板交易事项</w:t>
      </w:r>
      <w:r w:rsidR="004822F9">
        <w:rPr>
          <w:rFonts w:ascii="宋体" w:hAnsi="宋体" w:hint="eastAsia"/>
          <w:sz w:val="24"/>
        </w:rPr>
        <w:t>&gt;</w:t>
      </w:r>
      <w:r w:rsidR="004822F9" w:rsidRPr="004822F9">
        <w:rPr>
          <w:rFonts w:ascii="宋体" w:hAnsi="宋体" w:hint="eastAsia"/>
          <w:sz w:val="24"/>
        </w:rPr>
        <w:t>的通知</w:t>
      </w:r>
      <w:r>
        <w:rPr>
          <w:rFonts w:ascii="宋体" w:hAnsi="宋体" w:hint="eastAsia"/>
          <w:sz w:val="24"/>
        </w:rPr>
        <w:t>》等相关法律、法规、规章、规则，特提供</w:t>
      </w:r>
      <w:proofErr w:type="gramStart"/>
      <w:r>
        <w:rPr>
          <w:rFonts w:ascii="宋体" w:hAnsi="宋体" w:hint="eastAsia"/>
          <w:sz w:val="24"/>
        </w:rPr>
        <w:t>本风</w:t>
      </w:r>
      <w:proofErr w:type="gramEnd"/>
      <w:r>
        <w:rPr>
          <w:rFonts w:ascii="宋体" w:hAnsi="宋体" w:hint="eastAsia"/>
          <w:sz w:val="24"/>
        </w:rPr>
        <w:t>险揭示书，请认真详细阅读，全面评估自身的经济实力、产品认知能力、风险控制与承受能力，审慎参与退市整理股票的交易。投资者购买退市整理股票存在如下风险:</w:t>
      </w:r>
    </w:p>
    <w:p w14:paraId="6B45549E"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一、投资者在参与退市整理股票交易前，应充分了解退市相关规则、退市整理股票交易规定和进入退市整理</w:t>
      </w:r>
      <w:proofErr w:type="gramStart"/>
      <w:r w:rsidRPr="004822F9">
        <w:rPr>
          <w:rFonts w:ascii="宋体" w:hAnsi="宋体" w:hint="eastAsia"/>
          <w:sz w:val="24"/>
        </w:rPr>
        <w:t>期上市</w:t>
      </w:r>
      <w:proofErr w:type="gramEnd"/>
      <w:r w:rsidRPr="004822F9">
        <w:rPr>
          <w:rFonts w:ascii="宋体" w:hAnsi="宋体" w:hint="eastAsia"/>
          <w:sz w:val="24"/>
        </w:rPr>
        <w:t>公司的基本面情况，并根据自身财务状况、实际需求及风险承受能力等，审慎考虑是否买入退市整理股票。</w:t>
      </w:r>
    </w:p>
    <w:p w14:paraId="5DCC34BF"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二、上市公司被证券交易所</w:t>
      </w:r>
      <w:proofErr w:type="gramStart"/>
      <w:r w:rsidRPr="004822F9">
        <w:rPr>
          <w:rFonts w:ascii="宋体" w:hAnsi="宋体" w:hint="eastAsia"/>
          <w:sz w:val="24"/>
        </w:rPr>
        <w:t>作出</w:t>
      </w:r>
      <w:proofErr w:type="gramEnd"/>
      <w:r w:rsidRPr="004822F9">
        <w:rPr>
          <w:rFonts w:ascii="宋体" w:hAnsi="宋体" w:hint="eastAsia"/>
          <w:sz w:val="24"/>
        </w:rPr>
        <w:t>终止上市的决定可能为以下原因：交易类原因、财务类原因、规范类原因、重大违法或者公司主动终止上市。因财务类、规范类、重大违法相关规定被证券交易所</w:t>
      </w:r>
      <w:proofErr w:type="gramStart"/>
      <w:r w:rsidRPr="004822F9">
        <w:rPr>
          <w:rFonts w:ascii="宋体" w:hAnsi="宋体" w:hint="eastAsia"/>
          <w:sz w:val="24"/>
        </w:rPr>
        <w:t>作出</w:t>
      </w:r>
      <w:proofErr w:type="gramEnd"/>
      <w:r w:rsidRPr="004822F9">
        <w:rPr>
          <w:rFonts w:ascii="宋体" w:hAnsi="宋体" w:hint="eastAsia"/>
          <w:sz w:val="24"/>
        </w:rPr>
        <w:t>终止上市决定的，上市公司股票自公告终止上市决定之日起五个交易日后的次一交易日复牌并进入退市整理期交易。投资者应当知悉相关股票终止上市的原因，注意相关风险。</w:t>
      </w:r>
    </w:p>
    <w:p w14:paraId="7E106D42"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三、股票进入退市整理期后证券代码不变，股票简称后冠以“退”标识，退市整理股票进入风险警示板交易，行情揭示可能与其他股票不同。</w:t>
      </w:r>
    </w:p>
    <w:p w14:paraId="573C7011"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四、</w:t>
      </w:r>
      <w:r w:rsidRPr="00AF027D">
        <w:rPr>
          <w:rFonts w:ascii="宋体" w:hAnsi="宋体" w:hint="eastAsia"/>
          <w:b/>
          <w:sz w:val="24"/>
        </w:rPr>
        <w:t>股票进入退市整理期的首个交易日不实行价格涨跌幅限制，交易价格波动幅度可能较大，投资者应当注意价格大幅波动风险。</w:t>
      </w:r>
    </w:p>
    <w:p w14:paraId="44A41604"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不实行价格涨跌幅限制的退市整理股票交易，实施盘中临时停牌制度，投资者应当了解盘中临时停牌相关规定。</w:t>
      </w:r>
    </w:p>
    <w:p w14:paraId="65ED691F"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五、退市整理股票的交易可能存在流动性风险，投资者买入后可能因无法在股票终止上市前及时卖出所持股票而导致损失。</w:t>
      </w:r>
    </w:p>
    <w:p w14:paraId="5FE6CA03"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六、</w:t>
      </w:r>
      <w:r w:rsidRPr="00AF027D">
        <w:rPr>
          <w:rFonts w:ascii="宋体" w:hAnsi="宋体" w:hint="eastAsia"/>
          <w:b/>
          <w:sz w:val="24"/>
        </w:rPr>
        <w:t>退市整理期的交易期限仅为十五个交易日</w:t>
      </w:r>
      <w:r w:rsidRPr="004822F9">
        <w:rPr>
          <w:rFonts w:ascii="宋体" w:hAnsi="宋体" w:hint="eastAsia"/>
          <w:sz w:val="24"/>
        </w:rPr>
        <w:t>，退市整理股票将于退市整理期届满的次一交易日摘牌，公司股票终止上市。投资者应当密切关注退市整理股票的剩余交易日和最后交易日，否则有可能错失卖出机会，造成不必要的损失。</w:t>
      </w:r>
    </w:p>
    <w:p w14:paraId="33E0C9AE"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股票全天停牌的，停牌期间</w:t>
      </w:r>
      <w:proofErr w:type="gramStart"/>
      <w:r w:rsidRPr="004822F9">
        <w:rPr>
          <w:rFonts w:ascii="宋体" w:hAnsi="宋体" w:hint="eastAsia"/>
          <w:sz w:val="24"/>
        </w:rPr>
        <w:t>不计入退市</w:t>
      </w:r>
      <w:proofErr w:type="gramEnd"/>
      <w:r w:rsidRPr="004822F9">
        <w:rPr>
          <w:rFonts w:ascii="宋体" w:hAnsi="宋体" w:hint="eastAsia"/>
          <w:sz w:val="24"/>
        </w:rPr>
        <w:t>整理期。</w:t>
      </w:r>
      <w:r>
        <w:rPr>
          <w:rFonts w:ascii="宋体" w:hAnsi="宋体" w:hint="eastAsia"/>
          <w:sz w:val="24"/>
        </w:rPr>
        <w:t>我司提示的退市整理期股票</w:t>
      </w:r>
      <w:r>
        <w:rPr>
          <w:rFonts w:ascii="宋体" w:hAnsi="宋体" w:hint="eastAsia"/>
          <w:sz w:val="24"/>
        </w:rPr>
        <w:lastRenderedPageBreak/>
        <w:t>的剩余交易</w:t>
      </w:r>
      <w:proofErr w:type="gramStart"/>
      <w:r>
        <w:rPr>
          <w:rFonts w:ascii="宋体" w:hAnsi="宋体" w:hint="eastAsia"/>
          <w:sz w:val="24"/>
        </w:rPr>
        <w:t>日信息</w:t>
      </w:r>
      <w:proofErr w:type="gramEnd"/>
      <w:r>
        <w:rPr>
          <w:rFonts w:ascii="宋体" w:hAnsi="宋体" w:hint="eastAsia"/>
          <w:sz w:val="24"/>
        </w:rPr>
        <w:t>仅供参考，投资者应考虑股票全天停牌等因素的影响。</w:t>
      </w:r>
    </w:p>
    <w:p w14:paraId="51A5E3F6"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七、投资者应当特别关注上市公司退市整理期间发布的提示性公告，及时从上市公司网站、证券交易所网站、符合中国证监会规定条件的信息披露媒体以及证券公司网站等渠道获取相关信息。</w:t>
      </w:r>
    </w:p>
    <w:p w14:paraId="642746B5" w14:textId="77777777" w:rsidR="004822F9" w:rsidRPr="004822F9" w:rsidRDefault="004822F9" w:rsidP="001D0B93">
      <w:pPr>
        <w:spacing w:line="360" w:lineRule="auto"/>
        <w:ind w:firstLine="420"/>
        <w:rPr>
          <w:rFonts w:ascii="宋体" w:hAnsi="宋体"/>
          <w:sz w:val="24"/>
        </w:rPr>
      </w:pPr>
      <w:r w:rsidRPr="004822F9">
        <w:rPr>
          <w:rFonts w:ascii="宋体" w:hAnsi="宋体" w:hint="eastAsia"/>
          <w:sz w:val="24"/>
        </w:rPr>
        <w:t>八、按照现行规定，除触及欺诈发行强制退市的公司外，上市公司股票被终止上市后可以向证券交易所申请重新上市，但须达到证券交易所规定的重新上市条件，能否重新上市存在较大的不确定性。</w:t>
      </w:r>
    </w:p>
    <w:p w14:paraId="51D06EA3" w14:textId="77777777" w:rsidR="004822F9" w:rsidRDefault="004822F9" w:rsidP="001D0B93">
      <w:pPr>
        <w:spacing w:line="360" w:lineRule="auto"/>
        <w:ind w:firstLine="420"/>
        <w:rPr>
          <w:rFonts w:ascii="宋体" w:hAnsi="宋体"/>
          <w:sz w:val="24"/>
        </w:rPr>
      </w:pPr>
      <w:r w:rsidRPr="004822F9">
        <w:rPr>
          <w:rFonts w:ascii="宋体" w:hAnsi="宋体" w:hint="eastAsia"/>
          <w:sz w:val="24"/>
        </w:rPr>
        <w:t>九、退市整理股票相关法律、行政法规、部门规章、规范性文件（以下简称法律法规）、证券交易所和登记结算机构业务规则可能根据市场情况进行制定、废止和修改，投资者应当及时予以关注和了解。</w:t>
      </w:r>
    </w:p>
    <w:p w14:paraId="443137BC" w14:textId="77777777" w:rsidR="00284C3B" w:rsidRDefault="00111A64" w:rsidP="001D0B93">
      <w:pPr>
        <w:pStyle w:val="a7"/>
        <w:spacing w:line="360" w:lineRule="auto"/>
        <w:ind w:firstLine="480"/>
        <w:rPr>
          <w:rFonts w:ascii="宋体" w:hAnsi="宋体"/>
          <w:sz w:val="24"/>
          <w:szCs w:val="24"/>
        </w:rPr>
      </w:pPr>
      <w:r>
        <w:rPr>
          <w:rFonts w:ascii="宋体" w:hAnsi="宋体" w:hint="eastAsia"/>
          <w:sz w:val="24"/>
          <w:szCs w:val="24"/>
        </w:rPr>
        <w:t>十</w:t>
      </w:r>
      <w:r w:rsidR="00284C3B">
        <w:rPr>
          <w:rFonts w:ascii="宋体" w:hAnsi="宋体" w:hint="eastAsia"/>
          <w:sz w:val="24"/>
          <w:szCs w:val="24"/>
        </w:rPr>
        <w:t>、由于无法控制和不可预测的系统故障、设备故障、通讯故障、电力故障等可能导致证券交易系统非正常运行甚至瘫痪，可能导致投资者的交易委托无法成交或无法全部成交的风险。</w:t>
      </w:r>
    </w:p>
    <w:p w14:paraId="2F33FCF1" w14:textId="77777777" w:rsidR="00284C3B" w:rsidRDefault="00111A64" w:rsidP="001D0B93">
      <w:pPr>
        <w:pStyle w:val="a7"/>
        <w:spacing w:line="360" w:lineRule="auto"/>
        <w:ind w:firstLine="480"/>
        <w:rPr>
          <w:rFonts w:ascii="宋体" w:hAnsi="宋体"/>
          <w:sz w:val="24"/>
          <w:szCs w:val="24"/>
        </w:rPr>
      </w:pPr>
      <w:r>
        <w:rPr>
          <w:rFonts w:ascii="宋体" w:hAnsi="宋体" w:hint="eastAsia"/>
          <w:sz w:val="24"/>
          <w:szCs w:val="24"/>
        </w:rPr>
        <w:t>十一</w:t>
      </w:r>
      <w:r w:rsidR="00284C3B">
        <w:rPr>
          <w:rFonts w:ascii="宋体" w:hAnsi="宋体" w:hint="eastAsia"/>
          <w:sz w:val="24"/>
          <w:szCs w:val="24"/>
        </w:rPr>
        <w:t>、由于国家法律、法规、政策、交易所规则的变化、修改等原因，可能会对投资者的交易产生不利影响的风险。</w:t>
      </w:r>
    </w:p>
    <w:p w14:paraId="787B74A0" w14:textId="77777777" w:rsidR="00284C3B" w:rsidRDefault="00284C3B" w:rsidP="00284C3B">
      <w:pPr>
        <w:pStyle w:val="a7"/>
        <w:spacing w:line="520" w:lineRule="exact"/>
        <w:ind w:firstLine="480"/>
        <w:rPr>
          <w:rFonts w:ascii="宋体" w:hAnsi="宋体"/>
          <w:sz w:val="24"/>
          <w:szCs w:val="24"/>
        </w:rPr>
      </w:pPr>
    </w:p>
    <w:p w14:paraId="33361E7A" w14:textId="77777777" w:rsidR="00284C3B" w:rsidRDefault="004822F9" w:rsidP="001D0B93">
      <w:pPr>
        <w:spacing w:line="360" w:lineRule="auto"/>
        <w:ind w:firstLineChars="200" w:firstLine="482"/>
        <w:rPr>
          <w:rFonts w:ascii="黑体" w:eastAsia="黑体" w:hAnsi="宋体"/>
          <w:b/>
          <w:sz w:val="24"/>
        </w:rPr>
      </w:pPr>
      <w:r>
        <w:rPr>
          <w:rFonts w:ascii="黑体" w:eastAsia="黑体" w:hAnsi="宋体" w:hint="eastAsia"/>
          <w:b/>
          <w:sz w:val="24"/>
        </w:rPr>
        <w:t>特别提示：</w:t>
      </w:r>
      <w:r w:rsidRPr="001D0B93">
        <w:rPr>
          <w:rFonts w:ascii="黑体" w:eastAsia="黑体" w:hAnsi="宋体" w:hint="eastAsia"/>
          <w:b/>
          <w:sz w:val="24"/>
        </w:rPr>
        <w:t>本《风险揭示书》的提示事项仅为列举性质，未能详尽列明退市整理股票交易的所有风险，投资者在参与退市整理股票交易前，应当认真阅读本《风险揭示书》所列示的条款及有关法律法规、证券交易所和登记结算机构业务规则等相关规定，对其他可能存在的风险因素也应当有所了解和掌握，并确信自己已做好足够的风险评估与财务安排，避免因参与退市整理股票交易遭受难以承受的损失。投资者在本《风险揭示书》上签字，即表明投资者已经理解并愿意自行承担参与退市整理股票交易的风险和损失。</w:t>
      </w:r>
    </w:p>
    <w:p w14:paraId="3E3C0E01" w14:textId="77777777" w:rsidR="001D0B93" w:rsidRPr="001D0B93" w:rsidRDefault="001D0B93" w:rsidP="001D0B93">
      <w:pPr>
        <w:spacing w:line="360" w:lineRule="auto"/>
        <w:ind w:firstLineChars="200" w:firstLine="482"/>
        <w:rPr>
          <w:rFonts w:ascii="黑体" w:eastAsia="黑体" w:hAnsi="宋体"/>
          <w:b/>
          <w:sz w:val="24"/>
        </w:rPr>
      </w:pPr>
    </w:p>
    <w:p w14:paraId="20F2147B" w14:textId="77777777" w:rsidR="00284C3B" w:rsidRDefault="00284C3B" w:rsidP="001D0B93">
      <w:pPr>
        <w:spacing w:line="360" w:lineRule="auto"/>
        <w:ind w:right="480" w:firstLineChars="1240" w:firstLine="2976"/>
        <w:rPr>
          <w:rFonts w:ascii="宋体" w:hAnsi="宋体"/>
          <w:sz w:val="24"/>
        </w:rPr>
      </w:pPr>
      <w:r>
        <w:rPr>
          <w:rFonts w:ascii="宋体" w:hAnsi="宋体" w:hint="eastAsia"/>
          <w:sz w:val="24"/>
        </w:rPr>
        <w:t>投资者签名：</w:t>
      </w:r>
    </w:p>
    <w:p w14:paraId="02087D8B" w14:textId="77777777" w:rsidR="00284C3B" w:rsidRDefault="00284C3B" w:rsidP="001D0B93">
      <w:pPr>
        <w:spacing w:line="360" w:lineRule="auto"/>
        <w:ind w:firstLineChars="500" w:firstLine="1200"/>
        <w:rPr>
          <w:rFonts w:ascii="宋体" w:hAnsi="宋体"/>
          <w:sz w:val="24"/>
        </w:rPr>
      </w:pPr>
      <w:r>
        <w:rPr>
          <w:rFonts w:ascii="宋体" w:hAnsi="宋体" w:hint="eastAsia"/>
          <w:sz w:val="24"/>
        </w:rPr>
        <w:t>（机构投资者为法定代表人或授权人签名并加盖公章）</w:t>
      </w:r>
    </w:p>
    <w:p w14:paraId="1AC4DC38" w14:textId="77777777" w:rsidR="00284C3B" w:rsidRDefault="00284C3B" w:rsidP="001D0B93">
      <w:pPr>
        <w:spacing w:line="360" w:lineRule="auto"/>
        <w:ind w:right="480" w:firstLineChars="2607" w:firstLine="6257"/>
        <w:rPr>
          <w:rFonts w:ascii="宋体" w:hAnsi="宋体"/>
          <w:sz w:val="24"/>
        </w:rPr>
      </w:pPr>
      <w:r>
        <w:rPr>
          <w:rFonts w:ascii="宋体" w:hAnsi="宋体" w:hint="eastAsia"/>
          <w:sz w:val="24"/>
        </w:rPr>
        <w:t>年   月   日</w:t>
      </w:r>
    </w:p>
    <w:p w14:paraId="0D4115F5" w14:textId="77777777" w:rsidR="00044676" w:rsidRDefault="00044676"/>
    <w:sectPr w:rsidR="00044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D8F5" w14:textId="77777777" w:rsidR="005733EB" w:rsidRDefault="005733EB" w:rsidP="00284C3B">
      <w:r>
        <w:separator/>
      </w:r>
    </w:p>
  </w:endnote>
  <w:endnote w:type="continuationSeparator" w:id="0">
    <w:p w14:paraId="5EE4FB2C" w14:textId="77777777" w:rsidR="005733EB" w:rsidRDefault="005733EB" w:rsidP="0028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F188" w14:textId="77777777" w:rsidR="005733EB" w:rsidRDefault="005733EB" w:rsidP="00284C3B">
      <w:r>
        <w:separator/>
      </w:r>
    </w:p>
  </w:footnote>
  <w:footnote w:type="continuationSeparator" w:id="0">
    <w:p w14:paraId="0C78BFF9" w14:textId="77777777" w:rsidR="005733EB" w:rsidRDefault="005733EB" w:rsidP="0028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3D"/>
    <w:rsid w:val="00044676"/>
    <w:rsid w:val="00085E18"/>
    <w:rsid w:val="000D7671"/>
    <w:rsid w:val="00111A64"/>
    <w:rsid w:val="00133968"/>
    <w:rsid w:val="00175788"/>
    <w:rsid w:val="001A11CB"/>
    <w:rsid w:val="001D0B93"/>
    <w:rsid w:val="001D6C7E"/>
    <w:rsid w:val="001F4602"/>
    <w:rsid w:val="00284C3B"/>
    <w:rsid w:val="003D38A4"/>
    <w:rsid w:val="003F3A83"/>
    <w:rsid w:val="00425AFB"/>
    <w:rsid w:val="00461252"/>
    <w:rsid w:val="004805FE"/>
    <w:rsid w:val="004822F9"/>
    <w:rsid w:val="00493D01"/>
    <w:rsid w:val="004B1384"/>
    <w:rsid w:val="00512CFF"/>
    <w:rsid w:val="00527247"/>
    <w:rsid w:val="00547679"/>
    <w:rsid w:val="005733EB"/>
    <w:rsid w:val="005B5104"/>
    <w:rsid w:val="006029AE"/>
    <w:rsid w:val="006B26A9"/>
    <w:rsid w:val="006D7633"/>
    <w:rsid w:val="006F14EC"/>
    <w:rsid w:val="00704D6F"/>
    <w:rsid w:val="00727180"/>
    <w:rsid w:val="007F26FA"/>
    <w:rsid w:val="00841873"/>
    <w:rsid w:val="008B119D"/>
    <w:rsid w:val="008B67A9"/>
    <w:rsid w:val="008E1154"/>
    <w:rsid w:val="008E373D"/>
    <w:rsid w:val="00965617"/>
    <w:rsid w:val="00A016E2"/>
    <w:rsid w:val="00A91037"/>
    <w:rsid w:val="00A9359D"/>
    <w:rsid w:val="00AF027D"/>
    <w:rsid w:val="00B31A4D"/>
    <w:rsid w:val="00C149C5"/>
    <w:rsid w:val="00CB4FA2"/>
    <w:rsid w:val="00D703C4"/>
    <w:rsid w:val="00DA79D9"/>
    <w:rsid w:val="00DD3D17"/>
    <w:rsid w:val="00DE3704"/>
    <w:rsid w:val="00DE71C1"/>
    <w:rsid w:val="00E95853"/>
    <w:rsid w:val="00F60819"/>
    <w:rsid w:val="00FD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9F5E"/>
  <w15:docId w15:val="{D683906F-009D-4F43-AF5B-17BF759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C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C3B"/>
    <w:rPr>
      <w:sz w:val="18"/>
      <w:szCs w:val="18"/>
    </w:rPr>
  </w:style>
  <w:style w:type="paragraph" w:styleId="a5">
    <w:name w:val="footer"/>
    <w:basedOn w:val="a"/>
    <w:link w:val="a6"/>
    <w:uiPriority w:val="99"/>
    <w:unhideWhenUsed/>
    <w:rsid w:val="00284C3B"/>
    <w:pPr>
      <w:tabs>
        <w:tab w:val="center" w:pos="4153"/>
        <w:tab w:val="right" w:pos="8306"/>
      </w:tabs>
      <w:snapToGrid w:val="0"/>
      <w:jc w:val="left"/>
    </w:pPr>
    <w:rPr>
      <w:sz w:val="18"/>
      <w:szCs w:val="18"/>
    </w:rPr>
  </w:style>
  <w:style w:type="character" w:customStyle="1" w:styleId="a6">
    <w:name w:val="页脚 字符"/>
    <w:basedOn w:val="a0"/>
    <w:link w:val="a5"/>
    <w:uiPriority w:val="99"/>
    <w:rsid w:val="00284C3B"/>
    <w:rPr>
      <w:sz w:val="18"/>
      <w:szCs w:val="18"/>
    </w:rPr>
  </w:style>
  <w:style w:type="paragraph" w:styleId="a7">
    <w:name w:val="List Paragraph"/>
    <w:basedOn w:val="a"/>
    <w:qFormat/>
    <w:rsid w:val="00284C3B"/>
    <w:pPr>
      <w:ind w:firstLineChars="200" w:firstLine="420"/>
    </w:pPr>
  </w:style>
  <w:style w:type="paragraph" w:customStyle="1" w:styleId="Default">
    <w:name w:val="Default"/>
    <w:rsid w:val="00284C3B"/>
    <w:pPr>
      <w:widowControl w:val="0"/>
      <w:autoSpaceDE w:val="0"/>
      <w:autoSpaceDN w:val="0"/>
      <w:adjustRightInd w:val="0"/>
    </w:pPr>
    <w:rPr>
      <w:rFonts w:ascii="宋体" w:eastAsia="宋体" w:hAnsi="宋体" w:cs="宋体"/>
      <w:color w:val="000000"/>
      <w:kern w:val="0"/>
      <w:sz w:val="24"/>
      <w:szCs w:val="24"/>
    </w:rPr>
  </w:style>
  <w:style w:type="paragraph" w:styleId="a8">
    <w:name w:val="Balloon Text"/>
    <w:basedOn w:val="a"/>
    <w:link w:val="a9"/>
    <w:uiPriority w:val="99"/>
    <w:semiHidden/>
    <w:unhideWhenUsed/>
    <w:rsid w:val="004822F9"/>
    <w:rPr>
      <w:sz w:val="18"/>
      <w:szCs w:val="18"/>
    </w:rPr>
  </w:style>
  <w:style w:type="character" w:customStyle="1" w:styleId="a9">
    <w:name w:val="批注框文本 字符"/>
    <w:basedOn w:val="a0"/>
    <w:link w:val="a8"/>
    <w:uiPriority w:val="99"/>
    <w:semiHidden/>
    <w:rsid w:val="004822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236</Words>
  <Characters>1348</Characters>
  <Application>Microsoft Office Word</Application>
  <DocSecurity>0</DocSecurity>
  <Lines>11</Lines>
  <Paragraphs>3</Paragraphs>
  <ScaleCrop>false</ScaleCrop>
  <Company>HP</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38</cp:revision>
  <dcterms:created xsi:type="dcterms:W3CDTF">2021-01-04T04:27:00Z</dcterms:created>
  <dcterms:modified xsi:type="dcterms:W3CDTF">2021-02-26T03:32:00Z</dcterms:modified>
</cp:coreProperties>
</file>