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B6AB84" w14:textId="51DDCE43" w:rsidR="00284C3B" w:rsidRPr="00027EF8" w:rsidRDefault="00284C3B" w:rsidP="00284C3B">
      <w:pPr>
        <w:spacing w:line="520" w:lineRule="exact"/>
        <w:jc w:val="center"/>
        <w:rPr>
          <w:rFonts w:ascii="黑体" w:eastAsia="黑体" w:hAnsi="Times New Roman"/>
          <w:kern w:val="0"/>
          <w:sz w:val="30"/>
          <w:szCs w:val="30"/>
        </w:rPr>
      </w:pPr>
      <w:r w:rsidRPr="00027EF8">
        <w:rPr>
          <w:rFonts w:ascii="黑体" w:eastAsia="黑体" w:hAnsi="Times New Roman" w:hint="eastAsia"/>
          <w:kern w:val="0"/>
          <w:sz w:val="30"/>
          <w:szCs w:val="30"/>
        </w:rPr>
        <w:t>上交</w:t>
      </w:r>
      <w:proofErr w:type="gramStart"/>
      <w:r w:rsidRPr="00027EF8">
        <w:rPr>
          <w:rFonts w:ascii="黑体" w:eastAsia="黑体" w:hAnsi="Times New Roman" w:hint="eastAsia"/>
          <w:kern w:val="0"/>
          <w:sz w:val="30"/>
          <w:szCs w:val="30"/>
        </w:rPr>
        <w:t>所风险</w:t>
      </w:r>
      <w:proofErr w:type="gramEnd"/>
      <w:r w:rsidRPr="00027EF8">
        <w:rPr>
          <w:rFonts w:ascii="黑体" w:eastAsia="黑体" w:hAnsi="Times New Roman" w:hint="eastAsia"/>
          <w:kern w:val="0"/>
          <w:sz w:val="30"/>
          <w:szCs w:val="30"/>
        </w:rPr>
        <w:t>警示股票交易风险揭示书</w:t>
      </w:r>
      <w:r w:rsidR="00527247">
        <w:rPr>
          <w:rFonts w:ascii="黑体" w:eastAsia="黑体" w:hAnsi="Times New Roman" w:hint="eastAsia"/>
          <w:kern w:val="0"/>
          <w:sz w:val="30"/>
          <w:szCs w:val="30"/>
        </w:rPr>
        <w:t>（2</w:t>
      </w:r>
      <w:r w:rsidR="00527247">
        <w:rPr>
          <w:rFonts w:ascii="黑体" w:eastAsia="黑体" w:hAnsi="Times New Roman"/>
          <w:kern w:val="0"/>
          <w:sz w:val="30"/>
          <w:szCs w:val="30"/>
        </w:rPr>
        <w:t>021</w:t>
      </w:r>
      <w:r w:rsidR="00527247">
        <w:rPr>
          <w:rFonts w:ascii="黑体" w:eastAsia="黑体" w:hAnsi="Times New Roman" w:hint="eastAsia"/>
          <w:kern w:val="0"/>
          <w:sz w:val="30"/>
          <w:szCs w:val="30"/>
        </w:rPr>
        <w:t>年2月启用）</w:t>
      </w:r>
    </w:p>
    <w:p w14:paraId="0FDEB3AF" w14:textId="77777777" w:rsidR="00284C3B" w:rsidRPr="00027EF8" w:rsidRDefault="00284C3B" w:rsidP="00493D01">
      <w:pPr>
        <w:spacing w:beforeLines="50" w:before="156" w:line="432" w:lineRule="auto"/>
        <w:rPr>
          <w:rFonts w:asciiTheme="minorEastAsia" w:hAnsiTheme="minorEastAsia"/>
          <w:sz w:val="24"/>
          <w:szCs w:val="24"/>
        </w:rPr>
      </w:pPr>
      <w:r w:rsidRPr="00027EF8">
        <w:rPr>
          <w:rFonts w:asciiTheme="minorEastAsia" w:hAnsiTheme="minorEastAsia" w:hint="eastAsia"/>
          <w:sz w:val="24"/>
          <w:szCs w:val="24"/>
        </w:rPr>
        <w:t>尊敬的投资者:</w:t>
      </w:r>
    </w:p>
    <w:p w14:paraId="6D9FF40C" w14:textId="77777777" w:rsidR="00284C3B" w:rsidRPr="00027EF8" w:rsidRDefault="00284C3B" w:rsidP="00493D01">
      <w:pPr>
        <w:spacing w:line="432" w:lineRule="auto"/>
        <w:ind w:firstLine="420"/>
        <w:rPr>
          <w:rFonts w:asciiTheme="minorEastAsia" w:hAnsiTheme="minorEastAsia"/>
          <w:sz w:val="24"/>
          <w:szCs w:val="24"/>
        </w:rPr>
      </w:pPr>
      <w:r w:rsidRPr="00027EF8">
        <w:rPr>
          <w:rFonts w:asciiTheme="minorEastAsia" w:hAnsiTheme="minorEastAsia" w:hint="eastAsia"/>
          <w:sz w:val="24"/>
          <w:szCs w:val="24"/>
        </w:rPr>
        <w:t>为了使您更好地了解风险警示股票的交易风险，根据上交所《股票上市规则》、《会员管理规则》</w:t>
      </w:r>
      <w:r w:rsidR="00C149C5">
        <w:rPr>
          <w:rFonts w:asciiTheme="minorEastAsia" w:hAnsiTheme="minorEastAsia" w:hint="eastAsia"/>
          <w:sz w:val="24"/>
          <w:szCs w:val="24"/>
        </w:rPr>
        <w:t>、《</w:t>
      </w:r>
      <w:r w:rsidR="00C149C5" w:rsidRPr="00C149C5">
        <w:rPr>
          <w:rFonts w:asciiTheme="minorEastAsia" w:hAnsiTheme="minorEastAsia" w:hint="eastAsia"/>
          <w:sz w:val="24"/>
          <w:szCs w:val="24"/>
        </w:rPr>
        <w:t>上海证券交易所风险警示板股票交易管理办法</w:t>
      </w:r>
      <w:r w:rsidR="00C149C5">
        <w:rPr>
          <w:rFonts w:asciiTheme="minorEastAsia" w:hAnsiTheme="minorEastAsia" w:hint="eastAsia"/>
          <w:sz w:val="24"/>
          <w:szCs w:val="24"/>
        </w:rPr>
        <w:t>》</w:t>
      </w:r>
      <w:r w:rsidRPr="00027EF8">
        <w:rPr>
          <w:rFonts w:asciiTheme="minorEastAsia" w:hAnsiTheme="minorEastAsia" w:hint="eastAsia"/>
          <w:sz w:val="24"/>
          <w:szCs w:val="24"/>
        </w:rPr>
        <w:t>以及相关制度</w:t>
      </w:r>
      <w:proofErr w:type="gramStart"/>
      <w:r w:rsidRPr="00027EF8">
        <w:rPr>
          <w:rFonts w:asciiTheme="minorEastAsia" w:hAnsiTheme="minorEastAsia" w:hint="eastAsia"/>
          <w:sz w:val="24"/>
          <w:szCs w:val="24"/>
        </w:rPr>
        <w:t>配套业务</w:t>
      </w:r>
      <w:proofErr w:type="gramEnd"/>
      <w:r w:rsidRPr="00027EF8">
        <w:rPr>
          <w:rFonts w:asciiTheme="minorEastAsia" w:hAnsiTheme="minorEastAsia" w:hint="eastAsia"/>
          <w:sz w:val="24"/>
          <w:szCs w:val="24"/>
        </w:rPr>
        <w:t>规则的规定，特提供</w:t>
      </w:r>
      <w:proofErr w:type="gramStart"/>
      <w:r w:rsidRPr="00027EF8">
        <w:rPr>
          <w:rFonts w:asciiTheme="minorEastAsia" w:hAnsiTheme="minorEastAsia" w:hint="eastAsia"/>
          <w:sz w:val="24"/>
          <w:szCs w:val="24"/>
        </w:rPr>
        <w:t>本风</w:t>
      </w:r>
      <w:proofErr w:type="gramEnd"/>
      <w:r w:rsidRPr="00027EF8">
        <w:rPr>
          <w:rFonts w:asciiTheme="minorEastAsia" w:hAnsiTheme="minorEastAsia" w:hint="eastAsia"/>
          <w:sz w:val="24"/>
          <w:szCs w:val="24"/>
        </w:rPr>
        <w:t>险揭示书，请认真详细阅读，全面评估自身的经济实力、产品认知能力、风险控制与承受能力，审慎参与风险警示股票的交易。投资者购买风险警示股票存在如下风险:</w:t>
      </w:r>
    </w:p>
    <w:p w14:paraId="2C626865" w14:textId="77777777" w:rsidR="00284C3B" w:rsidRPr="00027EF8" w:rsidRDefault="00284C3B" w:rsidP="00493D01">
      <w:pPr>
        <w:autoSpaceDE w:val="0"/>
        <w:autoSpaceDN w:val="0"/>
        <w:adjustRightInd w:val="0"/>
        <w:spacing w:line="432" w:lineRule="auto"/>
        <w:ind w:firstLineChars="200" w:firstLine="480"/>
        <w:jc w:val="left"/>
        <w:rPr>
          <w:rFonts w:asciiTheme="minorEastAsia" w:hAnsiTheme="minorEastAsia" w:cs="仿宋_GB2312"/>
          <w:kern w:val="0"/>
          <w:sz w:val="24"/>
          <w:szCs w:val="24"/>
        </w:rPr>
      </w:pPr>
      <w:r w:rsidRPr="00027EF8">
        <w:rPr>
          <w:rFonts w:asciiTheme="minorEastAsia" w:hAnsiTheme="minorEastAsia" w:cs="仿宋_GB2312" w:hint="eastAsia"/>
          <w:kern w:val="0"/>
          <w:sz w:val="24"/>
          <w:szCs w:val="24"/>
        </w:rPr>
        <w:t>一、投资者在参与风险警示股票交易前，应充分了解投资者买卖风险警示股票应当采用限价委托的方式。</w:t>
      </w:r>
    </w:p>
    <w:p w14:paraId="564BC43B" w14:textId="77777777" w:rsidR="00284C3B" w:rsidRPr="00027EF8" w:rsidRDefault="00284C3B" w:rsidP="00493D01">
      <w:pPr>
        <w:autoSpaceDE w:val="0"/>
        <w:autoSpaceDN w:val="0"/>
        <w:adjustRightInd w:val="0"/>
        <w:spacing w:line="432" w:lineRule="auto"/>
        <w:ind w:firstLineChars="200" w:firstLine="480"/>
        <w:jc w:val="left"/>
        <w:rPr>
          <w:rFonts w:asciiTheme="minorEastAsia" w:hAnsiTheme="minorEastAsia" w:cs="仿宋_GB2312"/>
          <w:kern w:val="0"/>
          <w:sz w:val="24"/>
          <w:szCs w:val="24"/>
        </w:rPr>
      </w:pPr>
      <w:r w:rsidRPr="00027EF8">
        <w:rPr>
          <w:rFonts w:asciiTheme="minorEastAsia" w:hAnsiTheme="minorEastAsia" w:cs="仿宋_GB2312" w:hint="eastAsia"/>
          <w:kern w:val="0"/>
          <w:sz w:val="24"/>
          <w:szCs w:val="24"/>
        </w:rPr>
        <w:t>二、投资者在参与风险警示股票交易前，应充分了解风险警示股票价格的涨跌幅限制与其他股票的涨跌幅限制不同。</w:t>
      </w:r>
    </w:p>
    <w:p w14:paraId="33B3E799" w14:textId="77777777" w:rsidR="00284C3B" w:rsidRPr="00027EF8" w:rsidRDefault="00284C3B" w:rsidP="00493D01">
      <w:pPr>
        <w:autoSpaceDE w:val="0"/>
        <w:autoSpaceDN w:val="0"/>
        <w:adjustRightInd w:val="0"/>
        <w:spacing w:line="432" w:lineRule="auto"/>
        <w:ind w:firstLineChars="200" w:firstLine="480"/>
        <w:jc w:val="left"/>
        <w:rPr>
          <w:rFonts w:asciiTheme="minorEastAsia" w:hAnsiTheme="minorEastAsia" w:cs="仿宋_GB2312"/>
          <w:kern w:val="0"/>
          <w:sz w:val="24"/>
          <w:szCs w:val="24"/>
        </w:rPr>
      </w:pPr>
      <w:r w:rsidRPr="00027EF8">
        <w:rPr>
          <w:rFonts w:asciiTheme="minorEastAsia" w:hAnsiTheme="minorEastAsia" w:cs="仿宋_GB2312" w:hint="eastAsia"/>
          <w:kern w:val="0"/>
          <w:sz w:val="24"/>
          <w:szCs w:val="24"/>
        </w:rPr>
        <w:t>三、风险警示股票盘中换手率达到或超过一定比例的，属于异常波动，交易所可以根据市场需要，对其实施盘中临时停牌。</w:t>
      </w:r>
    </w:p>
    <w:p w14:paraId="17C89C18" w14:textId="77777777" w:rsidR="00284C3B" w:rsidRPr="00027EF8" w:rsidRDefault="00284C3B" w:rsidP="00493D01">
      <w:pPr>
        <w:autoSpaceDE w:val="0"/>
        <w:autoSpaceDN w:val="0"/>
        <w:adjustRightInd w:val="0"/>
        <w:spacing w:line="432" w:lineRule="auto"/>
        <w:ind w:firstLineChars="200" w:firstLine="480"/>
        <w:jc w:val="left"/>
        <w:rPr>
          <w:rFonts w:asciiTheme="minorEastAsia" w:hAnsiTheme="minorEastAsia" w:cs="仿宋_GB2312"/>
          <w:kern w:val="0"/>
          <w:sz w:val="24"/>
          <w:szCs w:val="24"/>
        </w:rPr>
      </w:pPr>
      <w:r w:rsidRPr="00027EF8">
        <w:rPr>
          <w:rFonts w:asciiTheme="minorEastAsia" w:hAnsiTheme="minorEastAsia" w:cs="仿宋_GB2312" w:hint="eastAsia"/>
          <w:kern w:val="0"/>
          <w:sz w:val="24"/>
          <w:szCs w:val="24"/>
        </w:rPr>
        <w:t>四、</w:t>
      </w:r>
      <w:r w:rsidRPr="00704D6F">
        <w:rPr>
          <w:rFonts w:asciiTheme="minorEastAsia" w:hAnsiTheme="minorEastAsia" w:cs="仿宋_GB2312" w:hint="eastAsia"/>
          <w:b/>
          <w:kern w:val="0"/>
          <w:sz w:val="24"/>
          <w:szCs w:val="24"/>
        </w:rPr>
        <w:t>投资者当日通过竞价交易和大宗交易累计买入的单只风险警示股票，数量不得超过</w:t>
      </w:r>
      <w:r w:rsidRPr="00704D6F">
        <w:rPr>
          <w:rFonts w:asciiTheme="minorEastAsia" w:hAnsiTheme="minorEastAsia" w:cs="仿宋_GB2312"/>
          <w:b/>
          <w:kern w:val="0"/>
          <w:sz w:val="24"/>
          <w:szCs w:val="24"/>
        </w:rPr>
        <w:t>50</w:t>
      </w:r>
      <w:r w:rsidRPr="00704D6F">
        <w:rPr>
          <w:rFonts w:asciiTheme="minorEastAsia" w:hAnsiTheme="minorEastAsia" w:cs="仿宋_GB2312" w:hint="eastAsia"/>
          <w:b/>
          <w:kern w:val="0"/>
          <w:sz w:val="24"/>
          <w:szCs w:val="24"/>
        </w:rPr>
        <w:t>万股。</w:t>
      </w:r>
      <w:r w:rsidRPr="00027EF8">
        <w:rPr>
          <w:rFonts w:asciiTheme="minorEastAsia" w:hAnsiTheme="minorEastAsia" w:cs="仿宋_GB2312" w:hint="eastAsia"/>
          <w:kern w:val="0"/>
          <w:sz w:val="24"/>
          <w:szCs w:val="24"/>
        </w:rPr>
        <w:t>投资者应自觉遵守相关法律法规要求，自行规范投资行为，并承担由此可能带来的法律、经济责任及风险。</w:t>
      </w:r>
    </w:p>
    <w:p w14:paraId="06191173" w14:textId="77777777" w:rsidR="00284C3B" w:rsidRPr="00027EF8" w:rsidRDefault="00284C3B" w:rsidP="00493D01">
      <w:pPr>
        <w:autoSpaceDE w:val="0"/>
        <w:autoSpaceDN w:val="0"/>
        <w:adjustRightInd w:val="0"/>
        <w:spacing w:line="432" w:lineRule="auto"/>
        <w:ind w:firstLineChars="200" w:firstLine="480"/>
        <w:jc w:val="left"/>
        <w:rPr>
          <w:rFonts w:asciiTheme="minorEastAsia" w:hAnsiTheme="minorEastAsia" w:cs="仿宋_GB2312"/>
          <w:kern w:val="0"/>
          <w:sz w:val="24"/>
          <w:szCs w:val="24"/>
        </w:rPr>
      </w:pPr>
      <w:r w:rsidRPr="00027EF8">
        <w:rPr>
          <w:rFonts w:asciiTheme="minorEastAsia" w:hAnsiTheme="minorEastAsia" w:cs="仿宋_GB2312" w:hint="eastAsia"/>
          <w:kern w:val="0"/>
          <w:sz w:val="24"/>
          <w:szCs w:val="24"/>
        </w:rPr>
        <w:t>投资者当日累计买入风险警示股票数量，按照该投资者以本人名义开立的证券账户和融资融券信用账户的买入量合并计算；投资者委托买入数量与当日已买入数量及已申报</w:t>
      </w:r>
      <w:proofErr w:type="gramStart"/>
      <w:r w:rsidRPr="00027EF8">
        <w:rPr>
          <w:rFonts w:asciiTheme="minorEastAsia" w:hAnsiTheme="minorEastAsia" w:cs="仿宋_GB2312" w:hint="eastAsia"/>
          <w:kern w:val="0"/>
          <w:sz w:val="24"/>
          <w:szCs w:val="24"/>
        </w:rPr>
        <w:t>买入但</w:t>
      </w:r>
      <w:proofErr w:type="gramEnd"/>
      <w:r w:rsidRPr="00027EF8">
        <w:rPr>
          <w:rFonts w:asciiTheme="minorEastAsia" w:hAnsiTheme="minorEastAsia" w:cs="仿宋_GB2312" w:hint="eastAsia"/>
          <w:kern w:val="0"/>
          <w:sz w:val="24"/>
          <w:szCs w:val="24"/>
        </w:rPr>
        <w:t>尚未成交、也未撤销的数量之和，不得超过50万股。</w:t>
      </w:r>
      <w:r w:rsidRPr="00284C3B">
        <w:rPr>
          <w:rFonts w:asciiTheme="minorEastAsia" w:hAnsiTheme="minorEastAsia" w:cs="仿宋_GB2312" w:hint="eastAsia"/>
          <w:kern w:val="0"/>
          <w:sz w:val="24"/>
          <w:szCs w:val="24"/>
        </w:rPr>
        <w:t>上市公司回购股份、5%以上股东根据已披露的增</w:t>
      </w:r>
      <w:proofErr w:type="gramStart"/>
      <w:r w:rsidRPr="00284C3B">
        <w:rPr>
          <w:rFonts w:asciiTheme="minorEastAsia" w:hAnsiTheme="minorEastAsia" w:cs="仿宋_GB2312" w:hint="eastAsia"/>
          <w:kern w:val="0"/>
          <w:sz w:val="24"/>
          <w:szCs w:val="24"/>
        </w:rPr>
        <w:t>持计划增</w:t>
      </w:r>
      <w:proofErr w:type="gramEnd"/>
      <w:r w:rsidRPr="00284C3B">
        <w:rPr>
          <w:rFonts w:asciiTheme="minorEastAsia" w:hAnsiTheme="minorEastAsia" w:cs="仿宋_GB2312" w:hint="eastAsia"/>
          <w:kern w:val="0"/>
          <w:sz w:val="24"/>
          <w:szCs w:val="24"/>
        </w:rPr>
        <w:t>持股份可不受前述50万股买入限制。</w:t>
      </w:r>
    </w:p>
    <w:p w14:paraId="0ABF1C42" w14:textId="77777777" w:rsidR="00284C3B" w:rsidRPr="00027EF8" w:rsidRDefault="00284C3B" w:rsidP="00493D01">
      <w:pPr>
        <w:autoSpaceDE w:val="0"/>
        <w:autoSpaceDN w:val="0"/>
        <w:adjustRightInd w:val="0"/>
        <w:spacing w:line="432" w:lineRule="auto"/>
        <w:ind w:firstLineChars="200" w:firstLine="480"/>
        <w:jc w:val="left"/>
        <w:rPr>
          <w:rFonts w:asciiTheme="minorEastAsia" w:hAnsiTheme="minorEastAsia" w:cs="仿宋_GB2312"/>
          <w:kern w:val="0"/>
          <w:sz w:val="24"/>
          <w:szCs w:val="24"/>
        </w:rPr>
      </w:pPr>
      <w:r w:rsidRPr="00027EF8">
        <w:rPr>
          <w:rFonts w:asciiTheme="minorEastAsia" w:hAnsiTheme="minorEastAsia" w:cs="仿宋_GB2312" w:hint="eastAsia"/>
          <w:kern w:val="0"/>
          <w:sz w:val="24"/>
          <w:szCs w:val="24"/>
        </w:rPr>
        <w:t>五、投资者在参与风险警示股票交易前，应充分了解风险警示股票交易规定和相关上市公司的基本面情况，并根据自身财务状况、实际需求及风险承受能力等，审慎考虑是否买入风险警示股票。</w:t>
      </w:r>
    </w:p>
    <w:p w14:paraId="60ABBB49" w14:textId="77777777" w:rsidR="00284C3B" w:rsidRPr="00027EF8" w:rsidRDefault="00284C3B" w:rsidP="00493D01">
      <w:pPr>
        <w:autoSpaceDE w:val="0"/>
        <w:autoSpaceDN w:val="0"/>
        <w:adjustRightInd w:val="0"/>
        <w:spacing w:line="432" w:lineRule="auto"/>
        <w:ind w:firstLineChars="200" w:firstLine="480"/>
        <w:jc w:val="left"/>
        <w:rPr>
          <w:rFonts w:asciiTheme="minorEastAsia" w:hAnsiTheme="minorEastAsia" w:cs="仿宋_GB2312"/>
          <w:kern w:val="0"/>
          <w:sz w:val="24"/>
          <w:szCs w:val="24"/>
        </w:rPr>
      </w:pPr>
      <w:r w:rsidRPr="00027EF8">
        <w:rPr>
          <w:rFonts w:asciiTheme="minorEastAsia" w:hAnsiTheme="minorEastAsia" w:cs="仿宋_GB2312" w:hint="eastAsia"/>
          <w:kern w:val="0"/>
          <w:sz w:val="24"/>
          <w:szCs w:val="24"/>
        </w:rPr>
        <w:lastRenderedPageBreak/>
        <w:t>六、投资者应当特别关注上市公司发布的风险提示性公告，及时从指定信息披露媒体、上市公司网站以及证券公司网站等渠道获取相关信息。</w:t>
      </w:r>
    </w:p>
    <w:p w14:paraId="373CB8E9" w14:textId="77777777" w:rsidR="00284C3B" w:rsidRPr="00027EF8" w:rsidRDefault="00284C3B" w:rsidP="00493D01">
      <w:pPr>
        <w:pStyle w:val="a7"/>
        <w:spacing w:line="432" w:lineRule="auto"/>
        <w:ind w:firstLine="480"/>
        <w:rPr>
          <w:rFonts w:asciiTheme="minorEastAsia" w:hAnsiTheme="minorEastAsia"/>
          <w:sz w:val="24"/>
          <w:szCs w:val="24"/>
        </w:rPr>
      </w:pPr>
      <w:r w:rsidRPr="00027EF8">
        <w:rPr>
          <w:rFonts w:asciiTheme="minorEastAsia" w:hAnsiTheme="minorEastAsia" w:hint="eastAsia"/>
          <w:sz w:val="24"/>
          <w:szCs w:val="24"/>
        </w:rPr>
        <w:t>七、由于无法控制和不可预测的系统故障、设备故障、通讯故障、电力故障等可能导致证券交易系统非正常运行甚至瘫痪，可能导致投资者的交易委托无法成交或无法全部成交的风险。</w:t>
      </w:r>
    </w:p>
    <w:p w14:paraId="2F8E90DF" w14:textId="77777777" w:rsidR="00284C3B" w:rsidRDefault="00284C3B" w:rsidP="00493D01">
      <w:pPr>
        <w:autoSpaceDE w:val="0"/>
        <w:autoSpaceDN w:val="0"/>
        <w:adjustRightInd w:val="0"/>
        <w:spacing w:line="432" w:lineRule="auto"/>
        <w:ind w:firstLineChars="200" w:firstLine="480"/>
        <w:jc w:val="left"/>
        <w:rPr>
          <w:rFonts w:asciiTheme="minorEastAsia" w:hAnsiTheme="minorEastAsia"/>
          <w:sz w:val="24"/>
          <w:szCs w:val="24"/>
        </w:rPr>
      </w:pPr>
      <w:r w:rsidRPr="00027EF8">
        <w:rPr>
          <w:rFonts w:asciiTheme="minorEastAsia" w:hAnsiTheme="minorEastAsia" w:hint="eastAsia"/>
          <w:sz w:val="24"/>
          <w:szCs w:val="24"/>
        </w:rPr>
        <w:t>八、由于国家法律、法规、政策、交易所规则的变化、修改等原因，可能会对投资者的交易产生不利影响的风险。</w:t>
      </w:r>
    </w:p>
    <w:p w14:paraId="0B5886C5" w14:textId="77777777" w:rsidR="00512CFF" w:rsidRPr="00512CFF" w:rsidRDefault="00512CFF" w:rsidP="00493D01">
      <w:pPr>
        <w:autoSpaceDE w:val="0"/>
        <w:autoSpaceDN w:val="0"/>
        <w:adjustRightInd w:val="0"/>
        <w:spacing w:line="432" w:lineRule="auto"/>
        <w:ind w:firstLineChars="200" w:firstLine="480"/>
        <w:jc w:val="left"/>
        <w:rPr>
          <w:rFonts w:asciiTheme="minorEastAsia" w:hAnsiTheme="minorEastAsia" w:cs="仿宋_GB2312"/>
          <w:kern w:val="0"/>
          <w:sz w:val="24"/>
          <w:szCs w:val="24"/>
        </w:rPr>
      </w:pPr>
      <w:r>
        <w:rPr>
          <w:rFonts w:asciiTheme="minorEastAsia" w:hAnsiTheme="minorEastAsia" w:cs="仿宋_GB2312" w:hint="eastAsia"/>
          <w:kern w:val="0"/>
          <w:sz w:val="24"/>
          <w:szCs w:val="24"/>
        </w:rPr>
        <w:t>九、</w:t>
      </w:r>
      <w:r w:rsidRPr="00512CFF">
        <w:rPr>
          <w:rFonts w:asciiTheme="minorEastAsia" w:hAnsiTheme="minorEastAsia" w:cs="仿宋_GB2312" w:hint="eastAsia"/>
          <w:kern w:val="0"/>
          <w:sz w:val="24"/>
          <w:szCs w:val="24"/>
        </w:rPr>
        <w:t>风险警示股票相关法律、行政法规、部门规章、规范性文件（以下简称法律法规）、证券交易所和登记结算机构业务规则可能根据市场情况进行制定、废止和修改，投资者应当及时予以关注和了解。</w:t>
      </w:r>
    </w:p>
    <w:p w14:paraId="5E36D92E" w14:textId="77777777" w:rsidR="00284C3B" w:rsidRPr="00027EF8" w:rsidRDefault="00284C3B" w:rsidP="00284C3B">
      <w:pPr>
        <w:autoSpaceDE w:val="0"/>
        <w:autoSpaceDN w:val="0"/>
        <w:adjustRightInd w:val="0"/>
        <w:spacing w:line="480" w:lineRule="auto"/>
        <w:jc w:val="left"/>
        <w:rPr>
          <w:rFonts w:asciiTheme="minorEastAsia" w:hAnsiTheme="minorEastAsia" w:cs="仿宋_GB2312"/>
          <w:kern w:val="0"/>
          <w:sz w:val="24"/>
          <w:szCs w:val="24"/>
        </w:rPr>
      </w:pPr>
    </w:p>
    <w:p w14:paraId="3ED58DBD" w14:textId="1F6616E1" w:rsidR="00512CFF" w:rsidRPr="00027EF8" w:rsidRDefault="00284C3B" w:rsidP="00B31A4D">
      <w:pPr>
        <w:spacing w:line="360" w:lineRule="auto"/>
        <w:ind w:firstLineChars="200" w:firstLine="482"/>
        <w:rPr>
          <w:rFonts w:asciiTheme="minorEastAsia" w:hAnsiTheme="minorEastAsia"/>
          <w:sz w:val="24"/>
          <w:szCs w:val="24"/>
        </w:rPr>
      </w:pPr>
      <w:r w:rsidRPr="00027EF8">
        <w:rPr>
          <w:rFonts w:ascii="黑体" w:eastAsia="黑体" w:hAnsi="宋体" w:hint="eastAsia"/>
          <w:b/>
          <w:sz w:val="24"/>
          <w:szCs w:val="24"/>
        </w:rPr>
        <w:t>特别提示：</w:t>
      </w:r>
      <w:r w:rsidR="00512CFF" w:rsidRPr="00027EF8" w:rsidDel="00512CFF">
        <w:rPr>
          <w:rFonts w:ascii="黑体" w:eastAsia="黑体" w:hAnsi="宋体" w:hint="eastAsia"/>
          <w:b/>
          <w:sz w:val="24"/>
          <w:szCs w:val="24"/>
        </w:rPr>
        <w:t xml:space="preserve"> </w:t>
      </w:r>
      <w:r w:rsidR="00512CFF" w:rsidRPr="00512CFF">
        <w:rPr>
          <w:rFonts w:ascii="黑体" w:eastAsia="黑体" w:hAnsi="宋体" w:hint="eastAsia"/>
          <w:b/>
          <w:sz w:val="24"/>
          <w:szCs w:val="24"/>
        </w:rPr>
        <w:t>本《风险揭示书》的提示事项仅为列举性质，未能详尽列明风险警示股票交易的所有风险，投资者在参与</w:t>
      </w:r>
      <w:r w:rsidR="00512CFF">
        <w:rPr>
          <w:rFonts w:ascii="黑体" w:eastAsia="黑体" w:hAnsi="宋体" w:hint="eastAsia"/>
          <w:b/>
          <w:sz w:val="24"/>
          <w:szCs w:val="24"/>
        </w:rPr>
        <w:t>风险警示股票</w:t>
      </w:r>
      <w:r w:rsidR="00512CFF" w:rsidRPr="00512CFF">
        <w:rPr>
          <w:rFonts w:ascii="黑体" w:eastAsia="黑体" w:hAnsi="宋体" w:hint="eastAsia"/>
          <w:b/>
          <w:sz w:val="24"/>
          <w:szCs w:val="24"/>
        </w:rPr>
        <w:t>交易前，应当认真阅读</w:t>
      </w:r>
      <w:r w:rsidR="00512CFF" w:rsidRPr="00027EF8">
        <w:rPr>
          <w:rFonts w:ascii="黑体" w:eastAsia="黑体" w:hAnsi="宋体" w:hint="eastAsia"/>
          <w:b/>
          <w:sz w:val="24"/>
          <w:szCs w:val="24"/>
        </w:rPr>
        <w:t>本《风险揭示书》所列示的条款</w:t>
      </w:r>
      <w:r w:rsidR="00512CFF">
        <w:rPr>
          <w:rFonts w:ascii="黑体" w:eastAsia="黑体" w:hAnsi="宋体" w:hint="eastAsia"/>
          <w:b/>
          <w:sz w:val="24"/>
          <w:szCs w:val="24"/>
        </w:rPr>
        <w:t>及</w:t>
      </w:r>
      <w:r w:rsidR="00512CFF" w:rsidRPr="00512CFF">
        <w:rPr>
          <w:rFonts w:ascii="黑体" w:eastAsia="黑体" w:hAnsi="宋体" w:hint="eastAsia"/>
          <w:b/>
          <w:sz w:val="24"/>
          <w:szCs w:val="24"/>
        </w:rPr>
        <w:t>有关法律法规、证券交易所和登记结算机构业务规则等相关规定，对其他可能存在的风险因素也应当有所了解和掌握，并确信自己已做好足够的风险评估与财务安排，避免因参与风险警示股票交易遭受难以承受的损失。投资者在本《风险揭示书》上签字，即表明投资者已经理解并愿意自行承担参与风险警示股票交易的风险和损失。</w:t>
      </w:r>
    </w:p>
    <w:p w14:paraId="21AB614E" w14:textId="77777777" w:rsidR="00284C3B" w:rsidRPr="00027EF8" w:rsidRDefault="00284C3B" w:rsidP="00284C3B">
      <w:pPr>
        <w:spacing w:line="480" w:lineRule="auto"/>
        <w:ind w:right="480" w:firstLineChars="1240" w:firstLine="2976"/>
        <w:rPr>
          <w:rFonts w:asciiTheme="minorEastAsia" w:hAnsiTheme="minorEastAsia"/>
          <w:sz w:val="24"/>
          <w:szCs w:val="24"/>
        </w:rPr>
      </w:pPr>
      <w:r w:rsidRPr="00027EF8">
        <w:rPr>
          <w:rFonts w:asciiTheme="minorEastAsia" w:hAnsiTheme="minorEastAsia" w:hint="eastAsia"/>
          <w:sz w:val="24"/>
          <w:szCs w:val="24"/>
        </w:rPr>
        <w:t>投资者签名：</w:t>
      </w:r>
    </w:p>
    <w:p w14:paraId="46C0B86A" w14:textId="77777777" w:rsidR="00284C3B" w:rsidRPr="00027EF8" w:rsidRDefault="00284C3B" w:rsidP="00284C3B">
      <w:pPr>
        <w:spacing w:line="480" w:lineRule="auto"/>
        <w:ind w:firstLineChars="450" w:firstLine="1080"/>
        <w:rPr>
          <w:rFonts w:asciiTheme="minorEastAsia" w:hAnsiTheme="minorEastAsia"/>
          <w:sz w:val="24"/>
          <w:szCs w:val="24"/>
        </w:rPr>
      </w:pPr>
      <w:r w:rsidRPr="00027EF8">
        <w:rPr>
          <w:rFonts w:asciiTheme="minorEastAsia" w:hAnsiTheme="minorEastAsia" w:hint="eastAsia"/>
          <w:sz w:val="24"/>
          <w:szCs w:val="24"/>
        </w:rPr>
        <w:t>（机构投资者为法定代表人或授权人签名并加盖公章）</w:t>
      </w:r>
    </w:p>
    <w:p w14:paraId="6A6F947F" w14:textId="46CB6C11" w:rsidR="00133968" w:rsidRDefault="00284C3B" w:rsidP="00DE71C1">
      <w:pPr>
        <w:spacing w:line="480" w:lineRule="auto"/>
        <w:ind w:right="480"/>
        <w:jc w:val="right"/>
        <w:rPr>
          <w:rFonts w:asciiTheme="minorEastAsia" w:hAnsiTheme="minorEastAsia"/>
          <w:b/>
          <w:sz w:val="28"/>
          <w:szCs w:val="28"/>
        </w:rPr>
      </w:pPr>
      <w:r w:rsidRPr="00027EF8">
        <w:rPr>
          <w:rFonts w:asciiTheme="minorEastAsia" w:hAnsiTheme="minorEastAsia" w:hint="eastAsia"/>
          <w:sz w:val="24"/>
          <w:szCs w:val="24"/>
        </w:rPr>
        <w:t>年   月   日</w:t>
      </w:r>
    </w:p>
    <w:sectPr w:rsidR="0013396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BBD9E4" w14:textId="77777777" w:rsidR="00341C1F" w:rsidRDefault="00341C1F" w:rsidP="00284C3B">
      <w:r>
        <w:separator/>
      </w:r>
    </w:p>
  </w:endnote>
  <w:endnote w:type="continuationSeparator" w:id="0">
    <w:p w14:paraId="28C70CCD" w14:textId="77777777" w:rsidR="00341C1F" w:rsidRDefault="00341C1F" w:rsidP="00284C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DEC3B8" w14:textId="77777777" w:rsidR="00341C1F" w:rsidRDefault="00341C1F" w:rsidP="00284C3B">
      <w:r>
        <w:separator/>
      </w:r>
    </w:p>
  </w:footnote>
  <w:footnote w:type="continuationSeparator" w:id="0">
    <w:p w14:paraId="322BCF50" w14:textId="77777777" w:rsidR="00341C1F" w:rsidRDefault="00341C1F" w:rsidP="00284C3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E373D"/>
    <w:rsid w:val="00044676"/>
    <w:rsid w:val="00085E18"/>
    <w:rsid w:val="000D7671"/>
    <w:rsid w:val="00111A64"/>
    <w:rsid w:val="00133968"/>
    <w:rsid w:val="00175788"/>
    <w:rsid w:val="001A11CB"/>
    <w:rsid w:val="001D0B93"/>
    <w:rsid w:val="001D6C7E"/>
    <w:rsid w:val="001F4602"/>
    <w:rsid w:val="00284C3B"/>
    <w:rsid w:val="00341C1F"/>
    <w:rsid w:val="003D38A4"/>
    <w:rsid w:val="003F3A83"/>
    <w:rsid w:val="00425AFB"/>
    <w:rsid w:val="00461252"/>
    <w:rsid w:val="004805FE"/>
    <w:rsid w:val="004822F9"/>
    <w:rsid w:val="00493D01"/>
    <w:rsid w:val="004B1384"/>
    <w:rsid w:val="00512CFF"/>
    <w:rsid w:val="00527247"/>
    <w:rsid w:val="00547679"/>
    <w:rsid w:val="005B5104"/>
    <w:rsid w:val="006029AE"/>
    <w:rsid w:val="006B26A9"/>
    <w:rsid w:val="006D7633"/>
    <w:rsid w:val="006F14EC"/>
    <w:rsid w:val="00704D6F"/>
    <w:rsid w:val="00727180"/>
    <w:rsid w:val="007F26FA"/>
    <w:rsid w:val="00816C8B"/>
    <w:rsid w:val="00841873"/>
    <w:rsid w:val="008B119D"/>
    <w:rsid w:val="008B67A9"/>
    <w:rsid w:val="008E373D"/>
    <w:rsid w:val="00965617"/>
    <w:rsid w:val="00A016E2"/>
    <w:rsid w:val="00A91037"/>
    <w:rsid w:val="00A9359D"/>
    <w:rsid w:val="00AF027D"/>
    <w:rsid w:val="00B31A4D"/>
    <w:rsid w:val="00C149C5"/>
    <w:rsid w:val="00CB4FA2"/>
    <w:rsid w:val="00D703C4"/>
    <w:rsid w:val="00DA79D9"/>
    <w:rsid w:val="00DD3D17"/>
    <w:rsid w:val="00DE3704"/>
    <w:rsid w:val="00DE71C1"/>
    <w:rsid w:val="00E95853"/>
    <w:rsid w:val="00F60819"/>
    <w:rsid w:val="00FD4E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069F5E"/>
  <w15:docId w15:val="{D683906F-009D-4F43-AF5B-17BF759BA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84C3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84C3B"/>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284C3B"/>
    <w:rPr>
      <w:sz w:val="18"/>
      <w:szCs w:val="18"/>
    </w:rPr>
  </w:style>
  <w:style w:type="paragraph" w:styleId="a5">
    <w:name w:val="footer"/>
    <w:basedOn w:val="a"/>
    <w:link w:val="a6"/>
    <w:uiPriority w:val="99"/>
    <w:unhideWhenUsed/>
    <w:rsid w:val="00284C3B"/>
    <w:pPr>
      <w:tabs>
        <w:tab w:val="center" w:pos="4153"/>
        <w:tab w:val="right" w:pos="8306"/>
      </w:tabs>
      <w:snapToGrid w:val="0"/>
      <w:jc w:val="left"/>
    </w:pPr>
    <w:rPr>
      <w:sz w:val="18"/>
      <w:szCs w:val="18"/>
    </w:rPr>
  </w:style>
  <w:style w:type="character" w:customStyle="1" w:styleId="a6">
    <w:name w:val="页脚 字符"/>
    <w:basedOn w:val="a0"/>
    <w:link w:val="a5"/>
    <w:uiPriority w:val="99"/>
    <w:rsid w:val="00284C3B"/>
    <w:rPr>
      <w:sz w:val="18"/>
      <w:szCs w:val="18"/>
    </w:rPr>
  </w:style>
  <w:style w:type="paragraph" w:styleId="a7">
    <w:name w:val="List Paragraph"/>
    <w:basedOn w:val="a"/>
    <w:qFormat/>
    <w:rsid w:val="00284C3B"/>
    <w:pPr>
      <w:ind w:firstLineChars="200" w:firstLine="420"/>
    </w:pPr>
  </w:style>
  <w:style w:type="paragraph" w:customStyle="1" w:styleId="Default">
    <w:name w:val="Default"/>
    <w:rsid w:val="00284C3B"/>
    <w:pPr>
      <w:widowControl w:val="0"/>
      <w:autoSpaceDE w:val="0"/>
      <w:autoSpaceDN w:val="0"/>
      <w:adjustRightInd w:val="0"/>
    </w:pPr>
    <w:rPr>
      <w:rFonts w:ascii="宋体" w:eastAsia="宋体" w:hAnsi="宋体" w:cs="宋体"/>
      <w:color w:val="000000"/>
      <w:kern w:val="0"/>
      <w:sz w:val="24"/>
      <w:szCs w:val="24"/>
    </w:rPr>
  </w:style>
  <w:style w:type="paragraph" w:styleId="a8">
    <w:name w:val="Balloon Text"/>
    <w:basedOn w:val="a"/>
    <w:link w:val="a9"/>
    <w:uiPriority w:val="99"/>
    <w:semiHidden/>
    <w:unhideWhenUsed/>
    <w:rsid w:val="004822F9"/>
    <w:rPr>
      <w:sz w:val="18"/>
      <w:szCs w:val="18"/>
    </w:rPr>
  </w:style>
  <w:style w:type="character" w:customStyle="1" w:styleId="a9">
    <w:name w:val="批注框文本 字符"/>
    <w:basedOn w:val="a0"/>
    <w:link w:val="a8"/>
    <w:uiPriority w:val="99"/>
    <w:semiHidden/>
    <w:rsid w:val="004822F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98</TotalTime>
  <Pages>2</Pages>
  <Words>184</Words>
  <Characters>1050</Characters>
  <Application>Microsoft Office Word</Application>
  <DocSecurity>0</DocSecurity>
  <Lines>8</Lines>
  <Paragraphs>2</Paragraphs>
  <ScaleCrop>false</ScaleCrop>
  <Company>HP</Company>
  <LinksUpToDate>false</LinksUpToDate>
  <CharactersWithSpaces>1232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YL</dc:creator>
  <cp:keywords/>
  <dc:description/>
  <cp:lastModifiedBy>YL</cp:lastModifiedBy>
  <cp:revision>38</cp:revision>
  <dcterms:created xsi:type="dcterms:W3CDTF">2021-01-04T04:27:00Z</dcterms:created>
  <dcterms:modified xsi:type="dcterms:W3CDTF">2021-02-26T03:31:00Z</dcterms:modified>
</cp:coreProperties>
</file>