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CAD" w:rsidRDefault="00720895" w:rsidP="003A0284">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24719888"/>
          <w:lock w:val="sdtLocked"/>
          <w:placeholder>
            <w:docPart w:val="GBC22222222222222222222222222222"/>
          </w:placeholder>
        </w:sdtPr>
        <w:sdtContent>
          <w:r>
            <w:rPr>
              <w:rFonts w:hint="eastAsia"/>
              <w:bCs/>
              <w:szCs w:val="21"/>
            </w:rPr>
            <w:t>600999</w:t>
          </w:r>
        </w:sdtContent>
      </w:sdt>
      <w:r>
        <w:rPr>
          <w:rFonts w:hint="eastAsia"/>
          <w:bCs/>
          <w:szCs w:val="21"/>
        </w:rPr>
        <w:t xml:space="preserve">                      公司简称：</w:t>
      </w:r>
      <w:sdt>
        <w:sdtPr>
          <w:rPr>
            <w:rFonts w:hint="eastAsia"/>
            <w:bCs/>
            <w:szCs w:val="21"/>
          </w:rPr>
          <w:alias w:val="公司简称"/>
          <w:tag w:val="_GBC_0384ae715a1e4b4894a29e4d27f5bef4"/>
          <w:id w:val="24719889"/>
          <w:lock w:val="sdtLocked"/>
          <w:placeholder>
            <w:docPart w:val="GBC22222222222222222222222222222"/>
          </w:placeholder>
        </w:sdtPr>
        <w:sdtContent>
          <w:r>
            <w:rPr>
              <w:rFonts w:hint="eastAsia"/>
              <w:bCs/>
              <w:szCs w:val="21"/>
            </w:rPr>
            <w:t>招商证券</w:t>
          </w:r>
        </w:sdtContent>
      </w:sdt>
    </w:p>
    <w:p w:rsidR="00704CAD" w:rsidRDefault="00704CAD">
      <w:pPr>
        <w:rPr>
          <w:b/>
          <w:bCs/>
          <w:szCs w:val="21"/>
        </w:rPr>
      </w:pPr>
    </w:p>
    <w:p w:rsidR="00704CAD" w:rsidRDefault="00704CAD">
      <w:pPr>
        <w:rPr>
          <w:b/>
          <w:bCs/>
          <w:szCs w:val="21"/>
        </w:rPr>
      </w:pPr>
    </w:p>
    <w:p w:rsidR="00704CAD" w:rsidRDefault="00704CAD">
      <w:pPr>
        <w:rPr>
          <w:b/>
          <w:bCs/>
          <w:szCs w:val="21"/>
        </w:rPr>
      </w:pPr>
    </w:p>
    <w:p w:rsidR="00704CAD" w:rsidRDefault="00422DC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4719890"/>
          <w:lock w:val="sdtLocked"/>
          <w:placeholder>
            <w:docPart w:val="GBC22222222222222222222222222222"/>
          </w:placeholder>
          <w:dataBinding w:prefixMappings="xmlns:clcid-cgi='clcid-cgi'" w:xpath="/*/clcid-cgi:GongSiFaDingZhongWenMingCheng" w:storeItemID="{89EBAB94-44A0-46A2-B712-30D997D04A6D}"/>
          <w:text/>
        </w:sdtPr>
        <w:sdtContent>
          <w:r w:rsidR="00720895">
            <w:rPr>
              <w:rFonts w:ascii="黑体" w:eastAsia="黑体" w:hAnsi="黑体" w:hint="eastAsia"/>
              <w:b/>
              <w:bCs/>
              <w:color w:val="FF0000"/>
              <w:sz w:val="44"/>
              <w:szCs w:val="44"/>
            </w:rPr>
            <w:t>招商证券股份有限公司</w:t>
          </w:r>
        </w:sdtContent>
      </w:sdt>
    </w:p>
    <w:p w:rsidR="00704CAD" w:rsidRDefault="00720895">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5年半年度报告</w:t>
      </w:r>
    </w:p>
    <w:p w:rsidR="00704CAD" w:rsidRDefault="00720895">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p w:rsidR="00704CAD" w:rsidRDefault="00422DCA" w:rsidP="001C1A59">
      <w:pPr>
        <w:pStyle w:val="2"/>
        <w:numPr>
          <w:ilvl w:val="0"/>
          <w:numId w:val="6"/>
        </w:numPr>
        <w:tabs>
          <w:tab w:val="left" w:pos="434"/>
        </w:tabs>
        <w:spacing w:before="0" w:after="0" w:line="360" w:lineRule="auto"/>
        <w:ind w:left="369" w:hangingChars="175" w:hanging="369"/>
      </w:pPr>
      <w:sdt>
        <w:sdtPr>
          <w:rPr>
            <w:rFonts w:hint="eastAsia"/>
          </w:rPr>
          <w:alias w:val="董事会及董事声明"/>
          <w:tag w:val="_GBC_6c6da163383e4e4c92758ff24076a138"/>
          <w:id w:val="24719891"/>
          <w:lock w:val="sdtLocked"/>
          <w:placeholder>
            <w:docPart w:val="GBC22222222222222222222222222222"/>
          </w:placeholder>
        </w:sdtPr>
        <w:sdtContent>
          <w:r w:rsidR="00720895">
            <w:rPr>
              <w:rFonts w:ascii="Times New Roman" w:hAnsi="宋体" w:cs="宋体"/>
              <w:bCs w:val="0"/>
            </w:rPr>
            <w:t>本公司董事会、监事会及董事、监事、高级管理人员保证</w:t>
          </w:r>
          <w:r w:rsidR="00720895">
            <w:rPr>
              <w:rFonts w:ascii="Times New Roman" w:hAnsi="宋体" w:cs="宋体" w:hint="eastAsia"/>
              <w:bCs w:val="0"/>
            </w:rPr>
            <w:t>半</w:t>
          </w:r>
          <w:r w:rsidR="00720895">
            <w:rPr>
              <w:rFonts w:ascii="Times New Roman" w:hAnsi="宋体" w:cs="宋体"/>
              <w:bCs w:val="0"/>
            </w:rPr>
            <w:t>年度报告内容的真实、准确、完整，不存在虚假记载、误导性陈述或重大遗漏，并承担个别和连带的法律责任。</w:t>
          </w:r>
        </w:sdtContent>
      </w:sdt>
    </w:p>
    <w:p w:rsidR="00704CAD" w:rsidRDefault="00704CAD"/>
    <w:sdt>
      <w:sdtPr>
        <w:rPr>
          <w:rFonts w:ascii="Calibri" w:hAnsi="Calibri" w:cs="宋体" w:hint="eastAsia"/>
          <w:b w:val="0"/>
          <w:bCs w:val="0"/>
          <w:kern w:val="0"/>
          <w:sz w:val="24"/>
          <w:szCs w:val="22"/>
        </w:rPr>
        <w:tag w:val="_GBC_1b1325bf1ae840869be71054a10ad268"/>
        <w:id w:val="24719893"/>
        <w:lock w:val="sdtLocked"/>
        <w:placeholder>
          <w:docPart w:val="GBC22222222222222222222222222222"/>
        </w:placeholder>
        <w:temporary/>
      </w:sdtPr>
      <w:sdtEndPr>
        <w:rPr>
          <w:rFonts w:ascii="宋体" w:hAnsi="宋体" w:hint="default"/>
          <w:sz w:val="21"/>
          <w:szCs w:val="21"/>
        </w:rPr>
      </w:sdtEndPr>
      <w:sdtContent>
        <w:p w:rsidR="00704CAD" w:rsidRDefault="00720895" w:rsidP="001C1A59">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GBC_2e0ee33ebae04a83b92e8b1aa6754169"/>
              <w:id w:val="24719892"/>
              <w:lock w:val="sdtLocked"/>
              <w:placeholder>
                <w:docPart w:val="GBC22222222222222222222222222222"/>
              </w:placeholder>
            </w:sdtPr>
            <w:sdtContent>
              <w:r>
                <w:rPr>
                  <w:rFonts w:hint="eastAsia"/>
                </w:rPr>
                <w:t>全体董事出席</w:t>
              </w:r>
            </w:sdtContent>
          </w:sdt>
          <w:r>
            <w:rPr>
              <w:rFonts w:hint="eastAsia"/>
            </w:rPr>
            <w:t>董事会会议。</w:t>
          </w:r>
        </w:p>
        <w:p w:rsidR="00704CAD" w:rsidRDefault="00422DCA">
          <w:pPr>
            <w:rPr>
              <w:szCs w:val="21"/>
            </w:rPr>
          </w:pPr>
        </w:p>
      </w:sdtContent>
    </w:sdt>
    <w:sdt>
      <w:sdtPr>
        <w:rPr>
          <w:rFonts w:ascii="Calibri" w:hAnsi="Calibri" w:cs="宋体" w:hint="eastAsia"/>
          <w:b w:val="0"/>
          <w:bCs w:val="0"/>
          <w:kern w:val="0"/>
          <w:sz w:val="24"/>
          <w:szCs w:val="24"/>
        </w:rPr>
        <w:alias w:val="未经审计"/>
        <w:tag w:val="_GBC_03a09ae7cff4426393cc0d64b59cc810"/>
        <w:id w:val="24719895"/>
        <w:lock w:val="sdtLocked"/>
        <w:placeholder>
          <w:docPart w:val="GBC22222222222222222222222222222"/>
        </w:placeholder>
      </w:sdtPr>
      <w:sdtEndPr>
        <w:rPr>
          <w:rFonts w:ascii="宋体" w:hAnsi="宋体" w:hint="default"/>
          <w:sz w:val="21"/>
        </w:rPr>
      </w:sdtEndPr>
      <w:sdtContent>
        <w:p w:rsidR="003E5135" w:rsidRDefault="003E5135" w:rsidP="001C1A59">
          <w:pPr>
            <w:pStyle w:val="2"/>
            <w:numPr>
              <w:ilvl w:val="0"/>
              <w:numId w:val="6"/>
            </w:numPr>
            <w:tabs>
              <w:tab w:val="left" w:pos="490"/>
            </w:tabs>
            <w:spacing w:before="0" w:after="0" w:line="360" w:lineRule="auto"/>
            <w:ind w:left="420" w:hangingChars="175"/>
          </w:pPr>
          <w:r>
            <w:rPr>
              <w:rFonts w:hint="eastAsia"/>
            </w:rPr>
            <w:t>本半年度报告</w:t>
          </w:r>
          <w:sdt>
            <w:sdtPr>
              <w:rPr>
                <w:rFonts w:hint="eastAsia"/>
              </w:rPr>
              <w:tag w:val="_GBC_be15b7a71d95430e82193d4cab461623"/>
              <w:id w:val="24719894"/>
              <w:lock w:val="sdtLocked"/>
              <w:placeholder>
                <w:docPart w:val="9423CC8172A64B339A08AD5FD27446A4"/>
              </w:placeholder>
            </w:sdtPr>
            <w:sdtContent>
              <w:r>
                <w:rPr>
                  <w:rFonts w:hint="eastAsia"/>
                </w:rPr>
                <w:t>未经审计</w:t>
              </w:r>
            </w:sdtContent>
          </w:sdt>
          <w:r>
            <w:rPr>
              <w:rFonts w:hint="eastAsia"/>
            </w:rPr>
            <w:t>。</w:t>
          </w:r>
        </w:p>
        <w:p w:rsidR="00704CAD" w:rsidRPr="003E5135" w:rsidRDefault="00422DCA" w:rsidP="003E5135"/>
      </w:sdtContent>
    </w:sdt>
    <w:sdt>
      <w:sdtPr>
        <w:rPr>
          <w:rFonts w:ascii="宋体" w:hAnsi="宋体" w:hint="eastAsia"/>
          <w:b w:val="0"/>
        </w:rPr>
        <w:tag w:val="_GBC_04b137e7f87b43b8812b2c33bd605e04"/>
        <w:id w:val="24719899"/>
        <w:lock w:val="sdtLocked"/>
        <w:placeholder>
          <w:docPart w:val="GBC22222222222222222222222222222"/>
        </w:placeholder>
      </w:sdtPr>
      <w:sdtEndPr>
        <w:rPr>
          <w:b/>
        </w:rPr>
      </w:sdtEndPr>
      <w:sdtContent>
        <w:p w:rsidR="00704CAD" w:rsidRDefault="00720895" w:rsidP="001C1A59">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24719896"/>
              <w:lock w:val="sdtLocked"/>
              <w:placeholder>
                <w:docPart w:val="GBC22222222222222222222222222222"/>
              </w:placeholder>
              <w:dataBinding w:prefixMappings="xmlns:clcid-mr='clcid-mr'" w:xpath="/*/clcid-mr:GongSiFuZeRenXingMing" w:storeItemID="{89EBAB94-44A0-46A2-B712-30D997D04A6D}"/>
              <w:text/>
            </w:sdtPr>
            <w:sdtContent>
              <w:r w:rsidR="001F486A">
                <w:rPr>
                  <w:rFonts w:ascii="宋体" w:hAnsi="宋体" w:hint="eastAsia"/>
                </w:rPr>
                <w:t>宫少林</w:t>
              </w:r>
            </w:sdtContent>
          </w:sdt>
          <w:r>
            <w:rPr>
              <w:rFonts w:ascii="宋体" w:hAnsi="宋体" w:hint="eastAsia"/>
            </w:rPr>
            <w:t>、主管会计工作负责人</w:t>
          </w:r>
          <w:sdt>
            <w:sdtPr>
              <w:rPr>
                <w:rFonts w:ascii="宋体" w:hAnsi="宋体"/>
              </w:rPr>
              <w:alias w:val="主管会计工作负责人姓名"/>
              <w:tag w:val="_GBC_51ed55c6ff134dadaa6756998c964cdf"/>
              <w:id w:val="24719897"/>
              <w:lock w:val="sdtLocked"/>
              <w:placeholder>
                <w:docPart w:val="GBC22222222222222222222222222222"/>
              </w:placeholder>
              <w:dataBinding w:prefixMappings="xmlns:clcid-mr='clcid-mr'" w:xpath="/*/clcid-mr:ZhuGuanKuaiJiGongZuoFuZeRenXingMing" w:storeItemID="{89EBAB94-44A0-46A2-B712-30D997D04A6D}"/>
              <w:text/>
            </w:sdtPr>
            <w:sdtContent>
              <w:r w:rsidR="00A82E13">
                <w:rPr>
                  <w:rFonts w:ascii="宋体" w:hAnsi="宋体" w:hint="eastAsia"/>
                </w:rPr>
                <w:t xml:space="preserve">邓晓力 </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24719898"/>
              <w:lock w:val="sdtLocked"/>
              <w:placeholder>
                <w:docPart w:val="GBC22222222222222222222222222222"/>
              </w:placeholder>
              <w:dataBinding w:prefixMappings="xmlns:clcid-mr='clcid-mr'" w:xpath="/*/clcid-mr:KuaiJiJiGouFuZeRenXingMing" w:storeItemID="{89EBAB94-44A0-46A2-B712-30D997D04A6D}"/>
              <w:text/>
            </w:sdtPr>
            <w:sdtContent>
              <w:r w:rsidR="001F486A">
                <w:rPr>
                  <w:rFonts w:ascii="宋体" w:hAnsi="宋体" w:hint="eastAsia"/>
                </w:rPr>
                <w:t>车晓昕</w:t>
              </w:r>
            </w:sdtContent>
          </w:sdt>
          <w:r>
            <w:rPr>
              <w:rFonts w:ascii="宋体" w:hAnsi="宋体" w:hint="eastAsia"/>
            </w:rPr>
            <w:t>声明：保证半年度报告中财务报告的真实、准确、完整。</w:t>
          </w:r>
        </w:p>
      </w:sdtContent>
    </w:sdt>
    <w:p w:rsidR="00F47D7D" w:rsidRDefault="00F47D7D">
      <w:pPr>
        <w:kinsoku w:val="0"/>
        <w:overflowPunct w:val="0"/>
        <w:autoSpaceDE w:val="0"/>
        <w:autoSpaceDN w:val="0"/>
        <w:adjustRightInd w:val="0"/>
        <w:snapToGrid w:val="0"/>
        <w:spacing w:line="360" w:lineRule="exact"/>
        <w:rPr>
          <w:szCs w:val="21"/>
          <w:shd w:val="pct15" w:color="auto" w:fill="FFFFFF"/>
        </w:rPr>
      </w:pPr>
    </w:p>
    <w:p w:rsidR="000D1C50" w:rsidRPr="0008274C" w:rsidRDefault="000D1C50" w:rsidP="000D1C50">
      <w:pPr>
        <w:pStyle w:val="2"/>
        <w:numPr>
          <w:ilvl w:val="0"/>
          <w:numId w:val="6"/>
        </w:numPr>
        <w:tabs>
          <w:tab w:val="left" w:pos="490"/>
        </w:tabs>
        <w:spacing w:before="0" w:after="0" w:line="360" w:lineRule="auto"/>
        <w:ind w:left="369" w:hangingChars="175" w:hanging="369"/>
        <w:rPr>
          <w:rFonts w:ascii="宋体" w:hAnsi="宋体"/>
          <w:sz w:val="24"/>
          <w:szCs w:val="24"/>
        </w:rPr>
      </w:pPr>
      <w:r w:rsidRPr="0008274C">
        <w:t>经董事会审议的报告期利润分配预案或公积金转增股本预案</w:t>
      </w:r>
    </w:p>
    <w:p w:rsidR="000D1C50" w:rsidRDefault="000D1C50" w:rsidP="000D1C50">
      <w:pPr>
        <w:kinsoku w:val="0"/>
        <w:overflowPunct w:val="0"/>
        <w:autoSpaceDE w:val="0"/>
        <w:autoSpaceDN w:val="0"/>
        <w:adjustRightInd w:val="0"/>
        <w:snapToGrid w:val="0"/>
        <w:spacing w:line="360" w:lineRule="exact"/>
        <w:ind w:firstLineChars="202" w:firstLine="424"/>
        <w:rPr>
          <w:szCs w:val="21"/>
        </w:rPr>
      </w:pPr>
      <w:r w:rsidRPr="00C513CA">
        <w:rPr>
          <w:rFonts w:hint="eastAsia"/>
          <w:szCs w:val="21"/>
        </w:rPr>
        <w:t xml:space="preserve">公司2015年度中期利润分配预案：以总股本 </w:t>
      </w:r>
      <w:r w:rsidRPr="00C513CA">
        <w:rPr>
          <w:szCs w:val="21"/>
        </w:rPr>
        <w:t>5,808,135,529</w:t>
      </w:r>
      <w:r w:rsidRPr="00C513CA">
        <w:rPr>
          <w:rFonts w:hint="eastAsia"/>
          <w:szCs w:val="21"/>
        </w:rPr>
        <w:t>股为基数，每10股派发现金红利5.04元（含税）。实际分配现金利润总额为2,927,300,306.62元，占可供现金分配利润的35.98</w:t>
      </w:r>
      <w:r>
        <w:rPr>
          <w:rFonts w:hint="eastAsia"/>
          <w:szCs w:val="21"/>
        </w:rPr>
        <w:t>%,</w:t>
      </w:r>
      <w:r w:rsidRPr="00C513CA">
        <w:rPr>
          <w:rFonts w:hint="eastAsia"/>
          <w:szCs w:val="21"/>
        </w:rPr>
        <w:t>占公司2015年中期合并报表归属于母公司所有者的净利润的40.02%。剩余可供投资者分配的未分配利润为8,418,579,297.09元。</w:t>
      </w:r>
    </w:p>
    <w:p w:rsidR="000D1C50" w:rsidRDefault="000D1C5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GBC_cc24ced211694e75b40a9765d2616e01"/>
        <w:id w:val="24719901"/>
        <w:lock w:val="sdtLocked"/>
        <w:placeholder>
          <w:docPart w:val="GBC22222222222222222222222222222"/>
        </w:placeholder>
      </w:sdtPr>
      <w:sdtEndPr>
        <w:rPr>
          <w:rFonts w:ascii="宋体" w:hAnsi="宋体" w:hint="eastAsia"/>
          <w:sz w:val="21"/>
          <w:shd w:val="pct15" w:color="auto" w:fill="FFFFFF"/>
        </w:rPr>
      </w:sdtEndPr>
      <w:sdtContent>
        <w:p w:rsidR="00704CAD" w:rsidRDefault="00720895" w:rsidP="001C1A59">
          <w:pPr>
            <w:pStyle w:val="2"/>
            <w:numPr>
              <w:ilvl w:val="0"/>
              <w:numId w:val="6"/>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6511b5aecc604062ad93b5fbd25fd19b"/>
            <w:id w:val="24719900"/>
            <w:lock w:val="sdtLocked"/>
            <w:placeholder>
              <w:docPart w:val="GBC22222222222222222222222222222"/>
            </w:placeholder>
          </w:sdtPr>
          <w:sdtEndPr>
            <w:rPr>
              <w:shd w:val="pct15" w:color="auto" w:fill="FFFFFF"/>
            </w:rPr>
          </w:sdtEndPr>
          <w:sdtContent>
            <w:p w:rsidR="00704CAD" w:rsidRDefault="001F486A" w:rsidP="00CB3294">
              <w:pPr>
                <w:kinsoku w:val="0"/>
                <w:overflowPunct w:val="0"/>
                <w:autoSpaceDE w:val="0"/>
                <w:autoSpaceDN w:val="0"/>
                <w:adjustRightInd w:val="0"/>
                <w:snapToGrid w:val="0"/>
                <w:spacing w:line="360" w:lineRule="exact"/>
                <w:ind w:firstLineChars="202" w:firstLine="424"/>
                <w:rPr>
                  <w:szCs w:val="21"/>
                  <w:shd w:val="pct15" w:color="auto" w:fill="FFFFFF"/>
                </w:rPr>
              </w:pPr>
              <w:r w:rsidRPr="00E27FB9">
                <w:rPr>
                  <w:rFonts w:hint="eastAsia"/>
                  <w:szCs w:val="21"/>
                </w:rPr>
                <w:t>本报告所涉及的未来计划、发展战略等前瞻性陈述，不构成公司对投资者的实质性承诺，请投资者注意投资风险。</w:t>
              </w:r>
            </w:p>
          </w:sdtContent>
        </w:sdt>
      </w:sdtContent>
    </w:sdt>
    <w:p w:rsidR="00704CAD" w:rsidRDefault="00704CAD">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tag w:val="_GBC_70f733efbc484640a48089ddc49bf2b9"/>
        <w:id w:val="24719903"/>
        <w:lock w:val="sdtLocked"/>
        <w:placeholder>
          <w:docPart w:val="GBC22222222222222222222222222222"/>
        </w:placeholder>
      </w:sdtPr>
      <w:sdtEndPr>
        <w:rPr>
          <w:rFonts w:ascii="宋体" w:hAnsi="宋体"/>
          <w:sz w:val="21"/>
          <w:shd w:val="clear" w:color="auto" w:fill="auto"/>
        </w:rPr>
      </w:sdtEndPr>
      <w:sdtContent>
        <w:p w:rsidR="00704CAD" w:rsidRDefault="00720895" w:rsidP="001C1A59">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32400ff33ee44d89632e0d79a7f2c42"/>
            <w:id w:val="24719902"/>
            <w:lock w:val="sdtLocked"/>
            <w:placeholder>
              <w:docPart w:val="GBC22222222222222222222222222222"/>
            </w:placeholder>
            <w:comboBox>
              <w:listItem w:displayText="是" w:value="true"/>
              <w:listItem w:displayText="否" w:value="false"/>
            </w:comboBox>
          </w:sdtPr>
          <w:sdtContent>
            <w:p w:rsidR="00704CAD" w:rsidRPr="00B31BA7" w:rsidRDefault="001F486A">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sdt>
      <w:sdtPr>
        <w:rPr>
          <w:rFonts w:ascii="Calibri" w:hAnsi="Calibri" w:cs="宋体"/>
          <w:b w:val="0"/>
          <w:bCs w:val="0"/>
          <w:kern w:val="0"/>
          <w:sz w:val="24"/>
          <w:szCs w:val="24"/>
        </w:rPr>
        <w:tag w:val="_GBC_0b5725dfa5c04f85874bece4083eddb4"/>
        <w:id w:val="24719905"/>
        <w:lock w:val="sdtLocked"/>
        <w:placeholder>
          <w:docPart w:val="GBC22222222222222222222222222222"/>
        </w:placeholder>
      </w:sdtPr>
      <w:sdtEndPr>
        <w:rPr>
          <w:rFonts w:ascii="宋体" w:hAnsi="宋体" w:hint="eastAsia"/>
          <w:sz w:val="21"/>
        </w:rPr>
      </w:sdtEndPr>
      <w:sdtContent>
        <w:p w:rsidR="00704CAD" w:rsidRDefault="00720895" w:rsidP="001C1A59">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24719904"/>
            <w:lock w:val="sdtLocked"/>
            <w:placeholder>
              <w:docPart w:val="GBC22222222222222222222222222222"/>
            </w:placeholder>
            <w:comboBox>
              <w:listItem w:displayText="是" w:value="true"/>
              <w:listItem w:displayText="否" w:value="false"/>
            </w:comboBox>
          </w:sdtPr>
          <w:sdtContent>
            <w:p w:rsidR="00704CAD" w:rsidRDefault="001F486A">
              <w:pPr>
                <w:rPr>
                  <w:szCs w:val="21"/>
                </w:rPr>
              </w:pPr>
              <w:r>
                <w:rPr>
                  <w:rFonts w:hint="eastAsia"/>
                  <w:szCs w:val="21"/>
                </w:rPr>
                <w:t>否</w:t>
              </w:r>
            </w:p>
          </w:sdtContent>
        </w:sdt>
      </w:sdtContent>
    </w:sdt>
    <w:p w:rsidR="00704CAD" w:rsidRDefault="00704CAD">
      <w:pPr>
        <w:rPr>
          <w:szCs w:val="21"/>
        </w:rPr>
      </w:pPr>
    </w:p>
    <w:sdt>
      <w:sdtPr>
        <w:rPr>
          <w:rFonts w:ascii="宋体" w:hAnsi="宋体" w:cs="宋体"/>
          <w:b w:val="0"/>
          <w:bCs w:val="0"/>
          <w:kern w:val="0"/>
          <w:sz w:val="24"/>
          <w:szCs w:val="24"/>
        </w:rPr>
        <w:tag w:val="_GBC_b8bb35c675b44fbdaf150c1114447d89"/>
        <w:id w:val="24719907"/>
        <w:lock w:val="sdtLocked"/>
        <w:placeholder>
          <w:docPart w:val="GBC22222222222222222222222222222"/>
        </w:placeholder>
      </w:sdtPr>
      <w:sdtEndPr>
        <w:rPr>
          <w:sz w:val="21"/>
        </w:rPr>
      </w:sdtEndPr>
      <w:sdtContent>
        <w:p w:rsidR="00704CAD" w:rsidRDefault="00720895" w:rsidP="001C1A59">
          <w:pPr>
            <w:pStyle w:val="2"/>
            <w:numPr>
              <w:ilvl w:val="0"/>
              <w:numId w:val="6"/>
            </w:numPr>
            <w:tabs>
              <w:tab w:val="left" w:pos="588"/>
              <w:tab w:val="left" w:pos="644"/>
              <w:tab w:val="left" w:pos="672"/>
            </w:tabs>
            <w:spacing w:before="0" w:after="0" w:line="360" w:lineRule="auto"/>
            <w:ind w:left="420" w:hangingChars="175"/>
            <w:rPr>
              <w:b w:val="0"/>
              <w:sz w:val="24"/>
              <w:szCs w:val="24"/>
            </w:rPr>
          </w:pPr>
          <w:r>
            <w:rPr>
              <w:rFonts w:hint="eastAsia"/>
              <w:sz w:val="24"/>
              <w:szCs w:val="24"/>
            </w:rPr>
            <w:t>其他</w:t>
          </w:r>
        </w:p>
        <w:sdt>
          <w:sdtPr>
            <w:rPr>
              <w:szCs w:val="21"/>
            </w:rPr>
            <w:alias w:val="重要提示的其他情况说明"/>
            <w:tag w:val="_GBC_d8e4ca6963364e3194f6533b437a5a96"/>
            <w:id w:val="24719906"/>
            <w:lock w:val="sdtLocked"/>
            <w:placeholder>
              <w:docPart w:val="GBC22222222222222222222222222222"/>
            </w:placeholder>
          </w:sdtPr>
          <w:sdtContent>
            <w:p w:rsidR="00704CAD" w:rsidRDefault="001F486A">
              <w:pPr>
                <w:rPr>
                  <w:szCs w:val="21"/>
                </w:rPr>
              </w:pPr>
              <w:r w:rsidRPr="00E27FB9">
                <w:rPr>
                  <w:rFonts w:hint="eastAsia"/>
                  <w:szCs w:val="21"/>
                </w:rPr>
                <w:t>本报告的分析及阐述，未特别指明的，均以合并会计报表口径为基础。</w:t>
              </w:r>
            </w:p>
          </w:sdtContent>
        </w:sdt>
      </w:sdtContent>
    </w:sdt>
    <w:p w:rsidR="00704CAD" w:rsidRDefault="00704CAD">
      <w:pPr>
        <w:rPr>
          <w:szCs w:val="21"/>
        </w:rPr>
      </w:pPr>
    </w:p>
    <w:p w:rsidR="00704CAD" w:rsidRDefault="00704CAD">
      <w:pPr>
        <w:rPr>
          <w:szCs w:val="21"/>
        </w:rPr>
        <w:sectPr w:rsidR="00704CAD" w:rsidSect="005B5D50">
          <w:headerReference w:type="default" r:id="rId12"/>
          <w:footerReference w:type="default" r:id="rId13"/>
          <w:pgSz w:w="11906" w:h="16838"/>
          <w:pgMar w:top="1525" w:right="1276" w:bottom="1440" w:left="1797" w:header="855" w:footer="992" w:gutter="0"/>
          <w:cols w:space="425"/>
          <w:docGrid w:linePitch="312"/>
        </w:sectPr>
      </w:pPr>
    </w:p>
    <w:p w:rsidR="00704CAD" w:rsidRDefault="00704CAD">
      <w:pPr>
        <w:rPr>
          <w:szCs w:val="21"/>
        </w:rPr>
      </w:pPr>
    </w:p>
    <w:p w:rsidR="00704CAD" w:rsidRPr="00167A3A" w:rsidRDefault="00720895" w:rsidP="003A0284">
      <w:pPr>
        <w:kinsoku w:val="0"/>
        <w:overflowPunct w:val="0"/>
        <w:autoSpaceDE w:val="0"/>
        <w:autoSpaceDN w:val="0"/>
        <w:adjustRightInd w:val="0"/>
        <w:snapToGrid w:val="0"/>
        <w:spacing w:beforeLines="200" w:afterLines="200" w:line="360" w:lineRule="auto"/>
        <w:jc w:val="center"/>
        <w:rPr>
          <w:noProof/>
          <w:sz w:val="24"/>
        </w:rPr>
      </w:pPr>
      <w:r>
        <w:rPr>
          <w:rFonts w:hint="eastAsia"/>
          <w:b/>
          <w:sz w:val="32"/>
          <w:szCs w:val="32"/>
        </w:rPr>
        <w:t>目</w:t>
      </w:r>
      <w:r w:rsidR="00991021">
        <w:rPr>
          <w:rFonts w:hint="eastAsia"/>
          <w:b/>
          <w:sz w:val="32"/>
          <w:szCs w:val="32"/>
        </w:rPr>
        <w:t xml:space="preserve">     </w:t>
      </w:r>
      <w:r>
        <w:rPr>
          <w:rFonts w:hint="eastAsia"/>
          <w:b/>
          <w:sz w:val="32"/>
          <w:szCs w:val="32"/>
        </w:rPr>
        <w:t>录</w:t>
      </w:r>
      <w:r w:rsidR="00422DCA" w:rsidRPr="00167A3A">
        <w:rPr>
          <w:sz w:val="24"/>
          <w:shd w:val="pct15" w:color="auto" w:fill="FFFFFF"/>
        </w:rPr>
        <w:fldChar w:fldCharType="begin"/>
      </w:r>
      <w:r w:rsidRPr="00167A3A">
        <w:rPr>
          <w:sz w:val="24"/>
          <w:shd w:val="pct15" w:color="auto" w:fill="FFFFFF"/>
        </w:rPr>
        <w:instrText xml:space="preserve"> TOC \o "1-1" \h \z \u </w:instrText>
      </w:r>
      <w:r w:rsidR="00422DCA" w:rsidRPr="00167A3A">
        <w:rPr>
          <w:sz w:val="24"/>
          <w:shd w:val="pct15" w:color="auto" w:fill="FFFFFF"/>
        </w:rPr>
        <w:fldChar w:fldCharType="separate"/>
      </w:r>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08" w:history="1">
        <w:r w:rsidR="00720895" w:rsidRPr="00167A3A">
          <w:rPr>
            <w:rStyle w:val="a3"/>
            <w:rFonts w:hint="eastAsia"/>
            <w:noProof/>
            <w:sz w:val="24"/>
            <w:szCs w:val="24"/>
          </w:rPr>
          <w:t>第一节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释义</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_Toc421545508 \h </w:instrText>
        </w:r>
        <w:r w:rsidRPr="00167A3A">
          <w:rPr>
            <w:noProof/>
            <w:webHidden/>
            <w:sz w:val="24"/>
            <w:szCs w:val="24"/>
          </w:rPr>
        </w:r>
        <w:r w:rsidRPr="00167A3A">
          <w:rPr>
            <w:noProof/>
            <w:webHidden/>
            <w:sz w:val="24"/>
            <w:szCs w:val="24"/>
          </w:rPr>
          <w:fldChar w:fldCharType="separate"/>
        </w:r>
        <w:r w:rsidR="003729E3">
          <w:rPr>
            <w:noProof/>
            <w:webHidden/>
            <w:sz w:val="24"/>
            <w:szCs w:val="24"/>
          </w:rPr>
          <w:t>3</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09" w:history="1">
        <w:r w:rsidR="00720895" w:rsidRPr="00167A3A">
          <w:rPr>
            <w:rStyle w:val="a3"/>
            <w:rFonts w:hint="eastAsia"/>
            <w:noProof/>
            <w:sz w:val="24"/>
            <w:szCs w:val="24"/>
          </w:rPr>
          <w:t>第二节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公司简介</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_Toc421545509 \h </w:instrText>
        </w:r>
        <w:r w:rsidRPr="00167A3A">
          <w:rPr>
            <w:noProof/>
            <w:webHidden/>
            <w:sz w:val="24"/>
            <w:szCs w:val="24"/>
          </w:rPr>
        </w:r>
        <w:r w:rsidRPr="00167A3A">
          <w:rPr>
            <w:noProof/>
            <w:webHidden/>
            <w:sz w:val="24"/>
            <w:szCs w:val="24"/>
          </w:rPr>
          <w:fldChar w:fldCharType="separate"/>
        </w:r>
        <w:r w:rsidR="003729E3">
          <w:rPr>
            <w:noProof/>
            <w:webHidden/>
            <w:sz w:val="24"/>
            <w:szCs w:val="24"/>
          </w:rPr>
          <w:t>3</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0" w:history="1">
        <w:r w:rsidR="00720895" w:rsidRPr="00167A3A">
          <w:rPr>
            <w:rStyle w:val="a3"/>
            <w:rFonts w:hint="eastAsia"/>
            <w:noProof/>
            <w:sz w:val="24"/>
            <w:szCs w:val="24"/>
          </w:rPr>
          <w:t>第三节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会计数据和财务指标摘要</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_Toc421545510 \h </w:instrText>
        </w:r>
        <w:r w:rsidRPr="00167A3A">
          <w:rPr>
            <w:noProof/>
            <w:webHidden/>
            <w:sz w:val="24"/>
            <w:szCs w:val="24"/>
          </w:rPr>
        </w:r>
        <w:r w:rsidRPr="00167A3A">
          <w:rPr>
            <w:noProof/>
            <w:webHidden/>
            <w:sz w:val="24"/>
            <w:szCs w:val="24"/>
          </w:rPr>
          <w:fldChar w:fldCharType="separate"/>
        </w:r>
        <w:r w:rsidR="003729E3">
          <w:rPr>
            <w:noProof/>
            <w:webHidden/>
            <w:sz w:val="24"/>
            <w:szCs w:val="24"/>
          </w:rPr>
          <w:t>6</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1" w:history="1">
        <w:r w:rsidR="00720895" w:rsidRPr="00167A3A">
          <w:rPr>
            <w:rStyle w:val="a3"/>
            <w:rFonts w:hint="eastAsia"/>
            <w:noProof/>
            <w:sz w:val="24"/>
            <w:szCs w:val="24"/>
          </w:rPr>
          <w:t>第四节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董事会报告</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_Toc421545511 \h </w:instrText>
        </w:r>
        <w:r w:rsidRPr="00167A3A">
          <w:rPr>
            <w:noProof/>
            <w:webHidden/>
            <w:sz w:val="24"/>
            <w:szCs w:val="24"/>
          </w:rPr>
        </w:r>
        <w:r w:rsidRPr="00167A3A">
          <w:rPr>
            <w:noProof/>
            <w:webHidden/>
            <w:sz w:val="24"/>
            <w:szCs w:val="24"/>
          </w:rPr>
          <w:fldChar w:fldCharType="separate"/>
        </w:r>
        <w:r w:rsidR="003729E3">
          <w:rPr>
            <w:noProof/>
            <w:webHidden/>
            <w:sz w:val="24"/>
            <w:szCs w:val="24"/>
          </w:rPr>
          <w:t>11</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2" w:history="1">
        <w:r w:rsidR="00720895" w:rsidRPr="00167A3A">
          <w:rPr>
            <w:rStyle w:val="a3"/>
            <w:rFonts w:hint="eastAsia"/>
            <w:noProof/>
            <w:sz w:val="24"/>
            <w:szCs w:val="24"/>
          </w:rPr>
          <w:t>第五节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重要事项</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_Toc421545512 \h </w:instrText>
        </w:r>
        <w:r w:rsidRPr="00167A3A">
          <w:rPr>
            <w:noProof/>
            <w:webHidden/>
            <w:sz w:val="24"/>
            <w:szCs w:val="24"/>
          </w:rPr>
        </w:r>
        <w:r w:rsidRPr="00167A3A">
          <w:rPr>
            <w:noProof/>
            <w:webHidden/>
            <w:sz w:val="24"/>
            <w:szCs w:val="24"/>
          </w:rPr>
          <w:fldChar w:fldCharType="separate"/>
        </w:r>
        <w:r w:rsidR="003729E3">
          <w:rPr>
            <w:noProof/>
            <w:webHidden/>
            <w:sz w:val="24"/>
            <w:szCs w:val="24"/>
          </w:rPr>
          <w:t>26</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3" w:history="1">
        <w:r w:rsidR="00720895" w:rsidRPr="00167A3A">
          <w:rPr>
            <w:rStyle w:val="a3"/>
            <w:rFonts w:hint="eastAsia"/>
            <w:noProof/>
            <w:sz w:val="24"/>
            <w:szCs w:val="24"/>
          </w:rPr>
          <w:t>第六节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股份变动及股东情况</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_Toc421545513 \h </w:instrText>
        </w:r>
        <w:r w:rsidRPr="00167A3A">
          <w:rPr>
            <w:noProof/>
            <w:webHidden/>
            <w:sz w:val="24"/>
            <w:szCs w:val="24"/>
          </w:rPr>
        </w:r>
        <w:r w:rsidRPr="00167A3A">
          <w:rPr>
            <w:noProof/>
            <w:webHidden/>
            <w:sz w:val="24"/>
            <w:szCs w:val="24"/>
          </w:rPr>
          <w:fldChar w:fldCharType="separate"/>
        </w:r>
        <w:r w:rsidR="003729E3">
          <w:rPr>
            <w:noProof/>
            <w:webHidden/>
            <w:sz w:val="24"/>
            <w:szCs w:val="24"/>
          </w:rPr>
          <w:t>31</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5" w:history="1">
        <w:r w:rsidR="00720895" w:rsidRPr="00167A3A">
          <w:rPr>
            <w:rStyle w:val="a3"/>
            <w:rFonts w:hint="eastAsia"/>
            <w:noProof/>
            <w:sz w:val="24"/>
            <w:szCs w:val="24"/>
          </w:rPr>
          <w:t>第</w:t>
        </w:r>
        <w:r w:rsidR="00E10210">
          <w:rPr>
            <w:rStyle w:val="a3"/>
            <w:rFonts w:hint="eastAsia"/>
            <w:noProof/>
            <w:sz w:val="24"/>
            <w:szCs w:val="24"/>
          </w:rPr>
          <w:t>七</w:t>
        </w:r>
        <w:r w:rsidR="00720895" w:rsidRPr="00167A3A">
          <w:rPr>
            <w:rStyle w:val="a3"/>
            <w:rFonts w:hint="eastAsia"/>
            <w:noProof/>
            <w:sz w:val="24"/>
            <w:szCs w:val="24"/>
          </w:rPr>
          <w:t>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董事、监事、高级管理人员</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_Toc421545515 \h </w:instrText>
        </w:r>
        <w:r w:rsidRPr="00167A3A">
          <w:rPr>
            <w:noProof/>
            <w:webHidden/>
            <w:sz w:val="24"/>
            <w:szCs w:val="24"/>
          </w:rPr>
        </w:r>
        <w:r w:rsidRPr="00167A3A">
          <w:rPr>
            <w:noProof/>
            <w:webHidden/>
            <w:sz w:val="24"/>
            <w:szCs w:val="24"/>
          </w:rPr>
          <w:fldChar w:fldCharType="separate"/>
        </w:r>
        <w:r w:rsidR="003729E3">
          <w:rPr>
            <w:noProof/>
            <w:webHidden/>
            <w:sz w:val="24"/>
            <w:szCs w:val="24"/>
          </w:rPr>
          <w:t>34</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6" w:history="1">
        <w:r w:rsidR="00720895" w:rsidRPr="00167A3A">
          <w:rPr>
            <w:rStyle w:val="a3"/>
            <w:rFonts w:ascii="宋体" w:hAnsi="宋体" w:hint="eastAsia"/>
            <w:noProof/>
            <w:sz w:val="24"/>
            <w:szCs w:val="24"/>
          </w:rPr>
          <w:t>第</w:t>
        </w:r>
        <w:r w:rsidR="00E10210">
          <w:rPr>
            <w:rStyle w:val="a3"/>
            <w:rFonts w:ascii="宋体" w:hAnsi="宋体" w:hint="eastAsia"/>
            <w:noProof/>
            <w:sz w:val="24"/>
            <w:szCs w:val="24"/>
          </w:rPr>
          <w:t>八</w:t>
        </w:r>
        <w:r w:rsidR="00720895" w:rsidRPr="00167A3A">
          <w:rPr>
            <w:rStyle w:val="a3"/>
            <w:rFonts w:ascii="宋体" w:hAnsi="宋体" w:hint="eastAsia"/>
            <w:noProof/>
            <w:sz w:val="24"/>
            <w:szCs w:val="24"/>
          </w:rPr>
          <w:t>节</w:t>
        </w:r>
        <w:r w:rsidR="00720895" w:rsidRPr="00167A3A">
          <w:rPr>
            <w:rFonts w:asciiTheme="minorHAnsi" w:eastAsiaTheme="minorEastAsia" w:hAnsiTheme="minorHAnsi" w:cstheme="minorBidi"/>
            <w:noProof/>
            <w:sz w:val="24"/>
            <w:szCs w:val="24"/>
          </w:rPr>
          <w:tab/>
        </w:r>
        <w:r w:rsidR="00720895" w:rsidRPr="00167A3A">
          <w:rPr>
            <w:rStyle w:val="a3"/>
            <w:rFonts w:ascii="宋体" w:hAnsi="宋体" w:hint="eastAsia"/>
            <w:noProof/>
            <w:sz w:val="24"/>
            <w:szCs w:val="24"/>
          </w:rPr>
          <w:t>财务报告</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_Toc421545516 \h </w:instrText>
        </w:r>
        <w:r w:rsidRPr="00167A3A">
          <w:rPr>
            <w:noProof/>
            <w:webHidden/>
            <w:sz w:val="24"/>
            <w:szCs w:val="24"/>
          </w:rPr>
        </w:r>
        <w:r w:rsidRPr="00167A3A">
          <w:rPr>
            <w:noProof/>
            <w:webHidden/>
            <w:sz w:val="24"/>
            <w:szCs w:val="24"/>
          </w:rPr>
          <w:fldChar w:fldCharType="separate"/>
        </w:r>
        <w:r w:rsidR="003729E3">
          <w:rPr>
            <w:noProof/>
            <w:webHidden/>
            <w:sz w:val="24"/>
            <w:szCs w:val="24"/>
          </w:rPr>
          <w:t>35</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7" w:history="1">
        <w:r w:rsidR="00720895" w:rsidRPr="00167A3A">
          <w:rPr>
            <w:rStyle w:val="a3"/>
            <w:rFonts w:ascii="黑体" w:hAnsi="黑体" w:hint="eastAsia"/>
            <w:noProof/>
            <w:sz w:val="24"/>
            <w:szCs w:val="24"/>
          </w:rPr>
          <w:t>第</w:t>
        </w:r>
        <w:r w:rsidR="00E10210">
          <w:rPr>
            <w:rStyle w:val="a3"/>
            <w:rFonts w:ascii="黑体" w:hAnsi="黑体" w:hint="eastAsia"/>
            <w:noProof/>
            <w:sz w:val="24"/>
            <w:szCs w:val="24"/>
          </w:rPr>
          <w:t>九</w:t>
        </w:r>
        <w:r w:rsidR="00720895" w:rsidRPr="00167A3A">
          <w:rPr>
            <w:rStyle w:val="a3"/>
            <w:rFonts w:ascii="黑体" w:hAnsi="黑体" w:hint="eastAsia"/>
            <w:noProof/>
            <w:sz w:val="24"/>
            <w:szCs w:val="24"/>
          </w:rPr>
          <w:t>节</w:t>
        </w:r>
        <w:r w:rsidR="00720895" w:rsidRPr="00167A3A">
          <w:rPr>
            <w:rFonts w:asciiTheme="minorHAnsi" w:eastAsiaTheme="minorEastAsia" w:hAnsiTheme="minorHAnsi" w:cstheme="minorBidi"/>
            <w:noProof/>
            <w:sz w:val="24"/>
            <w:szCs w:val="24"/>
          </w:rPr>
          <w:tab/>
        </w:r>
        <w:r w:rsidR="00720895" w:rsidRPr="00167A3A">
          <w:rPr>
            <w:rStyle w:val="a3"/>
            <w:rFonts w:ascii="黑体" w:hAnsi="黑体" w:hint="eastAsia"/>
            <w:noProof/>
            <w:sz w:val="24"/>
            <w:szCs w:val="24"/>
          </w:rPr>
          <w:t>备查文件目录</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_Toc421545517 \h </w:instrText>
        </w:r>
        <w:r w:rsidRPr="00167A3A">
          <w:rPr>
            <w:noProof/>
            <w:webHidden/>
            <w:sz w:val="24"/>
            <w:szCs w:val="24"/>
          </w:rPr>
        </w:r>
        <w:r w:rsidRPr="00167A3A">
          <w:rPr>
            <w:noProof/>
            <w:webHidden/>
            <w:sz w:val="24"/>
            <w:szCs w:val="24"/>
          </w:rPr>
          <w:fldChar w:fldCharType="separate"/>
        </w:r>
        <w:r w:rsidR="003729E3">
          <w:rPr>
            <w:noProof/>
            <w:webHidden/>
            <w:sz w:val="24"/>
            <w:szCs w:val="24"/>
          </w:rPr>
          <w:t>135</w:t>
        </w:r>
        <w:r w:rsidRPr="00167A3A">
          <w:rPr>
            <w:noProof/>
            <w:webHidden/>
            <w:sz w:val="24"/>
            <w:szCs w:val="24"/>
          </w:rPr>
          <w:fldChar w:fldCharType="end"/>
        </w:r>
      </w:hyperlink>
    </w:p>
    <w:p w:rsidR="00704CAD" w:rsidRPr="00167A3A" w:rsidRDefault="00422DCA" w:rsidP="003A0284">
      <w:pPr>
        <w:pStyle w:val="11"/>
        <w:tabs>
          <w:tab w:val="left" w:pos="1260"/>
          <w:tab w:val="right" w:leader="dot" w:pos="8823"/>
        </w:tabs>
        <w:spacing w:beforeLines="200" w:afterLines="200" w:line="360" w:lineRule="auto"/>
        <w:rPr>
          <w:rFonts w:asciiTheme="minorHAnsi" w:eastAsiaTheme="minorEastAsia" w:hAnsiTheme="minorHAnsi" w:cstheme="minorBidi"/>
          <w:noProof/>
          <w:sz w:val="24"/>
          <w:szCs w:val="24"/>
        </w:rPr>
      </w:pPr>
      <w:hyperlink w:anchor="_Toc421545518" w:history="1">
        <w:r w:rsidR="00720895" w:rsidRPr="00167A3A">
          <w:rPr>
            <w:rStyle w:val="a3"/>
            <w:rFonts w:hint="eastAsia"/>
            <w:noProof/>
            <w:sz w:val="24"/>
            <w:szCs w:val="24"/>
          </w:rPr>
          <w:t>第十节</w:t>
        </w:r>
        <w:r w:rsidR="00720895" w:rsidRPr="00167A3A">
          <w:rPr>
            <w:rFonts w:asciiTheme="minorHAnsi" w:eastAsiaTheme="minorEastAsia" w:hAnsiTheme="minorHAnsi" w:cstheme="minorBidi"/>
            <w:noProof/>
            <w:sz w:val="24"/>
            <w:szCs w:val="24"/>
          </w:rPr>
          <w:tab/>
        </w:r>
        <w:r w:rsidR="00720895" w:rsidRPr="00167A3A">
          <w:rPr>
            <w:rStyle w:val="a3"/>
            <w:rFonts w:hint="eastAsia"/>
            <w:noProof/>
            <w:sz w:val="24"/>
            <w:szCs w:val="24"/>
          </w:rPr>
          <w:t>证券公司信息披露</w:t>
        </w:r>
        <w:r w:rsidR="00720895" w:rsidRPr="00167A3A">
          <w:rPr>
            <w:noProof/>
            <w:webHidden/>
            <w:sz w:val="24"/>
            <w:szCs w:val="24"/>
          </w:rPr>
          <w:tab/>
        </w:r>
        <w:r w:rsidRPr="00167A3A">
          <w:rPr>
            <w:noProof/>
            <w:webHidden/>
            <w:sz w:val="24"/>
            <w:szCs w:val="24"/>
          </w:rPr>
          <w:fldChar w:fldCharType="begin"/>
        </w:r>
        <w:r w:rsidR="00720895" w:rsidRPr="00167A3A">
          <w:rPr>
            <w:noProof/>
            <w:webHidden/>
            <w:sz w:val="24"/>
            <w:szCs w:val="24"/>
          </w:rPr>
          <w:instrText xml:space="preserve"> PAGEREF _Toc421545518 \h </w:instrText>
        </w:r>
        <w:r w:rsidRPr="00167A3A">
          <w:rPr>
            <w:noProof/>
            <w:webHidden/>
            <w:sz w:val="24"/>
            <w:szCs w:val="24"/>
          </w:rPr>
        </w:r>
        <w:r w:rsidRPr="00167A3A">
          <w:rPr>
            <w:noProof/>
            <w:webHidden/>
            <w:sz w:val="24"/>
            <w:szCs w:val="24"/>
          </w:rPr>
          <w:fldChar w:fldCharType="separate"/>
        </w:r>
        <w:r w:rsidR="003729E3">
          <w:rPr>
            <w:noProof/>
            <w:webHidden/>
            <w:sz w:val="24"/>
            <w:szCs w:val="24"/>
          </w:rPr>
          <w:t>135</w:t>
        </w:r>
        <w:r w:rsidRPr="00167A3A">
          <w:rPr>
            <w:noProof/>
            <w:webHidden/>
            <w:sz w:val="24"/>
            <w:szCs w:val="24"/>
          </w:rPr>
          <w:fldChar w:fldCharType="end"/>
        </w:r>
      </w:hyperlink>
    </w:p>
    <w:p w:rsidR="00704CAD" w:rsidRDefault="00422DCA" w:rsidP="003A0284">
      <w:pPr>
        <w:kinsoku w:val="0"/>
        <w:overflowPunct w:val="0"/>
        <w:autoSpaceDE w:val="0"/>
        <w:autoSpaceDN w:val="0"/>
        <w:adjustRightInd w:val="0"/>
        <w:snapToGrid w:val="0"/>
        <w:spacing w:beforeLines="200" w:afterLines="200" w:line="360" w:lineRule="auto"/>
        <w:jc w:val="center"/>
        <w:rPr>
          <w:szCs w:val="21"/>
          <w:shd w:val="pct15" w:color="auto" w:fill="FFFFFF"/>
        </w:rPr>
      </w:pPr>
      <w:r w:rsidRPr="00167A3A">
        <w:rPr>
          <w:sz w:val="24"/>
          <w:shd w:val="pct15" w:color="auto" w:fill="FFFFFF"/>
        </w:rPr>
        <w:fldChar w:fldCharType="end"/>
      </w:r>
    </w:p>
    <w:p w:rsidR="00704CAD" w:rsidRDefault="00720895">
      <w:pPr>
        <w:rPr>
          <w:szCs w:val="21"/>
        </w:rPr>
      </w:pPr>
      <w:r>
        <w:rPr>
          <w:szCs w:val="21"/>
        </w:rPr>
        <w:br w:type="page"/>
      </w:r>
    </w:p>
    <w:p w:rsidR="00704CAD" w:rsidRDefault="00720895">
      <w:pPr>
        <w:pStyle w:val="10"/>
        <w:numPr>
          <w:ilvl w:val="0"/>
          <w:numId w:val="3"/>
        </w:numPr>
      </w:pPr>
      <w:bookmarkStart w:id="1" w:name="_Toc421545508"/>
      <w:bookmarkStart w:id="2" w:name="_Toc342565880"/>
      <w:r>
        <w:rPr>
          <w:rFonts w:hint="eastAsia"/>
        </w:rPr>
        <w:lastRenderedPageBreak/>
        <w:t>释义</w:t>
      </w:r>
      <w:bookmarkEnd w:id="1"/>
    </w:p>
    <w:sdt>
      <w:sdtPr>
        <w:rPr>
          <w:rFonts w:ascii="Calibri" w:hAnsi="Calibri"/>
          <w:b/>
          <w:bCs/>
          <w:sz w:val="24"/>
          <w:szCs w:val="22"/>
        </w:rPr>
        <w:tag w:val="_GBC_5d2d156d1e654b289921f6ca279d0332"/>
        <w:id w:val="24719980"/>
        <w:lock w:val="sdtLocked"/>
        <w:placeholder>
          <w:docPart w:val="GBC22222222222222222222222222222"/>
        </w:placeholder>
      </w:sdtPr>
      <w:sdtEndPr>
        <w:rPr>
          <w:rFonts w:ascii="宋体" w:hAnsi="宋体"/>
          <w:b w:val="0"/>
          <w:bCs w:val="0"/>
          <w:sz w:val="21"/>
          <w:szCs w:val="24"/>
        </w:rPr>
      </w:sdtEndPr>
      <w:sdtContent>
        <w:p w:rsidR="009B2C03" w:rsidRDefault="00720895">
          <w:r>
            <w:t>在本报告书中，除非文义另有所指，下列词语具有如下含义：</w:t>
          </w:r>
        </w:p>
        <w:tbl>
          <w:tblPr>
            <w:tblStyle w:val="a6"/>
            <w:tblW w:w="0" w:type="auto"/>
            <w:tblLook w:val="04A0"/>
          </w:tblPr>
          <w:tblGrid>
            <w:gridCol w:w="2660"/>
            <w:gridCol w:w="1843"/>
            <w:gridCol w:w="4545"/>
          </w:tblGrid>
          <w:tr w:rsidR="00FA7B4B" w:rsidTr="00D45F5F">
            <w:tc>
              <w:tcPr>
                <w:tcW w:w="9048" w:type="dxa"/>
                <w:gridSpan w:val="3"/>
              </w:tcPr>
              <w:p w:rsidR="00FA7B4B" w:rsidRDefault="00FA7B4B" w:rsidP="00D45F5F">
                <w:r>
                  <w:t>常用词语释义</w:t>
                </w:r>
              </w:p>
            </w:tc>
          </w:tr>
          <w:sdt>
            <w:sdtPr>
              <w:rPr>
                <w:rFonts w:ascii="Calibri" w:eastAsiaTheme="minorEastAsia" w:hAnsi="Calibri" w:cstheme="minorBidi" w:hint="eastAsia"/>
                <w:kern w:val="2"/>
                <w:szCs w:val="21"/>
              </w:rPr>
              <w:alias w:val="释义"/>
              <w:tag w:val="_GBC_ca5c2cb7a4e545e2b2d9d1b94b528746"/>
              <w:id w:val="28102688"/>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686"/>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《公司法》</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687"/>
                    <w:lock w:val="sdtLocked"/>
                  </w:sdtPr>
                  <w:sdtContent>
                    <w:tc>
                      <w:tcPr>
                        <w:tcW w:w="4545" w:type="dxa"/>
                      </w:tcPr>
                      <w:p w:rsidR="00FA7B4B" w:rsidRDefault="00FA7B4B" w:rsidP="00D45F5F">
                        <w:pPr>
                          <w:rPr>
                            <w:szCs w:val="21"/>
                          </w:rPr>
                        </w:pPr>
                        <w:r>
                          <w:rPr>
                            <w:rFonts w:hint="eastAsia"/>
                            <w:szCs w:val="21"/>
                          </w:rPr>
                          <w:t>《中华人民共和国公司法》</w:t>
                        </w:r>
                      </w:p>
                    </w:tc>
                  </w:sdtContent>
                </w:sdt>
              </w:tr>
            </w:sdtContent>
          </w:sdt>
          <w:sdt>
            <w:sdtPr>
              <w:rPr>
                <w:rFonts w:ascii="Calibri" w:eastAsiaTheme="minorEastAsia" w:hAnsi="Calibri" w:cstheme="minorBidi" w:hint="eastAsia"/>
                <w:kern w:val="2"/>
                <w:szCs w:val="21"/>
              </w:rPr>
              <w:alias w:val="释义"/>
              <w:tag w:val="_GBC_ca5c2cb7a4e545e2b2d9d1b94b528746"/>
              <w:id w:val="28102691"/>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689"/>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《证券法》</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690"/>
                    <w:lock w:val="sdtLocked"/>
                  </w:sdtPr>
                  <w:sdtContent>
                    <w:tc>
                      <w:tcPr>
                        <w:tcW w:w="4545" w:type="dxa"/>
                      </w:tcPr>
                      <w:p w:rsidR="00FA7B4B" w:rsidRDefault="00FA7B4B" w:rsidP="00D45F5F">
                        <w:pPr>
                          <w:rPr>
                            <w:szCs w:val="21"/>
                          </w:rPr>
                        </w:pPr>
                        <w:r>
                          <w:rPr>
                            <w:rFonts w:hint="eastAsia"/>
                            <w:szCs w:val="21"/>
                          </w:rPr>
                          <w:t>《中华人民共和国证券法》</w:t>
                        </w:r>
                      </w:p>
                    </w:tc>
                  </w:sdtContent>
                </w:sdt>
              </w:tr>
            </w:sdtContent>
          </w:sdt>
          <w:sdt>
            <w:sdtPr>
              <w:rPr>
                <w:rFonts w:ascii="Calibri" w:eastAsiaTheme="minorEastAsia" w:hAnsi="Calibri" w:cstheme="minorBidi" w:hint="eastAsia"/>
                <w:kern w:val="2"/>
                <w:szCs w:val="21"/>
              </w:rPr>
              <w:alias w:val="释义"/>
              <w:tag w:val="_GBC_ca5c2cb7a4e545e2b2d9d1b94b528746"/>
              <w:id w:val="28102694"/>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692"/>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《公司章程》</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693"/>
                    <w:lock w:val="sdtLocked"/>
                  </w:sdtPr>
                  <w:sdtContent>
                    <w:tc>
                      <w:tcPr>
                        <w:tcW w:w="4545" w:type="dxa"/>
                      </w:tcPr>
                      <w:p w:rsidR="00FA7B4B" w:rsidRDefault="00FA7B4B" w:rsidP="00D45F5F">
                        <w:pPr>
                          <w:rPr>
                            <w:szCs w:val="21"/>
                          </w:rPr>
                        </w:pPr>
                        <w:r>
                          <w:rPr>
                            <w:rFonts w:hint="eastAsia"/>
                            <w:szCs w:val="21"/>
                          </w:rPr>
                          <w:t>《招商证券股份有限公司章程》</w:t>
                        </w:r>
                      </w:p>
                    </w:tc>
                  </w:sdtContent>
                </w:sdt>
              </w:tr>
            </w:sdtContent>
          </w:sdt>
          <w:sdt>
            <w:sdtPr>
              <w:rPr>
                <w:rFonts w:ascii="Calibri" w:eastAsiaTheme="minorEastAsia" w:hAnsi="Calibri" w:cstheme="minorBidi" w:hint="eastAsia"/>
                <w:kern w:val="2"/>
                <w:szCs w:val="21"/>
              </w:rPr>
              <w:alias w:val="释义"/>
              <w:tag w:val="_GBC_ca5c2cb7a4e545e2b2d9d1b94b528746"/>
              <w:id w:val="28102697"/>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695"/>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中国证监会</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696"/>
                    <w:lock w:val="sdtLocked"/>
                  </w:sdtPr>
                  <w:sdtContent>
                    <w:tc>
                      <w:tcPr>
                        <w:tcW w:w="4545" w:type="dxa"/>
                      </w:tcPr>
                      <w:p w:rsidR="00FA7B4B" w:rsidRDefault="00FA7B4B" w:rsidP="00D45F5F">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28102700"/>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698"/>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深圳证监局</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699"/>
                    <w:lock w:val="sdtLocked"/>
                  </w:sdtPr>
                  <w:sdtContent>
                    <w:tc>
                      <w:tcPr>
                        <w:tcW w:w="4545" w:type="dxa"/>
                      </w:tcPr>
                      <w:p w:rsidR="00FA7B4B" w:rsidRDefault="00FA7B4B" w:rsidP="00D45F5F">
                        <w:pPr>
                          <w:rPr>
                            <w:szCs w:val="21"/>
                          </w:rPr>
                        </w:pPr>
                        <w:r>
                          <w:rPr>
                            <w:rFonts w:hint="eastAsia"/>
                            <w:szCs w:val="21"/>
                          </w:rPr>
                          <w:t>中国证券监督管理委员会深圳证券监管局</w:t>
                        </w:r>
                      </w:p>
                    </w:tc>
                  </w:sdtContent>
                </w:sdt>
              </w:tr>
            </w:sdtContent>
          </w:sdt>
          <w:sdt>
            <w:sdtPr>
              <w:rPr>
                <w:rFonts w:ascii="Calibri" w:eastAsiaTheme="minorEastAsia" w:hAnsi="Calibri" w:cstheme="minorBidi" w:hint="eastAsia"/>
                <w:kern w:val="2"/>
                <w:szCs w:val="21"/>
              </w:rPr>
              <w:alias w:val="释义"/>
              <w:tag w:val="_GBC_ca5c2cb7a4e545e2b2d9d1b94b528746"/>
              <w:id w:val="28102703"/>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01"/>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国资委</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02"/>
                    <w:lock w:val="sdtLocked"/>
                  </w:sdtPr>
                  <w:sdtContent>
                    <w:tc>
                      <w:tcPr>
                        <w:tcW w:w="4545" w:type="dxa"/>
                      </w:tcPr>
                      <w:p w:rsidR="00FA7B4B" w:rsidRDefault="00FA7B4B" w:rsidP="00D45F5F">
                        <w:pPr>
                          <w:rPr>
                            <w:szCs w:val="21"/>
                          </w:rPr>
                        </w:pPr>
                        <w:r>
                          <w:rPr>
                            <w:rFonts w:hint="eastAsia"/>
                            <w:szCs w:val="21"/>
                          </w:rPr>
                          <w:t>国务院国有资产监督管理委员会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28102706"/>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04"/>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交易所</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05"/>
                    <w:lock w:val="sdtLocked"/>
                  </w:sdtPr>
                  <w:sdtContent>
                    <w:tc>
                      <w:tcPr>
                        <w:tcW w:w="4545" w:type="dxa"/>
                      </w:tcPr>
                      <w:p w:rsidR="00FA7B4B" w:rsidRDefault="00FA7B4B" w:rsidP="00D45F5F">
                        <w:pPr>
                          <w:rPr>
                            <w:szCs w:val="21"/>
                          </w:rPr>
                        </w:pPr>
                        <w:r>
                          <w:rPr>
                            <w:rFonts w:hint="eastAsia"/>
                            <w:szCs w:val="21"/>
                          </w:rPr>
                          <w:t>上海证券交易所和深圳证券交易所</w:t>
                        </w:r>
                      </w:p>
                    </w:tc>
                  </w:sdtContent>
                </w:sdt>
              </w:tr>
            </w:sdtContent>
          </w:sdt>
          <w:sdt>
            <w:sdtPr>
              <w:rPr>
                <w:rFonts w:ascii="Calibri" w:eastAsiaTheme="minorEastAsia" w:hAnsi="Calibri" w:cstheme="minorBidi" w:hint="eastAsia"/>
                <w:kern w:val="2"/>
                <w:szCs w:val="21"/>
              </w:rPr>
              <w:alias w:val="释义"/>
              <w:tag w:val="_GBC_ca5c2cb7a4e545e2b2d9d1b94b528746"/>
              <w:id w:val="28102709"/>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07"/>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上交所</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08"/>
                    <w:lock w:val="sdtLocked"/>
                  </w:sdtPr>
                  <w:sdtContent>
                    <w:tc>
                      <w:tcPr>
                        <w:tcW w:w="4545" w:type="dxa"/>
                      </w:tcPr>
                      <w:p w:rsidR="00FA7B4B" w:rsidRDefault="00FA7B4B" w:rsidP="00D45F5F">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GBC_ca5c2cb7a4e545e2b2d9d1b94b528746"/>
              <w:id w:val="28102712"/>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10"/>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中登公司</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11"/>
                    <w:lock w:val="sdtLocked"/>
                  </w:sdtPr>
                  <w:sdtContent>
                    <w:tc>
                      <w:tcPr>
                        <w:tcW w:w="4545" w:type="dxa"/>
                      </w:tcPr>
                      <w:p w:rsidR="00FA7B4B" w:rsidRDefault="00FA7B4B" w:rsidP="00D45F5F">
                        <w:pPr>
                          <w:rPr>
                            <w:szCs w:val="21"/>
                          </w:rPr>
                        </w:pPr>
                        <w:r>
                          <w:rPr>
                            <w:rFonts w:hint="eastAsia"/>
                            <w:szCs w:val="21"/>
                          </w:rPr>
                          <w:t>中国证券登记结算有限责任公司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28102715"/>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13"/>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本公司、公司、招商证券</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14"/>
                    <w:lock w:val="sdtLocked"/>
                  </w:sdtPr>
                  <w:sdtContent>
                    <w:tc>
                      <w:tcPr>
                        <w:tcW w:w="4545" w:type="dxa"/>
                      </w:tcPr>
                      <w:p w:rsidR="00FA7B4B" w:rsidRDefault="00FA7B4B" w:rsidP="00D45F5F">
                        <w:pPr>
                          <w:rPr>
                            <w:szCs w:val="21"/>
                          </w:rPr>
                        </w:pPr>
                        <w:r>
                          <w:rPr>
                            <w:rFonts w:hint="eastAsia"/>
                            <w:szCs w:val="21"/>
                          </w:rPr>
                          <w:t>招商证券股份有限公司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18"/>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16"/>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招商局集团</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17"/>
                    <w:lock w:val="sdtLocked"/>
                  </w:sdtPr>
                  <w:sdtContent>
                    <w:tc>
                      <w:tcPr>
                        <w:tcW w:w="4545" w:type="dxa"/>
                      </w:tcPr>
                      <w:p w:rsidR="00FA7B4B" w:rsidRDefault="00FA7B4B" w:rsidP="00D45F5F">
                        <w:pPr>
                          <w:rPr>
                            <w:szCs w:val="21"/>
                          </w:rPr>
                        </w:pPr>
                        <w:r>
                          <w:rPr>
                            <w:rFonts w:hint="eastAsia"/>
                            <w:szCs w:val="21"/>
                          </w:rPr>
                          <w:t>招商局集团有限公司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21"/>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19"/>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招融投资</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20"/>
                    <w:lock w:val="sdtLocked"/>
                  </w:sdtPr>
                  <w:sdtContent>
                    <w:tc>
                      <w:tcPr>
                        <w:tcW w:w="4545" w:type="dxa"/>
                      </w:tcPr>
                      <w:p w:rsidR="00FA7B4B" w:rsidRDefault="00FA7B4B" w:rsidP="00D45F5F">
                        <w:pPr>
                          <w:rPr>
                            <w:szCs w:val="21"/>
                          </w:rPr>
                        </w:pPr>
                        <w:r>
                          <w:rPr>
                            <w:rFonts w:hint="eastAsia"/>
                            <w:szCs w:val="21"/>
                          </w:rPr>
                          <w:t>深圳市招融投资控股有限公司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24"/>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22"/>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集盛投资</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23"/>
                    <w:lock w:val="sdtLocked"/>
                  </w:sdtPr>
                  <w:sdtContent>
                    <w:tc>
                      <w:tcPr>
                        <w:tcW w:w="4545" w:type="dxa"/>
                      </w:tcPr>
                      <w:p w:rsidR="00FA7B4B" w:rsidRDefault="00FA7B4B" w:rsidP="00D45F5F">
                        <w:pPr>
                          <w:rPr>
                            <w:szCs w:val="21"/>
                          </w:rPr>
                        </w:pPr>
                        <w:r>
                          <w:rPr>
                            <w:rFonts w:hint="eastAsia"/>
                            <w:szCs w:val="21"/>
                          </w:rPr>
                          <w:t>深圳市集盛投资发展有限公司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27"/>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25"/>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招商局轮船</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26"/>
                    <w:lock w:val="sdtLocked"/>
                  </w:sdtPr>
                  <w:sdtContent>
                    <w:tc>
                      <w:tcPr>
                        <w:tcW w:w="4545" w:type="dxa"/>
                      </w:tcPr>
                      <w:p w:rsidR="00FA7B4B" w:rsidRDefault="00FA7B4B" w:rsidP="00D45F5F">
                        <w:pPr>
                          <w:rPr>
                            <w:szCs w:val="21"/>
                          </w:rPr>
                        </w:pPr>
                        <w:r>
                          <w:rPr>
                            <w:rFonts w:hint="eastAsia"/>
                            <w:szCs w:val="21"/>
                          </w:rPr>
                          <w:t>招商局轮船股份有限公司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30"/>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28"/>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招商银行</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29"/>
                    <w:lock w:val="sdtLocked"/>
                  </w:sdtPr>
                  <w:sdtContent>
                    <w:tc>
                      <w:tcPr>
                        <w:tcW w:w="4545" w:type="dxa"/>
                      </w:tcPr>
                      <w:p w:rsidR="00FA7B4B" w:rsidRDefault="00FA7B4B" w:rsidP="00D45F5F">
                        <w:pPr>
                          <w:rPr>
                            <w:szCs w:val="21"/>
                          </w:rPr>
                        </w:pPr>
                        <w:r>
                          <w:rPr>
                            <w:rFonts w:hint="eastAsia"/>
                            <w:szCs w:val="21"/>
                          </w:rPr>
                          <w:t>招商银行股份有限公司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33"/>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31"/>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招证国际</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32"/>
                    <w:lock w:val="sdtLocked"/>
                  </w:sdtPr>
                  <w:sdtContent>
                    <w:tc>
                      <w:tcPr>
                        <w:tcW w:w="4545" w:type="dxa"/>
                      </w:tcPr>
                      <w:p w:rsidR="00FA7B4B" w:rsidRDefault="00FA7B4B" w:rsidP="00D45F5F">
                        <w:pPr>
                          <w:rPr>
                            <w:szCs w:val="21"/>
                          </w:rPr>
                        </w:pPr>
                        <w:r>
                          <w:rPr>
                            <w:rFonts w:hint="eastAsia"/>
                            <w:szCs w:val="21"/>
                          </w:rPr>
                          <w:t>招商证券国际有限公司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36"/>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34"/>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招商期货</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35"/>
                    <w:lock w:val="sdtLocked"/>
                  </w:sdtPr>
                  <w:sdtContent>
                    <w:tc>
                      <w:tcPr>
                        <w:tcW w:w="4545" w:type="dxa"/>
                      </w:tcPr>
                      <w:p w:rsidR="00FA7B4B" w:rsidRDefault="00FA7B4B" w:rsidP="00D45F5F">
                        <w:pPr>
                          <w:rPr>
                            <w:szCs w:val="21"/>
                          </w:rPr>
                        </w:pPr>
                        <w:r>
                          <w:rPr>
                            <w:rFonts w:hint="eastAsia"/>
                            <w:szCs w:val="21"/>
                          </w:rPr>
                          <w:t>招商期货有限公司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39"/>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37"/>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招商致远资本</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38"/>
                    <w:lock w:val="sdtLocked"/>
                  </w:sdtPr>
                  <w:sdtContent>
                    <w:tc>
                      <w:tcPr>
                        <w:tcW w:w="4545" w:type="dxa"/>
                      </w:tcPr>
                      <w:p w:rsidR="00FA7B4B" w:rsidRDefault="00FA7B4B" w:rsidP="00D45F5F">
                        <w:pPr>
                          <w:rPr>
                            <w:szCs w:val="21"/>
                          </w:rPr>
                        </w:pPr>
                        <w:r>
                          <w:rPr>
                            <w:rFonts w:hint="eastAsia"/>
                            <w:szCs w:val="21"/>
                          </w:rPr>
                          <w:t>招商致远资本投资有限公司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42"/>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40"/>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招商投资</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41"/>
                    <w:lock w:val="sdtLocked"/>
                  </w:sdtPr>
                  <w:sdtContent>
                    <w:tc>
                      <w:tcPr>
                        <w:tcW w:w="4545" w:type="dxa"/>
                      </w:tcPr>
                      <w:p w:rsidR="00FA7B4B" w:rsidRDefault="00FA7B4B" w:rsidP="00D45F5F">
                        <w:pPr>
                          <w:rPr>
                            <w:szCs w:val="21"/>
                          </w:rPr>
                        </w:pPr>
                        <w:r>
                          <w:rPr>
                            <w:rFonts w:hint="eastAsia"/>
                            <w:szCs w:val="21"/>
                          </w:rPr>
                          <w:t>招商证券投资有限公司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45"/>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43"/>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hAnsi="Calibri" w:hint="eastAsia"/>
                            <w:szCs w:val="21"/>
                          </w:rPr>
                          <w:t>招商资管</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44"/>
                    <w:lock w:val="sdtLocked"/>
                  </w:sdtPr>
                  <w:sdtContent>
                    <w:tc>
                      <w:tcPr>
                        <w:tcW w:w="4545" w:type="dxa"/>
                      </w:tcPr>
                      <w:p w:rsidR="00FA7B4B" w:rsidRDefault="00FA7B4B" w:rsidP="00D45F5F">
                        <w:pPr>
                          <w:rPr>
                            <w:szCs w:val="21"/>
                          </w:rPr>
                        </w:pPr>
                        <w:r>
                          <w:rPr>
                            <w:rFonts w:hint="eastAsia"/>
                            <w:szCs w:val="21"/>
                          </w:rPr>
                          <w:t>招商证券资产管理有限公司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48"/>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46"/>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博时基金</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47"/>
                    <w:lock w:val="sdtLocked"/>
                  </w:sdtPr>
                  <w:sdtContent>
                    <w:tc>
                      <w:tcPr>
                        <w:tcW w:w="4545" w:type="dxa"/>
                      </w:tcPr>
                      <w:p w:rsidR="00FA7B4B" w:rsidRDefault="00FA7B4B" w:rsidP="00D45F5F">
                        <w:pPr>
                          <w:rPr>
                            <w:szCs w:val="21"/>
                          </w:rPr>
                        </w:pPr>
                        <w:r>
                          <w:rPr>
                            <w:rFonts w:hint="eastAsia"/>
                            <w:szCs w:val="21"/>
                          </w:rPr>
                          <w:t>博时基金管理有限公司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51"/>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49"/>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招商基金</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50"/>
                    <w:lock w:val="sdtLocked"/>
                  </w:sdtPr>
                  <w:sdtContent>
                    <w:tc>
                      <w:tcPr>
                        <w:tcW w:w="4545" w:type="dxa"/>
                      </w:tcPr>
                      <w:p w:rsidR="00FA7B4B" w:rsidRDefault="00FA7B4B" w:rsidP="00D45F5F">
                        <w:pPr>
                          <w:rPr>
                            <w:szCs w:val="21"/>
                          </w:rPr>
                        </w:pPr>
                        <w:r>
                          <w:rPr>
                            <w:rFonts w:hint="eastAsia"/>
                            <w:szCs w:val="21"/>
                          </w:rPr>
                          <w:t>招商基金管理有限公司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54"/>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52"/>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sidRPr="00181FE2">
                          <w:rPr>
                            <w:rFonts w:hint="eastAsia"/>
                            <w:szCs w:val="21"/>
                          </w:rPr>
                          <w:t>上海新世纪</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53"/>
                    <w:lock w:val="sdtLocked"/>
                  </w:sdtPr>
                  <w:sdtContent>
                    <w:tc>
                      <w:tcPr>
                        <w:tcW w:w="4545" w:type="dxa"/>
                      </w:tcPr>
                      <w:p w:rsidR="00FA7B4B" w:rsidRDefault="00FA7B4B" w:rsidP="00D45F5F">
                        <w:pPr>
                          <w:rPr>
                            <w:szCs w:val="21"/>
                          </w:rPr>
                        </w:pPr>
                        <w:r w:rsidRPr="00181FE2">
                          <w:rPr>
                            <w:szCs w:val="21"/>
                          </w:rPr>
                          <w:t>上海新世纪资信评估投资服务有限公司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02757"/>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55"/>
                    <w:lock w:val="sdtLocked"/>
                  </w:sdtPr>
                  <w:sdtEndPr>
                    <w:rPr>
                      <w:rFonts w:ascii="Times New Roman" w:eastAsia="宋体" w:hAnsi="Times New Roman" w:cs="Times New Roman"/>
                      <w:kern w:val="0"/>
                    </w:rPr>
                  </w:sdtEndPr>
                  <w:sdtContent>
                    <w:tc>
                      <w:tcPr>
                        <w:tcW w:w="2660" w:type="dxa"/>
                      </w:tcPr>
                      <w:p w:rsidR="00FA7B4B" w:rsidRDefault="00FA7B4B" w:rsidP="00D45F5F">
                        <w:pPr>
                          <w:rPr>
                            <w:szCs w:val="21"/>
                          </w:rPr>
                        </w:pPr>
                        <w:r>
                          <w:rPr>
                            <w:rFonts w:ascii="Calibri" w:eastAsiaTheme="minorEastAsia" w:hAnsi="Calibri" w:cstheme="minorBidi" w:hint="eastAsia"/>
                            <w:kern w:val="2"/>
                            <w:szCs w:val="21"/>
                          </w:rPr>
                          <w:t>元、万元、亿元</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56"/>
                    <w:lock w:val="sdtLocked"/>
                  </w:sdtPr>
                  <w:sdtContent>
                    <w:tc>
                      <w:tcPr>
                        <w:tcW w:w="4545" w:type="dxa"/>
                      </w:tcPr>
                      <w:p w:rsidR="00FA7B4B" w:rsidRDefault="00FA7B4B" w:rsidP="00D45F5F">
                        <w:pPr>
                          <w:rPr>
                            <w:szCs w:val="21"/>
                          </w:rPr>
                        </w:pPr>
                        <w:r>
                          <w:rPr>
                            <w:rFonts w:hint="eastAsia"/>
                            <w:szCs w:val="21"/>
                          </w:rPr>
                          <w:t>人民币元、人民币万元、人民币亿元</w:t>
                        </w:r>
                      </w:p>
                    </w:tc>
                  </w:sdtContent>
                </w:sdt>
              </w:tr>
            </w:sdtContent>
          </w:sdt>
          <w:sdt>
            <w:sdtPr>
              <w:rPr>
                <w:rFonts w:ascii="Calibri" w:eastAsiaTheme="minorEastAsia" w:hAnsi="Calibri" w:cstheme="minorBidi" w:hint="eastAsia"/>
                <w:kern w:val="2"/>
                <w:szCs w:val="21"/>
              </w:rPr>
              <w:alias w:val="释义"/>
              <w:tag w:val="_GBC_ca5c2cb7a4e545e2b2d9d1b94b528746"/>
              <w:id w:val="28102760"/>
              <w:lock w:val="sdtLocked"/>
              <w:placeholder>
                <w:docPart w:val="A54A8EAA52314BD5BB7BF28926A40DE4"/>
              </w:placeholder>
            </w:sdtPr>
            <w:sdtContent>
              <w:tr w:rsidR="00FA7B4B" w:rsidTr="00D45F5F">
                <w:sdt>
                  <w:sdtPr>
                    <w:rPr>
                      <w:rFonts w:ascii="Calibri" w:eastAsiaTheme="minorEastAsia" w:hAnsi="Calibri" w:cstheme="minorBidi" w:hint="eastAsia"/>
                      <w:kern w:val="2"/>
                      <w:szCs w:val="21"/>
                    </w:rPr>
                    <w:alias w:val="常用词语"/>
                    <w:tag w:val="_GBC_c69fa7c1244840708cb11cdff80e2e4a"/>
                    <w:id w:val="28102758"/>
                    <w:lock w:val="sdtLocked"/>
                  </w:sdtPr>
                  <w:sdtEndPr>
                    <w:rPr>
                      <w:rFonts w:ascii="Times New Roman" w:eastAsia="宋体" w:hAnsi="Times New Roman" w:cs="Times New Roman"/>
                      <w:kern w:val="0"/>
                    </w:rPr>
                  </w:sdtEndPr>
                  <w:sdtContent>
                    <w:tc>
                      <w:tcPr>
                        <w:tcW w:w="2660" w:type="dxa"/>
                      </w:tcPr>
                      <w:p w:rsidR="00FA7B4B" w:rsidRDefault="00FA7B4B" w:rsidP="00FA7B4B">
                        <w:pPr>
                          <w:rPr>
                            <w:szCs w:val="21"/>
                          </w:rPr>
                        </w:pPr>
                        <w:r>
                          <w:rPr>
                            <w:rFonts w:ascii="Calibri" w:hAnsi="Calibri" w:hint="eastAsia"/>
                            <w:szCs w:val="21"/>
                          </w:rPr>
                          <w:t>上期</w:t>
                        </w:r>
                      </w:p>
                    </w:tc>
                  </w:sdtContent>
                </w:sdt>
                <w:tc>
                  <w:tcPr>
                    <w:tcW w:w="1843" w:type="dxa"/>
                  </w:tcPr>
                  <w:p w:rsidR="00FA7B4B" w:rsidRDefault="00FA7B4B" w:rsidP="00D45F5F">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02759"/>
                    <w:lock w:val="sdtLocked"/>
                  </w:sdtPr>
                  <w:sdtContent>
                    <w:tc>
                      <w:tcPr>
                        <w:tcW w:w="4545" w:type="dxa"/>
                      </w:tcPr>
                      <w:p w:rsidR="00FA7B4B" w:rsidRDefault="00FA7B4B" w:rsidP="00FA7B4B">
                        <w:pPr>
                          <w:rPr>
                            <w:szCs w:val="21"/>
                          </w:rPr>
                        </w:pPr>
                        <w:r>
                          <w:rPr>
                            <w:rFonts w:hint="eastAsia"/>
                            <w:szCs w:val="21"/>
                          </w:rPr>
                          <w:t>2014年1-6月</w:t>
                        </w:r>
                      </w:p>
                    </w:tc>
                  </w:sdtContent>
                </w:sdt>
              </w:tr>
            </w:sdtContent>
          </w:sdt>
        </w:tbl>
        <w:p w:rsidR="00FA7B4B" w:rsidRDefault="00FA7B4B"/>
        <w:p w:rsidR="00704CAD" w:rsidRDefault="00422DCA"/>
      </w:sdtContent>
    </w:sdt>
    <w:p w:rsidR="00704CAD" w:rsidRDefault="00704CAD"/>
    <w:p w:rsidR="00704CAD" w:rsidRDefault="00720895">
      <w:pPr>
        <w:pStyle w:val="10"/>
        <w:numPr>
          <w:ilvl w:val="0"/>
          <w:numId w:val="3"/>
        </w:numPr>
        <w:rPr>
          <w:color w:val="FF0000"/>
          <w:u w:val="single"/>
        </w:rPr>
      </w:pPr>
      <w:bookmarkStart w:id="3" w:name="_Toc421545509"/>
      <w:r>
        <w:rPr>
          <w:rFonts w:hint="eastAsia"/>
        </w:rPr>
        <w:t>公司简介</w:t>
      </w:r>
      <w:bookmarkEnd w:id="2"/>
      <w:bookmarkEnd w:id="3"/>
    </w:p>
    <w:bookmarkStart w:id="4" w:name="_Toc342051041" w:displacedByCustomXml="next"/>
    <w:bookmarkStart w:id="5" w:name="_Toc342565881" w:displacedByCustomXml="next"/>
    <w:sdt>
      <w:sdtPr>
        <w:rPr>
          <w:rFonts w:ascii="Calibri" w:hAnsi="Calibri" w:cs="宋体" w:hint="eastAsia"/>
          <w:b w:val="0"/>
          <w:bCs w:val="0"/>
          <w:kern w:val="0"/>
          <w:sz w:val="24"/>
          <w:szCs w:val="22"/>
        </w:rPr>
        <w:tag w:val="_GBC_aa763dfc67ed4eac9000c019cc1ff258"/>
        <w:id w:val="24719987"/>
        <w:lock w:val="sdtLocked"/>
        <w:placeholder>
          <w:docPart w:val="GBC22222222222222222222222222222"/>
        </w:placeholder>
      </w:sdtPr>
      <w:sdtEndPr>
        <w:rPr>
          <w:rFonts w:ascii="宋体" w:hAnsi="宋体" w:hint="default"/>
          <w:sz w:val="21"/>
          <w:szCs w:val="21"/>
        </w:rPr>
      </w:sdtEndPr>
      <w:sdtContent>
        <w:p w:rsidR="00704CAD" w:rsidRDefault="00720895">
          <w:pPr>
            <w:pStyle w:val="2"/>
            <w:numPr>
              <w:ilvl w:val="1"/>
              <w:numId w:val="4"/>
            </w:numPr>
            <w:ind w:left="566" w:hangingChars="236" w:hanging="566"/>
            <w:rPr>
              <w:color w:val="FF0000"/>
              <w:u w:val="single"/>
            </w:rPr>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704CAD" w:rsidTr="002B5CD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704CAD" w:rsidRDefault="00720895" w:rsidP="002B5CD2">
                <w:pPr>
                  <w:kinsoku w:val="0"/>
                  <w:overflowPunct w:val="0"/>
                  <w:autoSpaceDE w:val="0"/>
                  <w:autoSpaceDN w:val="0"/>
                  <w:adjustRightInd w:val="0"/>
                  <w:snapToGrid w:val="0"/>
                  <w:jc w:val="both"/>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vAlign w:val="center"/>
              </w:tcPr>
              <w:p w:rsidR="00704CAD" w:rsidRDefault="00422DCA" w:rsidP="002B5CD2">
                <w:pPr>
                  <w:kinsoku w:val="0"/>
                  <w:overflowPunct w:val="0"/>
                  <w:autoSpaceDE w:val="0"/>
                  <w:autoSpaceDN w:val="0"/>
                  <w:adjustRightInd w:val="0"/>
                  <w:snapToGrid w:val="0"/>
                  <w:jc w:val="both"/>
                  <w:rPr>
                    <w:color w:val="FFC000"/>
                    <w:szCs w:val="21"/>
                  </w:rPr>
                </w:pPr>
                <w:sdt>
                  <w:sdtPr>
                    <w:rPr>
                      <w:rFonts w:hint="eastAsia"/>
                      <w:szCs w:val="21"/>
                    </w:rPr>
                    <w:alias w:val="公司法定中文名称"/>
                    <w:tag w:val="_GBC_6f7f4fb261c84402a309f1371502ca4f"/>
                    <w:id w:val="24719981"/>
                    <w:lock w:val="sdtLocked"/>
                    <w:dataBinding w:prefixMappings="xmlns:clcid-cgi='clcid-cgi'" w:xpath="/*/clcid-cgi:GongSiFaDingZhongWenMingCheng" w:storeItemID="{89EBAB94-44A0-46A2-B712-30D997D04A6D}"/>
                    <w:text/>
                  </w:sdtPr>
                  <w:sdtContent>
                    <w:r w:rsidR="00720895">
                      <w:rPr>
                        <w:rFonts w:hint="eastAsia"/>
                        <w:szCs w:val="21"/>
                      </w:rPr>
                      <w:t>招商证券股份有限公司</w:t>
                    </w:r>
                  </w:sdtContent>
                </w:sdt>
              </w:p>
            </w:tc>
          </w:tr>
          <w:tr w:rsidR="00704CAD" w:rsidTr="002B5CD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704CAD" w:rsidRDefault="00720895" w:rsidP="002B5CD2">
                <w:pPr>
                  <w:kinsoku w:val="0"/>
                  <w:overflowPunct w:val="0"/>
                  <w:autoSpaceDE w:val="0"/>
                  <w:autoSpaceDN w:val="0"/>
                  <w:adjustRightInd w:val="0"/>
                  <w:snapToGrid w:val="0"/>
                  <w:jc w:val="both"/>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rsidR="00704CAD" w:rsidRDefault="00422DCA" w:rsidP="002B5CD2">
                <w:pPr>
                  <w:kinsoku w:val="0"/>
                  <w:overflowPunct w:val="0"/>
                  <w:autoSpaceDE w:val="0"/>
                  <w:autoSpaceDN w:val="0"/>
                  <w:adjustRightInd w:val="0"/>
                  <w:snapToGrid w:val="0"/>
                  <w:jc w:val="both"/>
                  <w:rPr>
                    <w:color w:val="FFC000"/>
                    <w:szCs w:val="21"/>
                  </w:rPr>
                </w:pPr>
                <w:sdt>
                  <w:sdtPr>
                    <w:rPr>
                      <w:rFonts w:hint="eastAsia"/>
                      <w:szCs w:val="21"/>
                    </w:rPr>
                    <w:alias w:val="公司法定中文简称"/>
                    <w:tag w:val="_GBC_81d015910ffd41a79aab9b534ae23bf9"/>
                    <w:id w:val="24719982"/>
                    <w:lock w:val="sdtLocked"/>
                  </w:sdtPr>
                  <w:sdtContent>
                    <w:r w:rsidR="002B5CD2">
                      <w:rPr>
                        <w:rFonts w:hint="eastAsia"/>
                        <w:szCs w:val="21"/>
                      </w:rPr>
                      <w:t>招商证券</w:t>
                    </w:r>
                  </w:sdtContent>
                </w:sdt>
              </w:p>
            </w:tc>
          </w:tr>
          <w:tr w:rsidR="00704CAD" w:rsidTr="002B5CD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704CAD" w:rsidRDefault="00720895" w:rsidP="002B5CD2">
                <w:pPr>
                  <w:kinsoku w:val="0"/>
                  <w:overflowPunct w:val="0"/>
                  <w:autoSpaceDE w:val="0"/>
                  <w:autoSpaceDN w:val="0"/>
                  <w:adjustRightInd w:val="0"/>
                  <w:snapToGrid w:val="0"/>
                  <w:jc w:val="both"/>
                  <w:rPr>
                    <w:szCs w:val="21"/>
                  </w:rPr>
                </w:pPr>
                <w:r>
                  <w:rPr>
                    <w:szCs w:val="21"/>
                  </w:rPr>
                  <w:t>公司的外文名称</w:t>
                </w:r>
              </w:p>
            </w:tc>
            <w:sdt>
              <w:sdtPr>
                <w:rPr>
                  <w:rFonts w:hint="eastAsia"/>
                  <w:szCs w:val="21"/>
                </w:rPr>
                <w:alias w:val="公司法定英文名称"/>
                <w:tag w:val="_GBC_76bb9d00facc46729fc189f07997be20"/>
                <w:id w:val="24719983"/>
                <w:lock w:val="sdtLocked"/>
              </w:sdtPr>
              <w:sdtContent>
                <w:tc>
                  <w:tcPr>
                    <w:tcW w:w="2831" w:type="pct"/>
                    <w:tcBorders>
                      <w:top w:val="single" w:sz="4" w:space="0" w:color="auto"/>
                      <w:left w:val="single" w:sz="4" w:space="0" w:color="auto"/>
                      <w:bottom w:val="single" w:sz="4" w:space="0" w:color="auto"/>
                    </w:tcBorders>
                    <w:vAlign w:val="center"/>
                  </w:tcPr>
                  <w:p w:rsidR="00704CAD" w:rsidRDefault="002B5CD2" w:rsidP="002B5CD2">
                    <w:pPr>
                      <w:kinsoku w:val="0"/>
                      <w:overflowPunct w:val="0"/>
                      <w:autoSpaceDE w:val="0"/>
                      <w:autoSpaceDN w:val="0"/>
                      <w:adjustRightInd w:val="0"/>
                      <w:snapToGrid w:val="0"/>
                      <w:jc w:val="both"/>
                      <w:rPr>
                        <w:szCs w:val="21"/>
                      </w:rPr>
                    </w:pPr>
                    <w:r>
                      <w:rPr>
                        <w:szCs w:val="21"/>
                      </w:rPr>
                      <w:t>CHINA MERCHANTS SECURITIES CO.,LTD</w:t>
                    </w:r>
                  </w:p>
                </w:tc>
              </w:sdtContent>
            </w:sdt>
          </w:tr>
          <w:tr w:rsidR="00704CAD" w:rsidTr="002B5CD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704CAD" w:rsidRDefault="00720895" w:rsidP="002B5CD2">
                <w:pPr>
                  <w:kinsoku w:val="0"/>
                  <w:overflowPunct w:val="0"/>
                  <w:autoSpaceDE w:val="0"/>
                  <w:autoSpaceDN w:val="0"/>
                  <w:adjustRightInd w:val="0"/>
                  <w:snapToGrid w:val="0"/>
                  <w:jc w:val="both"/>
                  <w:rPr>
                    <w:szCs w:val="21"/>
                  </w:rPr>
                </w:pPr>
                <w:r>
                  <w:rPr>
                    <w:szCs w:val="21"/>
                  </w:rPr>
                  <w:t>公司的外文名称缩写</w:t>
                </w:r>
              </w:p>
            </w:tc>
            <w:sdt>
              <w:sdtPr>
                <w:rPr>
                  <w:rFonts w:hint="eastAsia"/>
                  <w:szCs w:val="21"/>
                </w:rPr>
                <w:alias w:val="公司法定英文名称缩写"/>
                <w:tag w:val="_GBC_9e3d2f7031f94463b9229ceb00e67a06"/>
                <w:id w:val="24719984"/>
                <w:lock w:val="sdtLocked"/>
              </w:sdtPr>
              <w:sdtContent>
                <w:tc>
                  <w:tcPr>
                    <w:tcW w:w="2831" w:type="pct"/>
                    <w:tcBorders>
                      <w:top w:val="single" w:sz="4" w:space="0" w:color="auto"/>
                      <w:left w:val="single" w:sz="4" w:space="0" w:color="auto"/>
                      <w:bottom w:val="single" w:sz="4" w:space="0" w:color="auto"/>
                    </w:tcBorders>
                    <w:vAlign w:val="center"/>
                  </w:tcPr>
                  <w:p w:rsidR="00704CAD" w:rsidRDefault="002B5CD2" w:rsidP="002B5CD2">
                    <w:pPr>
                      <w:kinsoku w:val="0"/>
                      <w:overflowPunct w:val="0"/>
                      <w:autoSpaceDE w:val="0"/>
                      <w:autoSpaceDN w:val="0"/>
                      <w:adjustRightInd w:val="0"/>
                      <w:snapToGrid w:val="0"/>
                      <w:jc w:val="both"/>
                      <w:rPr>
                        <w:szCs w:val="21"/>
                      </w:rPr>
                    </w:pPr>
                    <w:r>
                      <w:rPr>
                        <w:szCs w:val="21"/>
                      </w:rPr>
                      <w:t>CMS</w:t>
                    </w:r>
                  </w:p>
                </w:tc>
              </w:sdtContent>
            </w:sdt>
          </w:tr>
          <w:tr w:rsidR="00704CAD" w:rsidTr="002B5CD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704CAD" w:rsidRDefault="00720895" w:rsidP="002B5CD2">
                <w:pPr>
                  <w:kinsoku w:val="0"/>
                  <w:overflowPunct w:val="0"/>
                  <w:autoSpaceDE w:val="0"/>
                  <w:autoSpaceDN w:val="0"/>
                  <w:adjustRightInd w:val="0"/>
                  <w:snapToGrid w:val="0"/>
                  <w:jc w:val="both"/>
                  <w:rPr>
                    <w:szCs w:val="21"/>
                  </w:rPr>
                </w:pPr>
                <w:r>
                  <w:rPr>
                    <w:szCs w:val="21"/>
                  </w:rPr>
                  <w:t>公司的法定代表人</w:t>
                </w:r>
              </w:p>
            </w:tc>
            <w:sdt>
              <w:sdtPr>
                <w:rPr>
                  <w:rFonts w:hint="eastAsia"/>
                  <w:szCs w:val="21"/>
                </w:rPr>
                <w:alias w:val="公司法定代表人"/>
                <w:tag w:val="_GBC_71327a0d8afa49e1aba9d42a68663413"/>
                <w:id w:val="24719985"/>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704CAD" w:rsidRDefault="00A9773C" w:rsidP="002B5CD2">
                    <w:pPr>
                      <w:kinsoku w:val="0"/>
                      <w:overflowPunct w:val="0"/>
                      <w:autoSpaceDE w:val="0"/>
                      <w:autoSpaceDN w:val="0"/>
                      <w:adjustRightInd w:val="0"/>
                      <w:snapToGrid w:val="0"/>
                      <w:jc w:val="both"/>
                      <w:rPr>
                        <w:szCs w:val="21"/>
                      </w:rPr>
                    </w:pPr>
                    <w:r>
                      <w:rPr>
                        <w:rFonts w:hint="eastAsia"/>
                        <w:szCs w:val="21"/>
                      </w:rPr>
                      <w:t xml:space="preserve">宫少林      </w:t>
                    </w:r>
                  </w:p>
                </w:tc>
              </w:sdtContent>
            </w:sdt>
          </w:tr>
          <w:tr w:rsidR="00704CAD" w:rsidTr="002B5CD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704CAD" w:rsidRDefault="00720895" w:rsidP="002B5CD2">
                <w:pPr>
                  <w:kinsoku w:val="0"/>
                  <w:overflowPunct w:val="0"/>
                  <w:autoSpaceDE w:val="0"/>
                  <w:autoSpaceDN w:val="0"/>
                  <w:adjustRightInd w:val="0"/>
                  <w:snapToGrid w:val="0"/>
                  <w:jc w:val="both"/>
                  <w:rPr>
                    <w:szCs w:val="21"/>
                  </w:rPr>
                </w:pPr>
                <w:r>
                  <w:rPr>
                    <w:rFonts w:hint="eastAsia"/>
                    <w:szCs w:val="21"/>
                  </w:rPr>
                  <w:t>公司总经理</w:t>
                </w:r>
              </w:p>
            </w:tc>
            <w:sdt>
              <w:sdtPr>
                <w:rPr>
                  <w:szCs w:val="21"/>
                </w:rPr>
                <w:alias w:val="公司总经理姓名"/>
                <w:tag w:val="_GBC_5b94203d579a418094d2bb3251d58b29"/>
                <w:id w:val="24719986"/>
                <w:lock w:val="sdtLocked"/>
              </w:sdtPr>
              <w:sdtContent>
                <w:tc>
                  <w:tcPr>
                    <w:tcW w:w="2831" w:type="pct"/>
                    <w:tcBorders>
                      <w:top w:val="single" w:sz="4" w:space="0" w:color="auto"/>
                      <w:left w:val="single" w:sz="4" w:space="0" w:color="auto"/>
                      <w:bottom w:val="single" w:sz="4" w:space="0" w:color="auto"/>
                    </w:tcBorders>
                    <w:vAlign w:val="center"/>
                  </w:tcPr>
                  <w:p w:rsidR="00704CAD" w:rsidRDefault="002B5CD2" w:rsidP="002B5CD2">
                    <w:pPr>
                      <w:kinsoku w:val="0"/>
                      <w:overflowPunct w:val="0"/>
                      <w:autoSpaceDE w:val="0"/>
                      <w:autoSpaceDN w:val="0"/>
                      <w:adjustRightInd w:val="0"/>
                      <w:snapToGrid w:val="0"/>
                      <w:jc w:val="both"/>
                      <w:rPr>
                        <w:szCs w:val="21"/>
                      </w:rPr>
                    </w:pPr>
                    <w:r>
                      <w:rPr>
                        <w:rFonts w:hint="eastAsia"/>
                        <w:szCs w:val="21"/>
                      </w:rPr>
                      <w:t>王岩</w:t>
                    </w:r>
                  </w:p>
                </w:tc>
              </w:sdtContent>
            </w:sdt>
          </w:tr>
        </w:tbl>
      </w:sdtContent>
    </w:sdt>
    <w:p w:rsidR="00704CAD" w:rsidRDefault="00704CAD">
      <w:pPr>
        <w:kinsoku w:val="0"/>
        <w:overflowPunct w:val="0"/>
        <w:autoSpaceDE w:val="0"/>
        <w:autoSpaceDN w:val="0"/>
        <w:adjustRightInd w:val="0"/>
        <w:snapToGrid w:val="0"/>
        <w:rPr>
          <w:szCs w:val="21"/>
        </w:rPr>
      </w:pPr>
    </w:p>
    <w:p w:rsidR="001276A9" w:rsidRDefault="001276A9">
      <w:pPr>
        <w:kinsoku w:val="0"/>
        <w:overflowPunct w:val="0"/>
        <w:autoSpaceDE w:val="0"/>
        <w:autoSpaceDN w:val="0"/>
        <w:adjustRightInd w:val="0"/>
        <w:snapToGrid w:val="0"/>
        <w:rPr>
          <w:szCs w:val="21"/>
        </w:rPr>
      </w:pPr>
    </w:p>
    <w:sdt>
      <w:sdtPr>
        <w:rPr>
          <w:rFonts w:hint="eastAsia"/>
          <w:szCs w:val="21"/>
        </w:rPr>
        <w:tag w:val="_GBC_e8e5851b3ed7404bb103855327ee73aa"/>
        <w:id w:val="24719992"/>
        <w:lock w:val="sdtLocked"/>
        <w:placeholder>
          <w:docPart w:val="GBC22222222222222222222222222222"/>
        </w:placeholder>
      </w:sdtPr>
      <w:sdtContent>
        <w:p w:rsidR="00704CAD" w:rsidRDefault="00720895">
          <w:pPr>
            <w:kinsoku w:val="0"/>
            <w:overflowPunct w:val="0"/>
            <w:autoSpaceDE w:val="0"/>
            <w:autoSpaceDN w:val="0"/>
            <w:adjustRightInd w:val="0"/>
            <w:snapToGrid w:val="0"/>
            <w:rPr>
              <w:szCs w:val="21"/>
            </w:rPr>
          </w:pPr>
          <w:r>
            <w:rPr>
              <w:rFonts w:hint="eastAsia"/>
              <w:szCs w:val="21"/>
            </w:rPr>
            <w:t>注册资本和净资本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8"/>
            <w:gridCol w:w="2988"/>
            <w:gridCol w:w="2563"/>
          </w:tblGrid>
          <w:tr w:rsidR="00704CAD" w:rsidTr="004159D2">
            <w:tc>
              <w:tcPr>
                <w:tcW w:w="1933" w:type="pct"/>
              </w:tcPr>
              <w:p w:rsidR="00704CAD" w:rsidRDefault="00704CAD">
                <w:pPr>
                  <w:widowControl w:val="0"/>
                  <w:kinsoku w:val="0"/>
                  <w:overflowPunct w:val="0"/>
                  <w:autoSpaceDE w:val="0"/>
                  <w:autoSpaceDN w:val="0"/>
                  <w:adjustRightInd w:val="0"/>
                  <w:snapToGrid w:val="0"/>
                  <w:jc w:val="both"/>
                  <w:rPr>
                    <w:szCs w:val="21"/>
                  </w:rPr>
                </w:pPr>
              </w:p>
            </w:tc>
            <w:tc>
              <w:tcPr>
                <w:tcW w:w="1651" w:type="pct"/>
                <w:vAlign w:val="center"/>
              </w:tcPr>
              <w:p w:rsidR="00704CAD" w:rsidRDefault="00720895">
                <w:pPr>
                  <w:widowControl w:val="0"/>
                  <w:kinsoku w:val="0"/>
                  <w:overflowPunct w:val="0"/>
                  <w:autoSpaceDE w:val="0"/>
                  <w:autoSpaceDN w:val="0"/>
                  <w:adjustRightInd w:val="0"/>
                  <w:snapToGrid w:val="0"/>
                  <w:jc w:val="center"/>
                  <w:rPr>
                    <w:szCs w:val="21"/>
                  </w:rPr>
                </w:pPr>
                <w:r>
                  <w:rPr>
                    <w:rFonts w:hint="eastAsia"/>
                    <w:szCs w:val="21"/>
                  </w:rPr>
                  <w:t>本报告期末</w:t>
                </w:r>
              </w:p>
            </w:tc>
            <w:tc>
              <w:tcPr>
                <w:tcW w:w="1416" w:type="pct"/>
                <w:vAlign w:val="center"/>
              </w:tcPr>
              <w:p w:rsidR="00704CAD" w:rsidRDefault="00720895">
                <w:pPr>
                  <w:widowControl w:val="0"/>
                  <w:kinsoku w:val="0"/>
                  <w:overflowPunct w:val="0"/>
                  <w:autoSpaceDE w:val="0"/>
                  <w:autoSpaceDN w:val="0"/>
                  <w:adjustRightInd w:val="0"/>
                  <w:snapToGrid w:val="0"/>
                  <w:jc w:val="center"/>
                  <w:rPr>
                    <w:szCs w:val="21"/>
                  </w:rPr>
                </w:pPr>
                <w:r>
                  <w:rPr>
                    <w:rFonts w:hint="eastAsia"/>
                    <w:szCs w:val="21"/>
                  </w:rPr>
                  <w:t>上年度末</w:t>
                </w:r>
              </w:p>
            </w:tc>
          </w:tr>
          <w:tr w:rsidR="00704CAD" w:rsidTr="004159D2">
            <w:tc>
              <w:tcPr>
                <w:tcW w:w="1933" w:type="pct"/>
              </w:tcPr>
              <w:p w:rsidR="00704CAD" w:rsidRDefault="00720895">
                <w:pPr>
                  <w:widowControl w:val="0"/>
                  <w:kinsoku w:val="0"/>
                  <w:overflowPunct w:val="0"/>
                  <w:autoSpaceDE w:val="0"/>
                  <w:autoSpaceDN w:val="0"/>
                  <w:adjustRightInd w:val="0"/>
                  <w:snapToGrid w:val="0"/>
                  <w:jc w:val="both"/>
                  <w:rPr>
                    <w:szCs w:val="21"/>
                  </w:rPr>
                </w:pPr>
                <w:r>
                  <w:rPr>
                    <w:rFonts w:hint="eastAsia"/>
                    <w:szCs w:val="21"/>
                  </w:rPr>
                  <w:t>注册资本</w:t>
                </w:r>
              </w:p>
            </w:tc>
            <w:sdt>
              <w:sdtPr>
                <w:rPr>
                  <w:rFonts w:hint="eastAsia"/>
                  <w:szCs w:val="21"/>
                </w:rPr>
                <w:alias w:val="公司注册资本"/>
                <w:tag w:val="_GBC_995a81e4ba704dd28c8adedf65f420ca"/>
                <w:id w:val="24719988"/>
                <w:lock w:val="sdtLocked"/>
              </w:sdtPr>
              <w:sdtEndPr>
                <w:rPr>
                  <w:rFonts w:hint="default"/>
                </w:rPr>
              </w:sdtEndPr>
              <w:sdtContent>
                <w:tc>
                  <w:tcPr>
                    <w:tcW w:w="1651" w:type="pct"/>
                  </w:tcPr>
                  <w:p w:rsidR="00704CAD" w:rsidRDefault="00AF2910">
                    <w:pPr>
                      <w:widowControl w:val="0"/>
                      <w:kinsoku w:val="0"/>
                      <w:overflowPunct w:val="0"/>
                      <w:autoSpaceDE w:val="0"/>
                      <w:autoSpaceDN w:val="0"/>
                      <w:adjustRightInd w:val="0"/>
                      <w:snapToGrid w:val="0"/>
                      <w:jc w:val="right"/>
                      <w:rPr>
                        <w:szCs w:val="21"/>
                      </w:rPr>
                    </w:pPr>
                    <w:r>
                      <w:rPr>
                        <w:szCs w:val="21"/>
                      </w:rPr>
                      <w:t>5,808,135,529.00元</w:t>
                    </w:r>
                  </w:p>
                </w:tc>
              </w:sdtContent>
            </w:sdt>
            <w:sdt>
              <w:sdtPr>
                <w:rPr>
                  <w:rFonts w:hint="eastAsia"/>
                  <w:szCs w:val="21"/>
                </w:rPr>
                <w:alias w:val="公司注册资本"/>
                <w:tag w:val="_GBC_4a98c95803844103a4fd3e23d1d990bb"/>
                <w:id w:val="24719989"/>
                <w:lock w:val="sdtLocked"/>
              </w:sdtPr>
              <w:sdtEndPr>
                <w:rPr>
                  <w:rFonts w:hint="default"/>
                </w:rPr>
              </w:sdtEndPr>
              <w:sdtContent>
                <w:tc>
                  <w:tcPr>
                    <w:tcW w:w="1416" w:type="pct"/>
                  </w:tcPr>
                  <w:p w:rsidR="00704CAD" w:rsidRDefault="00204FC0">
                    <w:pPr>
                      <w:widowControl w:val="0"/>
                      <w:kinsoku w:val="0"/>
                      <w:overflowPunct w:val="0"/>
                      <w:autoSpaceDE w:val="0"/>
                      <w:autoSpaceDN w:val="0"/>
                      <w:adjustRightInd w:val="0"/>
                      <w:snapToGrid w:val="0"/>
                      <w:jc w:val="right"/>
                      <w:rPr>
                        <w:szCs w:val="21"/>
                      </w:rPr>
                    </w:pPr>
                    <w:r>
                      <w:rPr>
                        <w:szCs w:val="21"/>
                      </w:rPr>
                      <w:t>5,808,135,529.00元</w:t>
                    </w:r>
                  </w:p>
                </w:tc>
              </w:sdtContent>
            </w:sdt>
          </w:tr>
          <w:tr w:rsidR="00704CAD" w:rsidTr="004159D2">
            <w:tc>
              <w:tcPr>
                <w:tcW w:w="1933" w:type="pct"/>
              </w:tcPr>
              <w:p w:rsidR="00704CAD" w:rsidRDefault="00720895">
                <w:pPr>
                  <w:widowControl w:val="0"/>
                  <w:kinsoku w:val="0"/>
                  <w:overflowPunct w:val="0"/>
                  <w:autoSpaceDE w:val="0"/>
                  <w:autoSpaceDN w:val="0"/>
                  <w:adjustRightInd w:val="0"/>
                  <w:snapToGrid w:val="0"/>
                  <w:jc w:val="both"/>
                  <w:rPr>
                    <w:szCs w:val="21"/>
                  </w:rPr>
                </w:pPr>
                <w:r>
                  <w:rPr>
                    <w:rFonts w:hint="eastAsia"/>
                    <w:szCs w:val="21"/>
                  </w:rPr>
                  <w:t>净资本</w:t>
                </w:r>
              </w:p>
            </w:tc>
            <w:sdt>
              <w:sdtPr>
                <w:rPr>
                  <w:szCs w:val="21"/>
                </w:rPr>
                <w:alias w:val="公司净资本"/>
                <w:tag w:val="_GBC_66a09fa8dd1944f99a0c0f9b8ac668a4"/>
                <w:id w:val="24719990"/>
                <w:lock w:val="sdtLocked"/>
              </w:sdtPr>
              <w:sdtContent>
                <w:tc>
                  <w:tcPr>
                    <w:tcW w:w="1651" w:type="pct"/>
                  </w:tcPr>
                  <w:p w:rsidR="00704CAD" w:rsidRDefault="00481968">
                    <w:pPr>
                      <w:widowControl w:val="0"/>
                      <w:kinsoku w:val="0"/>
                      <w:overflowPunct w:val="0"/>
                      <w:autoSpaceDE w:val="0"/>
                      <w:autoSpaceDN w:val="0"/>
                      <w:adjustRightInd w:val="0"/>
                      <w:snapToGrid w:val="0"/>
                      <w:jc w:val="right"/>
                      <w:rPr>
                        <w:szCs w:val="21"/>
                      </w:rPr>
                    </w:pPr>
                    <w:r w:rsidRPr="001F3DF0">
                      <w:rPr>
                        <w:rFonts w:asciiTheme="minorEastAsia" w:eastAsiaTheme="minorEastAsia" w:hAnsiTheme="minorEastAsia" w:cs="Times New Roman"/>
                        <w:bCs/>
                        <w:szCs w:val="21"/>
                      </w:rPr>
                      <w:t>37,484,109,111.42</w:t>
                    </w:r>
                    <w:r w:rsidR="001F7BA0">
                      <w:rPr>
                        <w:rFonts w:asciiTheme="minorEastAsia" w:eastAsiaTheme="minorEastAsia" w:hAnsiTheme="minorEastAsia" w:cs="Times New Roman" w:hint="eastAsia"/>
                        <w:bCs/>
                        <w:szCs w:val="21"/>
                      </w:rPr>
                      <w:t>元</w:t>
                    </w:r>
                  </w:p>
                </w:tc>
              </w:sdtContent>
            </w:sdt>
            <w:sdt>
              <w:sdtPr>
                <w:rPr>
                  <w:szCs w:val="21"/>
                </w:rPr>
                <w:alias w:val="公司净资本"/>
                <w:tag w:val="_GBC_cd32b4544c0d4ced8f06b5d2a8c57020"/>
                <w:id w:val="24719991"/>
                <w:lock w:val="sdtLocked"/>
              </w:sdtPr>
              <w:sdtContent>
                <w:tc>
                  <w:tcPr>
                    <w:tcW w:w="1416" w:type="pct"/>
                  </w:tcPr>
                  <w:p w:rsidR="00704CAD" w:rsidRDefault="00204FC0">
                    <w:pPr>
                      <w:widowControl w:val="0"/>
                      <w:kinsoku w:val="0"/>
                      <w:overflowPunct w:val="0"/>
                      <w:autoSpaceDE w:val="0"/>
                      <w:autoSpaceDN w:val="0"/>
                      <w:adjustRightInd w:val="0"/>
                      <w:snapToGrid w:val="0"/>
                      <w:jc w:val="right"/>
                      <w:rPr>
                        <w:szCs w:val="21"/>
                      </w:rPr>
                    </w:pPr>
                    <w:r>
                      <w:rPr>
                        <w:szCs w:val="21"/>
                      </w:rPr>
                      <w:t>25,448,851,398.36元</w:t>
                    </w:r>
                  </w:p>
                </w:tc>
              </w:sdtContent>
            </w:sdt>
          </w:tr>
        </w:tbl>
        <w:p w:rsidR="001276A9" w:rsidRDefault="001276A9">
          <w:pPr>
            <w:kinsoku w:val="0"/>
            <w:overflowPunct w:val="0"/>
            <w:autoSpaceDE w:val="0"/>
            <w:autoSpaceDN w:val="0"/>
            <w:adjustRightInd w:val="0"/>
            <w:snapToGrid w:val="0"/>
            <w:rPr>
              <w:szCs w:val="21"/>
            </w:rPr>
          </w:pPr>
        </w:p>
        <w:p w:rsidR="00704CAD" w:rsidRDefault="00422DCA">
          <w:pPr>
            <w:kinsoku w:val="0"/>
            <w:overflowPunct w:val="0"/>
            <w:autoSpaceDE w:val="0"/>
            <w:autoSpaceDN w:val="0"/>
            <w:adjustRightInd w:val="0"/>
            <w:snapToGrid w:val="0"/>
            <w:rPr>
              <w:szCs w:val="21"/>
            </w:rPr>
          </w:pPr>
        </w:p>
      </w:sdtContent>
    </w:sdt>
    <w:sdt>
      <w:sdtPr>
        <w:rPr>
          <w:rFonts w:hint="eastAsia"/>
          <w:szCs w:val="21"/>
        </w:rPr>
        <w:tag w:val="_GBC_66adf68361f249229d607f6672d31ad5"/>
        <w:id w:val="24719994"/>
        <w:lock w:val="sdtLocked"/>
        <w:placeholder>
          <w:docPart w:val="GBC22222222222222222222222222222"/>
        </w:placeholder>
      </w:sdtPr>
      <w:sdtContent>
        <w:p w:rsidR="00704CAD" w:rsidRDefault="00720895" w:rsidP="001276A9">
          <w:pPr>
            <w:kinsoku w:val="0"/>
            <w:overflowPunct w:val="0"/>
            <w:autoSpaceDE w:val="0"/>
            <w:autoSpaceDN w:val="0"/>
            <w:adjustRightInd w:val="0"/>
            <w:snapToGrid w:val="0"/>
            <w:spacing w:line="360" w:lineRule="auto"/>
            <w:rPr>
              <w:szCs w:val="21"/>
            </w:rPr>
          </w:pPr>
          <w:r>
            <w:rPr>
              <w:rFonts w:hint="eastAsia"/>
              <w:szCs w:val="21"/>
            </w:rPr>
            <w:t>公司的各单项业务资格情况</w:t>
          </w:r>
        </w:p>
        <w:sdt>
          <w:sdtPr>
            <w:rPr>
              <w:rFonts w:hint="eastAsia"/>
              <w:szCs w:val="21"/>
            </w:rPr>
            <w:alias w:val="各单项业务资格的情况"/>
            <w:tag w:val="_GBC_fe5e9e4271c948fb937fbaf76d3aa88e"/>
            <w:id w:val="24719993"/>
            <w:lock w:val="sdtLocked"/>
            <w:placeholder>
              <w:docPart w:val="GBC22222222222222222222222222222"/>
            </w:placeholder>
          </w:sdtPr>
          <w:sdtContent>
            <w:p w:rsidR="009A32A8" w:rsidRDefault="009A32A8" w:rsidP="001276A9">
              <w:pPr>
                <w:spacing w:line="360" w:lineRule="auto"/>
                <w:ind w:firstLineChars="200" w:firstLine="420"/>
                <w:rPr>
                  <w:rFonts w:asciiTheme="minorEastAsia" w:eastAsiaTheme="minorEastAsia" w:hAnsiTheme="minorEastAsia"/>
                  <w:szCs w:val="21"/>
                </w:rPr>
              </w:pPr>
              <w:r w:rsidRPr="009A32A8">
                <w:rPr>
                  <w:rFonts w:asciiTheme="minorEastAsia" w:eastAsiaTheme="minorEastAsia" w:hAnsiTheme="minorEastAsia" w:hint="eastAsia"/>
                  <w:szCs w:val="21"/>
                </w:rPr>
                <w:t>公司拥有中国证券业协会会员资格（会员代码：185053）、上海证券交易所会员资格（会员编号：0037）和深圳证券交易所会员资格（会员编号：000011）。公司拥有的各单项业务资格如下：</w:t>
              </w:r>
            </w:p>
            <w:tbl>
              <w:tblPr>
                <w:tblW w:w="5303" w:type="pct"/>
                <w:jc w:val="center"/>
                <w:tblLook w:val="04A0"/>
              </w:tblPr>
              <w:tblGrid>
                <w:gridCol w:w="1019"/>
                <w:gridCol w:w="4063"/>
                <w:gridCol w:w="3008"/>
                <w:gridCol w:w="1507"/>
              </w:tblGrid>
              <w:tr w:rsidR="002E3EBE" w:rsidRPr="00181D4D" w:rsidTr="00A46D15">
                <w:trPr>
                  <w:trHeight w:val="295"/>
                  <w:tblHeader/>
                  <w:jc w:val="center"/>
                </w:trPr>
                <w:tc>
                  <w:tcPr>
                    <w:tcW w:w="5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E3EBE" w:rsidRPr="00181D4D" w:rsidRDefault="002E3EBE" w:rsidP="002E3EBE">
                    <w:pPr>
                      <w:jc w:val="center"/>
                      <w:rPr>
                        <w:rFonts w:ascii="方正仿宋简体"/>
                        <w:b/>
                        <w:bCs/>
                        <w:color w:val="000000"/>
                        <w:sz w:val="22"/>
                        <w:szCs w:val="22"/>
                      </w:rPr>
                    </w:pPr>
                    <w:r w:rsidRPr="00181D4D">
                      <w:rPr>
                        <w:rFonts w:ascii="方正仿宋简体" w:hint="eastAsia"/>
                        <w:b/>
                        <w:bCs/>
                        <w:color w:val="000000"/>
                        <w:sz w:val="22"/>
                        <w:szCs w:val="22"/>
                      </w:rPr>
                      <w:t>序号</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2E3EBE" w:rsidRPr="00181D4D" w:rsidRDefault="002E3EBE" w:rsidP="002E3EBE">
                    <w:pPr>
                      <w:jc w:val="center"/>
                      <w:rPr>
                        <w:rFonts w:ascii="方正仿宋简体"/>
                        <w:b/>
                        <w:bCs/>
                        <w:color w:val="000000"/>
                        <w:sz w:val="22"/>
                        <w:szCs w:val="22"/>
                      </w:rPr>
                    </w:pPr>
                    <w:r w:rsidRPr="00181D4D">
                      <w:rPr>
                        <w:rFonts w:ascii="方正仿宋简体" w:hint="eastAsia"/>
                        <w:b/>
                        <w:bCs/>
                        <w:color w:val="000000"/>
                        <w:sz w:val="22"/>
                        <w:szCs w:val="22"/>
                      </w:rPr>
                      <w:t>业务资格</w:t>
                    </w:r>
                  </w:p>
                </w:tc>
                <w:tc>
                  <w:tcPr>
                    <w:tcW w:w="1567" w:type="pct"/>
                    <w:tcBorders>
                      <w:top w:val="single" w:sz="8" w:space="0" w:color="auto"/>
                      <w:left w:val="nil"/>
                      <w:bottom w:val="single" w:sz="8" w:space="0" w:color="auto"/>
                      <w:right w:val="single" w:sz="8" w:space="0" w:color="auto"/>
                    </w:tcBorders>
                    <w:shd w:val="clear" w:color="auto" w:fill="auto"/>
                    <w:vAlign w:val="center"/>
                    <w:hideMark/>
                  </w:tcPr>
                  <w:p w:rsidR="002E3EBE" w:rsidRPr="00181D4D" w:rsidRDefault="002E3EBE" w:rsidP="002E3EBE">
                    <w:pPr>
                      <w:jc w:val="center"/>
                      <w:rPr>
                        <w:rFonts w:ascii="方正仿宋简体"/>
                        <w:b/>
                        <w:bCs/>
                        <w:color w:val="000000"/>
                        <w:sz w:val="22"/>
                        <w:szCs w:val="22"/>
                      </w:rPr>
                    </w:pPr>
                    <w:r w:rsidRPr="00181D4D">
                      <w:rPr>
                        <w:rFonts w:ascii="方正仿宋简体" w:hint="eastAsia"/>
                        <w:b/>
                        <w:bCs/>
                        <w:color w:val="000000"/>
                        <w:sz w:val="22"/>
                        <w:szCs w:val="22"/>
                      </w:rPr>
                      <w:t>批准机构</w:t>
                    </w:r>
                  </w:p>
                </w:tc>
                <w:tc>
                  <w:tcPr>
                    <w:tcW w:w="785" w:type="pct"/>
                    <w:tcBorders>
                      <w:top w:val="single" w:sz="8" w:space="0" w:color="auto"/>
                      <w:left w:val="nil"/>
                      <w:bottom w:val="single" w:sz="8" w:space="0" w:color="auto"/>
                      <w:right w:val="single" w:sz="8" w:space="0" w:color="auto"/>
                    </w:tcBorders>
                    <w:shd w:val="clear" w:color="auto" w:fill="auto"/>
                    <w:vAlign w:val="center"/>
                    <w:hideMark/>
                  </w:tcPr>
                  <w:p w:rsidR="002E3EBE" w:rsidRPr="00181D4D" w:rsidRDefault="002E3EBE" w:rsidP="002E3EBE">
                    <w:pPr>
                      <w:jc w:val="center"/>
                      <w:rPr>
                        <w:rFonts w:ascii="方正仿宋简体"/>
                        <w:b/>
                        <w:bCs/>
                        <w:color w:val="000000"/>
                        <w:sz w:val="22"/>
                        <w:szCs w:val="22"/>
                      </w:rPr>
                    </w:pPr>
                    <w:r w:rsidRPr="00181D4D">
                      <w:rPr>
                        <w:rFonts w:ascii="方正仿宋简体" w:hint="eastAsia"/>
                        <w:b/>
                        <w:bCs/>
                        <w:color w:val="000000"/>
                        <w:sz w:val="22"/>
                        <w:szCs w:val="22"/>
                      </w:rPr>
                      <w:t>取得时间</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4650C0" w:rsidP="00661D1E">
                    <w:pPr>
                      <w:rPr>
                        <w:sz w:val="22"/>
                        <w:szCs w:val="22"/>
                      </w:rPr>
                    </w:pPr>
                    <w:r>
                      <w:rPr>
                        <w:rFonts w:hint="eastAsia"/>
                        <w:sz w:val="22"/>
                        <w:szCs w:val="22"/>
                      </w:rPr>
                      <w:t>微信</w:t>
                    </w:r>
                    <w:r w:rsidR="002E3EBE" w:rsidRPr="002E3EBE">
                      <w:rPr>
                        <w:rFonts w:hint="eastAsia"/>
                        <w:sz w:val="22"/>
                        <w:szCs w:val="22"/>
                      </w:rPr>
                      <w:t>开户业务试点</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中国证监会机构部</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2015年4月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上市公司股权激励行权融资业务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深圳证券交易所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2015年3月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黄金现货合约自营业务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中国证监会机构部</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2015年3月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4</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客户资金消费支付服务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中国证券登记结算公司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2015年3月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5</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股票期权做市业务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6</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上证50ETF期权做市业务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上海证券交易所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7</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股票期权自营交易权限</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上海证券交易所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8</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期权结算业务资格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中国证券登记结算公司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9</w:t>
                    </w:r>
                  </w:p>
                </w:tc>
                <w:tc>
                  <w:tcPr>
                    <w:tcW w:w="211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上海证券交易所股票期权交易参与人</w:t>
                    </w:r>
                  </w:p>
                </w:tc>
                <w:tc>
                  <w:tcPr>
                    <w:tcW w:w="1567"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上海证券交易所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2E3EBE" w:rsidRDefault="002E3EBE" w:rsidP="00661D1E">
                    <w:pPr>
                      <w:rPr>
                        <w:sz w:val="22"/>
                        <w:szCs w:val="22"/>
                      </w:rPr>
                    </w:pPr>
                    <w:r w:rsidRPr="002E3EBE">
                      <w:rPr>
                        <w:rFonts w:hint="eastAsia"/>
                        <w:sz w:val="22"/>
                        <w:szCs w:val="22"/>
                      </w:rPr>
                      <w:t>2015年1月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10</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互联网证券业务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中国证券业协会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2014年11月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11</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港股通业务交易权限</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上海证券交易所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2014年10月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12</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银行间市场清算所股份有限公司人民币利率互换集中清算业务普通清算会员</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银行间市场清算所股份有限公司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2014年6月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13</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主办券商业务（做市业务）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全国中小企业股份转让系统有限责任公司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2014年6月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14</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场外期权业务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中国证券业协会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2014年2月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15</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投资基金托管资格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2014年1月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16</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代理证券质押登记业务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中登公司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2013年7月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17</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股票质押式回购交易业务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上海证券交易所、深圳证券交易所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2013年6月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18</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利率互换业务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深圳证监局</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2013年5月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19</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保险兼业代理业务许可证</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中国保监会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2013年4月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20</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主办券商业务（推荐业务、经纪业务）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全国中小企业股份转让系统有限责任公司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2013年3月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21</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柜台交易业务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中国证券业协会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2013年2月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22</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权益类证券收益互换业务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23</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保险机构特殊机构客户业务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中国保监会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2013年1月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24</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代销金融产品</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2012年12月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25</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非金融企业债务融资工具主承销业务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中国银行间市场交易商</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2012年11月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26</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私募基金综合托管服务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2012年10月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27</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转融通业务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中国证券金融公司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2012年8月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28</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中小企业私募债券承销业务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中国证券业协会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2012年6月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29</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约定购回式证券交易业务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2012年5月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30</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债券质押式报价回购业务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2012年1月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31</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开展客户第三方存管单客户多银行服务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深圳证监局</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2011年6月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32</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融资融券业务资格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2010年6月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33</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直接投资业务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2009年8月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lastRenderedPageBreak/>
                      <w:t>34</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为招商期货提供中间介绍业务</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2008年2月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35</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合格境内机构投资者</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2007年8月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36</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上交所固定收益证券综合电子平台一级交易商</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上海证券交易所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2007年7月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37</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证券业务外汇经营许可证</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国家外汇管理局</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2006年12月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38</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中证登结算参与人</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中登公司</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2006年3月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39</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上证180交易型开放式指数基金一级交易商</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上海证券交易所</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2006年3月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40</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短期融资券承销业务资格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中国人民银行</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2005年7月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41</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经营外资股业务资格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2002年9月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42</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开放式证券投资基金代销业务资格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2002年8月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43</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网上证券委托业务资格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中国证监会</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2001年2月</w:t>
                    </w:r>
                  </w:p>
                </w:tc>
              </w:tr>
              <w:tr w:rsidR="002E3EBE" w:rsidRPr="00181D4D" w:rsidTr="00A46D15">
                <w:trPr>
                  <w:trHeight w:val="295"/>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2E3EBE" w:rsidRPr="00181D4D" w:rsidRDefault="002E3EBE" w:rsidP="00661D1E">
                    <w:pPr>
                      <w:jc w:val="center"/>
                      <w:rPr>
                        <w:color w:val="000000"/>
                        <w:sz w:val="22"/>
                        <w:szCs w:val="22"/>
                      </w:rPr>
                    </w:pPr>
                    <w:r w:rsidRPr="00181D4D">
                      <w:rPr>
                        <w:rFonts w:hint="eastAsia"/>
                        <w:color w:val="000000"/>
                        <w:sz w:val="22"/>
                        <w:szCs w:val="22"/>
                      </w:rPr>
                      <w:t>44</w:t>
                    </w:r>
                  </w:p>
                </w:tc>
                <w:tc>
                  <w:tcPr>
                    <w:tcW w:w="211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全国银行间同业市场成员资格</w:t>
                    </w:r>
                  </w:p>
                </w:tc>
                <w:tc>
                  <w:tcPr>
                    <w:tcW w:w="1567"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中国人民银行</w:t>
                    </w:r>
                  </w:p>
                </w:tc>
                <w:tc>
                  <w:tcPr>
                    <w:tcW w:w="785" w:type="pct"/>
                    <w:tcBorders>
                      <w:top w:val="nil"/>
                      <w:left w:val="nil"/>
                      <w:bottom w:val="single" w:sz="8" w:space="0" w:color="auto"/>
                      <w:right w:val="single" w:sz="8" w:space="0" w:color="auto"/>
                    </w:tcBorders>
                    <w:shd w:val="clear" w:color="auto" w:fill="auto"/>
                    <w:vAlign w:val="center"/>
                    <w:hideMark/>
                  </w:tcPr>
                  <w:p w:rsidR="002E3EBE" w:rsidRPr="00181D4D" w:rsidRDefault="002E3EBE" w:rsidP="00661D1E">
                    <w:pPr>
                      <w:rPr>
                        <w:color w:val="000000"/>
                        <w:sz w:val="22"/>
                        <w:szCs w:val="22"/>
                      </w:rPr>
                    </w:pPr>
                    <w:r w:rsidRPr="00181D4D">
                      <w:rPr>
                        <w:rFonts w:hint="eastAsia"/>
                        <w:color w:val="000000"/>
                        <w:sz w:val="22"/>
                        <w:szCs w:val="22"/>
                      </w:rPr>
                      <w:t>1999年9月</w:t>
                    </w:r>
                  </w:p>
                </w:tc>
              </w:tr>
            </w:tbl>
            <w:p w:rsidR="00704CAD" w:rsidRDefault="00422DCA">
              <w:pPr>
                <w:kinsoku w:val="0"/>
                <w:overflowPunct w:val="0"/>
                <w:autoSpaceDE w:val="0"/>
                <w:autoSpaceDN w:val="0"/>
                <w:adjustRightInd w:val="0"/>
                <w:snapToGrid w:val="0"/>
                <w:rPr>
                  <w:szCs w:val="21"/>
                </w:rPr>
              </w:pPr>
            </w:p>
          </w:sdtContent>
        </w:sdt>
      </w:sdtContent>
    </w:sdt>
    <w:p w:rsidR="00704CAD" w:rsidRPr="00BE3605" w:rsidRDefault="00704CAD">
      <w:pPr>
        <w:kinsoku w:val="0"/>
        <w:overflowPunct w:val="0"/>
        <w:autoSpaceDE w:val="0"/>
        <w:autoSpaceDN w:val="0"/>
        <w:adjustRightInd w:val="0"/>
        <w:snapToGrid w:val="0"/>
        <w:rPr>
          <w:szCs w:val="21"/>
        </w:rPr>
      </w:pPr>
    </w:p>
    <w:bookmarkStart w:id="6" w:name="_Toc342051042" w:displacedByCustomXml="next"/>
    <w:bookmarkStart w:id="7" w:name="_Toc342565882" w:displacedByCustomXml="next"/>
    <w:sdt>
      <w:sdtPr>
        <w:rPr>
          <w:rFonts w:ascii="Calibri" w:hAnsi="Calibri" w:cs="宋体" w:hint="eastAsia"/>
          <w:b w:val="0"/>
          <w:bCs w:val="0"/>
          <w:kern w:val="0"/>
          <w:sz w:val="24"/>
          <w:szCs w:val="22"/>
        </w:rPr>
        <w:tag w:val="_GBC_c68db6bd18a148f3a9683d04b791123b"/>
        <w:id w:val="24720005"/>
        <w:lock w:val="sdtLocked"/>
        <w:placeholder>
          <w:docPart w:val="GBC22222222222222222222222222222"/>
        </w:placeholder>
      </w:sdtPr>
      <w:sdtEndPr>
        <w:rPr>
          <w:rFonts w:ascii="宋体" w:hAnsi="宋体"/>
          <w:sz w:val="21"/>
          <w:szCs w:val="21"/>
        </w:rPr>
      </w:sdtEndPr>
      <w:sdtContent>
        <w:p w:rsidR="00704CAD" w:rsidRDefault="00720895">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704CAD" w:rsidTr="003A0277">
            <w:tc>
              <w:tcPr>
                <w:tcW w:w="1666" w:type="pct"/>
                <w:tcBorders>
                  <w:top w:val="single" w:sz="4" w:space="0" w:color="auto"/>
                  <w:bottom w:val="single" w:sz="4" w:space="0" w:color="auto"/>
                  <w:right w:val="single" w:sz="4" w:space="0" w:color="auto"/>
                </w:tcBorders>
                <w:shd w:val="clear" w:color="auto" w:fill="auto"/>
              </w:tcPr>
              <w:p w:rsidR="00704CAD" w:rsidRDefault="00704CAD">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704CAD" w:rsidRDefault="00720895">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704CAD" w:rsidRDefault="00720895">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704CAD" w:rsidTr="00985C61">
            <w:tc>
              <w:tcPr>
                <w:tcW w:w="1666" w:type="pct"/>
                <w:tcBorders>
                  <w:top w:val="single" w:sz="4" w:space="0" w:color="auto"/>
                  <w:bottom w:val="single" w:sz="4" w:space="0" w:color="auto"/>
                  <w:right w:val="single" w:sz="4" w:space="0" w:color="auto"/>
                </w:tcBorders>
                <w:shd w:val="clear" w:color="auto" w:fill="auto"/>
                <w:vAlign w:val="center"/>
              </w:tcPr>
              <w:p w:rsidR="00704CAD" w:rsidRDefault="00720895" w:rsidP="00985C61">
                <w:pPr>
                  <w:kinsoku w:val="0"/>
                  <w:overflowPunct w:val="0"/>
                  <w:autoSpaceDE w:val="0"/>
                  <w:autoSpaceDN w:val="0"/>
                  <w:adjustRightInd w:val="0"/>
                  <w:snapToGrid w:val="0"/>
                  <w:jc w:val="both"/>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704CAD" w:rsidRDefault="00422DCA" w:rsidP="00184476">
                <w:pPr>
                  <w:kinsoku w:val="0"/>
                  <w:overflowPunct w:val="0"/>
                  <w:autoSpaceDE w:val="0"/>
                  <w:autoSpaceDN w:val="0"/>
                  <w:adjustRightInd w:val="0"/>
                  <w:snapToGrid w:val="0"/>
                  <w:jc w:val="center"/>
                  <w:rPr>
                    <w:color w:val="FFC000"/>
                    <w:szCs w:val="21"/>
                  </w:rPr>
                </w:pPr>
                <w:sdt>
                  <w:sdtPr>
                    <w:rPr>
                      <w:rFonts w:hint="eastAsia"/>
                      <w:szCs w:val="21"/>
                    </w:rPr>
                    <w:alias w:val="公司董事会秘书姓名"/>
                    <w:tag w:val="_GBC_cac0fb0ee4d0495699c4e8dd8009b5ca"/>
                    <w:id w:val="24719995"/>
                    <w:lock w:val="sdtLocked"/>
                  </w:sdtPr>
                  <w:sdtContent>
                    <w:r w:rsidR="00184476">
                      <w:rPr>
                        <w:rFonts w:hint="eastAsia"/>
                        <w:szCs w:val="21"/>
                      </w:rPr>
                      <w:t>吴慧峰</w:t>
                    </w:r>
                  </w:sdtContent>
                </w:sdt>
              </w:p>
            </w:tc>
            <w:tc>
              <w:tcPr>
                <w:tcW w:w="1667" w:type="pct"/>
                <w:tcBorders>
                  <w:top w:val="single" w:sz="4" w:space="0" w:color="auto"/>
                  <w:left w:val="single" w:sz="4" w:space="0" w:color="auto"/>
                  <w:bottom w:val="single" w:sz="4" w:space="0" w:color="auto"/>
                </w:tcBorders>
              </w:tcPr>
              <w:p w:rsidR="00704CAD" w:rsidRDefault="00422DCA" w:rsidP="00184476">
                <w:pPr>
                  <w:kinsoku w:val="0"/>
                  <w:overflowPunct w:val="0"/>
                  <w:autoSpaceDE w:val="0"/>
                  <w:autoSpaceDN w:val="0"/>
                  <w:adjustRightInd w:val="0"/>
                  <w:snapToGrid w:val="0"/>
                  <w:jc w:val="center"/>
                  <w:rPr>
                    <w:color w:val="FFC000"/>
                    <w:szCs w:val="21"/>
                  </w:rPr>
                </w:pPr>
                <w:sdt>
                  <w:sdtPr>
                    <w:rPr>
                      <w:rFonts w:hint="eastAsia"/>
                      <w:szCs w:val="21"/>
                    </w:rPr>
                    <w:alias w:val="公司证券事务代表姓名"/>
                    <w:tag w:val="_GBC_70a26fa96d8a40d39d18f0eafbed4a17"/>
                    <w:id w:val="24719996"/>
                    <w:lock w:val="sdtLocked"/>
                  </w:sdtPr>
                  <w:sdtContent>
                    <w:r w:rsidR="00184476">
                      <w:rPr>
                        <w:rFonts w:hint="eastAsia"/>
                        <w:szCs w:val="21"/>
                      </w:rPr>
                      <w:t>罗莉</w:t>
                    </w:r>
                  </w:sdtContent>
                </w:sdt>
              </w:p>
            </w:tc>
          </w:tr>
          <w:tr w:rsidR="00704CAD" w:rsidTr="00985C61">
            <w:tc>
              <w:tcPr>
                <w:tcW w:w="1666" w:type="pct"/>
                <w:tcBorders>
                  <w:top w:val="single" w:sz="4" w:space="0" w:color="auto"/>
                  <w:bottom w:val="single" w:sz="4" w:space="0" w:color="auto"/>
                  <w:right w:val="single" w:sz="4" w:space="0" w:color="auto"/>
                </w:tcBorders>
                <w:shd w:val="clear" w:color="auto" w:fill="auto"/>
                <w:vAlign w:val="center"/>
              </w:tcPr>
              <w:p w:rsidR="00704CAD" w:rsidRDefault="00720895" w:rsidP="00985C61">
                <w:pPr>
                  <w:kinsoku w:val="0"/>
                  <w:overflowPunct w:val="0"/>
                  <w:autoSpaceDE w:val="0"/>
                  <w:autoSpaceDN w:val="0"/>
                  <w:adjustRightInd w:val="0"/>
                  <w:snapToGrid w:val="0"/>
                  <w:jc w:val="both"/>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704CAD" w:rsidRDefault="00422DCA" w:rsidP="00184476">
                <w:pPr>
                  <w:kinsoku w:val="0"/>
                  <w:overflowPunct w:val="0"/>
                  <w:autoSpaceDE w:val="0"/>
                  <w:autoSpaceDN w:val="0"/>
                  <w:adjustRightInd w:val="0"/>
                  <w:snapToGrid w:val="0"/>
                  <w:jc w:val="center"/>
                  <w:rPr>
                    <w:color w:val="FFC000"/>
                    <w:szCs w:val="21"/>
                  </w:rPr>
                </w:pPr>
                <w:sdt>
                  <w:sdtPr>
                    <w:rPr>
                      <w:rFonts w:hint="eastAsia"/>
                      <w:szCs w:val="21"/>
                    </w:rPr>
                    <w:alias w:val="公司董事会秘书联系地址"/>
                    <w:tag w:val="_GBC_da00edc9edfd4e12abfd953a8f45ecd1"/>
                    <w:id w:val="24719997"/>
                    <w:lock w:val="sdtLocked"/>
                  </w:sdtPr>
                  <w:sdtContent>
                    <w:r w:rsidR="00184476">
                      <w:rPr>
                        <w:rFonts w:hint="eastAsia"/>
                        <w:szCs w:val="21"/>
                      </w:rPr>
                      <w:t>深圳市福田区益田路江苏大厦</w:t>
                    </w:r>
                    <w:r w:rsidR="00184476">
                      <w:rPr>
                        <w:szCs w:val="21"/>
                      </w:rPr>
                      <w:t>A座45层</w:t>
                    </w:r>
                  </w:sdtContent>
                </w:sdt>
              </w:p>
            </w:tc>
            <w:tc>
              <w:tcPr>
                <w:tcW w:w="1667" w:type="pct"/>
                <w:tcBorders>
                  <w:top w:val="single" w:sz="4" w:space="0" w:color="auto"/>
                  <w:left w:val="single" w:sz="4" w:space="0" w:color="auto"/>
                  <w:bottom w:val="single" w:sz="4" w:space="0" w:color="auto"/>
                </w:tcBorders>
              </w:tcPr>
              <w:p w:rsidR="00704CAD" w:rsidRDefault="00422DCA" w:rsidP="00184476">
                <w:pPr>
                  <w:kinsoku w:val="0"/>
                  <w:overflowPunct w:val="0"/>
                  <w:autoSpaceDE w:val="0"/>
                  <w:autoSpaceDN w:val="0"/>
                  <w:adjustRightInd w:val="0"/>
                  <w:snapToGrid w:val="0"/>
                  <w:jc w:val="center"/>
                  <w:rPr>
                    <w:color w:val="FFC000"/>
                    <w:szCs w:val="21"/>
                  </w:rPr>
                </w:pPr>
                <w:sdt>
                  <w:sdtPr>
                    <w:rPr>
                      <w:rFonts w:hint="eastAsia"/>
                      <w:szCs w:val="21"/>
                    </w:rPr>
                    <w:alias w:val="公司证券事务代表联系地址"/>
                    <w:tag w:val="_GBC_3adcc9d1aa664f27a97cc756d390649c"/>
                    <w:id w:val="24719998"/>
                    <w:lock w:val="sdtLocked"/>
                  </w:sdtPr>
                  <w:sdtContent>
                    <w:r w:rsidR="00184476">
                      <w:rPr>
                        <w:rFonts w:hint="eastAsia"/>
                        <w:szCs w:val="21"/>
                      </w:rPr>
                      <w:t>深圳市福田区益田路江苏大厦</w:t>
                    </w:r>
                    <w:r w:rsidR="00184476">
                      <w:rPr>
                        <w:szCs w:val="21"/>
                      </w:rPr>
                      <w:t>A座45层</w:t>
                    </w:r>
                  </w:sdtContent>
                </w:sdt>
              </w:p>
            </w:tc>
          </w:tr>
          <w:tr w:rsidR="00704CAD" w:rsidTr="00985C61">
            <w:tc>
              <w:tcPr>
                <w:tcW w:w="1666" w:type="pct"/>
                <w:tcBorders>
                  <w:top w:val="single" w:sz="4" w:space="0" w:color="auto"/>
                  <w:bottom w:val="single" w:sz="4" w:space="0" w:color="auto"/>
                  <w:right w:val="single" w:sz="4" w:space="0" w:color="auto"/>
                </w:tcBorders>
                <w:shd w:val="clear" w:color="auto" w:fill="auto"/>
                <w:vAlign w:val="center"/>
              </w:tcPr>
              <w:p w:rsidR="00704CAD" w:rsidRDefault="00720895" w:rsidP="00985C61">
                <w:pPr>
                  <w:kinsoku w:val="0"/>
                  <w:overflowPunct w:val="0"/>
                  <w:autoSpaceDE w:val="0"/>
                  <w:autoSpaceDN w:val="0"/>
                  <w:adjustRightInd w:val="0"/>
                  <w:snapToGrid w:val="0"/>
                  <w:jc w:val="both"/>
                  <w:rPr>
                    <w:szCs w:val="21"/>
                  </w:rPr>
                </w:pPr>
                <w:r>
                  <w:rPr>
                    <w:szCs w:val="21"/>
                  </w:rPr>
                  <w:t>电话</w:t>
                </w:r>
              </w:p>
            </w:tc>
            <w:sdt>
              <w:sdtPr>
                <w:rPr>
                  <w:rFonts w:hint="eastAsia"/>
                  <w:szCs w:val="21"/>
                </w:rPr>
                <w:alias w:val="公司董事会秘书电话"/>
                <w:tag w:val="_GBC_a03b44a2aeb641db9208ad0940e9b248"/>
                <w:id w:val="24719999"/>
                <w:lock w:val="sdtLocked"/>
              </w:sdtPr>
              <w:sdtContent>
                <w:tc>
                  <w:tcPr>
                    <w:tcW w:w="1667" w:type="pct"/>
                    <w:tcBorders>
                      <w:top w:val="single" w:sz="4" w:space="0" w:color="auto"/>
                      <w:left w:val="single" w:sz="4" w:space="0" w:color="auto"/>
                      <w:bottom w:val="single" w:sz="4" w:space="0" w:color="auto"/>
                      <w:right w:val="single" w:sz="4" w:space="0" w:color="auto"/>
                    </w:tcBorders>
                  </w:tcPr>
                  <w:p w:rsidR="00704CAD" w:rsidRDefault="00184476" w:rsidP="00184476">
                    <w:pPr>
                      <w:kinsoku w:val="0"/>
                      <w:overflowPunct w:val="0"/>
                      <w:autoSpaceDE w:val="0"/>
                      <w:autoSpaceDN w:val="0"/>
                      <w:adjustRightInd w:val="0"/>
                      <w:snapToGrid w:val="0"/>
                      <w:jc w:val="center"/>
                      <w:rPr>
                        <w:szCs w:val="21"/>
                      </w:rPr>
                    </w:pPr>
                    <w:r>
                      <w:rPr>
                        <w:szCs w:val="21"/>
                      </w:rPr>
                      <w:t>0755－82943666</w:t>
                    </w:r>
                  </w:p>
                </w:tc>
              </w:sdtContent>
            </w:sdt>
            <w:sdt>
              <w:sdtPr>
                <w:rPr>
                  <w:rFonts w:hint="eastAsia"/>
                  <w:szCs w:val="21"/>
                </w:rPr>
                <w:alias w:val="公司证券事务代表电话"/>
                <w:tag w:val="_GBC_6902b4b9534e46ef906c46cc54c81432"/>
                <w:id w:val="24720000"/>
                <w:lock w:val="sdtLocked"/>
              </w:sdtPr>
              <w:sdtContent>
                <w:tc>
                  <w:tcPr>
                    <w:tcW w:w="1667" w:type="pct"/>
                    <w:tcBorders>
                      <w:top w:val="single" w:sz="4" w:space="0" w:color="auto"/>
                      <w:left w:val="single" w:sz="4" w:space="0" w:color="auto"/>
                      <w:bottom w:val="single" w:sz="4" w:space="0" w:color="auto"/>
                    </w:tcBorders>
                  </w:tcPr>
                  <w:p w:rsidR="00704CAD" w:rsidRDefault="00184476" w:rsidP="00184476">
                    <w:pPr>
                      <w:kinsoku w:val="0"/>
                      <w:overflowPunct w:val="0"/>
                      <w:autoSpaceDE w:val="0"/>
                      <w:autoSpaceDN w:val="0"/>
                      <w:adjustRightInd w:val="0"/>
                      <w:snapToGrid w:val="0"/>
                      <w:jc w:val="center"/>
                      <w:rPr>
                        <w:szCs w:val="21"/>
                      </w:rPr>
                    </w:pPr>
                    <w:r>
                      <w:rPr>
                        <w:szCs w:val="21"/>
                      </w:rPr>
                      <w:t>0755－82960432</w:t>
                    </w:r>
                  </w:p>
                </w:tc>
              </w:sdtContent>
            </w:sdt>
          </w:tr>
          <w:tr w:rsidR="00704CAD" w:rsidTr="00985C61">
            <w:tc>
              <w:tcPr>
                <w:tcW w:w="1666" w:type="pct"/>
                <w:tcBorders>
                  <w:top w:val="single" w:sz="4" w:space="0" w:color="auto"/>
                  <w:bottom w:val="single" w:sz="4" w:space="0" w:color="auto"/>
                  <w:right w:val="single" w:sz="4" w:space="0" w:color="auto"/>
                </w:tcBorders>
                <w:shd w:val="clear" w:color="auto" w:fill="auto"/>
                <w:vAlign w:val="center"/>
              </w:tcPr>
              <w:p w:rsidR="00704CAD" w:rsidRDefault="00720895" w:rsidP="00985C61">
                <w:pPr>
                  <w:kinsoku w:val="0"/>
                  <w:overflowPunct w:val="0"/>
                  <w:autoSpaceDE w:val="0"/>
                  <w:autoSpaceDN w:val="0"/>
                  <w:adjustRightInd w:val="0"/>
                  <w:snapToGrid w:val="0"/>
                  <w:jc w:val="both"/>
                  <w:rPr>
                    <w:szCs w:val="21"/>
                  </w:rPr>
                </w:pPr>
                <w:r>
                  <w:rPr>
                    <w:szCs w:val="21"/>
                  </w:rPr>
                  <w:t>传真</w:t>
                </w:r>
              </w:p>
            </w:tc>
            <w:sdt>
              <w:sdtPr>
                <w:rPr>
                  <w:rFonts w:hint="eastAsia"/>
                  <w:szCs w:val="21"/>
                </w:rPr>
                <w:alias w:val="公司董事会秘书传真"/>
                <w:tag w:val="_GBC_03560dc980424f4aa2d9832b0fb18d8d"/>
                <w:id w:val="24720001"/>
                <w:lock w:val="sdtLocked"/>
              </w:sdtPr>
              <w:sdtContent>
                <w:tc>
                  <w:tcPr>
                    <w:tcW w:w="1667" w:type="pct"/>
                    <w:tcBorders>
                      <w:top w:val="single" w:sz="4" w:space="0" w:color="auto"/>
                      <w:left w:val="single" w:sz="4" w:space="0" w:color="auto"/>
                      <w:bottom w:val="single" w:sz="4" w:space="0" w:color="auto"/>
                      <w:right w:val="single" w:sz="4" w:space="0" w:color="auto"/>
                    </w:tcBorders>
                  </w:tcPr>
                  <w:p w:rsidR="00704CAD" w:rsidRDefault="00184476" w:rsidP="00184476">
                    <w:pPr>
                      <w:kinsoku w:val="0"/>
                      <w:overflowPunct w:val="0"/>
                      <w:autoSpaceDE w:val="0"/>
                      <w:autoSpaceDN w:val="0"/>
                      <w:adjustRightInd w:val="0"/>
                      <w:snapToGrid w:val="0"/>
                      <w:jc w:val="center"/>
                      <w:rPr>
                        <w:szCs w:val="21"/>
                      </w:rPr>
                    </w:pPr>
                    <w:r>
                      <w:rPr>
                        <w:szCs w:val="21"/>
                      </w:rPr>
                      <w:t>0755－82944669</w:t>
                    </w:r>
                  </w:p>
                </w:tc>
              </w:sdtContent>
            </w:sdt>
            <w:sdt>
              <w:sdtPr>
                <w:rPr>
                  <w:rFonts w:hint="eastAsia"/>
                  <w:szCs w:val="21"/>
                </w:rPr>
                <w:alias w:val="公司证券事务代表传真"/>
                <w:tag w:val="_GBC_fa537b03ba9e4cb5a37f2170eae641b0"/>
                <w:id w:val="24720002"/>
                <w:lock w:val="sdtLocked"/>
              </w:sdtPr>
              <w:sdtContent>
                <w:tc>
                  <w:tcPr>
                    <w:tcW w:w="1667" w:type="pct"/>
                    <w:tcBorders>
                      <w:top w:val="single" w:sz="4" w:space="0" w:color="auto"/>
                      <w:left w:val="single" w:sz="4" w:space="0" w:color="auto"/>
                      <w:bottom w:val="single" w:sz="4" w:space="0" w:color="auto"/>
                    </w:tcBorders>
                  </w:tcPr>
                  <w:p w:rsidR="00704CAD" w:rsidRDefault="00184476" w:rsidP="00184476">
                    <w:pPr>
                      <w:kinsoku w:val="0"/>
                      <w:overflowPunct w:val="0"/>
                      <w:autoSpaceDE w:val="0"/>
                      <w:autoSpaceDN w:val="0"/>
                      <w:adjustRightInd w:val="0"/>
                      <w:snapToGrid w:val="0"/>
                      <w:jc w:val="center"/>
                      <w:rPr>
                        <w:szCs w:val="21"/>
                      </w:rPr>
                    </w:pPr>
                    <w:r>
                      <w:rPr>
                        <w:szCs w:val="21"/>
                      </w:rPr>
                      <w:t>0755－82944669</w:t>
                    </w:r>
                  </w:p>
                </w:tc>
              </w:sdtContent>
            </w:sdt>
          </w:tr>
          <w:tr w:rsidR="00704CAD" w:rsidTr="00985C61">
            <w:tc>
              <w:tcPr>
                <w:tcW w:w="1666" w:type="pct"/>
                <w:tcBorders>
                  <w:top w:val="single" w:sz="4" w:space="0" w:color="auto"/>
                  <w:bottom w:val="single" w:sz="4" w:space="0" w:color="auto"/>
                  <w:right w:val="single" w:sz="4" w:space="0" w:color="auto"/>
                </w:tcBorders>
                <w:shd w:val="clear" w:color="auto" w:fill="auto"/>
                <w:vAlign w:val="center"/>
              </w:tcPr>
              <w:p w:rsidR="00704CAD" w:rsidRDefault="00720895" w:rsidP="00985C61">
                <w:pPr>
                  <w:kinsoku w:val="0"/>
                  <w:overflowPunct w:val="0"/>
                  <w:autoSpaceDE w:val="0"/>
                  <w:autoSpaceDN w:val="0"/>
                  <w:adjustRightInd w:val="0"/>
                  <w:snapToGrid w:val="0"/>
                  <w:jc w:val="both"/>
                  <w:rPr>
                    <w:szCs w:val="21"/>
                  </w:rPr>
                </w:pPr>
                <w:r>
                  <w:rPr>
                    <w:szCs w:val="21"/>
                  </w:rPr>
                  <w:t>电子信箱</w:t>
                </w:r>
              </w:p>
            </w:tc>
            <w:sdt>
              <w:sdtPr>
                <w:rPr>
                  <w:rFonts w:hint="eastAsia"/>
                  <w:szCs w:val="21"/>
                </w:rPr>
                <w:alias w:val="公司董事会秘书电子信箱"/>
                <w:tag w:val="_GBC_5f9d2117b526463192a29912849968c2"/>
                <w:id w:val="24720003"/>
                <w:lock w:val="sdtLocked"/>
              </w:sdtPr>
              <w:sdtContent>
                <w:tc>
                  <w:tcPr>
                    <w:tcW w:w="1667" w:type="pct"/>
                    <w:tcBorders>
                      <w:top w:val="single" w:sz="4" w:space="0" w:color="auto"/>
                      <w:left w:val="single" w:sz="4" w:space="0" w:color="auto"/>
                      <w:bottom w:val="single" w:sz="4" w:space="0" w:color="auto"/>
                      <w:right w:val="single" w:sz="4" w:space="0" w:color="auto"/>
                    </w:tcBorders>
                  </w:tcPr>
                  <w:p w:rsidR="00704CAD" w:rsidRDefault="00184476" w:rsidP="00184476">
                    <w:pPr>
                      <w:kinsoku w:val="0"/>
                      <w:overflowPunct w:val="0"/>
                      <w:autoSpaceDE w:val="0"/>
                      <w:autoSpaceDN w:val="0"/>
                      <w:adjustRightInd w:val="0"/>
                      <w:snapToGrid w:val="0"/>
                      <w:jc w:val="center"/>
                      <w:rPr>
                        <w:szCs w:val="21"/>
                      </w:rPr>
                    </w:pPr>
                    <w:r>
                      <w:rPr>
                        <w:szCs w:val="21"/>
                      </w:rPr>
                      <w:t>IR@cmschina.com.cn</w:t>
                    </w:r>
                  </w:p>
                </w:tc>
              </w:sdtContent>
            </w:sdt>
            <w:sdt>
              <w:sdtPr>
                <w:rPr>
                  <w:rFonts w:hint="eastAsia"/>
                  <w:szCs w:val="21"/>
                </w:rPr>
                <w:alias w:val="公司证券事务代表电子信箱"/>
                <w:tag w:val="_GBC_bedfc63a281248468aa1efc5a07a5efb"/>
                <w:id w:val="24720004"/>
                <w:lock w:val="sdtLocked"/>
              </w:sdtPr>
              <w:sdtContent>
                <w:tc>
                  <w:tcPr>
                    <w:tcW w:w="1667" w:type="pct"/>
                    <w:tcBorders>
                      <w:top w:val="single" w:sz="4" w:space="0" w:color="auto"/>
                      <w:left w:val="single" w:sz="4" w:space="0" w:color="auto"/>
                      <w:bottom w:val="single" w:sz="4" w:space="0" w:color="auto"/>
                    </w:tcBorders>
                  </w:tcPr>
                  <w:p w:rsidR="00704CAD" w:rsidRDefault="00184476" w:rsidP="00184476">
                    <w:pPr>
                      <w:kinsoku w:val="0"/>
                      <w:overflowPunct w:val="0"/>
                      <w:autoSpaceDE w:val="0"/>
                      <w:autoSpaceDN w:val="0"/>
                      <w:adjustRightInd w:val="0"/>
                      <w:snapToGrid w:val="0"/>
                      <w:jc w:val="center"/>
                      <w:rPr>
                        <w:szCs w:val="21"/>
                      </w:rPr>
                    </w:pPr>
                    <w:r>
                      <w:rPr>
                        <w:szCs w:val="21"/>
                      </w:rPr>
                      <w:t>luoli@cmschina.com.cn</w:t>
                    </w:r>
                  </w:p>
                </w:tc>
              </w:sdtContent>
            </w:sdt>
          </w:tr>
        </w:tbl>
      </w:sdtContent>
    </w:sdt>
    <w:p w:rsidR="00704CAD" w:rsidRDefault="00704CAD">
      <w:pPr>
        <w:kinsoku w:val="0"/>
        <w:overflowPunct w:val="0"/>
        <w:autoSpaceDE w:val="0"/>
        <w:autoSpaceDN w:val="0"/>
        <w:adjustRightInd w:val="0"/>
        <w:snapToGrid w:val="0"/>
        <w:rPr>
          <w:szCs w:val="21"/>
        </w:rPr>
      </w:pPr>
    </w:p>
    <w:p w:rsidR="00126EBD" w:rsidRDefault="00126EBD">
      <w:pPr>
        <w:kinsoku w:val="0"/>
        <w:overflowPunct w:val="0"/>
        <w:autoSpaceDE w:val="0"/>
        <w:autoSpaceDN w:val="0"/>
        <w:adjustRightInd w:val="0"/>
        <w:snapToGrid w:val="0"/>
        <w:rPr>
          <w:szCs w:val="21"/>
        </w:rPr>
      </w:pPr>
    </w:p>
    <w:sdt>
      <w:sdtPr>
        <w:rPr>
          <w:rFonts w:ascii="宋体" w:hAnsi="宋体" w:cs="宋体"/>
          <w:b w:val="0"/>
          <w:bCs w:val="0"/>
          <w:kern w:val="0"/>
          <w:szCs w:val="24"/>
        </w:rPr>
        <w:tag w:val="_GBC_0899f3e1387b4525870e3f9a03d2e864"/>
        <w:id w:val="24720012"/>
        <w:lock w:val="sdtLocked"/>
        <w:placeholder>
          <w:docPart w:val="GBC22222222222222222222222222222"/>
        </w:placeholder>
      </w:sdtPr>
      <w:sdtEndPr>
        <w:rPr>
          <w:rFonts w:hint="eastAsia"/>
          <w:szCs w:val="21"/>
        </w:rPr>
      </w:sdtEndPr>
      <w:sdtContent>
        <w:p w:rsidR="00704CAD" w:rsidRDefault="00720895">
          <w:pPr>
            <w:pStyle w:val="2"/>
            <w:numPr>
              <w:ilvl w:val="1"/>
              <w:numId w:val="4"/>
            </w:numPr>
            <w:ind w:left="496" w:hangingChars="236" w:hanging="496"/>
            <w:rPr>
              <w:rFonts w:ascii="宋体" w:hAnsi="宋体"/>
            </w:rPr>
          </w:pPr>
          <w:r>
            <w:t>基本情况</w:t>
          </w:r>
          <w:r>
            <w:rPr>
              <w:rFonts w:hint="eastAsia"/>
            </w:rPr>
            <w:t>变更简介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704CAD" w:rsidTr="003A0277">
            <w:trPr>
              <w:trHeight w:val="293"/>
            </w:trPr>
            <w:tc>
              <w:tcPr>
                <w:tcW w:w="2169"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59999d33ba424cfeab4763c2d9a0c739"/>
                <w:id w:val="24720006"/>
                <w:lock w:val="sdtLocked"/>
              </w:sdtPr>
              <w:sdtContent>
                <w:tc>
                  <w:tcPr>
                    <w:tcW w:w="2831" w:type="pct"/>
                    <w:tcBorders>
                      <w:top w:val="single" w:sz="4" w:space="0" w:color="auto"/>
                      <w:left w:val="single" w:sz="4" w:space="0" w:color="auto"/>
                      <w:bottom w:val="single" w:sz="4" w:space="0" w:color="auto"/>
                    </w:tcBorders>
                  </w:tcPr>
                  <w:p w:rsidR="00704CAD" w:rsidRDefault="0075398D">
                    <w:pPr>
                      <w:kinsoku w:val="0"/>
                      <w:overflowPunct w:val="0"/>
                      <w:autoSpaceDE w:val="0"/>
                      <w:autoSpaceDN w:val="0"/>
                      <w:adjustRightInd w:val="0"/>
                      <w:snapToGrid w:val="0"/>
                      <w:rPr>
                        <w:szCs w:val="21"/>
                      </w:rPr>
                    </w:pPr>
                    <w:r>
                      <w:rPr>
                        <w:rFonts w:hint="eastAsia"/>
                        <w:szCs w:val="21"/>
                      </w:rPr>
                      <w:t>深圳市福田区益田路江苏大厦</w:t>
                    </w:r>
                    <w:r>
                      <w:rPr>
                        <w:szCs w:val="21"/>
                      </w:rPr>
                      <w:t>A座38-45层</w:t>
                    </w:r>
                  </w:p>
                </w:tc>
              </w:sdtContent>
            </w:sdt>
          </w:tr>
          <w:tr w:rsidR="00704CAD" w:rsidTr="003A0277">
            <w:trPr>
              <w:trHeight w:val="293"/>
            </w:trPr>
            <w:tc>
              <w:tcPr>
                <w:tcW w:w="2169"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44726cabe65949078f17ed2f987ff75e"/>
                <w:id w:val="24720007"/>
                <w:lock w:val="sdtLocked"/>
              </w:sdtPr>
              <w:sdtContent>
                <w:tc>
                  <w:tcPr>
                    <w:tcW w:w="2831" w:type="pct"/>
                    <w:tcBorders>
                      <w:top w:val="single" w:sz="4" w:space="0" w:color="auto"/>
                      <w:left w:val="single" w:sz="4" w:space="0" w:color="auto"/>
                      <w:bottom w:val="single" w:sz="4" w:space="0" w:color="auto"/>
                    </w:tcBorders>
                  </w:tcPr>
                  <w:p w:rsidR="00704CAD" w:rsidRDefault="0075398D">
                    <w:pPr>
                      <w:kinsoku w:val="0"/>
                      <w:overflowPunct w:val="0"/>
                      <w:autoSpaceDE w:val="0"/>
                      <w:autoSpaceDN w:val="0"/>
                      <w:adjustRightInd w:val="0"/>
                      <w:snapToGrid w:val="0"/>
                      <w:rPr>
                        <w:szCs w:val="21"/>
                      </w:rPr>
                    </w:pPr>
                    <w:r>
                      <w:rPr>
                        <w:szCs w:val="21"/>
                      </w:rPr>
                      <w:t>518026</w:t>
                    </w:r>
                  </w:p>
                </w:tc>
              </w:sdtContent>
            </w:sdt>
          </w:tr>
          <w:tr w:rsidR="00704CAD" w:rsidTr="003A0277">
            <w:trPr>
              <w:trHeight w:val="293"/>
            </w:trPr>
            <w:tc>
              <w:tcPr>
                <w:tcW w:w="2169"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e6c47e80e6e04a899e179991d32f963b"/>
                <w:id w:val="24720008"/>
                <w:lock w:val="sdtLocked"/>
              </w:sdtPr>
              <w:sdtContent>
                <w:tc>
                  <w:tcPr>
                    <w:tcW w:w="2831" w:type="pct"/>
                    <w:tcBorders>
                      <w:top w:val="single" w:sz="4" w:space="0" w:color="auto"/>
                      <w:left w:val="single" w:sz="4" w:space="0" w:color="auto"/>
                      <w:bottom w:val="single" w:sz="4" w:space="0" w:color="auto"/>
                    </w:tcBorders>
                  </w:tcPr>
                  <w:p w:rsidR="00704CAD" w:rsidRDefault="0075398D">
                    <w:pPr>
                      <w:kinsoku w:val="0"/>
                      <w:overflowPunct w:val="0"/>
                      <w:autoSpaceDE w:val="0"/>
                      <w:autoSpaceDN w:val="0"/>
                      <w:adjustRightInd w:val="0"/>
                      <w:snapToGrid w:val="0"/>
                      <w:rPr>
                        <w:szCs w:val="21"/>
                      </w:rPr>
                    </w:pPr>
                    <w:r>
                      <w:rPr>
                        <w:rFonts w:hint="eastAsia"/>
                        <w:szCs w:val="21"/>
                      </w:rPr>
                      <w:t>深圳市福田区益田路江苏大厦</w:t>
                    </w:r>
                    <w:r>
                      <w:rPr>
                        <w:szCs w:val="21"/>
                      </w:rPr>
                      <w:t>A座38-45层</w:t>
                    </w:r>
                  </w:p>
                </w:tc>
              </w:sdtContent>
            </w:sdt>
          </w:tr>
          <w:tr w:rsidR="00704CAD" w:rsidTr="003A0277">
            <w:trPr>
              <w:trHeight w:val="293"/>
            </w:trPr>
            <w:tc>
              <w:tcPr>
                <w:tcW w:w="2169"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803d30fb4ac648e0906650a3e209459a"/>
                <w:id w:val="24720009"/>
                <w:lock w:val="sdtLocked"/>
              </w:sdtPr>
              <w:sdtContent>
                <w:tc>
                  <w:tcPr>
                    <w:tcW w:w="2831" w:type="pct"/>
                    <w:tcBorders>
                      <w:top w:val="single" w:sz="4" w:space="0" w:color="auto"/>
                      <w:left w:val="single" w:sz="4" w:space="0" w:color="auto"/>
                      <w:bottom w:val="single" w:sz="4" w:space="0" w:color="auto"/>
                    </w:tcBorders>
                  </w:tcPr>
                  <w:p w:rsidR="00704CAD" w:rsidRDefault="0075398D">
                    <w:pPr>
                      <w:kinsoku w:val="0"/>
                      <w:overflowPunct w:val="0"/>
                      <w:autoSpaceDE w:val="0"/>
                      <w:autoSpaceDN w:val="0"/>
                      <w:adjustRightInd w:val="0"/>
                      <w:snapToGrid w:val="0"/>
                      <w:rPr>
                        <w:szCs w:val="21"/>
                      </w:rPr>
                    </w:pPr>
                    <w:r>
                      <w:rPr>
                        <w:szCs w:val="21"/>
                      </w:rPr>
                      <w:t>518026</w:t>
                    </w:r>
                  </w:p>
                </w:tc>
              </w:sdtContent>
            </w:sdt>
          </w:tr>
          <w:tr w:rsidR="00704CAD" w:rsidTr="003A0277">
            <w:trPr>
              <w:trHeight w:val="293"/>
            </w:trPr>
            <w:tc>
              <w:tcPr>
                <w:tcW w:w="2169"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a6ad5627913840b79e170c1465504948"/>
                <w:id w:val="24720010"/>
                <w:lock w:val="sdtLocked"/>
              </w:sdtPr>
              <w:sdtContent>
                <w:tc>
                  <w:tcPr>
                    <w:tcW w:w="2831" w:type="pct"/>
                    <w:tcBorders>
                      <w:top w:val="single" w:sz="4" w:space="0" w:color="auto"/>
                      <w:left w:val="single" w:sz="4" w:space="0" w:color="auto"/>
                      <w:bottom w:val="single" w:sz="4" w:space="0" w:color="auto"/>
                    </w:tcBorders>
                  </w:tcPr>
                  <w:p w:rsidR="00704CAD" w:rsidRDefault="0075398D">
                    <w:pPr>
                      <w:kinsoku w:val="0"/>
                      <w:overflowPunct w:val="0"/>
                      <w:autoSpaceDE w:val="0"/>
                      <w:autoSpaceDN w:val="0"/>
                      <w:adjustRightInd w:val="0"/>
                      <w:snapToGrid w:val="0"/>
                      <w:rPr>
                        <w:szCs w:val="21"/>
                      </w:rPr>
                    </w:pPr>
                    <w:r>
                      <w:rPr>
                        <w:szCs w:val="21"/>
                      </w:rPr>
                      <w:t xml:space="preserve">http://www.newone.com.cn </w:t>
                    </w:r>
                  </w:p>
                </w:tc>
              </w:sdtContent>
            </w:sdt>
          </w:tr>
          <w:tr w:rsidR="00704CAD" w:rsidTr="003A0277">
            <w:trPr>
              <w:trHeight w:val="293"/>
            </w:trPr>
            <w:tc>
              <w:tcPr>
                <w:tcW w:w="2169"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ac779945b94b4bf99b3f1c62866fa91b"/>
                <w:id w:val="24720011"/>
                <w:lock w:val="sdtLocked"/>
              </w:sdtPr>
              <w:sdtContent>
                <w:tc>
                  <w:tcPr>
                    <w:tcW w:w="2831" w:type="pct"/>
                    <w:tcBorders>
                      <w:top w:val="single" w:sz="4" w:space="0" w:color="auto"/>
                      <w:left w:val="single" w:sz="4" w:space="0" w:color="auto"/>
                      <w:bottom w:val="single" w:sz="4" w:space="0" w:color="auto"/>
                    </w:tcBorders>
                  </w:tcPr>
                  <w:p w:rsidR="00704CAD" w:rsidRDefault="0075398D">
                    <w:pPr>
                      <w:kinsoku w:val="0"/>
                      <w:overflowPunct w:val="0"/>
                      <w:autoSpaceDE w:val="0"/>
                      <w:autoSpaceDN w:val="0"/>
                      <w:adjustRightInd w:val="0"/>
                      <w:snapToGrid w:val="0"/>
                      <w:rPr>
                        <w:szCs w:val="21"/>
                      </w:rPr>
                    </w:pPr>
                    <w:r>
                      <w:rPr>
                        <w:szCs w:val="21"/>
                      </w:rPr>
                      <w:t>IR@cmschina.com.cn</w:t>
                    </w:r>
                  </w:p>
                </w:tc>
              </w:sdtContent>
            </w:sdt>
          </w:tr>
        </w:tbl>
      </w:sdtContent>
    </w:sdt>
    <w:p w:rsidR="00704CAD" w:rsidRDefault="00704CAD">
      <w:pPr>
        <w:kinsoku w:val="0"/>
        <w:overflowPunct w:val="0"/>
        <w:autoSpaceDE w:val="0"/>
        <w:autoSpaceDN w:val="0"/>
        <w:adjustRightInd w:val="0"/>
        <w:snapToGrid w:val="0"/>
        <w:rPr>
          <w:szCs w:val="21"/>
        </w:rPr>
      </w:pPr>
    </w:p>
    <w:sdt>
      <w:sdtPr>
        <w:rPr>
          <w:rFonts w:ascii="宋体" w:hAnsi="宋体" w:cs="宋体"/>
          <w:b w:val="0"/>
          <w:bCs w:val="0"/>
          <w:kern w:val="0"/>
          <w:szCs w:val="24"/>
        </w:rPr>
        <w:tag w:val="_GBC_fe28925e4e2f41f39797cf9509f3faad"/>
        <w:id w:val="24720016"/>
        <w:lock w:val="sdtLocked"/>
        <w:placeholder>
          <w:docPart w:val="GBC22222222222222222222222222222"/>
        </w:placeholder>
      </w:sdtPr>
      <w:sdtEndPr>
        <w:rPr>
          <w:rFonts w:hint="eastAsia"/>
          <w:szCs w:val="21"/>
        </w:rPr>
      </w:sdtEndPr>
      <w:sdtContent>
        <w:p w:rsidR="00704CAD" w:rsidRDefault="00720895">
          <w:pPr>
            <w:pStyle w:val="2"/>
            <w:numPr>
              <w:ilvl w:val="1"/>
              <w:numId w:val="4"/>
            </w:numPr>
            <w:ind w:left="496" w:hangingChars="236" w:hanging="496"/>
            <w:rPr>
              <w:rFonts w:ascii="宋体" w:hAnsi="宋体"/>
            </w:rPr>
          </w:pPr>
          <w:r>
            <w:t>信息披露及备置</w:t>
          </w:r>
          <w:r>
            <w:rPr>
              <w:rFonts w:hint="eastAsia"/>
            </w:rPr>
            <w:t>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283"/>
            <w:gridCol w:w="4610"/>
          </w:tblGrid>
          <w:tr w:rsidR="00704CAD" w:rsidTr="003269AB">
            <w:trPr>
              <w:trHeight w:val="293"/>
            </w:trPr>
            <w:tc>
              <w:tcPr>
                <w:tcW w:w="2408"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公司选定的信息披露报纸名称</w:t>
                </w:r>
              </w:p>
            </w:tc>
            <w:sdt>
              <w:sdtPr>
                <w:rPr>
                  <w:szCs w:val="21"/>
                </w:rPr>
                <w:alias w:val="公司选定的信息披露报纸名称"/>
                <w:tag w:val="_GBC_7a8957162b3a43958fb155e3d0388213"/>
                <w:id w:val="24720013"/>
                <w:lock w:val="sdtLocked"/>
              </w:sdtPr>
              <w:sdtContent>
                <w:tc>
                  <w:tcPr>
                    <w:tcW w:w="2592" w:type="pct"/>
                    <w:tcBorders>
                      <w:top w:val="single" w:sz="4" w:space="0" w:color="auto"/>
                      <w:left w:val="single" w:sz="4" w:space="0" w:color="auto"/>
                      <w:bottom w:val="single" w:sz="4" w:space="0" w:color="auto"/>
                    </w:tcBorders>
                    <w:vAlign w:val="center"/>
                  </w:tcPr>
                  <w:p w:rsidR="00704CAD" w:rsidRDefault="0075398D" w:rsidP="0075398D">
                    <w:pPr>
                      <w:kinsoku w:val="0"/>
                      <w:overflowPunct w:val="0"/>
                      <w:autoSpaceDE w:val="0"/>
                      <w:autoSpaceDN w:val="0"/>
                      <w:adjustRightInd w:val="0"/>
                      <w:snapToGrid w:val="0"/>
                      <w:jc w:val="both"/>
                      <w:rPr>
                        <w:szCs w:val="21"/>
                      </w:rPr>
                    </w:pPr>
                    <w:r>
                      <w:rPr>
                        <w:rFonts w:hint="eastAsia"/>
                        <w:szCs w:val="21"/>
                      </w:rPr>
                      <w:t>中国证券报、上海证券报、证券时报、证券日报</w:t>
                    </w:r>
                  </w:p>
                </w:tc>
              </w:sdtContent>
            </w:sdt>
          </w:tr>
          <w:tr w:rsidR="00704CAD" w:rsidTr="003269AB">
            <w:trPr>
              <w:trHeight w:val="293"/>
            </w:trPr>
            <w:tc>
              <w:tcPr>
                <w:tcW w:w="2408"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登载</w:t>
                </w:r>
                <w:r>
                  <w:rPr>
                    <w:rFonts w:hint="eastAsia"/>
                    <w:szCs w:val="21"/>
                  </w:rPr>
                  <w:t>半</w:t>
                </w:r>
                <w:r>
                  <w:rPr>
                    <w:szCs w:val="21"/>
                  </w:rPr>
                  <w:t>年度报告的中国证监会指定网站的网址</w:t>
                </w:r>
              </w:p>
            </w:tc>
            <w:sdt>
              <w:sdtPr>
                <w:rPr>
                  <w:szCs w:val="21"/>
                </w:rPr>
                <w:alias w:val="登载定期报告的中国证监会指定网站的网址"/>
                <w:tag w:val="_GBC_c8f4a8b8c5f24d27afbea9784c43b750"/>
                <w:id w:val="24720014"/>
                <w:lock w:val="sdtLocked"/>
              </w:sdtPr>
              <w:sdtContent>
                <w:tc>
                  <w:tcPr>
                    <w:tcW w:w="2592" w:type="pct"/>
                    <w:tcBorders>
                      <w:top w:val="single" w:sz="4" w:space="0" w:color="auto"/>
                      <w:left w:val="single" w:sz="4" w:space="0" w:color="auto"/>
                      <w:bottom w:val="single" w:sz="4" w:space="0" w:color="auto"/>
                    </w:tcBorders>
                    <w:vAlign w:val="center"/>
                  </w:tcPr>
                  <w:p w:rsidR="00704CAD" w:rsidRDefault="0075398D" w:rsidP="0075398D">
                    <w:pPr>
                      <w:kinsoku w:val="0"/>
                      <w:overflowPunct w:val="0"/>
                      <w:autoSpaceDE w:val="0"/>
                      <w:autoSpaceDN w:val="0"/>
                      <w:adjustRightInd w:val="0"/>
                      <w:snapToGrid w:val="0"/>
                      <w:jc w:val="both"/>
                      <w:rPr>
                        <w:szCs w:val="21"/>
                      </w:rPr>
                    </w:pPr>
                    <w:r>
                      <w:rPr>
                        <w:szCs w:val="21"/>
                      </w:rPr>
                      <w:t>http://www.sse.com.cn</w:t>
                    </w:r>
                  </w:p>
                </w:tc>
              </w:sdtContent>
            </w:sdt>
          </w:tr>
          <w:tr w:rsidR="00704CAD" w:rsidTr="003269AB">
            <w:trPr>
              <w:trHeight w:val="293"/>
            </w:trPr>
            <w:tc>
              <w:tcPr>
                <w:tcW w:w="2408"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rPr>
                    <w:szCs w:val="21"/>
                  </w:rPr>
                </w:pPr>
                <w:r>
                  <w:rPr>
                    <w:szCs w:val="21"/>
                  </w:rPr>
                  <w:t>公司</w:t>
                </w:r>
                <w:r>
                  <w:rPr>
                    <w:rFonts w:hint="eastAsia"/>
                    <w:szCs w:val="21"/>
                  </w:rPr>
                  <w:t>半</w:t>
                </w:r>
                <w:r>
                  <w:rPr>
                    <w:szCs w:val="21"/>
                  </w:rPr>
                  <w:t>年度报告备置地点</w:t>
                </w:r>
              </w:p>
            </w:tc>
            <w:sdt>
              <w:sdtPr>
                <w:rPr>
                  <w:rFonts w:hint="eastAsia"/>
                  <w:szCs w:val="21"/>
                </w:rPr>
                <w:alias w:val="公司定期报告备置地点"/>
                <w:tag w:val="_GBC_a98424149b8c425b850714ea1eb4c39e"/>
                <w:id w:val="24720015"/>
                <w:lock w:val="sdtLocked"/>
              </w:sdtPr>
              <w:sdtContent>
                <w:tc>
                  <w:tcPr>
                    <w:tcW w:w="2592" w:type="pct"/>
                    <w:tcBorders>
                      <w:top w:val="single" w:sz="4" w:space="0" w:color="auto"/>
                      <w:left w:val="single" w:sz="4" w:space="0" w:color="auto"/>
                      <w:bottom w:val="single" w:sz="4" w:space="0" w:color="auto"/>
                    </w:tcBorders>
                    <w:vAlign w:val="center"/>
                  </w:tcPr>
                  <w:p w:rsidR="00704CAD" w:rsidRDefault="0075398D" w:rsidP="0075398D">
                    <w:pPr>
                      <w:kinsoku w:val="0"/>
                      <w:overflowPunct w:val="0"/>
                      <w:autoSpaceDE w:val="0"/>
                      <w:autoSpaceDN w:val="0"/>
                      <w:adjustRightInd w:val="0"/>
                      <w:snapToGrid w:val="0"/>
                      <w:jc w:val="both"/>
                      <w:rPr>
                        <w:szCs w:val="21"/>
                      </w:rPr>
                    </w:pPr>
                    <w:r>
                      <w:rPr>
                        <w:rFonts w:hint="eastAsia"/>
                        <w:szCs w:val="21"/>
                      </w:rPr>
                      <w:t>深圳市福田区益田路江苏大厦</w:t>
                    </w:r>
                    <w:r>
                      <w:rPr>
                        <w:szCs w:val="21"/>
                      </w:rPr>
                      <w:t>A座45层</w:t>
                    </w:r>
                  </w:p>
                </w:tc>
              </w:sdtContent>
            </w:sdt>
          </w:tr>
        </w:tbl>
      </w:sdtContent>
    </w:sdt>
    <w:p w:rsidR="00704CAD" w:rsidRDefault="00704CAD">
      <w:pPr>
        <w:kinsoku w:val="0"/>
        <w:overflowPunct w:val="0"/>
        <w:autoSpaceDE w:val="0"/>
        <w:autoSpaceDN w:val="0"/>
        <w:adjustRightInd w:val="0"/>
        <w:snapToGrid w:val="0"/>
        <w:rPr>
          <w:szCs w:val="21"/>
        </w:rPr>
      </w:pPr>
    </w:p>
    <w:p w:rsidR="001276A9" w:rsidRDefault="001276A9">
      <w:pPr>
        <w:kinsoku w:val="0"/>
        <w:overflowPunct w:val="0"/>
        <w:autoSpaceDE w:val="0"/>
        <w:autoSpaceDN w:val="0"/>
        <w:adjustRightInd w:val="0"/>
        <w:snapToGrid w:val="0"/>
        <w:rPr>
          <w:szCs w:val="21"/>
        </w:rPr>
      </w:pPr>
    </w:p>
    <w:bookmarkStart w:id="8" w:name="_Toc342051045" w:displacedByCustomXml="next"/>
    <w:bookmarkStart w:id="9" w:name="_Toc342565885" w:displacedByCustomXml="next"/>
    <w:sdt>
      <w:sdtPr>
        <w:rPr>
          <w:rFonts w:ascii="Calibri" w:hAnsi="Calibri" w:cs="宋体" w:hint="eastAsia"/>
          <w:b w:val="0"/>
          <w:bCs w:val="0"/>
          <w:kern w:val="0"/>
          <w:sz w:val="24"/>
          <w:szCs w:val="22"/>
        </w:rPr>
        <w:tag w:val="_GBC_ac7b003adb504dc495ea520833095df7"/>
        <w:id w:val="24720023"/>
        <w:lock w:val="sdtLocked"/>
        <w:placeholder>
          <w:docPart w:val="GBC22222222222222222222222222222"/>
        </w:placeholder>
      </w:sdtPr>
      <w:sdtEndPr>
        <w:rPr>
          <w:rFonts w:ascii="宋体" w:hAnsi="宋体"/>
          <w:color w:val="0070C0"/>
          <w:sz w:val="21"/>
          <w:szCs w:val="24"/>
        </w:rPr>
      </w:sdtEndPr>
      <w:sdtContent>
        <w:p w:rsidR="00704CAD" w:rsidRDefault="00720895">
          <w:pPr>
            <w:pStyle w:val="2"/>
            <w:numPr>
              <w:ilvl w:val="1"/>
              <w:numId w:val="4"/>
            </w:numPr>
            <w:ind w:left="566" w:hangingChars="236" w:hanging="566"/>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704CAD" w:rsidTr="00BB355C">
            <w:trPr>
              <w:trHeight w:val="293"/>
            </w:trPr>
            <w:tc>
              <w:tcPr>
                <w:tcW w:w="1000" w:type="pct"/>
                <w:tcBorders>
                  <w:top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04CAD" w:rsidRDefault="00720895">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704CAD" w:rsidRDefault="00720895">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GBC_1926575da1f04f89b6d9bf5a08c7d623"/>
              <w:id w:val="24720022"/>
              <w:lock w:val="sdtLocked"/>
            </w:sdtPr>
            <w:sdtContent>
              <w:tr w:rsidR="00704CAD" w:rsidTr="00BB355C">
                <w:trPr>
                  <w:trHeight w:val="293"/>
                </w:trPr>
                <w:tc>
                  <w:tcPr>
                    <w:tcW w:w="1000" w:type="pct"/>
                    <w:tcBorders>
                      <w:top w:val="single" w:sz="4" w:space="0" w:color="auto"/>
                      <w:bottom w:val="single" w:sz="4" w:space="0" w:color="auto"/>
                      <w:right w:val="single" w:sz="4" w:space="0" w:color="auto"/>
                    </w:tcBorders>
                    <w:shd w:val="clear" w:color="auto" w:fill="auto"/>
                  </w:tcPr>
                  <w:p w:rsidR="00704CAD" w:rsidRDefault="00422DCA" w:rsidP="00BE3605">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4e497b60c79d401f8456e884a0bd7bcc"/>
                        <w:id w:val="24720017"/>
                        <w:lock w:val="sdtLocked"/>
                      </w:sdtPr>
                      <w:sdtContent>
                        <w:r w:rsidR="00F017F7">
                          <w:rPr>
                            <w:rFonts w:hint="eastAsia"/>
                            <w:szCs w:val="21"/>
                          </w:rPr>
                          <w:t>Ａ股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04CAD" w:rsidRDefault="00422DCA" w:rsidP="00BE3605">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8586c134b3ca4b38833490a813e02d1b"/>
                        <w:id w:val="24720018"/>
                        <w:lock w:val="sdtLocked"/>
                      </w:sdtPr>
                      <w:sdtContent>
                        <w:r w:rsidR="00F017F7">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04CAD" w:rsidRDefault="00422DCA" w:rsidP="00BE3605">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827260e85ee347dfbd124df54c63c326"/>
                        <w:id w:val="24720019"/>
                        <w:lock w:val="sdtLocked"/>
                      </w:sdtPr>
                      <w:sdtContent>
                        <w:r w:rsidR="00F017F7">
                          <w:rPr>
                            <w:rFonts w:hint="eastAsia"/>
                            <w:szCs w:val="21"/>
                          </w:rPr>
                          <w:t>招商证券</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04CAD" w:rsidRDefault="00422DCA" w:rsidP="00BE3605">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41d672792d51415b98794efd4002d942"/>
                        <w:id w:val="24720020"/>
                        <w:lock w:val="sdtLocked"/>
                      </w:sdtPr>
                      <w:sdtContent>
                        <w:r w:rsidR="00F017F7">
                          <w:rPr>
                            <w:szCs w:val="21"/>
                          </w:rPr>
                          <w:t>600999</w:t>
                        </w:r>
                      </w:sdtContent>
                    </w:sdt>
                  </w:p>
                </w:tc>
                <w:tc>
                  <w:tcPr>
                    <w:tcW w:w="1000" w:type="pct"/>
                    <w:tcBorders>
                      <w:top w:val="single" w:sz="4" w:space="0" w:color="auto"/>
                      <w:left w:val="single" w:sz="4" w:space="0" w:color="auto"/>
                      <w:bottom w:val="single" w:sz="4" w:space="0" w:color="auto"/>
                    </w:tcBorders>
                    <w:shd w:val="clear" w:color="auto" w:fill="auto"/>
                  </w:tcPr>
                  <w:p w:rsidR="00704CAD" w:rsidRDefault="00422DCA" w:rsidP="006F298C">
                    <w:pPr>
                      <w:kinsoku w:val="0"/>
                      <w:overflowPunct w:val="0"/>
                      <w:autoSpaceDE w:val="0"/>
                      <w:autoSpaceDN w:val="0"/>
                      <w:adjustRightInd w:val="0"/>
                      <w:snapToGrid w:val="0"/>
                      <w:jc w:val="center"/>
                      <w:rPr>
                        <w:color w:val="FFC000"/>
                        <w:szCs w:val="21"/>
                      </w:rPr>
                    </w:pPr>
                    <w:sdt>
                      <w:sdtPr>
                        <w:rPr>
                          <w:rFonts w:hint="eastAsia"/>
                          <w:szCs w:val="21"/>
                        </w:rPr>
                        <w:alias w:val="公司其他股票变更前的简称"/>
                        <w:tag w:val="_GBC_28cdf868df124deeb551ff0081bb1e08"/>
                        <w:id w:val="24720021"/>
                        <w:lock w:val="sdtLocked"/>
                      </w:sdtPr>
                      <w:sdtContent>
                        <w:r w:rsidR="006F298C">
                          <w:rPr>
                            <w:rFonts w:hint="eastAsia"/>
                            <w:szCs w:val="21"/>
                          </w:rPr>
                          <w:t>--</w:t>
                        </w:r>
                      </w:sdtContent>
                    </w:sdt>
                  </w:p>
                </w:tc>
              </w:tr>
            </w:sdtContent>
          </w:sdt>
        </w:tbl>
        <w:p w:rsidR="001276A9" w:rsidRDefault="001276A9">
          <w:pPr>
            <w:kinsoku w:val="0"/>
            <w:overflowPunct w:val="0"/>
            <w:autoSpaceDE w:val="0"/>
            <w:autoSpaceDN w:val="0"/>
            <w:adjustRightInd w:val="0"/>
            <w:snapToGrid w:val="0"/>
            <w:rPr>
              <w:color w:val="0070C0"/>
              <w:szCs w:val="21"/>
            </w:rPr>
          </w:pPr>
        </w:p>
        <w:p w:rsidR="00704CAD" w:rsidRDefault="00422DCA">
          <w:pPr>
            <w:kinsoku w:val="0"/>
            <w:overflowPunct w:val="0"/>
            <w:autoSpaceDE w:val="0"/>
            <w:autoSpaceDN w:val="0"/>
            <w:adjustRightInd w:val="0"/>
            <w:snapToGrid w:val="0"/>
            <w:rPr>
              <w:color w:val="0070C0"/>
              <w:szCs w:val="21"/>
            </w:rPr>
          </w:pPr>
        </w:p>
      </w:sdtContent>
    </w:sdt>
    <w:p w:rsidR="00704CAD" w:rsidRDefault="00720895">
      <w:pPr>
        <w:pStyle w:val="2"/>
        <w:numPr>
          <w:ilvl w:val="1"/>
          <w:numId w:val="4"/>
        </w:numPr>
        <w:ind w:left="498" w:hangingChars="236" w:hanging="498"/>
        <w:rPr>
          <w:bdr w:val="single" w:sz="4" w:space="0" w:color="auto"/>
        </w:rPr>
      </w:pPr>
      <w:r>
        <w:lastRenderedPageBreak/>
        <w:t>报告期内注册变更情况</w:t>
      </w:r>
    </w:p>
    <w:sdt>
      <w:sdtPr>
        <w:rPr>
          <w:rFonts w:hint="eastAsia"/>
          <w:b/>
          <w:bCs/>
        </w:rPr>
        <w:tag w:val="_GBC_6547ad5fb6174d34b037bd1cc0871300"/>
        <w:id w:val="24720030"/>
        <w:lock w:val="sdtLocked"/>
        <w:placeholder>
          <w:docPart w:val="GBC22222222222222222222222222222"/>
        </w:placeholder>
      </w:sdtPr>
      <w:sdtEndPr>
        <w:rPr>
          <w:b w:val="0"/>
          <w:bCs w:val="0"/>
          <w:szCs w:val="21"/>
        </w:rPr>
      </w:sdtEndPr>
      <w:sdtContent>
        <w:tbl>
          <w:tblPr>
            <w:tblStyle w:val="a6"/>
            <w:tblW w:w="5000" w:type="pct"/>
            <w:tblLook w:val="04A0"/>
          </w:tblPr>
          <w:tblGrid>
            <w:gridCol w:w="3927"/>
            <w:gridCol w:w="5122"/>
          </w:tblGrid>
          <w:tr w:rsidR="00704CAD" w:rsidTr="002D20EC">
            <w:trPr>
              <w:trHeight w:val="180"/>
            </w:trPr>
            <w:tc>
              <w:tcPr>
                <w:tcW w:w="2170" w:type="pct"/>
              </w:tcPr>
              <w:p w:rsidR="00704CAD" w:rsidRDefault="00720895">
                <w:pPr>
                  <w:rPr>
                    <w:szCs w:val="21"/>
                  </w:rPr>
                </w:pPr>
                <w:r>
                  <w:rPr>
                    <w:szCs w:val="21"/>
                  </w:rPr>
                  <w:t>注册登记日期</w:t>
                </w:r>
              </w:p>
            </w:tc>
            <w:sdt>
              <w:sdtPr>
                <w:rPr>
                  <w:rFonts w:hint="eastAsia"/>
                  <w:szCs w:val="21"/>
                </w:rPr>
                <w:alias w:val="公司变更注册登记日期"/>
                <w:tag w:val="_GBC_2db7dc83b7e34d0cbe89a5d2e46c601d"/>
                <w:id w:val="24720024"/>
                <w:lock w:val="sdtLocked"/>
              </w:sdtPr>
              <w:sdtContent>
                <w:tc>
                  <w:tcPr>
                    <w:tcW w:w="2830" w:type="pct"/>
                  </w:tcPr>
                  <w:p w:rsidR="00704CAD" w:rsidRDefault="00F017F7">
                    <w:pPr>
                      <w:rPr>
                        <w:szCs w:val="21"/>
                      </w:rPr>
                    </w:pPr>
                    <w:r>
                      <w:rPr>
                        <w:szCs w:val="21"/>
                      </w:rPr>
                      <w:t>1993年8月1日</w:t>
                    </w:r>
                  </w:p>
                </w:tc>
              </w:sdtContent>
            </w:sdt>
          </w:tr>
          <w:tr w:rsidR="00704CAD" w:rsidTr="002D20EC">
            <w:trPr>
              <w:trHeight w:val="165"/>
            </w:trPr>
            <w:tc>
              <w:tcPr>
                <w:tcW w:w="2170" w:type="pct"/>
              </w:tcPr>
              <w:p w:rsidR="00704CAD" w:rsidRDefault="00720895">
                <w:pPr>
                  <w:rPr>
                    <w:szCs w:val="21"/>
                  </w:rPr>
                </w:pPr>
                <w:r>
                  <w:rPr>
                    <w:szCs w:val="21"/>
                  </w:rPr>
                  <w:t>注册登记地点</w:t>
                </w:r>
              </w:p>
            </w:tc>
            <w:sdt>
              <w:sdtPr>
                <w:rPr>
                  <w:rFonts w:hint="eastAsia"/>
                  <w:szCs w:val="21"/>
                </w:rPr>
                <w:alias w:val="公司变更注册登记地点"/>
                <w:tag w:val="_GBC_bf6d3ec42f9148c2b3c9ad1b58cd8eb0"/>
                <w:id w:val="24720025"/>
                <w:lock w:val="sdtLocked"/>
              </w:sdtPr>
              <w:sdtContent>
                <w:tc>
                  <w:tcPr>
                    <w:tcW w:w="2830" w:type="pct"/>
                  </w:tcPr>
                  <w:p w:rsidR="00704CAD" w:rsidRDefault="00F017F7">
                    <w:pPr>
                      <w:rPr>
                        <w:szCs w:val="21"/>
                      </w:rPr>
                    </w:pPr>
                    <w:r>
                      <w:rPr>
                        <w:rFonts w:hint="eastAsia"/>
                        <w:szCs w:val="21"/>
                      </w:rPr>
                      <w:t>深圳市福田区益田路江苏大厦</w:t>
                    </w:r>
                    <w:r>
                      <w:rPr>
                        <w:szCs w:val="21"/>
                      </w:rPr>
                      <w:t>A座38至45层</w:t>
                    </w:r>
                  </w:p>
                </w:tc>
              </w:sdtContent>
            </w:sdt>
          </w:tr>
          <w:tr w:rsidR="00704CAD" w:rsidTr="002D20EC">
            <w:trPr>
              <w:trHeight w:val="150"/>
            </w:trPr>
            <w:tc>
              <w:tcPr>
                <w:tcW w:w="2170" w:type="pct"/>
              </w:tcPr>
              <w:p w:rsidR="00704CAD" w:rsidRDefault="00720895">
                <w:pPr>
                  <w:rPr>
                    <w:szCs w:val="21"/>
                  </w:rPr>
                </w:pPr>
                <w:r>
                  <w:rPr>
                    <w:szCs w:val="21"/>
                  </w:rPr>
                  <w:t>企业法人营业执照注册号</w:t>
                </w:r>
              </w:p>
            </w:tc>
            <w:sdt>
              <w:sdtPr>
                <w:rPr>
                  <w:rFonts w:hint="eastAsia"/>
                  <w:szCs w:val="21"/>
                </w:rPr>
                <w:alias w:val="公司注册变更企业法人营业执照注册号"/>
                <w:tag w:val="_GBC_73ec1cf9f7354c4a9568a43877b9f920"/>
                <w:id w:val="24720026"/>
                <w:lock w:val="sdtLocked"/>
              </w:sdtPr>
              <w:sdtContent>
                <w:tc>
                  <w:tcPr>
                    <w:tcW w:w="2830" w:type="pct"/>
                  </w:tcPr>
                  <w:p w:rsidR="00704CAD" w:rsidRDefault="00F017F7">
                    <w:pPr>
                      <w:rPr>
                        <w:szCs w:val="21"/>
                      </w:rPr>
                    </w:pPr>
                    <w:r>
                      <w:rPr>
                        <w:szCs w:val="21"/>
                      </w:rPr>
                      <w:t>440301102746898</w:t>
                    </w:r>
                  </w:p>
                </w:tc>
              </w:sdtContent>
            </w:sdt>
          </w:tr>
          <w:tr w:rsidR="00704CAD" w:rsidTr="002D20EC">
            <w:trPr>
              <w:trHeight w:val="150"/>
            </w:trPr>
            <w:tc>
              <w:tcPr>
                <w:tcW w:w="2170" w:type="pct"/>
              </w:tcPr>
              <w:p w:rsidR="00704CAD" w:rsidRDefault="00720895">
                <w:pPr>
                  <w:rPr>
                    <w:szCs w:val="21"/>
                  </w:rPr>
                </w:pPr>
                <w:r>
                  <w:rPr>
                    <w:szCs w:val="21"/>
                  </w:rPr>
                  <w:t>税务登记号码</w:t>
                </w:r>
              </w:p>
            </w:tc>
            <w:sdt>
              <w:sdtPr>
                <w:rPr>
                  <w:rFonts w:hint="eastAsia"/>
                  <w:szCs w:val="21"/>
                </w:rPr>
                <w:alias w:val="公司注册变更税务登记号码"/>
                <w:tag w:val="_GBC_936d62f5df444fffb22acde6d6377cc4"/>
                <w:id w:val="24720027"/>
                <w:lock w:val="sdtLocked"/>
              </w:sdtPr>
              <w:sdtContent>
                <w:tc>
                  <w:tcPr>
                    <w:tcW w:w="2830" w:type="pct"/>
                  </w:tcPr>
                  <w:p w:rsidR="00704CAD" w:rsidRDefault="00F017F7">
                    <w:pPr>
                      <w:rPr>
                        <w:szCs w:val="21"/>
                      </w:rPr>
                    </w:pPr>
                    <w:r>
                      <w:rPr>
                        <w:szCs w:val="21"/>
                      </w:rPr>
                      <w:t>440300192238549</w:t>
                    </w:r>
                  </w:p>
                </w:tc>
              </w:sdtContent>
            </w:sdt>
          </w:tr>
          <w:tr w:rsidR="00704CAD" w:rsidTr="002D20EC">
            <w:trPr>
              <w:trHeight w:val="180"/>
            </w:trPr>
            <w:tc>
              <w:tcPr>
                <w:tcW w:w="2170" w:type="pct"/>
              </w:tcPr>
              <w:p w:rsidR="00704CAD" w:rsidRDefault="00720895">
                <w:pPr>
                  <w:rPr>
                    <w:szCs w:val="21"/>
                  </w:rPr>
                </w:pPr>
                <w:r>
                  <w:rPr>
                    <w:szCs w:val="21"/>
                  </w:rPr>
                  <w:t>组织机构代码</w:t>
                </w:r>
              </w:p>
            </w:tc>
            <w:sdt>
              <w:sdtPr>
                <w:rPr>
                  <w:rFonts w:hint="eastAsia"/>
                  <w:szCs w:val="21"/>
                </w:rPr>
                <w:alias w:val="公司注册变更组织机构代码"/>
                <w:tag w:val="_GBC_545d897771804d69bfa6da1fb2203f40"/>
                <w:id w:val="24720028"/>
                <w:lock w:val="sdtLocked"/>
              </w:sdtPr>
              <w:sdtContent>
                <w:tc>
                  <w:tcPr>
                    <w:tcW w:w="2830" w:type="pct"/>
                  </w:tcPr>
                  <w:p w:rsidR="00704CAD" w:rsidRDefault="00F017F7">
                    <w:pPr>
                      <w:rPr>
                        <w:szCs w:val="21"/>
                      </w:rPr>
                    </w:pPr>
                    <w:r>
                      <w:rPr>
                        <w:szCs w:val="21"/>
                      </w:rPr>
                      <w:t>19223854-9</w:t>
                    </w:r>
                  </w:p>
                </w:tc>
              </w:sdtContent>
            </w:sdt>
          </w:tr>
          <w:tr w:rsidR="00704CAD" w:rsidTr="00681CC5">
            <w:trPr>
              <w:trHeight w:val="180"/>
            </w:trPr>
            <w:tc>
              <w:tcPr>
                <w:tcW w:w="2170" w:type="pct"/>
                <w:vAlign w:val="center"/>
              </w:tcPr>
              <w:p w:rsidR="00704CAD" w:rsidRDefault="00720895" w:rsidP="00681CC5">
                <w:pPr>
                  <w:rPr>
                    <w:szCs w:val="21"/>
                  </w:rPr>
                </w:pPr>
                <w:r>
                  <w:t>报告期内注册变更情况查询索引</w:t>
                </w:r>
              </w:p>
            </w:tc>
            <w:sdt>
              <w:sdtPr>
                <w:rPr>
                  <w:rFonts w:hint="eastAsia"/>
                  <w:szCs w:val="21"/>
                </w:rPr>
                <w:alias w:val="公司注册情况报告期内变更查询索引"/>
                <w:tag w:val="_GBC_158bd2559bbf408597b3c75ad61040d0"/>
                <w:id w:val="24720029"/>
                <w:lock w:val="sdtLocked"/>
              </w:sdtPr>
              <w:sdtContent>
                <w:tc>
                  <w:tcPr>
                    <w:tcW w:w="2830" w:type="pct"/>
                  </w:tcPr>
                  <w:p w:rsidR="00681CC5" w:rsidRDefault="00422DCA">
                    <w:pPr>
                      <w:rPr>
                        <w:szCs w:val="21"/>
                      </w:rPr>
                    </w:pPr>
                    <w:hyperlink r:id="rId14" w:history="1">
                      <w:r w:rsidR="00681CC5" w:rsidRPr="00681CC5">
                        <w:t>http://www.szcredit.com.cn/web/Index.aspx</w:t>
                      </w:r>
                    </w:hyperlink>
                  </w:p>
                  <w:p w:rsidR="00704CAD" w:rsidRDefault="00681CC5">
                    <w:pPr>
                      <w:rPr>
                        <w:szCs w:val="21"/>
                      </w:rPr>
                    </w:pPr>
                    <w:r w:rsidRPr="00681CC5">
                      <w:rPr>
                        <w:rFonts w:hint="eastAsia"/>
                        <w:szCs w:val="21"/>
                      </w:rPr>
                      <w:t>（名称：招商证券股份有限公司）</w:t>
                    </w:r>
                  </w:p>
                </w:tc>
              </w:sdtContent>
            </w:sdt>
          </w:tr>
        </w:tbl>
      </w:sdtContent>
    </w:sdt>
    <w:p w:rsidR="00704CAD" w:rsidRDefault="00704CAD">
      <w:pPr>
        <w:rPr>
          <w:rFonts w:asciiTheme="minorEastAsia" w:eastAsiaTheme="minorEastAsia" w:hAnsiTheme="minorEastAsia"/>
          <w:szCs w:val="21"/>
        </w:rPr>
      </w:pPr>
    </w:p>
    <w:p w:rsidR="00681CC5" w:rsidRPr="00752A87" w:rsidRDefault="00681CC5" w:rsidP="001276A9">
      <w:pPr>
        <w:spacing w:line="360" w:lineRule="auto"/>
        <w:rPr>
          <w:szCs w:val="21"/>
        </w:rPr>
      </w:pPr>
      <w:r w:rsidRPr="00752A87">
        <w:rPr>
          <w:rFonts w:hint="eastAsia"/>
          <w:szCs w:val="21"/>
        </w:rPr>
        <w:t>报告期内注册变更情况：</w:t>
      </w:r>
    </w:p>
    <w:p w:rsidR="0093608B" w:rsidRPr="00752A87" w:rsidRDefault="0093608B" w:rsidP="001276A9">
      <w:pPr>
        <w:spacing w:line="360" w:lineRule="auto"/>
        <w:ind w:firstLineChars="202" w:firstLine="424"/>
        <w:rPr>
          <w:szCs w:val="21"/>
        </w:rPr>
      </w:pPr>
      <w:r w:rsidRPr="00752A87">
        <w:rPr>
          <w:rFonts w:hint="eastAsia"/>
          <w:szCs w:val="21"/>
        </w:rPr>
        <w:t>2015年2月26日，深圳市市场监督管理局对公司申请的增加股票期权做市业务资格变更予以核准。</w:t>
      </w:r>
    </w:p>
    <w:p w:rsidR="0093608B" w:rsidRPr="00752A87" w:rsidRDefault="0093608B" w:rsidP="001276A9">
      <w:pPr>
        <w:spacing w:line="360" w:lineRule="auto"/>
        <w:ind w:firstLineChars="202" w:firstLine="424"/>
        <w:rPr>
          <w:szCs w:val="21"/>
        </w:rPr>
      </w:pPr>
      <w:r w:rsidRPr="00752A87">
        <w:rPr>
          <w:rFonts w:hint="eastAsia"/>
          <w:szCs w:val="21"/>
        </w:rPr>
        <w:t>2015年4月10日，深圳市市场监督管理局对公司申请的减少资产管理业务资格变更予以核准。</w:t>
      </w:r>
    </w:p>
    <w:p w:rsidR="00681CC5" w:rsidRPr="00681CC5" w:rsidRDefault="00681CC5" w:rsidP="00681CC5">
      <w:pPr>
        <w:rPr>
          <w:szCs w:val="21"/>
        </w:rPr>
      </w:pPr>
    </w:p>
    <w:sdt>
      <w:sdtPr>
        <w:rPr>
          <w:rFonts w:ascii="Calibri" w:hAnsi="Calibri" w:cs="宋体"/>
          <w:b w:val="0"/>
          <w:bCs w:val="0"/>
          <w:kern w:val="0"/>
          <w:sz w:val="24"/>
          <w:szCs w:val="22"/>
        </w:rPr>
        <w:tag w:val="_GBC_6e382477faa449fc963431275bfd4d63"/>
        <w:id w:val="24720032"/>
        <w:lock w:val="sdtLocked"/>
        <w:placeholder>
          <w:docPart w:val="GBC22222222222222222222222222222"/>
        </w:placeholder>
      </w:sdtPr>
      <w:sdtEndPr>
        <w:rPr>
          <w:rFonts w:ascii="宋体" w:hAnsi="宋体" w:hint="eastAsia"/>
          <w:sz w:val="21"/>
          <w:szCs w:val="24"/>
        </w:rPr>
      </w:sdtEndPr>
      <w:sdtContent>
        <w:p w:rsidR="00704CAD" w:rsidRDefault="00720895">
          <w:pPr>
            <w:pStyle w:val="2"/>
            <w:numPr>
              <w:ilvl w:val="1"/>
              <w:numId w:val="4"/>
            </w:numPr>
            <w:ind w:left="566" w:hangingChars="236" w:hanging="566"/>
          </w:pPr>
          <w:r>
            <w:t>其他有关资料</w:t>
          </w:r>
        </w:p>
        <w:sdt>
          <w:sdtPr>
            <w:rPr>
              <w:rFonts w:hint="eastAsia"/>
            </w:rPr>
            <w:alias w:val="公司其他基本情况"/>
            <w:tag w:val="_GBC_14308e7e558545a88b986131fd5f37ae"/>
            <w:id w:val="24720031"/>
            <w:lock w:val="sdtLocked"/>
            <w:placeholder>
              <w:docPart w:val="GBC22222222222222222222222222222"/>
            </w:placeholder>
          </w:sdtPr>
          <w:sdtContent>
            <w:p w:rsidR="00681CC5" w:rsidRPr="00681CC5" w:rsidRDefault="00681CC5" w:rsidP="00681CC5">
              <w:pPr>
                <w:rPr>
                  <w:szCs w:val="21"/>
                </w:rPr>
              </w:pPr>
              <w:r w:rsidRPr="00681CC5">
                <w:rPr>
                  <w:rFonts w:hint="eastAsia"/>
                  <w:szCs w:val="21"/>
                </w:rPr>
                <w:t>公司上市以来主营业务的变化情况</w:t>
              </w:r>
              <w:r>
                <w:rPr>
                  <w:rFonts w:hint="eastAsia"/>
                  <w:szCs w:val="21"/>
                </w:rPr>
                <w:t>：</w:t>
              </w:r>
            </w:p>
            <w:tbl>
              <w:tblPr>
                <w:tblW w:w="8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416"/>
              </w:tblGrid>
              <w:tr w:rsidR="00681CC5" w:rsidRPr="00681CC5" w:rsidTr="00A46D15">
                <w:trPr>
                  <w:trHeight w:val="295"/>
                </w:trPr>
                <w:tc>
                  <w:tcPr>
                    <w:tcW w:w="3227" w:type="dxa"/>
                    <w:vAlign w:val="center"/>
                  </w:tcPr>
                  <w:p w:rsidR="00681CC5" w:rsidRPr="00681CC5" w:rsidRDefault="00681CC5" w:rsidP="00681CC5">
                    <w:pPr>
                      <w:jc w:val="both"/>
                      <w:rPr>
                        <w:szCs w:val="21"/>
                      </w:rPr>
                    </w:pPr>
                    <w:r w:rsidRPr="00681CC5">
                      <w:rPr>
                        <w:rStyle w:val="aspnetdisabled"/>
                        <w:rFonts w:hint="eastAsia"/>
                        <w:szCs w:val="21"/>
                      </w:rPr>
                      <w:t>2015年4月10日</w:t>
                    </w:r>
                    <w:r w:rsidRPr="00681CC5">
                      <w:rPr>
                        <w:rFonts w:hint="eastAsia"/>
                        <w:szCs w:val="21"/>
                      </w:rPr>
                      <w:t>的变更事项</w:t>
                    </w:r>
                  </w:p>
                </w:tc>
                <w:tc>
                  <w:tcPr>
                    <w:tcW w:w="5416" w:type="dxa"/>
                    <w:vAlign w:val="center"/>
                  </w:tcPr>
                  <w:p w:rsidR="00681CC5" w:rsidRPr="00681CC5" w:rsidRDefault="00681CC5" w:rsidP="00681CC5">
                    <w:pPr>
                      <w:jc w:val="both"/>
                      <w:rPr>
                        <w:szCs w:val="21"/>
                      </w:rPr>
                    </w:pPr>
                    <w:r w:rsidRPr="00681CC5">
                      <w:rPr>
                        <w:rFonts w:hint="eastAsia"/>
                        <w:szCs w:val="21"/>
                      </w:rPr>
                      <w:t>减少证券资产管理业务范围</w:t>
                    </w:r>
                  </w:p>
                </w:tc>
              </w:tr>
              <w:tr w:rsidR="00681CC5" w:rsidRPr="00681CC5" w:rsidTr="00A46D15">
                <w:trPr>
                  <w:trHeight w:val="295"/>
                </w:trPr>
                <w:tc>
                  <w:tcPr>
                    <w:tcW w:w="3227" w:type="dxa"/>
                    <w:vAlign w:val="center"/>
                  </w:tcPr>
                  <w:p w:rsidR="00681CC5" w:rsidRPr="00681CC5" w:rsidRDefault="00681CC5" w:rsidP="00681CC5">
                    <w:pPr>
                      <w:jc w:val="both"/>
                      <w:rPr>
                        <w:szCs w:val="21"/>
                      </w:rPr>
                    </w:pPr>
                    <w:r w:rsidRPr="00681CC5">
                      <w:rPr>
                        <w:rStyle w:val="aspnetdisabled"/>
                        <w:rFonts w:hint="eastAsia"/>
                        <w:szCs w:val="21"/>
                      </w:rPr>
                      <w:t>2015年2月26日</w:t>
                    </w:r>
                    <w:r w:rsidRPr="00681CC5">
                      <w:rPr>
                        <w:rFonts w:hint="eastAsia"/>
                        <w:szCs w:val="21"/>
                      </w:rPr>
                      <w:t>的变更事项</w:t>
                    </w:r>
                  </w:p>
                </w:tc>
                <w:tc>
                  <w:tcPr>
                    <w:tcW w:w="5416" w:type="dxa"/>
                    <w:vAlign w:val="center"/>
                  </w:tcPr>
                  <w:p w:rsidR="00681CC5" w:rsidRPr="00681CC5" w:rsidRDefault="00681CC5" w:rsidP="00681CC5">
                    <w:pPr>
                      <w:jc w:val="both"/>
                      <w:rPr>
                        <w:szCs w:val="21"/>
                      </w:rPr>
                    </w:pPr>
                    <w:r w:rsidRPr="00681CC5">
                      <w:rPr>
                        <w:rFonts w:hint="eastAsia"/>
                        <w:szCs w:val="21"/>
                      </w:rPr>
                      <w:t>增加股票期权做市业务范围</w:t>
                    </w:r>
                  </w:p>
                </w:tc>
              </w:tr>
              <w:tr w:rsidR="00681CC5" w:rsidRPr="00681CC5" w:rsidTr="00A46D15">
                <w:trPr>
                  <w:trHeight w:val="295"/>
                </w:trPr>
                <w:tc>
                  <w:tcPr>
                    <w:tcW w:w="3227" w:type="dxa"/>
                    <w:vAlign w:val="center"/>
                  </w:tcPr>
                  <w:p w:rsidR="00681CC5" w:rsidRPr="00681CC5" w:rsidRDefault="00681CC5" w:rsidP="00681CC5">
                    <w:pPr>
                      <w:jc w:val="both"/>
                      <w:rPr>
                        <w:szCs w:val="21"/>
                      </w:rPr>
                    </w:pPr>
                    <w:r w:rsidRPr="00681CC5">
                      <w:rPr>
                        <w:rStyle w:val="aspnetdisabled"/>
                        <w:rFonts w:hint="eastAsia"/>
                        <w:szCs w:val="21"/>
                      </w:rPr>
                      <w:t>2014年10月15日</w:t>
                    </w:r>
                    <w:r w:rsidRPr="00681CC5">
                      <w:rPr>
                        <w:rFonts w:hint="eastAsia"/>
                        <w:szCs w:val="21"/>
                      </w:rPr>
                      <w:t>的变更事项</w:t>
                    </w:r>
                  </w:p>
                </w:tc>
                <w:tc>
                  <w:tcPr>
                    <w:tcW w:w="5416" w:type="dxa"/>
                    <w:vAlign w:val="center"/>
                  </w:tcPr>
                  <w:p w:rsidR="00681CC5" w:rsidRPr="00681CC5" w:rsidRDefault="00681CC5" w:rsidP="00681CC5">
                    <w:pPr>
                      <w:jc w:val="both"/>
                      <w:rPr>
                        <w:szCs w:val="21"/>
                      </w:rPr>
                    </w:pPr>
                    <w:r w:rsidRPr="00681CC5">
                      <w:rPr>
                        <w:rFonts w:hint="eastAsia"/>
                        <w:szCs w:val="21"/>
                      </w:rPr>
                      <w:t>增加证券投资基金托管业务范围</w:t>
                    </w:r>
                  </w:p>
                </w:tc>
              </w:tr>
              <w:tr w:rsidR="00681CC5" w:rsidRPr="00681CC5" w:rsidTr="00A46D15">
                <w:trPr>
                  <w:trHeight w:val="295"/>
                </w:trPr>
                <w:tc>
                  <w:tcPr>
                    <w:tcW w:w="3227" w:type="dxa"/>
                    <w:vAlign w:val="center"/>
                  </w:tcPr>
                  <w:p w:rsidR="00681CC5" w:rsidRPr="00681CC5" w:rsidRDefault="00681CC5" w:rsidP="00681CC5">
                    <w:pPr>
                      <w:jc w:val="both"/>
                      <w:rPr>
                        <w:szCs w:val="21"/>
                      </w:rPr>
                    </w:pPr>
                    <w:r w:rsidRPr="00681CC5">
                      <w:rPr>
                        <w:rStyle w:val="aspnetdisabled"/>
                        <w:rFonts w:hint="eastAsia"/>
                        <w:szCs w:val="21"/>
                      </w:rPr>
                      <w:t>2013年11月18日</w:t>
                    </w:r>
                    <w:r w:rsidRPr="00681CC5">
                      <w:rPr>
                        <w:rFonts w:hint="eastAsia"/>
                        <w:szCs w:val="21"/>
                      </w:rPr>
                      <w:t>的变更事项</w:t>
                    </w:r>
                  </w:p>
                </w:tc>
                <w:tc>
                  <w:tcPr>
                    <w:tcW w:w="5416" w:type="dxa"/>
                    <w:vAlign w:val="center"/>
                  </w:tcPr>
                  <w:p w:rsidR="00681CC5" w:rsidRPr="00681CC5" w:rsidRDefault="00681CC5" w:rsidP="00681CC5">
                    <w:pPr>
                      <w:jc w:val="both"/>
                      <w:rPr>
                        <w:szCs w:val="21"/>
                      </w:rPr>
                    </w:pPr>
                    <w:r w:rsidRPr="00681CC5">
                      <w:rPr>
                        <w:rFonts w:hint="eastAsia"/>
                        <w:szCs w:val="21"/>
                      </w:rPr>
                      <w:t>增加保险兼业代理业务范围</w:t>
                    </w:r>
                  </w:p>
                </w:tc>
              </w:tr>
              <w:tr w:rsidR="00681CC5" w:rsidRPr="00681CC5" w:rsidTr="00A46D15">
                <w:trPr>
                  <w:trHeight w:val="295"/>
                </w:trPr>
                <w:tc>
                  <w:tcPr>
                    <w:tcW w:w="3227" w:type="dxa"/>
                    <w:vAlign w:val="center"/>
                  </w:tcPr>
                  <w:p w:rsidR="00681CC5" w:rsidRPr="00681CC5" w:rsidRDefault="00681CC5" w:rsidP="00681CC5">
                    <w:pPr>
                      <w:jc w:val="both"/>
                      <w:rPr>
                        <w:szCs w:val="21"/>
                      </w:rPr>
                    </w:pPr>
                    <w:r w:rsidRPr="00681CC5">
                      <w:rPr>
                        <w:rFonts w:hint="eastAsia"/>
                        <w:szCs w:val="21"/>
                      </w:rPr>
                      <w:t>2013年2月26日的变更事项</w:t>
                    </w:r>
                  </w:p>
                </w:tc>
                <w:tc>
                  <w:tcPr>
                    <w:tcW w:w="5416" w:type="dxa"/>
                    <w:vAlign w:val="center"/>
                  </w:tcPr>
                  <w:p w:rsidR="00681CC5" w:rsidRPr="00681CC5" w:rsidRDefault="00681CC5" w:rsidP="00681CC5">
                    <w:pPr>
                      <w:jc w:val="both"/>
                      <w:rPr>
                        <w:szCs w:val="21"/>
                      </w:rPr>
                    </w:pPr>
                    <w:r w:rsidRPr="00681CC5">
                      <w:rPr>
                        <w:rFonts w:hint="eastAsia"/>
                        <w:szCs w:val="21"/>
                      </w:rPr>
                      <w:t>增加代销金融产品业务范围</w:t>
                    </w:r>
                  </w:p>
                </w:tc>
              </w:tr>
              <w:tr w:rsidR="00681CC5" w:rsidRPr="00681CC5" w:rsidTr="00A46D15">
                <w:trPr>
                  <w:trHeight w:val="295"/>
                </w:trPr>
                <w:tc>
                  <w:tcPr>
                    <w:tcW w:w="3227" w:type="dxa"/>
                    <w:vAlign w:val="center"/>
                  </w:tcPr>
                  <w:p w:rsidR="00681CC5" w:rsidRPr="00681CC5" w:rsidRDefault="00681CC5" w:rsidP="00681CC5">
                    <w:pPr>
                      <w:jc w:val="both"/>
                      <w:rPr>
                        <w:szCs w:val="21"/>
                      </w:rPr>
                    </w:pPr>
                    <w:r w:rsidRPr="00681CC5">
                      <w:rPr>
                        <w:rFonts w:hint="eastAsia"/>
                        <w:szCs w:val="21"/>
                      </w:rPr>
                      <w:t>2010年6月11日的变更事项</w:t>
                    </w:r>
                  </w:p>
                </w:tc>
                <w:tc>
                  <w:tcPr>
                    <w:tcW w:w="5416" w:type="dxa"/>
                    <w:vAlign w:val="center"/>
                  </w:tcPr>
                  <w:p w:rsidR="00681CC5" w:rsidRPr="00681CC5" w:rsidRDefault="00681CC5" w:rsidP="00681CC5">
                    <w:pPr>
                      <w:jc w:val="both"/>
                      <w:rPr>
                        <w:szCs w:val="21"/>
                      </w:rPr>
                    </w:pPr>
                    <w:r w:rsidRPr="00681CC5">
                      <w:rPr>
                        <w:rFonts w:hint="eastAsia"/>
                        <w:szCs w:val="21"/>
                      </w:rPr>
                      <w:t>增加融资融券业务范围</w:t>
                    </w:r>
                  </w:p>
                </w:tc>
              </w:tr>
              <w:tr w:rsidR="00681CC5" w:rsidRPr="00681CC5" w:rsidTr="00A46D15">
                <w:trPr>
                  <w:trHeight w:val="295"/>
                </w:trPr>
                <w:tc>
                  <w:tcPr>
                    <w:tcW w:w="3227" w:type="dxa"/>
                    <w:vAlign w:val="center"/>
                  </w:tcPr>
                  <w:p w:rsidR="00681CC5" w:rsidRPr="00681CC5" w:rsidRDefault="00681CC5" w:rsidP="00681CC5">
                    <w:pPr>
                      <w:jc w:val="both"/>
                      <w:rPr>
                        <w:szCs w:val="21"/>
                      </w:rPr>
                    </w:pPr>
                    <w:r w:rsidRPr="00681CC5">
                      <w:rPr>
                        <w:rFonts w:hint="eastAsia"/>
                        <w:szCs w:val="21"/>
                      </w:rPr>
                      <w:t>上市时的业务范围</w:t>
                    </w:r>
                  </w:p>
                </w:tc>
                <w:tc>
                  <w:tcPr>
                    <w:tcW w:w="5416" w:type="dxa"/>
                    <w:vAlign w:val="center"/>
                  </w:tcPr>
                  <w:p w:rsidR="00681CC5" w:rsidRPr="00681CC5" w:rsidRDefault="00681CC5" w:rsidP="00681CC5">
                    <w:pPr>
                      <w:jc w:val="both"/>
                      <w:rPr>
                        <w:szCs w:val="21"/>
                      </w:rPr>
                    </w:pPr>
                    <w:r w:rsidRPr="00681CC5">
                      <w:rPr>
                        <w:rFonts w:hint="eastAsia"/>
                        <w:szCs w:val="21"/>
                      </w:rPr>
                      <w:t>证券经纪；证券投资咨询；与证券交易、证券投资活动有关的财务顾问；证券承销与保荐；证券自营；证券资产管理；证券投资基金代销；为期货公司提供中间介绍业务。</w:t>
                    </w:r>
                  </w:p>
                </w:tc>
              </w:tr>
            </w:tbl>
            <w:p w:rsidR="001276A9" w:rsidRDefault="001276A9"/>
            <w:p w:rsidR="00704CAD" w:rsidRDefault="00422DCA"/>
          </w:sdtContent>
        </w:sdt>
      </w:sdtContent>
    </w:sdt>
    <w:p w:rsidR="00704CAD" w:rsidRDefault="00720895">
      <w:pPr>
        <w:pStyle w:val="10"/>
        <w:numPr>
          <w:ilvl w:val="0"/>
          <w:numId w:val="3"/>
        </w:numPr>
        <w:ind w:left="498" w:hangingChars="177" w:hanging="498"/>
      </w:pPr>
      <w:bookmarkStart w:id="10" w:name="_Toc342056396"/>
      <w:bookmarkStart w:id="11" w:name="_Toc342565888"/>
      <w:bookmarkStart w:id="12" w:name="_Toc421545510"/>
      <w:r>
        <w:rPr>
          <w:rFonts w:hint="eastAsia"/>
        </w:rPr>
        <w:t>会计数据和财务指标摘要</w:t>
      </w:r>
      <w:bookmarkEnd w:id="10"/>
      <w:bookmarkEnd w:id="11"/>
      <w:bookmarkEnd w:id="12"/>
    </w:p>
    <w:p w:rsidR="00704CAD" w:rsidRDefault="00720895">
      <w:pPr>
        <w:pStyle w:val="2"/>
        <w:numPr>
          <w:ilvl w:val="1"/>
          <w:numId w:val="3"/>
        </w:numPr>
        <w:ind w:left="498" w:hangingChars="236" w:hanging="498"/>
      </w:pPr>
      <w:bookmarkStart w:id="13" w:name="_Toc342056397"/>
      <w:bookmarkStart w:id="14" w:name="_Toc342565889"/>
      <w:r>
        <w:rPr>
          <w:rFonts w:hint="eastAsia"/>
        </w:rPr>
        <w:t>公司主要会计数据和财务指标</w:t>
      </w:r>
      <w:bookmarkEnd w:id="13"/>
      <w:bookmarkEnd w:id="14"/>
    </w:p>
    <w:p w:rsidR="00704CAD" w:rsidRDefault="00720895">
      <w:pPr>
        <w:pStyle w:val="3"/>
        <w:numPr>
          <w:ilvl w:val="1"/>
          <w:numId w:val="2"/>
        </w:numPr>
      </w:pPr>
      <w:r>
        <w:rPr>
          <w:rFonts w:hint="eastAsia"/>
        </w:rPr>
        <w:t>主要会计数据</w:t>
      </w:r>
    </w:p>
    <w:p w:rsidR="00704CAD" w:rsidRDefault="00720895">
      <w:pPr>
        <w:jc w:val="right"/>
        <w:rPr>
          <w:szCs w:val="21"/>
        </w:rPr>
      </w:pPr>
      <w:r>
        <w:rPr>
          <w:rFonts w:hint="eastAsia"/>
          <w:szCs w:val="21"/>
        </w:rPr>
        <w:t>单位：</w:t>
      </w:r>
      <w:sdt>
        <w:sdtPr>
          <w:rPr>
            <w:rFonts w:hint="eastAsia"/>
            <w:szCs w:val="21"/>
          </w:rPr>
          <w:alias w:val="单位：报告期末公司前三年主要会计数据和财务指标"/>
          <w:tag w:val="_GBC_2df3af98acbd4d9bb3268ba25b9d65c9"/>
          <w:id w:val="247200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29dd9d89415438cb4be9c1f11761f1c"/>
          <w:id w:val="24720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b/>
        </w:rPr>
        <w:alias w:val="追溯调整"/>
        <w:tag w:val="_GBC_ae1e7c9f562c42d3b68129ca8edb8f91"/>
        <w:id w:val="24720071"/>
        <w:lock w:val="sdtLocked"/>
        <w:placeholder>
          <w:docPart w:val="GBC22222222222222222222222222222"/>
        </w:placeholder>
      </w:sdtPr>
      <w:sdtEndPr>
        <w:rPr>
          <w:b w:val="0"/>
        </w:rPr>
      </w:sdtEndPr>
      <w:sdtContent>
        <w:tbl>
          <w:tblPr>
            <w:tblStyle w:val="a6"/>
            <w:tblW w:w="0" w:type="auto"/>
            <w:tblLook w:val="04A0"/>
          </w:tblPr>
          <w:tblGrid>
            <w:gridCol w:w="1627"/>
            <w:gridCol w:w="2106"/>
            <w:gridCol w:w="2106"/>
            <w:gridCol w:w="2106"/>
            <w:gridCol w:w="1104"/>
          </w:tblGrid>
          <w:tr w:rsidR="00D83C00" w:rsidTr="00D83C00">
            <w:trPr>
              <w:trHeight w:val="449"/>
            </w:trPr>
            <w:tc>
              <w:tcPr>
                <w:tcW w:w="1800" w:type="dxa"/>
                <w:vMerge w:val="restart"/>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主要会计数据</w:t>
                </w:r>
              </w:p>
            </w:tc>
            <w:tc>
              <w:tcPr>
                <w:tcW w:w="2106" w:type="dxa"/>
                <w:vMerge w:val="restart"/>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本报告期</w:t>
                </w:r>
              </w:p>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（1-6月）</w:t>
                </w:r>
              </w:p>
            </w:tc>
            <w:tc>
              <w:tcPr>
                <w:tcW w:w="4002" w:type="dxa"/>
                <w:gridSpan w:val="2"/>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上年同期</w:t>
                </w:r>
              </w:p>
            </w:tc>
            <w:tc>
              <w:tcPr>
                <w:tcW w:w="1141" w:type="dxa"/>
                <w:vMerge w:val="restart"/>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本期比上年同期增减</w:t>
                </w:r>
                <w:r w:rsidRPr="000F7EA0">
                  <w:rPr>
                    <w:b/>
                    <w:szCs w:val="21"/>
                  </w:rPr>
                  <w:t>(%)</w:t>
                </w:r>
              </w:p>
            </w:tc>
          </w:tr>
          <w:tr w:rsidR="00D83C00" w:rsidTr="00D83C00">
            <w:trPr>
              <w:trHeight w:val="155"/>
            </w:trPr>
            <w:tc>
              <w:tcPr>
                <w:tcW w:w="1800" w:type="dxa"/>
                <w:vMerge/>
              </w:tcPr>
              <w:p w:rsidR="00D83C00" w:rsidRDefault="00D83C00" w:rsidP="0048058C">
                <w:pPr>
                  <w:kinsoku w:val="0"/>
                  <w:overflowPunct w:val="0"/>
                  <w:autoSpaceDE w:val="0"/>
                  <w:autoSpaceDN w:val="0"/>
                  <w:adjustRightInd w:val="0"/>
                  <w:snapToGrid w:val="0"/>
                  <w:rPr>
                    <w:szCs w:val="21"/>
                  </w:rPr>
                </w:pPr>
              </w:p>
            </w:tc>
            <w:tc>
              <w:tcPr>
                <w:tcW w:w="2106" w:type="dxa"/>
                <w:vMerge/>
              </w:tcPr>
              <w:p w:rsidR="00D83C00" w:rsidRDefault="00D83C00" w:rsidP="0048058C">
                <w:pPr>
                  <w:kinsoku w:val="0"/>
                  <w:overflowPunct w:val="0"/>
                  <w:autoSpaceDE w:val="0"/>
                  <w:autoSpaceDN w:val="0"/>
                  <w:adjustRightInd w:val="0"/>
                  <w:snapToGrid w:val="0"/>
                  <w:rPr>
                    <w:szCs w:val="21"/>
                  </w:rPr>
                </w:pPr>
              </w:p>
            </w:tc>
            <w:tc>
              <w:tcPr>
                <w:tcW w:w="2106" w:type="dxa"/>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调整后</w:t>
                </w:r>
              </w:p>
            </w:tc>
            <w:tc>
              <w:tcPr>
                <w:tcW w:w="1896" w:type="dxa"/>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调整前</w:t>
                </w:r>
              </w:p>
            </w:tc>
            <w:tc>
              <w:tcPr>
                <w:tcW w:w="1141" w:type="dxa"/>
                <w:vMerge/>
              </w:tcPr>
              <w:p w:rsidR="00D83C00" w:rsidRDefault="00D83C00" w:rsidP="0048058C">
                <w:pPr>
                  <w:kinsoku w:val="0"/>
                  <w:overflowPunct w:val="0"/>
                  <w:autoSpaceDE w:val="0"/>
                  <w:autoSpaceDN w:val="0"/>
                  <w:adjustRightInd w:val="0"/>
                  <w:snapToGrid w:val="0"/>
                  <w:rPr>
                    <w:szCs w:val="21"/>
                  </w:rPr>
                </w:pPr>
              </w:p>
            </w:tc>
          </w:tr>
          <w:tr w:rsidR="00D83C00" w:rsidTr="00D83C00">
            <w:trPr>
              <w:trHeight w:val="135"/>
            </w:trPr>
            <w:tc>
              <w:tcPr>
                <w:tcW w:w="1800" w:type="dxa"/>
              </w:tcPr>
              <w:p w:rsidR="00D83C00" w:rsidRDefault="00D83C00" w:rsidP="00CB3294">
                <w:pPr>
                  <w:kinsoku w:val="0"/>
                  <w:overflowPunct w:val="0"/>
                  <w:autoSpaceDE w:val="0"/>
                  <w:autoSpaceDN w:val="0"/>
                  <w:adjustRightInd w:val="0"/>
                  <w:snapToGrid w:val="0"/>
                  <w:ind w:leftChars="-50" w:left="-105"/>
                  <w:jc w:val="center"/>
                  <w:rPr>
                    <w:szCs w:val="21"/>
                  </w:rPr>
                </w:pPr>
                <w:r>
                  <w:rPr>
                    <w:rFonts w:hint="eastAsia"/>
                    <w:szCs w:val="21"/>
                  </w:rPr>
                  <w:t>营业收入</w:t>
                </w:r>
              </w:p>
            </w:tc>
            <w:sdt>
              <w:sdtPr>
                <w:rPr>
                  <w:rFonts w:hint="eastAsia"/>
                  <w:szCs w:val="21"/>
                </w:rPr>
                <w:alias w:val="营业收入"/>
                <w:tag w:val="_GBC_9d62b4f80d7042e6bd717265fa541191"/>
                <w:id w:val="24720035"/>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15,863,491,420.23</w:t>
                    </w:r>
                  </w:p>
                </w:tc>
              </w:sdtContent>
            </w:sdt>
            <w:sdt>
              <w:sdtPr>
                <w:rPr>
                  <w:rFonts w:hint="eastAsia"/>
                  <w:szCs w:val="21"/>
                </w:rPr>
                <w:alias w:val="营业收入"/>
                <w:tag w:val="_GBC_50a30d3d31934a78ab6dd33b99a85576"/>
                <w:id w:val="24720036"/>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3,603,392,652.16</w:t>
                    </w:r>
                  </w:p>
                </w:tc>
              </w:sdtContent>
            </w:sdt>
            <w:sdt>
              <w:sdtPr>
                <w:rPr>
                  <w:rFonts w:hint="eastAsia"/>
                  <w:szCs w:val="21"/>
                </w:rPr>
                <w:alias w:val="营业收入"/>
                <w:tag w:val="_GBC_d786ba56b1f54378a78e7c6dc94fb939"/>
                <w:id w:val="24720037"/>
                <w:lock w:val="sdtLocked"/>
              </w:sdtPr>
              <w:sdtContent>
                <w:tc>
                  <w:tcPr>
                    <w:tcW w:w="189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3,601,492,962.37</w:t>
                    </w:r>
                  </w:p>
                </w:tc>
              </w:sdtContent>
            </w:sdt>
            <w:sdt>
              <w:sdtPr>
                <w:rPr>
                  <w:rFonts w:hint="eastAsia"/>
                  <w:szCs w:val="21"/>
                </w:rPr>
                <w:alias w:val="营业收入本期比上期增减"/>
                <w:tag w:val="_GBC_b5d8f42d59934309a2e5a6dd45d2f552"/>
                <w:id w:val="24720038"/>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340.24</w:t>
                    </w:r>
                  </w:p>
                </w:tc>
              </w:sdtContent>
            </w:sdt>
          </w:tr>
          <w:tr w:rsidR="00D83C00" w:rsidTr="00D83C00">
            <w:trPr>
              <w:trHeight w:val="135"/>
            </w:trPr>
            <w:tc>
              <w:tcPr>
                <w:tcW w:w="1800" w:type="dxa"/>
              </w:tcPr>
              <w:p w:rsidR="00D83C00" w:rsidRDefault="00D83C00" w:rsidP="00CB3294">
                <w:pPr>
                  <w:kinsoku w:val="0"/>
                  <w:overflowPunct w:val="0"/>
                  <w:autoSpaceDE w:val="0"/>
                  <w:autoSpaceDN w:val="0"/>
                  <w:adjustRightInd w:val="0"/>
                  <w:snapToGrid w:val="0"/>
                  <w:ind w:leftChars="-50" w:left="-105"/>
                  <w:jc w:val="center"/>
                  <w:rPr>
                    <w:szCs w:val="21"/>
                  </w:rPr>
                </w:pPr>
                <w:r>
                  <w:rPr>
                    <w:rFonts w:hint="eastAsia"/>
                    <w:szCs w:val="21"/>
                  </w:rPr>
                  <w:t>归属于母公司股东的净利润</w:t>
                </w:r>
              </w:p>
            </w:tc>
            <w:sdt>
              <w:sdtPr>
                <w:rPr>
                  <w:rFonts w:hint="eastAsia"/>
                  <w:szCs w:val="21"/>
                </w:rPr>
                <w:alias w:val="归属于母公司所有者的净利润"/>
                <w:tag w:val="_GBC_014b4fac41ce4433a2a5bbac6b1f9694"/>
                <w:id w:val="24720039"/>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7,314,665,463.76</w:t>
                    </w:r>
                  </w:p>
                </w:tc>
              </w:sdtContent>
            </w:sdt>
            <w:sdt>
              <w:sdtPr>
                <w:rPr>
                  <w:rFonts w:hint="eastAsia"/>
                  <w:szCs w:val="21"/>
                </w:rPr>
                <w:alias w:val="归属于母公司所有者的净利润"/>
                <w:tag w:val="_GBC_c03fd22842d647ea9bfbd3a2797b4f64"/>
                <w:id w:val="24720040"/>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1,364,852,213.40</w:t>
                    </w:r>
                  </w:p>
                </w:tc>
              </w:sdtContent>
            </w:sdt>
            <w:sdt>
              <w:sdtPr>
                <w:rPr>
                  <w:rFonts w:hint="eastAsia"/>
                  <w:szCs w:val="21"/>
                </w:rPr>
                <w:alias w:val="归属于母公司所有者的净利润"/>
                <w:tag w:val="_GBC_a40723c207c541a4960895b2642b04df"/>
                <w:id w:val="24720041"/>
                <w:lock w:val="sdtLocked"/>
              </w:sdtPr>
              <w:sdtContent>
                <w:tc>
                  <w:tcPr>
                    <w:tcW w:w="189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1,364,502,449.64</w:t>
                    </w:r>
                  </w:p>
                </w:tc>
              </w:sdtContent>
            </w:sdt>
            <w:sdt>
              <w:sdtPr>
                <w:rPr>
                  <w:rFonts w:hint="eastAsia"/>
                  <w:szCs w:val="21"/>
                </w:rPr>
                <w:alias w:val="净利润本期比上期增减"/>
                <w:tag w:val="_GBC_107d5e3ae98c46d8843f9b32b3926fa4"/>
                <w:id w:val="24720042"/>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435.93</w:t>
                    </w:r>
                  </w:p>
                </w:tc>
              </w:sdtContent>
            </w:sdt>
          </w:tr>
          <w:tr w:rsidR="00D83C00" w:rsidTr="00D83C00">
            <w:trPr>
              <w:trHeight w:val="135"/>
            </w:trPr>
            <w:tc>
              <w:tcPr>
                <w:tcW w:w="1800" w:type="dxa"/>
              </w:tcPr>
              <w:p w:rsidR="00D83C00" w:rsidRDefault="00D83C00" w:rsidP="00CB3294">
                <w:pPr>
                  <w:kinsoku w:val="0"/>
                  <w:overflowPunct w:val="0"/>
                  <w:autoSpaceDE w:val="0"/>
                  <w:autoSpaceDN w:val="0"/>
                  <w:adjustRightInd w:val="0"/>
                  <w:snapToGrid w:val="0"/>
                  <w:ind w:leftChars="-50" w:left="-105"/>
                  <w:jc w:val="center"/>
                  <w:rPr>
                    <w:szCs w:val="21"/>
                  </w:rPr>
                </w:pPr>
                <w:r>
                  <w:rPr>
                    <w:rFonts w:hint="eastAsia"/>
                    <w:szCs w:val="21"/>
                  </w:rPr>
                  <w:t>归属于母公司股东的扣除非经常性损益的净利润</w:t>
                </w:r>
              </w:p>
            </w:tc>
            <w:sdt>
              <w:sdtPr>
                <w:rPr>
                  <w:rFonts w:hint="eastAsia"/>
                  <w:szCs w:val="21"/>
                </w:rPr>
                <w:alias w:val="扣除非经常性损益后的净利润"/>
                <w:tag w:val="_GBC_9ebd43f89b30486b9f2a8a3133153553"/>
                <w:id w:val="24720043"/>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7,297,048,467.96</w:t>
                    </w:r>
                  </w:p>
                </w:tc>
              </w:sdtContent>
            </w:sdt>
            <w:sdt>
              <w:sdtPr>
                <w:rPr>
                  <w:rFonts w:hint="eastAsia"/>
                  <w:szCs w:val="21"/>
                </w:rPr>
                <w:alias w:val="扣除非经常性损益后的净利润"/>
                <w:tag w:val="_GBC_ed0ef5116e41401fa9c98f02a7604326"/>
                <w:id w:val="24720044"/>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1,361,881,307.30</w:t>
                    </w:r>
                  </w:p>
                </w:tc>
              </w:sdtContent>
            </w:sdt>
            <w:sdt>
              <w:sdtPr>
                <w:rPr>
                  <w:rFonts w:hint="eastAsia"/>
                  <w:szCs w:val="21"/>
                </w:rPr>
                <w:alias w:val="扣除非经常性损益后的净利润"/>
                <w:tag w:val="_GBC_f694281899bd4f91a62af7b4d598ddd6"/>
                <w:id w:val="24720045"/>
                <w:lock w:val="sdtLocked"/>
              </w:sdtPr>
              <w:sdtContent>
                <w:tc>
                  <w:tcPr>
                    <w:tcW w:w="189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1,361,531,543.54</w:t>
                    </w:r>
                  </w:p>
                </w:tc>
              </w:sdtContent>
            </w:sdt>
            <w:sdt>
              <w:sdtPr>
                <w:rPr>
                  <w:rFonts w:hint="eastAsia"/>
                  <w:szCs w:val="21"/>
                </w:rPr>
                <w:alias w:val="扣除非经常性损益的净利润本期比上期增减"/>
                <w:tag w:val="_GBC_8717fbde05234772a54340a7378c68d8"/>
                <w:id w:val="24720046"/>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435.81</w:t>
                    </w:r>
                  </w:p>
                </w:tc>
              </w:sdtContent>
            </w:sdt>
          </w:tr>
          <w:tr w:rsidR="00D83C00" w:rsidTr="00D83C00">
            <w:trPr>
              <w:trHeight w:val="135"/>
            </w:trPr>
            <w:tc>
              <w:tcPr>
                <w:tcW w:w="1800" w:type="dxa"/>
              </w:tcPr>
              <w:p w:rsidR="00D83C00" w:rsidRDefault="00D83C00" w:rsidP="00CB3294">
                <w:pPr>
                  <w:kinsoku w:val="0"/>
                  <w:overflowPunct w:val="0"/>
                  <w:autoSpaceDE w:val="0"/>
                  <w:autoSpaceDN w:val="0"/>
                  <w:adjustRightInd w:val="0"/>
                  <w:snapToGrid w:val="0"/>
                  <w:ind w:leftChars="-50" w:left="-105"/>
                  <w:jc w:val="center"/>
                  <w:rPr>
                    <w:szCs w:val="21"/>
                  </w:rPr>
                </w:pPr>
                <w:r>
                  <w:rPr>
                    <w:rFonts w:hint="eastAsia"/>
                    <w:szCs w:val="21"/>
                  </w:rPr>
                  <w:t>经营活动产生的现金流量净额</w:t>
                </w:r>
              </w:p>
            </w:tc>
            <w:sdt>
              <w:sdtPr>
                <w:rPr>
                  <w:rFonts w:hint="eastAsia"/>
                  <w:szCs w:val="21"/>
                </w:rPr>
                <w:alias w:val="经营活动现金流量净额"/>
                <w:tag w:val="_GBC_cb587b7252b943dea4735e7ce3d9d6a6"/>
                <w:id w:val="24720047"/>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13,969,638,812.19</w:t>
                    </w:r>
                  </w:p>
                </w:tc>
              </w:sdtContent>
            </w:sdt>
            <w:sdt>
              <w:sdtPr>
                <w:rPr>
                  <w:rFonts w:hint="eastAsia"/>
                  <w:szCs w:val="21"/>
                </w:rPr>
                <w:alias w:val="经营活动现金流量净额"/>
                <w:tag w:val="_GBC_5830bc2adaec4b3db9325875e32e60e0"/>
                <w:id w:val="24720048"/>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-1,281,313,653.50</w:t>
                    </w:r>
                  </w:p>
                </w:tc>
              </w:sdtContent>
            </w:sdt>
            <w:sdt>
              <w:sdtPr>
                <w:rPr>
                  <w:rFonts w:hint="eastAsia"/>
                  <w:szCs w:val="21"/>
                </w:rPr>
                <w:alias w:val="经营活动现金流量净额"/>
                <w:tag w:val="_GBC_73314acd02b34a6ba8d3dd021f88a68e"/>
                <w:id w:val="24720049"/>
                <w:lock w:val="sdtLocked"/>
              </w:sdtPr>
              <w:sdtContent>
                <w:tc>
                  <w:tcPr>
                    <w:tcW w:w="189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191,593,936.94</w:t>
                    </w:r>
                  </w:p>
                </w:tc>
              </w:sdtContent>
            </w:sdt>
            <w:sdt>
              <w:sdtPr>
                <w:rPr>
                  <w:rFonts w:hint="eastAsia"/>
                  <w:szCs w:val="21"/>
                </w:rPr>
                <w:alias w:val="经营活动现金流量净额本期比上期增减"/>
                <w:tag w:val="_GBC_ef55320839884bc994bcda270e402ee2"/>
                <w:id w:val="24720050"/>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w:t>
                    </w:r>
                  </w:p>
                </w:tc>
              </w:sdtContent>
            </w:sdt>
          </w:tr>
          <w:tr w:rsidR="00D83C00" w:rsidTr="00D83C00">
            <w:trPr>
              <w:trHeight w:val="135"/>
            </w:trPr>
            <w:tc>
              <w:tcPr>
                <w:tcW w:w="1800" w:type="dxa"/>
              </w:tcPr>
              <w:p w:rsidR="00D83C00" w:rsidRDefault="00D83C00" w:rsidP="00CB3294">
                <w:pPr>
                  <w:kinsoku w:val="0"/>
                  <w:overflowPunct w:val="0"/>
                  <w:autoSpaceDE w:val="0"/>
                  <w:autoSpaceDN w:val="0"/>
                  <w:adjustRightInd w:val="0"/>
                  <w:snapToGrid w:val="0"/>
                  <w:ind w:leftChars="-50" w:left="-105"/>
                  <w:jc w:val="center"/>
                  <w:rPr>
                    <w:szCs w:val="21"/>
                  </w:rPr>
                </w:pPr>
                <w:r>
                  <w:rPr>
                    <w:rFonts w:hint="eastAsia"/>
                    <w:szCs w:val="21"/>
                  </w:rPr>
                  <w:t>其他综合收益</w:t>
                </w:r>
              </w:p>
            </w:tc>
            <w:sdt>
              <w:sdtPr>
                <w:rPr>
                  <w:rFonts w:hint="eastAsia"/>
                  <w:szCs w:val="21"/>
                </w:rPr>
                <w:alias w:val="其他综合收益"/>
                <w:tag w:val="_GBC_d70ed56de6a14219a0f677ec24e0e66e"/>
                <w:id w:val="24720051"/>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458,364,206.02</w:t>
                    </w:r>
                  </w:p>
                </w:tc>
              </w:sdtContent>
            </w:sdt>
            <w:sdt>
              <w:sdtPr>
                <w:rPr>
                  <w:rFonts w:hint="eastAsia"/>
                  <w:szCs w:val="21"/>
                </w:rPr>
                <w:alias w:val="其他综合收益"/>
                <w:tag w:val="_GBC_dabd2190e689451e80fd3029568966c8"/>
                <w:id w:val="24720052"/>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265,268,696.19</w:t>
                    </w:r>
                  </w:p>
                </w:tc>
              </w:sdtContent>
            </w:sdt>
            <w:sdt>
              <w:sdtPr>
                <w:rPr>
                  <w:rFonts w:hint="eastAsia"/>
                  <w:szCs w:val="21"/>
                </w:rPr>
                <w:alias w:val="其他综合收益"/>
                <w:tag w:val="_GBC_625c26aba97a4dbcbcc2a7f016c9bff0"/>
                <w:id w:val="24720053"/>
                <w:lock w:val="sdtLocked"/>
              </w:sdtPr>
              <w:sdtContent>
                <w:tc>
                  <w:tcPr>
                    <w:tcW w:w="1896"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265,618,459.95</w:t>
                    </w:r>
                  </w:p>
                </w:tc>
              </w:sdtContent>
            </w:sdt>
            <w:sdt>
              <w:sdtPr>
                <w:rPr>
                  <w:rFonts w:hint="eastAsia"/>
                  <w:szCs w:val="21"/>
                </w:rPr>
                <w:alias w:val="其他综合收益本期比上期增减"/>
                <w:tag w:val="_GBC_b8e1075ce8b44d2a8350e98bc69543f9"/>
                <w:id w:val="24720054"/>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rFonts w:hint="eastAsia"/>
                        <w:szCs w:val="21"/>
                      </w:rPr>
                      <w:t>72.79</w:t>
                    </w:r>
                  </w:p>
                </w:tc>
              </w:sdtContent>
            </w:sdt>
          </w:tr>
          <w:tr w:rsidR="00D83C00" w:rsidTr="00D83C00">
            <w:trPr>
              <w:trHeight w:val="411"/>
            </w:trPr>
            <w:tc>
              <w:tcPr>
                <w:tcW w:w="1800" w:type="dxa"/>
                <w:vMerge w:val="restart"/>
              </w:tcPr>
              <w:p w:rsidR="00D83C00" w:rsidRDefault="00D83C00" w:rsidP="00CB3294">
                <w:pPr>
                  <w:kinsoku w:val="0"/>
                  <w:overflowPunct w:val="0"/>
                  <w:autoSpaceDE w:val="0"/>
                  <w:autoSpaceDN w:val="0"/>
                  <w:adjustRightInd w:val="0"/>
                  <w:snapToGrid w:val="0"/>
                  <w:ind w:leftChars="-50" w:left="-105"/>
                  <w:jc w:val="center"/>
                  <w:rPr>
                    <w:szCs w:val="21"/>
                  </w:rPr>
                </w:pPr>
              </w:p>
            </w:tc>
            <w:tc>
              <w:tcPr>
                <w:tcW w:w="2106" w:type="dxa"/>
                <w:vMerge w:val="restart"/>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b/>
                  </w:rPr>
                  <w:t>本报告期末</w:t>
                </w:r>
              </w:p>
            </w:tc>
            <w:tc>
              <w:tcPr>
                <w:tcW w:w="4002" w:type="dxa"/>
                <w:gridSpan w:val="2"/>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b/>
                  </w:rPr>
                  <w:t>上年度末</w:t>
                </w:r>
              </w:p>
            </w:tc>
            <w:tc>
              <w:tcPr>
                <w:tcW w:w="1141" w:type="dxa"/>
                <w:vMerge w:val="restart"/>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b/>
                  </w:rPr>
                  <w:t>本报告期末比上年度末增减(%)</w:t>
                </w:r>
              </w:p>
            </w:tc>
          </w:tr>
          <w:tr w:rsidR="00D83C00" w:rsidTr="00D83C00">
            <w:trPr>
              <w:trHeight w:val="150"/>
            </w:trPr>
            <w:tc>
              <w:tcPr>
                <w:tcW w:w="1800" w:type="dxa"/>
                <w:vMerge/>
              </w:tcPr>
              <w:p w:rsidR="00D83C00" w:rsidRDefault="00D83C00" w:rsidP="00CB3294">
                <w:pPr>
                  <w:kinsoku w:val="0"/>
                  <w:overflowPunct w:val="0"/>
                  <w:autoSpaceDE w:val="0"/>
                  <w:autoSpaceDN w:val="0"/>
                  <w:adjustRightInd w:val="0"/>
                  <w:snapToGrid w:val="0"/>
                  <w:ind w:leftChars="-50" w:left="-105"/>
                  <w:jc w:val="center"/>
                  <w:rPr>
                    <w:szCs w:val="21"/>
                  </w:rPr>
                </w:pPr>
              </w:p>
            </w:tc>
            <w:tc>
              <w:tcPr>
                <w:tcW w:w="2106" w:type="dxa"/>
                <w:vMerge/>
              </w:tcPr>
              <w:p w:rsidR="00D83C00" w:rsidRDefault="00D83C00" w:rsidP="0048058C">
                <w:pPr>
                  <w:kinsoku w:val="0"/>
                  <w:overflowPunct w:val="0"/>
                  <w:autoSpaceDE w:val="0"/>
                  <w:autoSpaceDN w:val="0"/>
                  <w:adjustRightInd w:val="0"/>
                  <w:snapToGrid w:val="0"/>
                  <w:jc w:val="right"/>
                  <w:rPr>
                    <w:szCs w:val="21"/>
                  </w:rPr>
                </w:pPr>
              </w:p>
            </w:tc>
            <w:tc>
              <w:tcPr>
                <w:tcW w:w="2106" w:type="dxa"/>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调整后</w:t>
                </w:r>
              </w:p>
            </w:tc>
            <w:tc>
              <w:tcPr>
                <w:tcW w:w="1896" w:type="dxa"/>
                <w:vAlign w:val="center"/>
              </w:tcPr>
              <w:p w:rsidR="00D83C00" w:rsidRPr="000F7EA0" w:rsidRDefault="00D83C00" w:rsidP="0048058C">
                <w:pPr>
                  <w:kinsoku w:val="0"/>
                  <w:overflowPunct w:val="0"/>
                  <w:autoSpaceDE w:val="0"/>
                  <w:autoSpaceDN w:val="0"/>
                  <w:adjustRightInd w:val="0"/>
                  <w:snapToGrid w:val="0"/>
                  <w:jc w:val="center"/>
                  <w:rPr>
                    <w:b/>
                    <w:szCs w:val="21"/>
                  </w:rPr>
                </w:pPr>
                <w:r w:rsidRPr="000F7EA0">
                  <w:rPr>
                    <w:rFonts w:hint="eastAsia"/>
                    <w:b/>
                    <w:szCs w:val="21"/>
                  </w:rPr>
                  <w:t>调整前</w:t>
                </w:r>
              </w:p>
            </w:tc>
            <w:tc>
              <w:tcPr>
                <w:tcW w:w="1141" w:type="dxa"/>
                <w:vMerge/>
              </w:tcPr>
              <w:p w:rsidR="00D83C00" w:rsidRDefault="00D83C00" w:rsidP="0048058C">
                <w:pPr>
                  <w:kinsoku w:val="0"/>
                  <w:overflowPunct w:val="0"/>
                  <w:autoSpaceDE w:val="0"/>
                  <w:autoSpaceDN w:val="0"/>
                  <w:adjustRightInd w:val="0"/>
                  <w:snapToGrid w:val="0"/>
                  <w:jc w:val="right"/>
                  <w:rPr>
                    <w:szCs w:val="21"/>
                  </w:rPr>
                </w:pPr>
              </w:p>
            </w:tc>
          </w:tr>
          <w:tr w:rsidR="00D83C00" w:rsidTr="00D83C00">
            <w:trPr>
              <w:trHeight w:val="150"/>
            </w:trPr>
            <w:tc>
              <w:tcPr>
                <w:tcW w:w="1800" w:type="dxa"/>
              </w:tcPr>
              <w:p w:rsidR="00D83C00" w:rsidRDefault="00D83C00" w:rsidP="00CB3294">
                <w:pPr>
                  <w:kinsoku w:val="0"/>
                  <w:overflowPunct w:val="0"/>
                  <w:autoSpaceDE w:val="0"/>
                  <w:autoSpaceDN w:val="0"/>
                  <w:adjustRightInd w:val="0"/>
                  <w:snapToGrid w:val="0"/>
                  <w:ind w:leftChars="-20" w:left="-42"/>
                  <w:jc w:val="center"/>
                  <w:rPr>
                    <w:szCs w:val="21"/>
                  </w:rPr>
                </w:pPr>
                <w:r>
                  <w:rPr>
                    <w:rFonts w:hint="eastAsia"/>
                    <w:szCs w:val="21"/>
                  </w:rPr>
                  <w:t>资产总额</w:t>
                </w:r>
              </w:p>
            </w:tc>
            <w:sdt>
              <w:sdtPr>
                <w:rPr>
                  <w:rFonts w:hint="eastAsia"/>
                  <w:szCs w:val="21"/>
                </w:rPr>
                <w:alias w:val="资产总计"/>
                <w:tag w:val="_GBC_590e70500e204cdfac146bef049404ac"/>
                <w:id w:val="24720055"/>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364,794,648,813.88</w:t>
                    </w:r>
                  </w:p>
                </w:tc>
              </w:sdtContent>
            </w:sdt>
            <w:sdt>
              <w:sdtPr>
                <w:rPr>
                  <w:rFonts w:hint="eastAsia"/>
                  <w:szCs w:val="21"/>
                </w:rPr>
                <w:alias w:val="资产总计"/>
                <w:tag w:val="_GBC_1b4050ddcfb046e5847b596302ba9781"/>
                <w:id w:val="24720056"/>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193,408,050,497.75</w:t>
                    </w:r>
                  </w:p>
                </w:tc>
              </w:sdtContent>
            </w:sdt>
            <w:sdt>
              <w:sdtPr>
                <w:rPr>
                  <w:rFonts w:hint="eastAsia"/>
                  <w:szCs w:val="21"/>
                </w:rPr>
                <w:alias w:val="资产总计"/>
                <w:tag w:val="_GBC_ca594088c3b94a928657785443186014"/>
                <w:id w:val="24720057"/>
                <w:lock w:val="sdtLocked"/>
              </w:sdtPr>
              <w:sdtContent>
                <w:tc>
                  <w:tcPr>
                    <w:tcW w:w="1896" w:type="dxa"/>
                    <w:vAlign w:val="center"/>
                  </w:tcPr>
                  <w:p w:rsidR="00D83C00" w:rsidRDefault="004525F8" w:rsidP="00D83C00">
                    <w:pPr>
                      <w:kinsoku w:val="0"/>
                      <w:overflowPunct w:val="0"/>
                      <w:autoSpaceDE w:val="0"/>
                      <w:autoSpaceDN w:val="0"/>
                      <w:adjustRightInd w:val="0"/>
                      <w:snapToGrid w:val="0"/>
                      <w:jc w:val="right"/>
                      <w:rPr>
                        <w:szCs w:val="21"/>
                      </w:rPr>
                    </w:pPr>
                    <w:r>
                      <w:rPr>
                        <w:szCs w:val="21"/>
                      </w:rPr>
                      <w:t>193,408,050,497.75</w:t>
                    </w:r>
                  </w:p>
                </w:tc>
              </w:sdtContent>
            </w:sdt>
            <w:sdt>
              <w:sdtPr>
                <w:rPr>
                  <w:rFonts w:hint="eastAsia"/>
                  <w:szCs w:val="21"/>
                </w:rPr>
                <w:alias w:val="总资产本期比上期增减"/>
                <w:tag w:val="_GBC_1567fcfd3d0b4e369ad0484b58f0ab98"/>
                <w:id w:val="24720058"/>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szCs w:val="21"/>
                      </w:rPr>
                      <w:t>88.61</w:t>
                    </w:r>
                  </w:p>
                </w:tc>
              </w:sdtContent>
            </w:sdt>
          </w:tr>
          <w:tr w:rsidR="00D83C00" w:rsidTr="00D83C00">
            <w:trPr>
              <w:trHeight w:val="150"/>
            </w:trPr>
            <w:tc>
              <w:tcPr>
                <w:tcW w:w="1800" w:type="dxa"/>
              </w:tcPr>
              <w:p w:rsidR="00D83C00" w:rsidRDefault="00D83C00" w:rsidP="00CB3294">
                <w:pPr>
                  <w:kinsoku w:val="0"/>
                  <w:overflowPunct w:val="0"/>
                  <w:autoSpaceDE w:val="0"/>
                  <w:autoSpaceDN w:val="0"/>
                  <w:adjustRightInd w:val="0"/>
                  <w:snapToGrid w:val="0"/>
                  <w:ind w:leftChars="-20" w:left="-42"/>
                  <w:jc w:val="center"/>
                  <w:rPr>
                    <w:szCs w:val="21"/>
                  </w:rPr>
                </w:pPr>
                <w:r>
                  <w:rPr>
                    <w:rFonts w:hint="eastAsia"/>
                    <w:szCs w:val="21"/>
                  </w:rPr>
                  <w:t>负债总额</w:t>
                </w:r>
              </w:p>
            </w:tc>
            <w:sdt>
              <w:sdtPr>
                <w:rPr>
                  <w:szCs w:val="21"/>
                </w:rPr>
                <w:alias w:val="负债合计"/>
                <w:tag w:val="_GBC_16033d387a8a4311a903a14dca6d7392"/>
                <w:id w:val="24720059"/>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316,936,036,058.80</w:t>
                    </w:r>
                  </w:p>
                </w:tc>
              </w:sdtContent>
            </w:sdt>
            <w:sdt>
              <w:sdtPr>
                <w:rPr>
                  <w:szCs w:val="21"/>
                </w:rPr>
                <w:alias w:val="负债合计"/>
                <w:tag w:val="_GBC_45619d73637c43eaaac05014f6acab42"/>
                <w:id w:val="24720060"/>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151,811,889,342.09</w:t>
                    </w:r>
                  </w:p>
                </w:tc>
              </w:sdtContent>
            </w:sdt>
            <w:sdt>
              <w:sdtPr>
                <w:rPr>
                  <w:szCs w:val="21"/>
                </w:rPr>
                <w:alias w:val="负债合计"/>
                <w:tag w:val="_GBC_ec007d1bc6d34503926fb5a802069b09"/>
                <w:id w:val="24720061"/>
                <w:lock w:val="sdtLocked"/>
              </w:sdtPr>
              <w:sdtContent>
                <w:tc>
                  <w:tcPr>
                    <w:tcW w:w="1896" w:type="dxa"/>
                    <w:vAlign w:val="center"/>
                  </w:tcPr>
                  <w:p w:rsidR="00D83C00" w:rsidRDefault="004525F8" w:rsidP="00D83C00">
                    <w:pPr>
                      <w:kinsoku w:val="0"/>
                      <w:overflowPunct w:val="0"/>
                      <w:autoSpaceDE w:val="0"/>
                      <w:autoSpaceDN w:val="0"/>
                      <w:adjustRightInd w:val="0"/>
                      <w:snapToGrid w:val="0"/>
                      <w:jc w:val="right"/>
                      <w:rPr>
                        <w:szCs w:val="21"/>
                      </w:rPr>
                    </w:pPr>
                    <w:r>
                      <w:rPr>
                        <w:szCs w:val="21"/>
                      </w:rPr>
                      <w:t>151,811,889,342.09</w:t>
                    </w:r>
                  </w:p>
                </w:tc>
              </w:sdtContent>
            </w:sdt>
            <w:sdt>
              <w:sdtPr>
                <w:rPr>
                  <w:szCs w:val="21"/>
                </w:rPr>
                <w:alias w:val="负债总额本期比上期增减"/>
                <w:tag w:val="_GBC_c390615420d24e3db8ff38351a8f398c"/>
                <w:id w:val="24720062"/>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szCs w:val="21"/>
                      </w:rPr>
                      <w:t>108.77</w:t>
                    </w:r>
                  </w:p>
                </w:tc>
              </w:sdtContent>
            </w:sdt>
          </w:tr>
          <w:tr w:rsidR="00D83C00" w:rsidTr="00D83C00">
            <w:trPr>
              <w:trHeight w:val="150"/>
            </w:trPr>
            <w:tc>
              <w:tcPr>
                <w:tcW w:w="1800" w:type="dxa"/>
              </w:tcPr>
              <w:p w:rsidR="00D83C00" w:rsidRDefault="00D83C00" w:rsidP="00CB3294">
                <w:pPr>
                  <w:kinsoku w:val="0"/>
                  <w:overflowPunct w:val="0"/>
                  <w:autoSpaceDE w:val="0"/>
                  <w:autoSpaceDN w:val="0"/>
                  <w:adjustRightInd w:val="0"/>
                  <w:snapToGrid w:val="0"/>
                  <w:ind w:leftChars="-20" w:left="-42"/>
                  <w:jc w:val="center"/>
                  <w:rPr>
                    <w:szCs w:val="21"/>
                  </w:rPr>
                </w:pPr>
                <w:r>
                  <w:rPr>
                    <w:rFonts w:hint="eastAsia"/>
                    <w:szCs w:val="21"/>
                  </w:rPr>
                  <w:t>归属于母公司股东的权益</w:t>
                </w:r>
              </w:p>
            </w:tc>
            <w:sdt>
              <w:sdtPr>
                <w:rPr>
                  <w:szCs w:val="21"/>
                </w:rPr>
                <w:alias w:val="归属于母公司所有者权益合计"/>
                <w:tag w:val="_GBC_d376546db60540da9ab63c92606c352a"/>
                <w:id w:val="24720063"/>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47,771,123,399.97</w:t>
                    </w:r>
                  </w:p>
                </w:tc>
              </w:sdtContent>
            </w:sdt>
            <w:sdt>
              <w:sdtPr>
                <w:rPr>
                  <w:szCs w:val="21"/>
                </w:rPr>
                <w:alias w:val="归属于母公司所有者权益合计"/>
                <w:tag w:val="_GBC_10345cd2f1524c7ba964c88c51e780f3"/>
                <w:id w:val="24720064"/>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41,537,249,645.38</w:t>
                    </w:r>
                  </w:p>
                </w:tc>
              </w:sdtContent>
            </w:sdt>
            <w:sdt>
              <w:sdtPr>
                <w:rPr>
                  <w:szCs w:val="21"/>
                </w:rPr>
                <w:alias w:val="归属于母公司所有者权益合计"/>
                <w:tag w:val="_GBC_430551c572934d6491ecd7d95057dba2"/>
                <w:id w:val="24720065"/>
                <w:lock w:val="sdtLocked"/>
              </w:sdtPr>
              <w:sdtContent>
                <w:tc>
                  <w:tcPr>
                    <w:tcW w:w="1896" w:type="dxa"/>
                    <w:vAlign w:val="center"/>
                  </w:tcPr>
                  <w:p w:rsidR="00D83C00" w:rsidRDefault="004525F8" w:rsidP="00D83C00">
                    <w:pPr>
                      <w:kinsoku w:val="0"/>
                      <w:overflowPunct w:val="0"/>
                      <w:autoSpaceDE w:val="0"/>
                      <w:autoSpaceDN w:val="0"/>
                      <w:adjustRightInd w:val="0"/>
                      <w:snapToGrid w:val="0"/>
                      <w:jc w:val="right"/>
                      <w:rPr>
                        <w:szCs w:val="21"/>
                      </w:rPr>
                    </w:pPr>
                    <w:r>
                      <w:rPr>
                        <w:szCs w:val="21"/>
                      </w:rPr>
                      <w:t>41,537,249,645.38</w:t>
                    </w:r>
                  </w:p>
                </w:tc>
              </w:sdtContent>
            </w:sdt>
            <w:sdt>
              <w:sdtPr>
                <w:rPr>
                  <w:szCs w:val="21"/>
                </w:rPr>
                <w:alias w:val="股东权益本期比上期增减"/>
                <w:tag w:val="_GBC_2653cb67e3c94cd3a77ab495b25e62d2"/>
                <w:id w:val="24720066"/>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szCs w:val="21"/>
                      </w:rPr>
                      <w:t>15.01</w:t>
                    </w:r>
                  </w:p>
                </w:tc>
              </w:sdtContent>
            </w:sdt>
          </w:tr>
          <w:tr w:rsidR="00D83C00" w:rsidTr="00EC26D2">
            <w:trPr>
              <w:trHeight w:val="150"/>
            </w:trPr>
            <w:tc>
              <w:tcPr>
                <w:tcW w:w="1800" w:type="dxa"/>
                <w:tcMar>
                  <w:left w:w="57" w:type="dxa"/>
                  <w:right w:w="57" w:type="dxa"/>
                </w:tcMar>
              </w:tcPr>
              <w:p w:rsidR="00D83C00" w:rsidRDefault="00D83C00" w:rsidP="00CB3294">
                <w:pPr>
                  <w:kinsoku w:val="0"/>
                  <w:overflowPunct w:val="0"/>
                  <w:autoSpaceDE w:val="0"/>
                  <w:autoSpaceDN w:val="0"/>
                  <w:adjustRightInd w:val="0"/>
                  <w:snapToGrid w:val="0"/>
                  <w:ind w:leftChars="-20" w:left="-42"/>
                  <w:jc w:val="center"/>
                  <w:rPr>
                    <w:szCs w:val="21"/>
                  </w:rPr>
                </w:pPr>
                <w:r>
                  <w:rPr>
                    <w:rFonts w:hint="eastAsia"/>
                    <w:szCs w:val="21"/>
                  </w:rPr>
                  <w:t>所有者权益总额</w:t>
                </w:r>
              </w:p>
            </w:tc>
            <w:sdt>
              <w:sdtPr>
                <w:rPr>
                  <w:szCs w:val="21"/>
                </w:rPr>
                <w:alias w:val="股东权益合计"/>
                <w:tag w:val="_GBC_84de4094bb5d46ad9f5fd5d5fd3bfbaa"/>
                <w:id w:val="24720067"/>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47,858,612,755.08</w:t>
                    </w:r>
                  </w:p>
                </w:tc>
              </w:sdtContent>
            </w:sdt>
            <w:sdt>
              <w:sdtPr>
                <w:rPr>
                  <w:szCs w:val="21"/>
                </w:rPr>
                <w:alias w:val="股东权益合计"/>
                <w:tag w:val="_GBC_4c94b4c0365e4550903dca3996f6b248"/>
                <w:id w:val="24720068"/>
                <w:lock w:val="sdtLocked"/>
              </w:sdtPr>
              <w:sdtContent>
                <w:tc>
                  <w:tcPr>
                    <w:tcW w:w="2106" w:type="dxa"/>
                    <w:vAlign w:val="center"/>
                  </w:tcPr>
                  <w:p w:rsidR="00D83C00" w:rsidRDefault="00D83C00" w:rsidP="00D83C00">
                    <w:pPr>
                      <w:kinsoku w:val="0"/>
                      <w:overflowPunct w:val="0"/>
                      <w:autoSpaceDE w:val="0"/>
                      <w:autoSpaceDN w:val="0"/>
                      <w:adjustRightInd w:val="0"/>
                      <w:snapToGrid w:val="0"/>
                      <w:jc w:val="right"/>
                      <w:rPr>
                        <w:szCs w:val="21"/>
                      </w:rPr>
                    </w:pPr>
                    <w:r>
                      <w:rPr>
                        <w:szCs w:val="21"/>
                      </w:rPr>
                      <w:t>41,596,161,155.66</w:t>
                    </w:r>
                  </w:p>
                </w:tc>
              </w:sdtContent>
            </w:sdt>
            <w:sdt>
              <w:sdtPr>
                <w:rPr>
                  <w:szCs w:val="21"/>
                </w:rPr>
                <w:alias w:val="股东权益合计"/>
                <w:tag w:val="_GBC_df66464bf20c4c7ca4cb5c7adfc117d4"/>
                <w:id w:val="24720069"/>
                <w:lock w:val="sdtLocked"/>
              </w:sdtPr>
              <w:sdtContent>
                <w:tc>
                  <w:tcPr>
                    <w:tcW w:w="1896" w:type="dxa"/>
                    <w:vAlign w:val="center"/>
                  </w:tcPr>
                  <w:p w:rsidR="00D83C00" w:rsidRDefault="004525F8" w:rsidP="00D83C00">
                    <w:pPr>
                      <w:kinsoku w:val="0"/>
                      <w:overflowPunct w:val="0"/>
                      <w:autoSpaceDE w:val="0"/>
                      <w:autoSpaceDN w:val="0"/>
                      <w:adjustRightInd w:val="0"/>
                      <w:snapToGrid w:val="0"/>
                      <w:jc w:val="right"/>
                      <w:rPr>
                        <w:szCs w:val="21"/>
                      </w:rPr>
                    </w:pPr>
                    <w:r>
                      <w:rPr>
                        <w:szCs w:val="21"/>
                      </w:rPr>
                      <w:t>41,596,161,155.66</w:t>
                    </w:r>
                  </w:p>
                </w:tc>
              </w:sdtContent>
            </w:sdt>
            <w:sdt>
              <w:sdtPr>
                <w:rPr>
                  <w:szCs w:val="21"/>
                </w:rPr>
                <w:alias w:val="所有者权益总额本期比上期增减"/>
                <w:tag w:val="_GBC_f170ddffb8854b388b622ba8797df10a"/>
                <w:id w:val="24720070"/>
                <w:lock w:val="sdtLocked"/>
              </w:sdtPr>
              <w:sdtContent>
                <w:tc>
                  <w:tcPr>
                    <w:tcW w:w="1141" w:type="dxa"/>
                    <w:vAlign w:val="center"/>
                  </w:tcPr>
                  <w:p w:rsidR="00D83C00" w:rsidRDefault="00D83C00" w:rsidP="00D83C00">
                    <w:pPr>
                      <w:kinsoku w:val="0"/>
                      <w:overflowPunct w:val="0"/>
                      <w:autoSpaceDE w:val="0"/>
                      <w:autoSpaceDN w:val="0"/>
                      <w:adjustRightInd w:val="0"/>
                      <w:snapToGrid w:val="0"/>
                      <w:jc w:val="right"/>
                      <w:rPr>
                        <w:szCs w:val="21"/>
                      </w:rPr>
                    </w:pPr>
                    <w:r>
                      <w:rPr>
                        <w:szCs w:val="21"/>
                      </w:rPr>
                      <w:t>15.06</w:t>
                    </w:r>
                  </w:p>
                </w:tc>
              </w:sdtContent>
            </w:sdt>
          </w:tr>
        </w:tbl>
        <w:p w:rsidR="00E068AD" w:rsidRDefault="00E068AD" w:rsidP="00D83C00"/>
        <w:p w:rsidR="00704CAD" w:rsidRPr="00D83C00" w:rsidRDefault="00422DCA" w:rsidP="00D83C00"/>
      </w:sdtContent>
    </w:sdt>
    <w:p w:rsidR="00704CAD" w:rsidRDefault="00720895" w:rsidP="00336F2C">
      <w:pPr>
        <w:pStyle w:val="3"/>
        <w:numPr>
          <w:ilvl w:val="1"/>
          <w:numId w:val="2"/>
        </w:numPr>
        <w:tabs>
          <w:tab w:val="left" w:pos="426"/>
        </w:tabs>
        <w:rPr>
          <w:rFonts w:ascii="宋体" w:hAnsi="宋体"/>
          <w:szCs w:val="21"/>
        </w:rPr>
      </w:pPr>
      <w:r>
        <w:t>主要财务指标</w:t>
      </w:r>
    </w:p>
    <w:sdt>
      <w:sdtPr>
        <w:rPr>
          <w:b/>
        </w:rPr>
        <w:alias w:val="追溯调整"/>
        <w:tag w:val="_GBC_4758ff96ce404c01979372535152a8f5"/>
        <w:id w:val="24720092"/>
        <w:lock w:val="sdtLocked"/>
        <w:placeholder>
          <w:docPart w:val="GBC22222222222222222222222222222"/>
        </w:placeholder>
      </w:sdtPr>
      <w:sdtEndPr>
        <w:rPr>
          <w:b w:val="0"/>
        </w:rPr>
      </w:sdtEndPr>
      <w:sdtContent>
        <w:tbl>
          <w:tblPr>
            <w:tblStyle w:val="a6"/>
            <w:tblW w:w="0" w:type="auto"/>
            <w:tblLook w:val="04A0"/>
          </w:tblPr>
          <w:tblGrid>
            <w:gridCol w:w="3281"/>
            <w:gridCol w:w="1222"/>
            <w:gridCol w:w="1134"/>
            <w:gridCol w:w="1134"/>
            <w:gridCol w:w="2277"/>
          </w:tblGrid>
          <w:tr w:rsidR="0048058C" w:rsidTr="003C026B">
            <w:trPr>
              <w:trHeight w:val="491"/>
            </w:trPr>
            <w:tc>
              <w:tcPr>
                <w:tcW w:w="3281" w:type="dxa"/>
                <w:vMerge w:val="restart"/>
                <w:vAlign w:val="center"/>
              </w:tcPr>
              <w:p w:rsidR="0048058C" w:rsidRPr="000F7EA0" w:rsidRDefault="0048058C" w:rsidP="0048058C">
                <w:pPr>
                  <w:kinsoku w:val="0"/>
                  <w:overflowPunct w:val="0"/>
                  <w:autoSpaceDE w:val="0"/>
                  <w:autoSpaceDN w:val="0"/>
                  <w:adjustRightInd w:val="0"/>
                  <w:snapToGrid w:val="0"/>
                  <w:jc w:val="center"/>
                  <w:rPr>
                    <w:b/>
                    <w:szCs w:val="21"/>
                  </w:rPr>
                </w:pPr>
                <w:r w:rsidRPr="000F7EA0">
                  <w:rPr>
                    <w:b/>
                    <w:szCs w:val="21"/>
                  </w:rPr>
                  <w:t>主要财务指标</w:t>
                </w:r>
              </w:p>
            </w:tc>
            <w:tc>
              <w:tcPr>
                <w:tcW w:w="1222" w:type="dxa"/>
                <w:vMerge w:val="restart"/>
                <w:vAlign w:val="center"/>
              </w:tcPr>
              <w:p w:rsidR="0048058C" w:rsidRPr="000F7EA0" w:rsidRDefault="0048058C" w:rsidP="0048058C">
                <w:pPr>
                  <w:kinsoku w:val="0"/>
                  <w:overflowPunct w:val="0"/>
                  <w:autoSpaceDE w:val="0"/>
                  <w:autoSpaceDN w:val="0"/>
                  <w:adjustRightInd w:val="0"/>
                  <w:snapToGrid w:val="0"/>
                  <w:jc w:val="center"/>
                  <w:rPr>
                    <w:b/>
                  </w:rPr>
                </w:pPr>
                <w:r w:rsidRPr="000F7EA0">
                  <w:rPr>
                    <w:b/>
                  </w:rPr>
                  <w:t>本报告期</w:t>
                </w:r>
              </w:p>
              <w:p w:rsidR="0048058C" w:rsidRPr="000F7EA0" w:rsidRDefault="0048058C" w:rsidP="0048058C">
                <w:pPr>
                  <w:kinsoku w:val="0"/>
                  <w:overflowPunct w:val="0"/>
                  <w:autoSpaceDE w:val="0"/>
                  <w:autoSpaceDN w:val="0"/>
                  <w:adjustRightInd w:val="0"/>
                  <w:snapToGrid w:val="0"/>
                  <w:jc w:val="center"/>
                  <w:rPr>
                    <w:b/>
                    <w:szCs w:val="21"/>
                  </w:rPr>
                </w:pPr>
                <w:r w:rsidRPr="000F7EA0">
                  <w:rPr>
                    <w:b/>
                  </w:rPr>
                  <w:t>（1－6月）</w:t>
                </w:r>
              </w:p>
            </w:tc>
            <w:tc>
              <w:tcPr>
                <w:tcW w:w="2268" w:type="dxa"/>
                <w:gridSpan w:val="2"/>
                <w:vAlign w:val="center"/>
              </w:tcPr>
              <w:p w:rsidR="0048058C" w:rsidRPr="000F7EA0" w:rsidRDefault="0048058C" w:rsidP="0048058C">
                <w:pPr>
                  <w:kinsoku w:val="0"/>
                  <w:overflowPunct w:val="0"/>
                  <w:autoSpaceDE w:val="0"/>
                  <w:autoSpaceDN w:val="0"/>
                  <w:adjustRightInd w:val="0"/>
                  <w:snapToGrid w:val="0"/>
                  <w:jc w:val="center"/>
                  <w:rPr>
                    <w:b/>
                    <w:szCs w:val="21"/>
                  </w:rPr>
                </w:pPr>
                <w:r w:rsidRPr="000F7EA0">
                  <w:rPr>
                    <w:b/>
                  </w:rPr>
                  <w:t>上年同期</w:t>
                </w:r>
              </w:p>
            </w:tc>
            <w:tc>
              <w:tcPr>
                <w:tcW w:w="2277" w:type="dxa"/>
                <w:vMerge w:val="restart"/>
                <w:vAlign w:val="center"/>
              </w:tcPr>
              <w:p w:rsidR="0048058C" w:rsidRPr="000F7EA0" w:rsidRDefault="0048058C" w:rsidP="0048058C">
                <w:pPr>
                  <w:kinsoku w:val="0"/>
                  <w:overflowPunct w:val="0"/>
                  <w:autoSpaceDE w:val="0"/>
                  <w:autoSpaceDN w:val="0"/>
                  <w:adjustRightInd w:val="0"/>
                  <w:snapToGrid w:val="0"/>
                  <w:jc w:val="center"/>
                  <w:rPr>
                    <w:b/>
                    <w:szCs w:val="21"/>
                  </w:rPr>
                </w:pPr>
                <w:r w:rsidRPr="000F7EA0">
                  <w:rPr>
                    <w:b/>
                  </w:rPr>
                  <w:t>本报告期比上年同期增减(%)</w:t>
                </w:r>
              </w:p>
            </w:tc>
          </w:tr>
          <w:tr w:rsidR="0048058C" w:rsidTr="003C026B">
            <w:trPr>
              <w:trHeight w:val="200"/>
            </w:trPr>
            <w:tc>
              <w:tcPr>
                <w:tcW w:w="3281" w:type="dxa"/>
                <w:vMerge/>
              </w:tcPr>
              <w:p w:rsidR="0048058C" w:rsidRPr="000F7EA0" w:rsidRDefault="0048058C" w:rsidP="0048058C">
                <w:pPr>
                  <w:kinsoku w:val="0"/>
                  <w:overflowPunct w:val="0"/>
                  <w:autoSpaceDE w:val="0"/>
                  <w:autoSpaceDN w:val="0"/>
                  <w:adjustRightInd w:val="0"/>
                  <w:snapToGrid w:val="0"/>
                  <w:rPr>
                    <w:b/>
                    <w:szCs w:val="21"/>
                  </w:rPr>
                </w:pPr>
              </w:p>
            </w:tc>
            <w:tc>
              <w:tcPr>
                <w:tcW w:w="1222" w:type="dxa"/>
                <w:vMerge/>
              </w:tcPr>
              <w:p w:rsidR="0048058C" w:rsidRPr="000F7EA0" w:rsidRDefault="0048058C" w:rsidP="0048058C">
                <w:pPr>
                  <w:kinsoku w:val="0"/>
                  <w:overflowPunct w:val="0"/>
                  <w:autoSpaceDE w:val="0"/>
                  <w:autoSpaceDN w:val="0"/>
                  <w:adjustRightInd w:val="0"/>
                  <w:snapToGrid w:val="0"/>
                  <w:rPr>
                    <w:b/>
                    <w:szCs w:val="21"/>
                  </w:rPr>
                </w:pPr>
              </w:p>
            </w:tc>
            <w:tc>
              <w:tcPr>
                <w:tcW w:w="1134" w:type="dxa"/>
                <w:vAlign w:val="center"/>
              </w:tcPr>
              <w:p w:rsidR="0048058C" w:rsidRPr="000F7EA0" w:rsidRDefault="0048058C" w:rsidP="0048058C">
                <w:pPr>
                  <w:kinsoku w:val="0"/>
                  <w:overflowPunct w:val="0"/>
                  <w:autoSpaceDE w:val="0"/>
                  <w:autoSpaceDN w:val="0"/>
                  <w:adjustRightInd w:val="0"/>
                  <w:snapToGrid w:val="0"/>
                  <w:jc w:val="center"/>
                  <w:rPr>
                    <w:b/>
                    <w:szCs w:val="21"/>
                  </w:rPr>
                </w:pPr>
                <w:r w:rsidRPr="000F7EA0">
                  <w:rPr>
                    <w:rFonts w:hint="eastAsia"/>
                    <w:b/>
                    <w:szCs w:val="21"/>
                  </w:rPr>
                  <w:t>调整后</w:t>
                </w:r>
              </w:p>
            </w:tc>
            <w:tc>
              <w:tcPr>
                <w:tcW w:w="1134" w:type="dxa"/>
                <w:vAlign w:val="center"/>
              </w:tcPr>
              <w:p w:rsidR="0048058C" w:rsidRPr="000F7EA0" w:rsidRDefault="0048058C" w:rsidP="0048058C">
                <w:pPr>
                  <w:kinsoku w:val="0"/>
                  <w:overflowPunct w:val="0"/>
                  <w:autoSpaceDE w:val="0"/>
                  <w:autoSpaceDN w:val="0"/>
                  <w:adjustRightInd w:val="0"/>
                  <w:snapToGrid w:val="0"/>
                  <w:jc w:val="center"/>
                  <w:rPr>
                    <w:b/>
                    <w:szCs w:val="21"/>
                  </w:rPr>
                </w:pPr>
                <w:r w:rsidRPr="000F7EA0">
                  <w:rPr>
                    <w:rFonts w:hint="eastAsia"/>
                    <w:b/>
                    <w:szCs w:val="21"/>
                  </w:rPr>
                  <w:t>调整前</w:t>
                </w:r>
              </w:p>
            </w:tc>
            <w:tc>
              <w:tcPr>
                <w:tcW w:w="2277" w:type="dxa"/>
                <w:vMerge/>
              </w:tcPr>
              <w:p w:rsidR="0048058C" w:rsidRDefault="0048058C" w:rsidP="0048058C">
                <w:pPr>
                  <w:kinsoku w:val="0"/>
                  <w:overflowPunct w:val="0"/>
                  <w:autoSpaceDE w:val="0"/>
                  <w:autoSpaceDN w:val="0"/>
                  <w:adjustRightInd w:val="0"/>
                  <w:snapToGrid w:val="0"/>
                  <w:rPr>
                    <w:szCs w:val="21"/>
                  </w:rPr>
                </w:pPr>
              </w:p>
            </w:tc>
          </w:tr>
          <w:tr w:rsidR="0048058C" w:rsidTr="003C026B">
            <w:trPr>
              <w:trHeight w:val="107"/>
            </w:trPr>
            <w:tc>
              <w:tcPr>
                <w:tcW w:w="3281" w:type="dxa"/>
                <w:vAlign w:val="center"/>
              </w:tcPr>
              <w:p w:rsidR="0048058C" w:rsidRDefault="0048058C" w:rsidP="003C026B">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c830ec13637a42c7981b4864441ecbcd"/>
                <w:id w:val="24720072"/>
                <w:lock w:val="sdtLocked"/>
              </w:sdtPr>
              <w:sdtContent>
                <w:tc>
                  <w:tcPr>
                    <w:tcW w:w="1222"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1.2594</w:t>
                    </w:r>
                  </w:p>
                </w:tc>
              </w:sdtContent>
            </w:sdt>
            <w:sdt>
              <w:sdtPr>
                <w:rPr>
                  <w:rFonts w:hint="eastAsia"/>
                  <w:szCs w:val="21"/>
                </w:rPr>
                <w:alias w:val="基本每股收益"/>
                <w:tag w:val="_GBC_70ec937fa42c453fb287a1291b6954af"/>
                <w:id w:val="24720073"/>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0.2813</w:t>
                    </w:r>
                  </w:p>
                </w:tc>
              </w:sdtContent>
            </w:sdt>
            <w:sdt>
              <w:sdtPr>
                <w:rPr>
                  <w:rFonts w:hint="eastAsia"/>
                  <w:szCs w:val="21"/>
                </w:rPr>
                <w:alias w:val="基本每股收益"/>
                <w:tag w:val="_GBC_f35a61d5af9a4638aa498ffe998085e6"/>
                <w:id w:val="24720074"/>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0.2812</w:t>
                    </w:r>
                  </w:p>
                </w:tc>
              </w:sdtContent>
            </w:sdt>
            <w:sdt>
              <w:sdtPr>
                <w:rPr>
                  <w:rFonts w:hint="eastAsia"/>
                  <w:szCs w:val="21"/>
                </w:rPr>
                <w:alias w:val="基本每股收益本期比上期增减"/>
                <w:tag w:val="_GBC_778d44ed32ef40cfae9c3ae4720be597"/>
                <w:id w:val="24720075"/>
                <w:lock w:val="sdtLocked"/>
              </w:sdtPr>
              <w:sdtContent>
                <w:tc>
                  <w:tcPr>
                    <w:tcW w:w="2277"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347.73</w:t>
                    </w:r>
                  </w:p>
                </w:tc>
              </w:sdtContent>
            </w:sdt>
          </w:tr>
          <w:tr w:rsidR="0048058C" w:rsidTr="003C026B">
            <w:trPr>
              <w:trHeight w:val="150"/>
            </w:trPr>
            <w:tc>
              <w:tcPr>
                <w:tcW w:w="3281" w:type="dxa"/>
                <w:vAlign w:val="center"/>
              </w:tcPr>
              <w:p w:rsidR="0048058C" w:rsidRDefault="0048058C" w:rsidP="003C026B">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c2477afcc3b44cf5beff6807fb072662"/>
                <w:id w:val="24720076"/>
                <w:lock w:val="sdtLocked"/>
              </w:sdtPr>
              <w:sdtContent>
                <w:tc>
                  <w:tcPr>
                    <w:tcW w:w="1222"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1.2594</w:t>
                    </w:r>
                  </w:p>
                </w:tc>
              </w:sdtContent>
            </w:sdt>
            <w:sdt>
              <w:sdtPr>
                <w:rPr>
                  <w:rFonts w:hint="eastAsia"/>
                  <w:szCs w:val="21"/>
                </w:rPr>
                <w:alias w:val="稀释每股收益"/>
                <w:tag w:val="_GBC_bcdd08d9d0844f8c97d3c3c933717f1c"/>
                <w:id w:val="24720077"/>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0.2813</w:t>
                    </w:r>
                  </w:p>
                </w:tc>
              </w:sdtContent>
            </w:sdt>
            <w:sdt>
              <w:sdtPr>
                <w:rPr>
                  <w:rFonts w:hint="eastAsia"/>
                  <w:szCs w:val="21"/>
                </w:rPr>
                <w:alias w:val="稀释每股收益"/>
                <w:tag w:val="_GBC_92fe7d17563c44bb8bd49c3dfd750c43"/>
                <w:id w:val="24720078"/>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0.2812</w:t>
                    </w:r>
                  </w:p>
                </w:tc>
              </w:sdtContent>
            </w:sdt>
            <w:sdt>
              <w:sdtPr>
                <w:rPr>
                  <w:rFonts w:hint="eastAsia"/>
                  <w:szCs w:val="21"/>
                </w:rPr>
                <w:alias w:val="稀释每股收益本期比上期增减"/>
                <w:tag w:val="_GBC_aacca823a7d04e63b271eb9ffb861179"/>
                <w:id w:val="24720079"/>
                <w:lock w:val="sdtLocked"/>
              </w:sdtPr>
              <w:sdtContent>
                <w:tc>
                  <w:tcPr>
                    <w:tcW w:w="2277"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347.73</w:t>
                    </w:r>
                  </w:p>
                </w:tc>
              </w:sdtContent>
            </w:sdt>
          </w:tr>
          <w:tr w:rsidR="0048058C" w:rsidTr="003C026B">
            <w:trPr>
              <w:trHeight w:val="135"/>
            </w:trPr>
            <w:tc>
              <w:tcPr>
                <w:tcW w:w="3281" w:type="dxa"/>
                <w:vAlign w:val="center"/>
              </w:tcPr>
              <w:p w:rsidR="0048058C" w:rsidRDefault="0048058C" w:rsidP="003C026B">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8292dd4a3c524ed3a52cc9bae69f50e3"/>
                <w:id w:val="24720080"/>
                <w:lock w:val="sdtLocked"/>
              </w:sdtPr>
              <w:sdtContent>
                <w:tc>
                  <w:tcPr>
                    <w:tcW w:w="1222"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1.2563</w:t>
                    </w:r>
                  </w:p>
                </w:tc>
              </w:sdtContent>
            </w:sdt>
            <w:sdt>
              <w:sdtPr>
                <w:rPr>
                  <w:rFonts w:hint="eastAsia"/>
                  <w:szCs w:val="21"/>
                </w:rPr>
                <w:alias w:val="扣除非经常性损益后归属于公司普通股股东的净利润基本每股收益"/>
                <w:tag w:val="_GBC_30c30be43de8461087a2c5d9cffcc875"/>
                <w:id w:val="24720081"/>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0.2807</w:t>
                    </w:r>
                  </w:p>
                </w:tc>
              </w:sdtContent>
            </w:sdt>
            <w:sdt>
              <w:sdtPr>
                <w:rPr>
                  <w:rFonts w:hint="eastAsia"/>
                  <w:szCs w:val="21"/>
                </w:rPr>
                <w:alias w:val="扣除非经常性损益后归属于公司普通股股东的净利润基本每股收益"/>
                <w:tag w:val="_GBC_11b0f6a7bec8499e8c5f0784a0f63ee9"/>
                <w:id w:val="24720082"/>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0.2806</w:t>
                    </w:r>
                  </w:p>
                </w:tc>
              </w:sdtContent>
            </w:sdt>
            <w:sdt>
              <w:sdtPr>
                <w:rPr>
                  <w:rFonts w:hint="eastAsia"/>
                  <w:szCs w:val="21"/>
                </w:rPr>
                <w:alias w:val="扣除非经常性损益后归属于公司普通股股东的净利润基本每股收益本期比上期增减"/>
                <w:tag w:val="_GBC_ba790e83d9f14a3b978eb352cf6ce882"/>
                <w:id w:val="24720083"/>
                <w:lock w:val="sdtLocked"/>
              </w:sdtPr>
              <w:sdtContent>
                <w:tc>
                  <w:tcPr>
                    <w:tcW w:w="2277"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347.63</w:t>
                    </w:r>
                  </w:p>
                </w:tc>
              </w:sdtContent>
            </w:sdt>
          </w:tr>
          <w:tr w:rsidR="0048058C" w:rsidTr="003C026B">
            <w:trPr>
              <w:trHeight w:val="122"/>
            </w:trPr>
            <w:tc>
              <w:tcPr>
                <w:tcW w:w="3281" w:type="dxa"/>
                <w:vAlign w:val="center"/>
              </w:tcPr>
              <w:p w:rsidR="0048058C" w:rsidRDefault="0048058C" w:rsidP="003C026B">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0655bc37e4af456d8e8557a477efa7f6"/>
                <w:id w:val="24720084"/>
                <w:lock w:val="sdtLocked"/>
              </w:sdtPr>
              <w:sdtContent>
                <w:tc>
                  <w:tcPr>
                    <w:tcW w:w="1222"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16.19</w:t>
                    </w:r>
                  </w:p>
                </w:tc>
              </w:sdtContent>
            </w:sdt>
            <w:sdt>
              <w:sdtPr>
                <w:rPr>
                  <w:rFonts w:hint="eastAsia"/>
                  <w:szCs w:val="21"/>
                </w:rPr>
                <w:alias w:val="净利润_加权平均_净资产收益率"/>
                <w:tag w:val="_GBC_becbd4ffdd394786a2507badd5d1c37c"/>
                <w:id w:val="24720085"/>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4.58</w:t>
                    </w:r>
                  </w:p>
                </w:tc>
              </w:sdtContent>
            </w:sdt>
            <w:sdt>
              <w:sdtPr>
                <w:rPr>
                  <w:rFonts w:hint="eastAsia"/>
                  <w:szCs w:val="21"/>
                </w:rPr>
                <w:alias w:val="净利润_加权平均_净资产收益率"/>
                <w:tag w:val="_GBC_b4127e36584d45c7a94af18023737914"/>
                <w:id w:val="24720086"/>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4.58</w:t>
                    </w:r>
                  </w:p>
                </w:tc>
              </w:sdtContent>
            </w:sdt>
            <w:sdt>
              <w:sdtPr>
                <w:rPr>
                  <w:rFonts w:hint="eastAsia"/>
                  <w:szCs w:val="21"/>
                </w:rPr>
                <w:alias w:val="净资产收益率加权平均本期比上期增减"/>
                <w:tag w:val="_GBC_e972defefd6245fd96b194250ebd7317"/>
                <w:id w:val="24720087"/>
                <w:lock w:val="sdtLocked"/>
              </w:sdtPr>
              <w:sdtContent>
                <w:tc>
                  <w:tcPr>
                    <w:tcW w:w="2277" w:type="dxa"/>
                    <w:vAlign w:val="center"/>
                  </w:tcPr>
                  <w:p w:rsidR="0048058C" w:rsidRDefault="0048058C" w:rsidP="0048058C">
                    <w:pPr>
                      <w:kinsoku w:val="0"/>
                      <w:overflowPunct w:val="0"/>
                      <w:autoSpaceDE w:val="0"/>
                      <w:autoSpaceDN w:val="0"/>
                      <w:adjustRightInd w:val="0"/>
                      <w:snapToGrid w:val="0"/>
                      <w:jc w:val="right"/>
                      <w:rPr>
                        <w:szCs w:val="21"/>
                      </w:rPr>
                    </w:pPr>
                    <w:r>
                      <w:rPr>
                        <w:rFonts w:hint="eastAsia"/>
                        <w:szCs w:val="21"/>
                      </w:rPr>
                      <w:t>增加11.61个百分点</w:t>
                    </w:r>
                  </w:p>
                </w:tc>
              </w:sdtContent>
            </w:sdt>
          </w:tr>
          <w:tr w:rsidR="0048058C" w:rsidTr="003C026B">
            <w:trPr>
              <w:trHeight w:val="122"/>
            </w:trPr>
            <w:tc>
              <w:tcPr>
                <w:tcW w:w="3281" w:type="dxa"/>
                <w:vAlign w:val="center"/>
              </w:tcPr>
              <w:p w:rsidR="0048058C" w:rsidRDefault="0048058C" w:rsidP="003C026B">
                <w:pPr>
                  <w:kinsoku w:val="0"/>
                  <w:overflowPunct w:val="0"/>
                  <w:autoSpaceDE w:val="0"/>
                  <w:autoSpaceDN w:val="0"/>
                  <w:adjustRightInd w:val="0"/>
                  <w:snapToGrid w:val="0"/>
                  <w:rPr>
                    <w:szCs w:val="21"/>
                  </w:rPr>
                </w:pPr>
                <w:r>
                  <w:rPr>
                    <w:szCs w:val="21"/>
                  </w:rPr>
                  <w:t>扣除非经常性损益后的加权平均净资产收益率（%）</w:t>
                </w:r>
              </w:p>
            </w:tc>
            <w:sdt>
              <w:sdtPr>
                <w:rPr>
                  <w:szCs w:val="21"/>
                </w:rPr>
                <w:alias w:val="扣除非经常性损益的净利润的加权平均净资产收益率"/>
                <w:tag w:val="_GBC_b7ba282712cc4a4ba4128727a83cce4f"/>
                <w:id w:val="24720088"/>
                <w:lock w:val="sdtLocked"/>
              </w:sdtPr>
              <w:sdtContent>
                <w:tc>
                  <w:tcPr>
                    <w:tcW w:w="1222" w:type="dxa"/>
                    <w:vAlign w:val="center"/>
                  </w:tcPr>
                  <w:p w:rsidR="0048058C" w:rsidRDefault="0048058C" w:rsidP="0048058C">
                    <w:pPr>
                      <w:kinsoku w:val="0"/>
                      <w:overflowPunct w:val="0"/>
                      <w:autoSpaceDE w:val="0"/>
                      <w:autoSpaceDN w:val="0"/>
                      <w:adjustRightInd w:val="0"/>
                      <w:snapToGrid w:val="0"/>
                      <w:jc w:val="right"/>
                      <w:rPr>
                        <w:szCs w:val="21"/>
                      </w:rPr>
                    </w:pPr>
                    <w:r>
                      <w:rPr>
                        <w:szCs w:val="21"/>
                      </w:rPr>
                      <w:t>16.16</w:t>
                    </w:r>
                  </w:p>
                </w:tc>
              </w:sdtContent>
            </w:sdt>
            <w:sdt>
              <w:sdtPr>
                <w:rPr>
                  <w:szCs w:val="21"/>
                </w:rPr>
                <w:alias w:val="扣除非经常性损益的净利润的加权平均净资产收益率"/>
                <w:tag w:val="_GBC_133ed23077b44b0abec390e623ac1d50"/>
                <w:id w:val="24720089"/>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szCs w:val="21"/>
                      </w:rPr>
                      <w:t>4.57</w:t>
                    </w:r>
                  </w:p>
                </w:tc>
              </w:sdtContent>
            </w:sdt>
            <w:sdt>
              <w:sdtPr>
                <w:rPr>
                  <w:szCs w:val="21"/>
                </w:rPr>
                <w:alias w:val="扣除非经常性损益的净利润的加权平均净资产收益率"/>
                <w:tag w:val="_GBC_d480f4a6ae8c49ad8c2e6a107de63173"/>
                <w:id w:val="24720090"/>
                <w:lock w:val="sdtLocked"/>
              </w:sdtPr>
              <w:sdtContent>
                <w:tc>
                  <w:tcPr>
                    <w:tcW w:w="1134" w:type="dxa"/>
                    <w:vAlign w:val="center"/>
                  </w:tcPr>
                  <w:p w:rsidR="0048058C" w:rsidRDefault="0048058C" w:rsidP="0048058C">
                    <w:pPr>
                      <w:kinsoku w:val="0"/>
                      <w:overflowPunct w:val="0"/>
                      <w:autoSpaceDE w:val="0"/>
                      <w:autoSpaceDN w:val="0"/>
                      <w:adjustRightInd w:val="0"/>
                      <w:snapToGrid w:val="0"/>
                      <w:jc w:val="right"/>
                      <w:rPr>
                        <w:szCs w:val="21"/>
                      </w:rPr>
                    </w:pPr>
                    <w:r>
                      <w:rPr>
                        <w:szCs w:val="21"/>
                      </w:rPr>
                      <w:t>4.57</w:t>
                    </w:r>
                  </w:p>
                </w:tc>
              </w:sdtContent>
            </w:sdt>
            <w:sdt>
              <w:sdtPr>
                <w:rPr>
                  <w:szCs w:val="21"/>
                </w:rPr>
                <w:alias w:val="扣除的净利润的净资产收益率加权平均本期比上期增减"/>
                <w:tag w:val="_GBC_c2d0bd0fb5974bf8bc9218d5dde21516"/>
                <w:id w:val="24720091"/>
                <w:lock w:val="sdtLocked"/>
              </w:sdtPr>
              <w:sdtContent>
                <w:tc>
                  <w:tcPr>
                    <w:tcW w:w="2277" w:type="dxa"/>
                    <w:vAlign w:val="center"/>
                  </w:tcPr>
                  <w:p w:rsidR="0048058C" w:rsidRDefault="00B64368" w:rsidP="0048058C">
                    <w:pPr>
                      <w:kinsoku w:val="0"/>
                      <w:overflowPunct w:val="0"/>
                      <w:autoSpaceDE w:val="0"/>
                      <w:autoSpaceDN w:val="0"/>
                      <w:adjustRightInd w:val="0"/>
                      <w:snapToGrid w:val="0"/>
                      <w:jc w:val="right"/>
                      <w:rPr>
                        <w:szCs w:val="21"/>
                      </w:rPr>
                    </w:pPr>
                    <w:r>
                      <w:rPr>
                        <w:rFonts w:hint="eastAsia"/>
                        <w:szCs w:val="21"/>
                      </w:rPr>
                      <w:t>增加</w:t>
                    </w:r>
                    <w:r>
                      <w:rPr>
                        <w:szCs w:val="21"/>
                      </w:rPr>
                      <w:t>11.59个百分点</w:t>
                    </w:r>
                  </w:p>
                </w:tc>
              </w:sdtContent>
            </w:sdt>
          </w:tr>
        </w:tbl>
        <w:p w:rsidR="005C3561" w:rsidRDefault="005C3561" w:rsidP="005C3561">
          <w:pPr>
            <w:autoSpaceDE w:val="0"/>
            <w:autoSpaceDN w:val="0"/>
            <w:adjustRightInd w:val="0"/>
            <w:rPr>
              <w:rFonts w:hAnsi="Calibri"/>
              <w:szCs w:val="21"/>
            </w:rPr>
          </w:pPr>
          <w:r>
            <w:rPr>
              <w:rFonts w:hAnsi="Calibri" w:hint="eastAsia"/>
              <w:szCs w:val="21"/>
            </w:rPr>
            <w:t>注：</w:t>
          </w:r>
          <w:r>
            <w:rPr>
              <w:rFonts w:hAnsi="Calibri"/>
              <w:szCs w:val="21"/>
            </w:rPr>
            <w:t xml:space="preserve">2014 </w:t>
          </w:r>
          <w:r>
            <w:rPr>
              <w:rFonts w:hAnsi="Calibri" w:hint="eastAsia"/>
              <w:szCs w:val="21"/>
            </w:rPr>
            <w:t>年，财政部新颁布或修订了《企业会计准则第</w:t>
          </w:r>
          <w:r>
            <w:rPr>
              <w:rFonts w:hAnsi="Calibri"/>
              <w:szCs w:val="21"/>
            </w:rPr>
            <w:t>2</w:t>
          </w:r>
          <w:r>
            <w:rPr>
              <w:rFonts w:hAnsi="Calibri" w:hint="eastAsia"/>
              <w:szCs w:val="21"/>
            </w:rPr>
            <w:t>号——长期股权投资》等一系列会计准则，上述</w:t>
          </w:r>
          <w:r>
            <w:rPr>
              <w:rFonts w:hAnsi="Calibri"/>
              <w:szCs w:val="21"/>
            </w:rPr>
            <w:t>201</w:t>
          </w:r>
          <w:r>
            <w:rPr>
              <w:rFonts w:hAnsi="Calibri" w:hint="eastAsia"/>
              <w:szCs w:val="21"/>
            </w:rPr>
            <w:t>4年6月调整后数据，系公司按照准则相关规定进行的追溯调整。</w:t>
          </w:r>
        </w:p>
        <w:p w:rsidR="00E068AD" w:rsidRDefault="00E068AD" w:rsidP="0048058C"/>
        <w:p w:rsidR="00704CAD" w:rsidRPr="0048058C" w:rsidRDefault="00422DCA" w:rsidP="0048058C"/>
      </w:sdtContent>
    </w:sdt>
    <w:bookmarkStart w:id="15" w:name="_Toc342056398" w:displacedByCustomXml="next"/>
    <w:bookmarkStart w:id="16" w:name="_Toc342565890" w:displacedByCustomXml="next"/>
    <w:sdt>
      <w:sdtPr>
        <w:rPr>
          <w:rFonts w:ascii="宋体" w:hAnsi="宋体" w:cs="宋体"/>
          <w:b w:val="0"/>
          <w:bCs w:val="0"/>
          <w:kern w:val="0"/>
          <w:szCs w:val="24"/>
        </w:rPr>
        <w:tag w:val="_GBC_4513a0d02e614e05a1ffffac80800971"/>
        <w:id w:val="24720111"/>
        <w:lock w:val="sdtLocked"/>
        <w:placeholder>
          <w:docPart w:val="GBC22222222222222222222222222222"/>
        </w:placeholder>
      </w:sdtPr>
      <w:sdtEndPr>
        <w:rPr>
          <w:rFonts w:hint="eastAsia"/>
        </w:rPr>
      </w:sdtEndPr>
      <w:sdtContent>
        <w:p w:rsidR="00704CAD" w:rsidRDefault="00720895">
          <w:pPr>
            <w:pStyle w:val="3"/>
            <w:numPr>
              <w:ilvl w:val="1"/>
              <w:numId w:val="2"/>
            </w:numPr>
            <w:rPr>
              <w:bCs w:val="0"/>
            </w:rPr>
          </w:pPr>
          <w:r w:rsidRPr="00E41375">
            <w:rPr>
              <w:rFonts w:hint="eastAsia"/>
              <w:bCs w:val="0"/>
            </w:rPr>
            <w:t>母公司的净资本及风险控制指标</w:t>
          </w:r>
        </w:p>
        <w:p w:rsidR="00B25A77" w:rsidRPr="00B25A77" w:rsidRDefault="00B25A77" w:rsidP="00B25A77">
          <w:pPr>
            <w:spacing w:line="360" w:lineRule="auto"/>
            <w:ind w:firstLine="539"/>
            <w:rPr>
              <w:szCs w:val="21"/>
            </w:rPr>
          </w:pPr>
          <w:r w:rsidRPr="00B25A77">
            <w:rPr>
              <w:rFonts w:hint="eastAsia"/>
              <w:szCs w:val="21"/>
            </w:rPr>
            <w:t>报告期内，公司净资本等各项风险控制指标均持续符合《证券公司管理办法》及《证券公司风险控制指标管理办法》的有关规定。公司净资本等主要风险控制指标情况如下：</w:t>
          </w:r>
        </w:p>
        <w:p w:rsidR="00704CAD" w:rsidRDefault="00720895">
          <w:pPr>
            <w:jc w:val="right"/>
          </w:pPr>
          <w:r>
            <w:rPr>
              <w:rFonts w:hint="eastAsia"/>
            </w:rPr>
            <w:t>单位：</w:t>
          </w:r>
          <w:sdt>
            <w:sdtPr>
              <w:rPr>
                <w:rFonts w:hint="eastAsia"/>
              </w:rPr>
              <w:alias w:val="单位：母公司的净资本及风险控制指标"/>
              <w:tag w:val="_GBC_a297ee83975644b4a897a2281792054c"/>
              <w:id w:val="247200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的净资本及风险控制指标"/>
              <w:tag w:val="_GBC_b50b2ce9fa664235b8fdcd0c6ec01058"/>
              <w:id w:val="24720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2914"/>
            <w:gridCol w:w="2908"/>
          </w:tblGrid>
          <w:tr w:rsidR="00D37734" w:rsidTr="00074DB6">
            <w:tc>
              <w:tcPr>
                <w:tcW w:w="1783" w:type="pct"/>
                <w:vAlign w:val="center"/>
              </w:tcPr>
              <w:p w:rsidR="00D37734" w:rsidRPr="000F7EA0" w:rsidRDefault="00D37734" w:rsidP="00074DB6">
                <w:pPr>
                  <w:jc w:val="center"/>
                  <w:rPr>
                    <w:rFonts w:ascii="Calibri" w:hAnsi="Calibri" w:cs="Times New Roman"/>
                    <w:b/>
                    <w:bCs/>
                    <w:szCs w:val="32"/>
                  </w:rPr>
                </w:pPr>
                <w:r w:rsidRPr="000F7EA0">
                  <w:rPr>
                    <w:rFonts w:ascii="Calibri" w:hAnsi="Calibri" w:cs="Times New Roman" w:hint="eastAsia"/>
                    <w:b/>
                    <w:bCs/>
                    <w:szCs w:val="32"/>
                  </w:rPr>
                  <w:t>项目</w:t>
                </w:r>
              </w:p>
            </w:tc>
            <w:tc>
              <w:tcPr>
                <w:tcW w:w="1610" w:type="pct"/>
                <w:vAlign w:val="center"/>
              </w:tcPr>
              <w:p w:rsidR="00D37734" w:rsidRPr="000F7EA0" w:rsidRDefault="00D37734" w:rsidP="00074DB6">
                <w:pPr>
                  <w:jc w:val="center"/>
                  <w:rPr>
                    <w:rFonts w:ascii="Calibri" w:hAnsi="Calibri" w:cs="Times New Roman"/>
                    <w:b/>
                    <w:bCs/>
                    <w:szCs w:val="32"/>
                  </w:rPr>
                </w:pPr>
                <w:r w:rsidRPr="000F7EA0">
                  <w:rPr>
                    <w:rFonts w:ascii="Calibri" w:hAnsi="Calibri" w:cs="Times New Roman" w:hint="eastAsia"/>
                    <w:b/>
                    <w:bCs/>
                    <w:szCs w:val="32"/>
                  </w:rPr>
                  <w:t>本报告期末</w:t>
                </w:r>
              </w:p>
            </w:tc>
            <w:tc>
              <w:tcPr>
                <w:tcW w:w="1607" w:type="pct"/>
              </w:tcPr>
              <w:p w:rsidR="00D37734" w:rsidRPr="000F7EA0" w:rsidRDefault="00D37734" w:rsidP="00074DB6">
                <w:pPr>
                  <w:jc w:val="center"/>
                  <w:rPr>
                    <w:rFonts w:ascii="Calibri" w:hAnsi="Calibri" w:cs="Times New Roman"/>
                    <w:b/>
                    <w:bCs/>
                    <w:szCs w:val="32"/>
                  </w:rPr>
                </w:pPr>
                <w:r w:rsidRPr="000F7EA0">
                  <w:rPr>
                    <w:rFonts w:ascii="Calibri" w:hAnsi="Calibri" w:cs="Times New Roman" w:hint="eastAsia"/>
                    <w:b/>
                    <w:bCs/>
                    <w:szCs w:val="32"/>
                  </w:rPr>
                  <w:t>上年度末</w:t>
                </w:r>
              </w:p>
            </w:tc>
          </w:tr>
          <w:tr w:rsidR="00D37734" w:rsidTr="00074DB6">
            <w:tc>
              <w:tcPr>
                <w:tcW w:w="1783" w:type="pct"/>
              </w:tcPr>
              <w:p w:rsidR="00D37734" w:rsidRDefault="00D37734" w:rsidP="00074DB6">
                <w:pPr>
                  <w:rPr>
                    <w:szCs w:val="21"/>
                  </w:rPr>
                </w:pPr>
                <w:r>
                  <w:rPr>
                    <w:rFonts w:hint="eastAsia"/>
                    <w:szCs w:val="21"/>
                  </w:rPr>
                  <w:t>净资本</w:t>
                </w:r>
              </w:p>
            </w:tc>
            <w:sdt>
              <w:sdtPr>
                <w:rPr>
                  <w:rFonts w:asciiTheme="minorEastAsia" w:hAnsiTheme="minorEastAsia" w:cs="Times New Roman"/>
                  <w:bCs/>
                  <w:szCs w:val="21"/>
                </w:rPr>
                <w:alias w:val="公司净资本"/>
                <w:tag w:val="_GBC_8e818f84b0194e06a0a803e95d5b7024"/>
                <w:id w:val="33676780"/>
                <w:lock w:val="sdtLocked"/>
              </w:sdtPr>
              <w:sdtContent>
                <w:tc>
                  <w:tcPr>
                    <w:tcW w:w="1610" w:type="pct"/>
                    <w:vAlign w:val="center"/>
                  </w:tcPr>
                  <w:p w:rsidR="00D37734" w:rsidRPr="001F3DF0" w:rsidRDefault="00D37734" w:rsidP="00074DB6">
                    <w:pPr>
                      <w:jc w:val="right"/>
                      <w:rPr>
                        <w:rFonts w:asciiTheme="minorEastAsia" w:hAnsiTheme="minorEastAsia" w:cs="Times New Roman"/>
                        <w:bCs/>
                        <w:szCs w:val="21"/>
                      </w:rPr>
                    </w:pPr>
                    <w:r>
                      <w:rPr>
                        <w:rFonts w:asciiTheme="minorEastAsia" w:hAnsiTheme="minorEastAsia" w:cs="Times New Roman"/>
                        <w:bCs/>
                        <w:szCs w:val="21"/>
                      </w:rPr>
                      <w:t>37,484,109,111.42</w:t>
                    </w:r>
                  </w:p>
                </w:tc>
              </w:sdtContent>
            </w:sdt>
            <w:sdt>
              <w:sdtPr>
                <w:rPr>
                  <w:rFonts w:asciiTheme="minorEastAsia" w:hAnsiTheme="minorEastAsia" w:cs="Times New Roman"/>
                  <w:bCs/>
                  <w:szCs w:val="21"/>
                </w:rPr>
                <w:alias w:val="公司净资本"/>
                <w:tag w:val="_GBC_036040ceaeaa4a30ace4ff1862197b24"/>
                <w:id w:val="33676781"/>
                <w:lock w:val="sdtLocked"/>
              </w:sdtPr>
              <w:sdtContent>
                <w:tc>
                  <w:tcPr>
                    <w:tcW w:w="1607" w:type="pct"/>
                    <w:vAlign w:val="center"/>
                  </w:tcPr>
                  <w:p w:rsidR="00D37734" w:rsidRPr="001F3DF0" w:rsidRDefault="00D37734" w:rsidP="00074DB6">
                    <w:pPr>
                      <w:jc w:val="right"/>
                      <w:rPr>
                        <w:rFonts w:asciiTheme="minorEastAsia" w:hAnsiTheme="minorEastAsia" w:cs="Times New Roman"/>
                        <w:bCs/>
                        <w:szCs w:val="21"/>
                      </w:rPr>
                    </w:pPr>
                    <w:r>
                      <w:rPr>
                        <w:rFonts w:asciiTheme="minorEastAsia" w:hAnsiTheme="minorEastAsia" w:cs="Times New Roman"/>
                        <w:bCs/>
                        <w:szCs w:val="21"/>
                      </w:rPr>
                      <w:t>25,448,851,398.36</w:t>
                    </w:r>
                  </w:p>
                </w:tc>
              </w:sdtContent>
            </w:sdt>
          </w:tr>
          <w:tr w:rsidR="00D37734" w:rsidTr="00074DB6">
            <w:tc>
              <w:tcPr>
                <w:tcW w:w="1783" w:type="pct"/>
              </w:tcPr>
              <w:p w:rsidR="00D37734" w:rsidRDefault="00D37734" w:rsidP="00074DB6">
                <w:pPr>
                  <w:rPr>
                    <w:szCs w:val="21"/>
                  </w:rPr>
                </w:pPr>
                <w:r>
                  <w:rPr>
                    <w:rFonts w:hint="eastAsia"/>
                    <w:szCs w:val="21"/>
                  </w:rPr>
                  <w:t>净资产</w:t>
                </w:r>
              </w:p>
            </w:tc>
            <w:sdt>
              <w:sdtPr>
                <w:rPr>
                  <w:rFonts w:asciiTheme="minorEastAsia" w:hAnsiTheme="minorEastAsia" w:cs="Times New Roman"/>
                  <w:bCs/>
                  <w:szCs w:val="21"/>
                </w:rPr>
                <w:alias w:val="公司净资产"/>
                <w:tag w:val="_GBC_710fd69540824c5eb7f767383e090cf3"/>
                <w:id w:val="33676782"/>
                <w:lock w:val="sdtLocked"/>
              </w:sdtPr>
              <w:sdtContent>
                <w:tc>
                  <w:tcPr>
                    <w:tcW w:w="1610" w:type="pct"/>
                    <w:vAlign w:val="center"/>
                  </w:tcPr>
                  <w:p w:rsidR="00D37734" w:rsidRPr="001F3DF0" w:rsidRDefault="00D37734" w:rsidP="00074DB6">
                    <w:pPr>
                      <w:jc w:val="right"/>
                      <w:rPr>
                        <w:rFonts w:asciiTheme="minorEastAsia" w:hAnsiTheme="minorEastAsia" w:cs="Times New Roman"/>
                        <w:bCs/>
                        <w:szCs w:val="21"/>
                      </w:rPr>
                    </w:pPr>
                    <w:r>
                      <w:rPr>
                        <w:rFonts w:asciiTheme="minorEastAsia" w:hAnsiTheme="minorEastAsia" w:cs="Times New Roman"/>
                        <w:bCs/>
                        <w:szCs w:val="21"/>
                      </w:rPr>
                      <w:t>45,871,533,612.97</w:t>
                    </w:r>
                  </w:p>
                </w:tc>
              </w:sdtContent>
            </w:sdt>
            <w:sdt>
              <w:sdtPr>
                <w:rPr>
                  <w:rFonts w:asciiTheme="minorEastAsia" w:hAnsiTheme="minorEastAsia" w:cs="Times New Roman"/>
                  <w:bCs/>
                  <w:szCs w:val="21"/>
                </w:rPr>
                <w:alias w:val="公司净资产"/>
                <w:tag w:val="_GBC_5395eab9abd6464e9b6a6c9be4a86107"/>
                <w:id w:val="33676783"/>
                <w:lock w:val="sdtLocked"/>
              </w:sdtPr>
              <w:sdtContent>
                <w:tc>
                  <w:tcPr>
                    <w:tcW w:w="1607" w:type="pct"/>
                    <w:vAlign w:val="center"/>
                  </w:tcPr>
                  <w:p w:rsidR="00D37734" w:rsidRPr="001F3DF0" w:rsidRDefault="00D37734" w:rsidP="00074DB6">
                    <w:pPr>
                      <w:jc w:val="right"/>
                      <w:rPr>
                        <w:rFonts w:asciiTheme="minorEastAsia" w:hAnsiTheme="minorEastAsia" w:cs="Times New Roman"/>
                        <w:bCs/>
                        <w:szCs w:val="21"/>
                      </w:rPr>
                    </w:pPr>
                    <w:r>
                      <w:rPr>
                        <w:rFonts w:asciiTheme="minorEastAsia" w:hAnsiTheme="minorEastAsia" w:cs="Times New Roman"/>
                        <w:bCs/>
                        <w:szCs w:val="21"/>
                      </w:rPr>
                      <w:t>40,558,315,237.85</w:t>
                    </w:r>
                  </w:p>
                </w:tc>
              </w:sdtContent>
            </w:sdt>
          </w:tr>
          <w:tr w:rsidR="00D37734" w:rsidTr="00074DB6">
            <w:tc>
              <w:tcPr>
                <w:tcW w:w="1783" w:type="pct"/>
              </w:tcPr>
              <w:p w:rsidR="00D37734" w:rsidRDefault="00D37734" w:rsidP="00C36FA2">
                <w:pPr>
                  <w:rPr>
                    <w:szCs w:val="21"/>
                  </w:rPr>
                </w:pPr>
                <w:r>
                  <w:rPr>
                    <w:rFonts w:hint="eastAsia"/>
                    <w:szCs w:val="21"/>
                  </w:rPr>
                  <w:t>净资本</w:t>
                </w:r>
                <w:r>
                  <w:rPr>
                    <w:szCs w:val="21"/>
                  </w:rPr>
                  <w:t>/各项风险准备之和</w:t>
                </w:r>
                <w:r w:rsidR="00E91DDE">
                  <w:rPr>
                    <w:szCs w:val="21"/>
                  </w:rPr>
                  <w:t>（%）</w:t>
                </w:r>
              </w:p>
            </w:tc>
            <w:sdt>
              <w:sdtPr>
                <w:rPr>
                  <w:rFonts w:asciiTheme="minorEastAsia" w:hAnsiTheme="minorEastAsia" w:cs="Times New Roman"/>
                  <w:bCs/>
                  <w:szCs w:val="21"/>
                </w:rPr>
                <w:alias w:val="净资本/各项风险准备之和"/>
                <w:tag w:val="_GBC_72b272edbd8f458badcf2f31150d65e7"/>
                <w:id w:val="33676784"/>
                <w:lock w:val="sdtLocked"/>
              </w:sdtPr>
              <w:sdtContent>
                <w:tc>
                  <w:tcPr>
                    <w:tcW w:w="1610"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851.88</w:t>
                    </w:r>
                  </w:p>
                </w:tc>
              </w:sdtContent>
            </w:sdt>
            <w:sdt>
              <w:sdtPr>
                <w:rPr>
                  <w:rFonts w:asciiTheme="minorEastAsia" w:hAnsiTheme="minorEastAsia" w:cs="Times New Roman"/>
                  <w:bCs/>
                  <w:szCs w:val="21"/>
                </w:rPr>
                <w:alias w:val="净资本/各项风险准备之和"/>
                <w:tag w:val="_GBC_eb1285007ce046a4b6e3a7d686d0e496"/>
                <w:id w:val="33676785"/>
                <w:lock w:val="sdtLocked"/>
              </w:sdtPr>
              <w:sdtContent>
                <w:tc>
                  <w:tcPr>
                    <w:tcW w:w="1607"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803.73</w:t>
                    </w:r>
                  </w:p>
                </w:tc>
              </w:sdtContent>
            </w:sdt>
          </w:tr>
          <w:tr w:rsidR="00D37734" w:rsidTr="00074DB6">
            <w:tc>
              <w:tcPr>
                <w:tcW w:w="1783" w:type="pct"/>
              </w:tcPr>
              <w:p w:rsidR="00D37734" w:rsidRDefault="00D37734" w:rsidP="00C36FA2">
                <w:pPr>
                  <w:rPr>
                    <w:szCs w:val="21"/>
                  </w:rPr>
                </w:pPr>
                <w:r>
                  <w:rPr>
                    <w:rFonts w:hint="eastAsia"/>
                    <w:szCs w:val="21"/>
                  </w:rPr>
                  <w:t>净资本</w:t>
                </w:r>
                <w:r>
                  <w:rPr>
                    <w:szCs w:val="21"/>
                  </w:rPr>
                  <w:t>/净资产</w:t>
                </w:r>
                <w:r w:rsidR="00EE2A0A">
                  <w:rPr>
                    <w:szCs w:val="21"/>
                  </w:rPr>
                  <w:t>（%）</w:t>
                </w:r>
              </w:p>
            </w:tc>
            <w:sdt>
              <w:sdtPr>
                <w:rPr>
                  <w:rFonts w:asciiTheme="minorEastAsia" w:hAnsiTheme="minorEastAsia" w:cs="Times New Roman"/>
                  <w:bCs/>
                  <w:szCs w:val="21"/>
                </w:rPr>
                <w:alias w:val="净资本/净资产"/>
                <w:tag w:val="_GBC_7bae9759f55e4290a4919b5d31f408d2"/>
                <w:id w:val="33676786"/>
                <w:lock w:val="sdtLocked"/>
              </w:sdtPr>
              <w:sdtContent>
                <w:tc>
                  <w:tcPr>
                    <w:tcW w:w="1610"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81.72</w:t>
                    </w:r>
                  </w:p>
                </w:tc>
              </w:sdtContent>
            </w:sdt>
            <w:sdt>
              <w:sdtPr>
                <w:rPr>
                  <w:rFonts w:asciiTheme="minorEastAsia" w:hAnsiTheme="minorEastAsia" w:cs="Times New Roman"/>
                  <w:bCs/>
                  <w:szCs w:val="21"/>
                </w:rPr>
                <w:alias w:val="净资本/净资产"/>
                <w:tag w:val="_GBC_abcd108591f0498eb08beebdd5d25874"/>
                <w:id w:val="33676787"/>
                <w:lock w:val="sdtLocked"/>
              </w:sdtPr>
              <w:sdtContent>
                <w:tc>
                  <w:tcPr>
                    <w:tcW w:w="1607"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62.75</w:t>
                    </w:r>
                  </w:p>
                </w:tc>
              </w:sdtContent>
            </w:sdt>
          </w:tr>
          <w:tr w:rsidR="00D37734" w:rsidTr="00074DB6">
            <w:tc>
              <w:tcPr>
                <w:tcW w:w="1783" w:type="pct"/>
              </w:tcPr>
              <w:p w:rsidR="00D37734" w:rsidRDefault="00D37734" w:rsidP="00C36FA2">
                <w:pPr>
                  <w:rPr>
                    <w:szCs w:val="21"/>
                  </w:rPr>
                </w:pPr>
                <w:r>
                  <w:rPr>
                    <w:rFonts w:hint="eastAsia"/>
                    <w:szCs w:val="21"/>
                  </w:rPr>
                  <w:t>净资本</w:t>
                </w:r>
                <w:r>
                  <w:rPr>
                    <w:szCs w:val="21"/>
                  </w:rPr>
                  <w:t>/负债</w:t>
                </w:r>
                <w:r w:rsidR="00EE2A0A">
                  <w:rPr>
                    <w:szCs w:val="21"/>
                  </w:rPr>
                  <w:t>（%）</w:t>
                </w:r>
              </w:p>
            </w:tc>
            <w:sdt>
              <w:sdtPr>
                <w:rPr>
                  <w:rFonts w:asciiTheme="minorEastAsia" w:hAnsiTheme="minorEastAsia" w:cs="Times New Roman"/>
                  <w:bCs/>
                  <w:szCs w:val="21"/>
                </w:rPr>
                <w:alias w:val="净资本/负债"/>
                <w:tag w:val="_GBC_99ab93df78074e02aeda84df59512aeb"/>
                <w:id w:val="33676788"/>
                <w:lock w:val="sdtLocked"/>
              </w:sdtPr>
              <w:sdtContent>
                <w:tc>
                  <w:tcPr>
                    <w:tcW w:w="1610"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21.27</w:t>
                    </w:r>
                  </w:p>
                </w:tc>
              </w:sdtContent>
            </w:sdt>
            <w:sdt>
              <w:sdtPr>
                <w:rPr>
                  <w:rFonts w:asciiTheme="minorEastAsia" w:hAnsiTheme="minorEastAsia" w:cs="Times New Roman"/>
                  <w:bCs/>
                  <w:szCs w:val="21"/>
                </w:rPr>
                <w:alias w:val="净资本/负债"/>
                <w:tag w:val="_GBC_e20ef5a881a04feaab59477b515dcaa1"/>
                <w:id w:val="33676789"/>
                <w:lock w:val="sdtLocked"/>
              </w:sdtPr>
              <w:sdtContent>
                <w:tc>
                  <w:tcPr>
                    <w:tcW w:w="1607"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28.96</w:t>
                    </w:r>
                  </w:p>
                </w:tc>
              </w:sdtContent>
            </w:sdt>
          </w:tr>
          <w:tr w:rsidR="00D37734" w:rsidTr="00074DB6">
            <w:tc>
              <w:tcPr>
                <w:tcW w:w="1783" w:type="pct"/>
              </w:tcPr>
              <w:p w:rsidR="00D37734" w:rsidRDefault="00D37734" w:rsidP="00C36FA2">
                <w:pPr>
                  <w:rPr>
                    <w:szCs w:val="21"/>
                  </w:rPr>
                </w:pPr>
                <w:r>
                  <w:rPr>
                    <w:rFonts w:hint="eastAsia"/>
                    <w:szCs w:val="21"/>
                  </w:rPr>
                  <w:t>净资产</w:t>
                </w:r>
                <w:r>
                  <w:rPr>
                    <w:szCs w:val="21"/>
                  </w:rPr>
                  <w:t>/负债</w:t>
                </w:r>
                <w:r w:rsidR="00EE2A0A">
                  <w:rPr>
                    <w:szCs w:val="21"/>
                  </w:rPr>
                  <w:t>（%）</w:t>
                </w:r>
              </w:p>
            </w:tc>
            <w:sdt>
              <w:sdtPr>
                <w:rPr>
                  <w:rFonts w:asciiTheme="minorEastAsia" w:hAnsiTheme="minorEastAsia" w:cs="Times New Roman"/>
                  <w:bCs/>
                  <w:szCs w:val="21"/>
                </w:rPr>
                <w:alias w:val="净资产/负债"/>
                <w:tag w:val="_GBC_fed29324f532431889582c885f366c33"/>
                <w:id w:val="33676790"/>
                <w:lock w:val="sdtLocked"/>
              </w:sdtPr>
              <w:sdtContent>
                <w:tc>
                  <w:tcPr>
                    <w:tcW w:w="1610"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26.03</w:t>
                    </w:r>
                  </w:p>
                </w:tc>
              </w:sdtContent>
            </w:sdt>
            <w:sdt>
              <w:sdtPr>
                <w:rPr>
                  <w:rFonts w:asciiTheme="minorEastAsia" w:hAnsiTheme="minorEastAsia" w:cs="Times New Roman"/>
                  <w:bCs/>
                  <w:szCs w:val="21"/>
                </w:rPr>
                <w:alias w:val="净资产/负债"/>
                <w:tag w:val="_GBC_2f77abcc8a82442ba79de8d3519ae82c"/>
                <w:id w:val="33676791"/>
                <w:lock w:val="sdtLocked"/>
              </w:sdtPr>
              <w:sdtContent>
                <w:tc>
                  <w:tcPr>
                    <w:tcW w:w="1607"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46.15</w:t>
                    </w:r>
                  </w:p>
                </w:tc>
              </w:sdtContent>
            </w:sdt>
          </w:tr>
          <w:tr w:rsidR="00D37734" w:rsidTr="00074DB6">
            <w:tc>
              <w:tcPr>
                <w:tcW w:w="1783" w:type="pct"/>
              </w:tcPr>
              <w:p w:rsidR="00D37734" w:rsidRDefault="00D37734" w:rsidP="00C36FA2">
                <w:pPr>
                  <w:rPr>
                    <w:szCs w:val="21"/>
                  </w:rPr>
                </w:pPr>
                <w:r>
                  <w:rPr>
                    <w:rFonts w:hint="eastAsia"/>
                    <w:szCs w:val="21"/>
                  </w:rPr>
                  <w:t>自营权益类证券及证券衍生品</w:t>
                </w:r>
                <w:r>
                  <w:rPr>
                    <w:szCs w:val="21"/>
                  </w:rPr>
                  <w:t>/净资本</w:t>
                </w:r>
                <w:r w:rsidR="00EE2A0A">
                  <w:rPr>
                    <w:szCs w:val="21"/>
                  </w:rPr>
                  <w:t>（%）</w:t>
                </w:r>
              </w:p>
            </w:tc>
            <w:sdt>
              <w:sdtPr>
                <w:rPr>
                  <w:rFonts w:asciiTheme="minorEastAsia" w:hAnsiTheme="minorEastAsia" w:cs="Times New Roman"/>
                  <w:bCs/>
                  <w:szCs w:val="21"/>
                </w:rPr>
                <w:alias w:val="自营权益类证券及证券衍生品/净资本"/>
                <w:tag w:val="_GBC_28b3834232194990a4105f836e7dc6ea"/>
                <w:id w:val="33676792"/>
                <w:lock w:val="sdtLocked"/>
              </w:sdtPr>
              <w:sdtContent>
                <w:tc>
                  <w:tcPr>
                    <w:tcW w:w="1610"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45.30</w:t>
                    </w:r>
                  </w:p>
                </w:tc>
              </w:sdtContent>
            </w:sdt>
            <w:sdt>
              <w:sdtPr>
                <w:rPr>
                  <w:rFonts w:asciiTheme="minorEastAsia" w:hAnsiTheme="minorEastAsia" w:cs="Times New Roman"/>
                  <w:bCs/>
                  <w:szCs w:val="21"/>
                </w:rPr>
                <w:alias w:val="自营权益类证券及证券衍生品/净资本"/>
                <w:tag w:val="_GBC_ffd83a6db8284b74b84127762dfdbad2"/>
                <w:id w:val="33676793"/>
                <w:lock w:val="sdtLocked"/>
              </w:sdtPr>
              <w:sdtContent>
                <w:tc>
                  <w:tcPr>
                    <w:tcW w:w="1607"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35.98</w:t>
                    </w:r>
                  </w:p>
                </w:tc>
              </w:sdtContent>
            </w:sdt>
          </w:tr>
          <w:tr w:rsidR="00D37734" w:rsidTr="00074DB6">
            <w:tc>
              <w:tcPr>
                <w:tcW w:w="1783" w:type="pct"/>
              </w:tcPr>
              <w:p w:rsidR="00D37734" w:rsidRDefault="00D37734" w:rsidP="00C36FA2">
                <w:pPr>
                  <w:rPr>
                    <w:szCs w:val="21"/>
                  </w:rPr>
                </w:pPr>
                <w:r>
                  <w:rPr>
                    <w:rFonts w:hint="eastAsia"/>
                    <w:szCs w:val="21"/>
                  </w:rPr>
                  <w:t>自营固定收益类证券</w:t>
                </w:r>
                <w:r>
                  <w:rPr>
                    <w:szCs w:val="21"/>
                  </w:rPr>
                  <w:t>/净资本</w:t>
                </w:r>
                <w:r w:rsidR="00EE2A0A">
                  <w:rPr>
                    <w:szCs w:val="21"/>
                  </w:rPr>
                  <w:t>（%）</w:t>
                </w:r>
              </w:p>
            </w:tc>
            <w:sdt>
              <w:sdtPr>
                <w:rPr>
                  <w:rFonts w:asciiTheme="minorEastAsia" w:hAnsiTheme="minorEastAsia" w:cs="Times New Roman"/>
                  <w:bCs/>
                  <w:szCs w:val="21"/>
                </w:rPr>
                <w:alias w:val="自营固定收益类证券/净资本"/>
                <w:tag w:val="_GBC_c5adee37cd2b431ca074abda29469601"/>
                <w:id w:val="33676794"/>
                <w:lock w:val="sdtLocked"/>
              </w:sdtPr>
              <w:sdtContent>
                <w:tc>
                  <w:tcPr>
                    <w:tcW w:w="1610"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85.44</w:t>
                    </w:r>
                  </w:p>
                </w:tc>
              </w:sdtContent>
            </w:sdt>
            <w:sdt>
              <w:sdtPr>
                <w:rPr>
                  <w:rFonts w:asciiTheme="minorEastAsia" w:hAnsiTheme="minorEastAsia" w:cs="Times New Roman"/>
                  <w:bCs/>
                  <w:szCs w:val="21"/>
                </w:rPr>
                <w:alias w:val="自营固定收益类证券/净资本"/>
                <w:tag w:val="_GBC_e3c1f834a12f474cbac6d702248d11ea"/>
                <w:id w:val="33676795"/>
                <w:lock w:val="sdtLocked"/>
              </w:sdtPr>
              <w:sdtContent>
                <w:tc>
                  <w:tcPr>
                    <w:tcW w:w="1607" w:type="pct"/>
                    <w:vAlign w:val="center"/>
                  </w:tcPr>
                  <w:p w:rsidR="00D37734" w:rsidRPr="001F3DF0" w:rsidRDefault="00D37734" w:rsidP="00E91DDE">
                    <w:pPr>
                      <w:jc w:val="right"/>
                      <w:rPr>
                        <w:rFonts w:asciiTheme="minorEastAsia" w:hAnsiTheme="minorEastAsia" w:cs="Times New Roman"/>
                        <w:bCs/>
                        <w:szCs w:val="21"/>
                      </w:rPr>
                    </w:pPr>
                    <w:r>
                      <w:rPr>
                        <w:rFonts w:asciiTheme="minorEastAsia" w:hAnsiTheme="minorEastAsia" w:cs="Times New Roman"/>
                        <w:bCs/>
                        <w:szCs w:val="21"/>
                      </w:rPr>
                      <w:t>117.48</w:t>
                    </w:r>
                  </w:p>
                </w:tc>
              </w:sdtContent>
            </w:sdt>
          </w:tr>
        </w:tbl>
        <w:p w:rsidR="00D37734" w:rsidRDefault="00D37734"/>
        <w:p w:rsidR="00D16230" w:rsidRPr="00B25A77" w:rsidRDefault="00B25A77" w:rsidP="00B25A77">
          <w:pPr>
            <w:spacing w:line="360" w:lineRule="auto"/>
            <w:rPr>
              <w:b/>
              <w:sz w:val="24"/>
            </w:rPr>
          </w:pPr>
          <w:r w:rsidRPr="00EC653D">
            <w:rPr>
              <w:rFonts w:cs="Arial" w:hint="eastAsia"/>
              <w:szCs w:val="21"/>
            </w:rPr>
            <w:t>注：</w:t>
          </w:r>
          <w:r>
            <w:rPr>
              <w:rFonts w:cs="Arial" w:hint="eastAsia"/>
              <w:szCs w:val="21"/>
            </w:rPr>
            <w:t>上</w:t>
          </w:r>
          <w:r w:rsidRPr="00EC653D">
            <w:rPr>
              <w:rFonts w:cs="Arial" w:hint="eastAsia"/>
              <w:szCs w:val="21"/>
            </w:rPr>
            <w:t>表负债</w:t>
          </w:r>
          <w:r>
            <w:rPr>
              <w:rFonts w:cs="Arial" w:hint="eastAsia"/>
              <w:szCs w:val="21"/>
            </w:rPr>
            <w:t>为</w:t>
          </w:r>
          <w:r w:rsidRPr="00EC653D">
            <w:rPr>
              <w:rFonts w:cs="Arial" w:hint="eastAsia"/>
              <w:szCs w:val="21"/>
            </w:rPr>
            <w:t>自有负债。</w:t>
          </w:r>
        </w:p>
      </w:sdtContent>
    </w:sdt>
    <w:p w:rsidR="00704CAD" w:rsidRPr="00D16230" w:rsidRDefault="00704CAD"/>
    <w:p w:rsidR="00704CAD" w:rsidRDefault="00720895">
      <w:pPr>
        <w:pStyle w:val="2"/>
        <w:numPr>
          <w:ilvl w:val="1"/>
          <w:numId w:val="3"/>
        </w:numPr>
        <w:ind w:left="498" w:hangingChars="236" w:hanging="498"/>
      </w:pPr>
      <w:r>
        <w:rPr>
          <w:rFonts w:hint="eastAsia"/>
        </w:rPr>
        <w:t>境内外会计准则下会计数据差异</w:t>
      </w:r>
      <w:bookmarkEnd w:id="16"/>
      <w:bookmarkEnd w:id="15"/>
    </w:p>
    <w:sdt>
      <w:sdtPr>
        <w:alias w:val="是否适用：境内外会计准则下会计数据差异"/>
        <w:tag w:val="_GBC_f4c76552bafd43fdb29cc72895d1b9fb"/>
        <w:id w:val="24720112"/>
        <w:lock w:val="sdtLocked"/>
        <w:placeholder>
          <w:docPart w:val="GBC22222222222222222222222222222"/>
        </w:placeholder>
      </w:sdtPr>
      <w:sdtContent>
        <w:p w:rsidR="00AC08E7" w:rsidRDefault="00422DCA" w:rsidP="00AC08E7">
          <w:r>
            <w:fldChar w:fldCharType="begin"/>
          </w:r>
          <w:r w:rsidR="00AC08E7">
            <w:instrText xml:space="preserve"> MACROBUTTON  SnrToggleCheckbox □适用 </w:instrText>
          </w:r>
          <w:r>
            <w:fldChar w:fldCharType="end"/>
          </w:r>
          <w:r>
            <w:fldChar w:fldCharType="begin"/>
          </w:r>
          <w:r w:rsidR="00AC08E7">
            <w:instrText xml:space="preserve"> MACROBUTTON  SnrToggleCheckbox √不适用 </w:instrText>
          </w:r>
          <w:r>
            <w:fldChar w:fldCharType="end"/>
          </w:r>
        </w:p>
      </w:sdtContent>
    </w:sdt>
    <w:bookmarkStart w:id="17" w:name="_Toc342565893" w:displacedByCustomXml="prev"/>
    <w:p w:rsidR="00704CAD" w:rsidRDefault="00704CAD"/>
    <w:sdt>
      <w:sdtPr>
        <w:rPr>
          <w:rFonts w:ascii="Calibri" w:hAnsi="Calibri" w:cs="宋体"/>
          <w:b w:val="0"/>
          <w:bCs w:val="0"/>
          <w:kern w:val="0"/>
          <w:sz w:val="24"/>
          <w:szCs w:val="22"/>
        </w:rPr>
        <w:tag w:val="_GBC_e161f7a9fa8846969df80cd18bf9fe6d"/>
        <w:id w:val="24720140"/>
        <w:lock w:val="sdtLocked"/>
        <w:placeholder>
          <w:docPart w:val="GBC22222222222222222222222222222"/>
        </w:placeholder>
      </w:sdtPr>
      <w:sdtEndPr>
        <w:rPr>
          <w:rFonts w:ascii="宋体" w:hAnsi="宋体" w:hint="eastAsia"/>
          <w:sz w:val="21"/>
          <w:szCs w:val="24"/>
        </w:rPr>
      </w:sdtEndPr>
      <w:sdtContent>
        <w:p w:rsidR="00704CAD" w:rsidRDefault="00720895">
          <w:pPr>
            <w:pStyle w:val="2"/>
            <w:numPr>
              <w:ilvl w:val="1"/>
              <w:numId w:val="3"/>
            </w:numPr>
            <w:ind w:left="566" w:hangingChars="236" w:hanging="566"/>
          </w:pPr>
          <w:r>
            <w:t>非经常性损益项目和金额</w:t>
          </w:r>
        </w:p>
        <w:sdt>
          <w:sdtPr>
            <w:rPr>
              <w:szCs w:val="21"/>
            </w:rPr>
            <w:alias w:val="是否适用：扣除非经常性损益项目和金额"/>
            <w:tag w:val="_GBC_edb4183379a44d3390d0735c66c833a8"/>
            <w:id w:val="24720113"/>
            <w:lock w:val="sdtContentLocked"/>
            <w:placeholder>
              <w:docPart w:val="GBC22222222222222222222222222222"/>
            </w:placeholder>
          </w:sdtPr>
          <w:sdtContent>
            <w:p w:rsidR="00704CAD" w:rsidRDefault="00422DCA">
              <w:pPr>
                <w:rPr>
                  <w:szCs w:val="21"/>
                </w:rPr>
              </w:pPr>
              <w:r>
                <w:rPr>
                  <w:szCs w:val="21"/>
                </w:rPr>
                <w:fldChar w:fldCharType="begin"/>
              </w:r>
              <w:r w:rsidR="00AC08E7">
                <w:rPr>
                  <w:szCs w:val="21"/>
                </w:rPr>
                <w:instrText xml:space="preserve"> MACROBUTTON  SnrToggleCheckbox √适用 </w:instrText>
              </w:r>
              <w:r>
                <w:rPr>
                  <w:szCs w:val="21"/>
                </w:rPr>
                <w:fldChar w:fldCharType="end"/>
              </w:r>
              <w:r>
                <w:rPr>
                  <w:szCs w:val="21"/>
                </w:rPr>
                <w:fldChar w:fldCharType="begin"/>
              </w:r>
              <w:r w:rsidR="00AC08E7">
                <w:rPr>
                  <w:szCs w:val="21"/>
                </w:rPr>
                <w:instrText xml:space="preserve"> MACROBUTTON  SnrToggleCheckbox □不适用 </w:instrText>
              </w:r>
              <w:r>
                <w:rPr>
                  <w:szCs w:val="21"/>
                </w:rPr>
                <w:fldChar w:fldCharType="end"/>
              </w:r>
            </w:p>
          </w:sdtContent>
        </w:sdt>
        <w:p w:rsidR="00704CAD" w:rsidRDefault="00720895">
          <w:pPr>
            <w:jc w:val="right"/>
            <w:rPr>
              <w:szCs w:val="21"/>
            </w:rPr>
          </w:pPr>
          <w:r>
            <w:rPr>
              <w:rFonts w:hint="eastAsia"/>
              <w:szCs w:val="21"/>
            </w:rPr>
            <w:t>单位:</w:t>
          </w:r>
          <w:sdt>
            <w:sdtPr>
              <w:rPr>
                <w:rFonts w:hint="eastAsia"/>
                <w:szCs w:val="21"/>
              </w:rPr>
              <w:alias w:val="单位：扣除非经常性损益项目和金额"/>
              <w:tag w:val="_GBC_0bb4e7e76b0a4140bccaec3b6fb07b87"/>
              <w:id w:val="247201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32aca1f70f54627a03b072edf6d3105"/>
              <w:id w:val="24720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4A0"/>
          </w:tblPr>
          <w:tblGrid>
            <w:gridCol w:w="5833"/>
            <w:gridCol w:w="3216"/>
          </w:tblGrid>
          <w:tr w:rsidR="00E068AD" w:rsidTr="004C5DB4">
            <w:trPr>
              <w:tblHeader/>
            </w:trPr>
            <w:tc>
              <w:tcPr>
                <w:tcW w:w="3223" w:type="pct"/>
                <w:vAlign w:val="center"/>
              </w:tcPr>
              <w:p w:rsidR="00E068AD" w:rsidRPr="000F7EA0" w:rsidRDefault="00E068AD" w:rsidP="004C5DB4">
                <w:pPr>
                  <w:pStyle w:val="a9"/>
                  <w:ind w:firstLineChars="0" w:firstLine="0"/>
                  <w:jc w:val="center"/>
                  <w:rPr>
                    <w:b/>
                    <w:szCs w:val="21"/>
                  </w:rPr>
                </w:pPr>
                <w:r w:rsidRPr="000F7EA0">
                  <w:rPr>
                    <w:rFonts w:hint="eastAsia"/>
                    <w:b/>
                    <w:szCs w:val="21"/>
                  </w:rPr>
                  <w:t>非经常性损益项目</w:t>
                </w:r>
              </w:p>
            </w:tc>
            <w:tc>
              <w:tcPr>
                <w:tcW w:w="1777" w:type="pct"/>
                <w:vAlign w:val="center"/>
              </w:tcPr>
              <w:p w:rsidR="00E068AD" w:rsidRPr="000F7EA0" w:rsidRDefault="00E068AD" w:rsidP="004C5DB4">
                <w:pPr>
                  <w:pStyle w:val="a9"/>
                  <w:ind w:firstLineChars="0" w:firstLine="0"/>
                  <w:jc w:val="center"/>
                  <w:rPr>
                    <w:b/>
                    <w:szCs w:val="21"/>
                  </w:rPr>
                </w:pPr>
                <w:r w:rsidRPr="000F7EA0">
                  <w:rPr>
                    <w:rFonts w:hint="eastAsia"/>
                    <w:b/>
                    <w:szCs w:val="21"/>
                  </w:rPr>
                  <w:t>金额</w:t>
                </w:r>
              </w:p>
            </w:tc>
          </w:tr>
          <w:tr w:rsidR="00E068AD" w:rsidTr="004C5DB4">
            <w:tc>
              <w:tcPr>
                <w:tcW w:w="3223" w:type="pct"/>
              </w:tcPr>
              <w:p w:rsidR="00E068AD" w:rsidRDefault="00E068AD" w:rsidP="004C5DB4">
                <w:pPr>
                  <w:pStyle w:val="a9"/>
                  <w:ind w:firstLineChars="0" w:firstLine="0"/>
                  <w:jc w:val="left"/>
                  <w:rPr>
                    <w:szCs w:val="21"/>
                  </w:rPr>
                </w:pPr>
                <w:r>
                  <w:rPr>
                    <w:szCs w:val="21"/>
                  </w:rPr>
                  <w:t>非流动资产处置损益</w:t>
                </w:r>
              </w:p>
            </w:tc>
            <w:sdt>
              <w:sdtPr>
                <w:rPr>
                  <w:bCs/>
                  <w:szCs w:val="21"/>
                </w:rPr>
                <w:alias w:val="非流动性资产处置损益，包括已计提资产减值准备的冲销部分（非经常性损益项目）"/>
                <w:tag w:val="_GBC_a1376e7d5e194efa8922d29318897f73"/>
                <w:id w:val="24720116"/>
                <w:lock w:val="sdtLocked"/>
                <w:text/>
              </w:sdtPr>
              <w:sdtContent>
                <w:tc>
                  <w:tcPr>
                    <w:tcW w:w="1777" w:type="pct"/>
                    <w:vAlign w:val="center"/>
                  </w:tcPr>
                  <w:p w:rsidR="00E068AD" w:rsidRDefault="00E068AD" w:rsidP="004C5DB4">
                    <w:pPr>
                      <w:jc w:val="right"/>
                      <w:rPr>
                        <w:szCs w:val="21"/>
                      </w:rPr>
                    </w:pPr>
                    <w:r>
                      <w:rPr>
                        <w:bCs/>
                        <w:szCs w:val="21"/>
                      </w:rPr>
                      <w:t>196,770.53</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越权审批，或无正式批准文件，或偶发性的税收返还、减免</w:t>
                </w:r>
              </w:p>
            </w:tc>
            <w:sdt>
              <w:sdtPr>
                <w:rPr>
                  <w:szCs w:val="21"/>
                </w:rPr>
                <w:alias w:val="越权审批，或无正式批准文件，或偶发性的税收返还、减免（非经常性损益项目）"/>
                <w:tag w:val="_GBC_083f11c35d234662828946f2b4fb7a7f"/>
                <w:id w:val="24720117"/>
                <w:lock w:val="sdtLocked"/>
                <w:text/>
              </w:sdtPr>
              <w:sdtContent>
                <w:tc>
                  <w:tcPr>
                    <w:tcW w:w="1777" w:type="pct"/>
                    <w:vAlign w:val="center"/>
                  </w:tcPr>
                  <w:p w:rsidR="00E068AD" w:rsidRDefault="00E068AD" w:rsidP="00863374">
                    <w:pPr>
                      <w:jc w:val="right"/>
                      <w:rPr>
                        <w:szCs w:val="21"/>
                      </w:rPr>
                    </w:pPr>
                    <w:r w:rsidRPr="00502CFE">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bCs/>
                  <w:szCs w:val="21"/>
                </w:rPr>
                <w:alias w:val="计入当期损益的政府补助，但与公司正常经营业务密切相关，符合国家政策规定、按照一定标准定额或定量持续享受的政府补助除外（非.."/>
                <w:tag w:val="_GBC_a8fec68d31bb4091b472a4bb5e11c088"/>
                <w:id w:val="24720118"/>
                <w:lock w:val="sdtLocked"/>
                <w:text/>
              </w:sdtPr>
              <w:sdtContent>
                <w:tc>
                  <w:tcPr>
                    <w:tcW w:w="1777" w:type="pct"/>
                    <w:vAlign w:val="center"/>
                  </w:tcPr>
                  <w:p w:rsidR="00E068AD" w:rsidRDefault="00E068AD" w:rsidP="004C5DB4">
                    <w:pPr>
                      <w:jc w:val="right"/>
                      <w:rPr>
                        <w:szCs w:val="21"/>
                      </w:rPr>
                    </w:pPr>
                    <w:r>
                      <w:rPr>
                        <w:bCs/>
                        <w:szCs w:val="21"/>
                      </w:rPr>
                      <w:t>3,690,691.92</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计入当期损益的对非金融企业收取的资金占用费</w:t>
                </w:r>
              </w:p>
            </w:tc>
            <w:sdt>
              <w:sdtPr>
                <w:rPr>
                  <w:szCs w:val="21"/>
                </w:rPr>
                <w:alias w:val="计入当期损益的对非金融企业收取的资金占用费（非经常性损益项目）"/>
                <w:tag w:val="_GBC_d1050da1f2964b50b18d0c54ac97c530"/>
                <w:id w:val="24720119"/>
                <w:lock w:val="sdtLocked"/>
                <w:text/>
              </w:sdtPr>
              <w:sdtContent>
                <w:tc>
                  <w:tcPr>
                    <w:tcW w:w="1777" w:type="pct"/>
                    <w:vAlign w:val="center"/>
                  </w:tcPr>
                  <w:p w:rsidR="00E068AD" w:rsidRDefault="00E068AD" w:rsidP="00863374">
                    <w:pPr>
                      <w:jc w:val="right"/>
                      <w:rPr>
                        <w:szCs w:val="21"/>
                      </w:rPr>
                    </w:pPr>
                    <w:r>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
              <w:sdtPr>
                <w:rPr>
                  <w:szCs w:val="21"/>
                </w:rPr>
                <w:alias w:val="企业取得子公司、联营企业及合营企业的投资成本小于取得投资时应享有被投资单位可辨认净资产公允价值产生的收益（非经常性损益项.."/>
                <w:tag w:val="_GBC_16587a433b05471283c3f8202fa46f4a"/>
                <w:id w:val="24720120"/>
                <w:lock w:val="sdtLocked"/>
                <w:text/>
              </w:sdtPr>
              <w:sdtContent>
                <w:tc>
                  <w:tcPr>
                    <w:tcW w:w="1777" w:type="pct"/>
                    <w:vAlign w:val="center"/>
                  </w:tcPr>
                  <w:p w:rsidR="00E068AD" w:rsidRDefault="00E068AD" w:rsidP="00863374">
                    <w:pPr>
                      <w:jc w:val="right"/>
                      <w:rPr>
                        <w:szCs w:val="21"/>
                      </w:rPr>
                    </w:pPr>
                    <w:r w:rsidRPr="00992864">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非货币性资产交换损益</w:t>
                </w:r>
              </w:p>
            </w:tc>
            <w:sdt>
              <w:sdtPr>
                <w:rPr>
                  <w:szCs w:val="21"/>
                </w:rPr>
                <w:alias w:val="非货币性资产交换损益（非经常性损益项目）"/>
                <w:tag w:val="_GBC_5809604cb27742bba986105757c78d1f"/>
                <w:id w:val="24720121"/>
                <w:lock w:val="sdtLocked"/>
                <w:text/>
              </w:sdtPr>
              <w:sdtContent>
                <w:tc>
                  <w:tcPr>
                    <w:tcW w:w="1777" w:type="pct"/>
                    <w:vAlign w:val="center"/>
                  </w:tcPr>
                  <w:p w:rsidR="00E068AD" w:rsidRDefault="00E068AD" w:rsidP="00863374">
                    <w:pPr>
                      <w:jc w:val="right"/>
                      <w:rPr>
                        <w:szCs w:val="21"/>
                      </w:rPr>
                    </w:pPr>
                    <w:r w:rsidRPr="00EA5176">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委托他人投资或管理资产的损益</w:t>
                </w:r>
              </w:p>
            </w:tc>
            <w:sdt>
              <w:sdtPr>
                <w:rPr>
                  <w:szCs w:val="21"/>
                </w:rPr>
                <w:alias w:val="委托他人投资或管理资产的损益（非经常性损益项目）"/>
                <w:tag w:val="_GBC_612c1d7b63244662a75144525ab72dce"/>
                <w:id w:val="24720122"/>
                <w:lock w:val="sdtLocked"/>
                <w:text/>
              </w:sdtPr>
              <w:sdtContent>
                <w:tc>
                  <w:tcPr>
                    <w:tcW w:w="1777" w:type="pct"/>
                    <w:vAlign w:val="center"/>
                  </w:tcPr>
                  <w:p w:rsidR="00E068AD" w:rsidRDefault="00E068AD" w:rsidP="00863374">
                    <w:pPr>
                      <w:jc w:val="right"/>
                      <w:rPr>
                        <w:szCs w:val="21"/>
                      </w:rPr>
                    </w:pPr>
                    <w:r w:rsidRPr="00B57F8C">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因不可抗力因素，如遭受自然灾害而计提的各项资产减值准备</w:t>
                </w:r>
              </w:p>
            </w:tc>
            <w:sdt>
              <w:sdtPr>
                <w:rPr>
                  <w:szCs w:val="21"/>
                </w:rPr>
                <w:alias w:val="因不可抗力因素，如遭受自然灾害而计提的各项资产减值准备（非经常性损益项目）"/>
                <w:tag w:val="_GBC_74936465f7a440b6b64e201fcfc16709"/>
                <w:id w:val="24720123"/>
                <w:lock w:val="sdtLocked"/>
                <w:text/>
              </w:sdtPr>
              <w:sdtContent>
                <w:tc>
                  <w:tcPr>
                    <w:tcW w:w="1777" w:type="pct"/>
                    <w:vAlign w:val="center"/>
                  </w:tcPr>
                  <w:p w:rsidR="00E068AD" w:rsidRDefault="00E068AD" w:rsidP="00863374">
                    <w:pPr>
                      <w:jc w:val="right"/>
                      <w:rPr>
                        <w:szCs w:val="21"/>
                      </w:rPr>
                    </w:pPr>
                    <w:r w:rsidRPr="00DE3E78">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债务重组损益</w:t>
                </w:r>
              </w:p>
            </w:tc>
            <w:sdt>
              <w:sdtPr>
                <w:rPr>
                  <w:szCs w:val="21"/>
                </w:rPr>
                <w:alias w:val="债务重组损益（非经常性损益项目）"/>
                <w:tag w:val="_GBC_3b2d166e414643b9905758e7b6a7d64f"/>
                <w:id w:val="24720124"/>
                <w:lock w:val="sdtLocked"/>
                <w:text/>
              </w:sdtPr>
              <w:sdtContent>
                <w:tc>
                  <w:tcPr>
                    <w:tcW w:w="1777" w:type="pct"/>
                    <w:vAlign w:val="center"/>
                  </w:tcPr>
                  <w:p w:rsidR="00E068AD" w:rsidRDefault="00E068AD" w:rsidP="00863374">
                    <w:pPr>
                      <w:jc w:val="right"/>
                      <w:rPr>
                        <w:szCs w:val="21"/>
                      </w:rPr>
                    </w:pPr>
                    <w:r w:rsidRPr="00FD28DC">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企业重组费用，如安置职工的支出、整合费用等</w:t>
                </w:r>
              </w:p>
            </w:tc>
            <w:sdt>
              <w:sdtPr>
                <w:rPr>
                  <w:szCs w:val="21"/>
                </w:rPr>
                <w:alias w:val="企业重组费用，如安置职工的支出、整合费用等（非经常性损益项目）"/>
                <w:tag w:val="_GBC_be0900ee0334492abad7c678c9b3375b"/>
                <w:id w:val="24720125"/>
                <w:lock w:val="sdtLocked"/>
                <w:text/>
              </w:sdtPr>
              <w:sdtContent>
                <w:tc>
                  <w:tcPr>
                    <w:tcW w:w="1777" w:type="pct"/>
                    <w:vAlign w:val="center"/>
                  </w:tcPr>
                  <w:p w:rsidR="00E068AD" w:rsidRDefault="00E068AD" w:rsidP="00863374">
                    <w:pPr>
                      <w:jc w:val="right"/>
                      <w:rPr>
                        <w:szCs w:val="21"/>
                      </w:rPr>
                    </w:pPr>
                    <w:r w:rsidRPr="00A34AEA">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交易价格显失公允的交易产生的超过公允价值部分的损益</w:t>
                </w:r>
              </w:p>
            </w:tc>
            <w:sdt>
              <w:sdtPr>
                <w:rPr>
                  <w:szCs w:val="21"/>
                </w:rPr>
                <w:alias w:val="交易价格显失公允的交易产生的超过公允价值部分的损益（非经常性损益项目）"/>
                <w:tag w:val="_GBC_be89c0c53d844939af901a4cf085b291"/>
                <w:id w:val="24720126"/>
                <w:lock w:val="sdtLocked"/>
                <w:text/>
              </w:sdtPr>
              <w:sdtContent>
                <w:tc>
                  <w:tcPr>
                    <w:tcW w:w="1777" w:type="pct"/>
                    <w:vAlign w:val="center"/>
                  </w:tcPr>
                  <w:p w:rsidR="00E068AD" w:rsidRDefault="00E068AD" w:rsidP="00863374">
                    <w:pPr>
                      <w:jc w:val="right"/>
                      <w:rPr>
                        <w:szCs w:val="21"/>
                      </w:rPr>
                    </w:pPr>
                    <w:r w:rsidRPr="00CB3BFC">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同一控制下企业合并产生的子公司期初至合并日的当期净损益</w:t>
                </w:r>
              </w:p>
            </w:tc>
            <w:sdt>
              <w:sdtPr>
                <w:rPr>
                  <w:szCs w:val="21"/>
                </w:rPr>
                <w:alias w:val="同一控制下企业合并产生的子公司期初至合并日的当期净损益（非经常性损益项目）"/>
                <w:tag w:val="_GBC_64e2db1445b8481db7800310cd509122"/>
                <w:id w:val="24720127"/>
                <w:lock w:val="sdtLocked"/>
                <w:text/>
              </w:sdtPr>
              <w:sdtContent>
                <w:tc>
                  <w:tcPr>
                    <w:tcW w:w="1777" w:type="pct"/>
                    <w:vAlign w:val="center"/>
                  </w:tcPr>
                  <w:p w:rsidR="00E068AD" w:rsidRDefault="00E068AD" w:rsidP="00863374">
                    <w:pPr>
                      <w:jc w:val="right"/>
                      <w:rPr>
                        <w:szCs w:val="21"/>
                      </w:rPr>
                    </w:pPr>
                    <w:r w:rsidRPr="00C47490">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与公司正常经营业务无关的或有事项产生的损益</w:t>
                </w:r>
              </w:p>
            </w:tc>
            <w:sdt>
              <w:sdtPr>
                <w:rPr>
                  <w:szCs w:val="21"/>
                </w:rPr>
                <w:alias w:val="与公司正常经营业务无关的或有事项产生的损益（非经常性损益项目）"/>
                <w:tag w:val="_GBC_29e6a94904bf4792b89dea86952fde0e"/>
                <w:id w:val="24720128"/>
                <w:lock w:val="sdtLocked"/>
                <w:text/>
              </w:sdtPr>
              <w:sdtContent>
                <w:tc>
                  <w:tcPr>
                    <w:tcW w:w="1777" w:type="pct"/>
                    <w:vAlign w:val="center"/>
                  </w:tcPr>
                  <w:p w:rsidR="00E068AD" w:rsidRDefault="00E068AD" w:rsidP="00863374">
                    <w:pPr>
                      <w:jc w:val="right"/>
                      <w:rPr>
                        <w:szCs w:val="21"/>
                      </w:rPr>
                    </w:pPr>
                    <w:r w:rsidRPr="00806B93">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30859e64a5bd4b41b1b381358c045737"/>
                <w:id w:val="24720129"/>
                <w:lock w:val="sdtLocked"/>
                <w:text/>
              </w:sdtPr>
              <w:sdtContent>
                <w:tc>
                  <w:tcPr>
                    <w:tcW w:w="1777" w:type="pct"/>
                    <w:vAlign w:val="center"/>
                  </w:tcPr>
                  <w:p w:rsidR="00E068AD" w:rsidRDefault="00E068AD" w:rsidP="00863374">
                    <w:pPr>
                      <w:jc w:val="right"/>
                      <w:rPr>
                        <w:szCs w:val="21"/>
                      </w:rPr>
                    </w:pPr>
                    <w:r w:rsidRPr="00095FCD">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单独进行减值测试的应收款项减值准备转回</w:t>
                </w:r>
              </w:p>
            </w:tc>
            <w:sdt>
              <w:sdtPr>
                <w:rPr>
                  <w:bCs/>
                  <w:szCs w:val="21"/>
                </w:rPr>
                <w:alias w:val="单独进行减值测试的应收款项减值准备转回（非经常性损益项目）"/>
                <w:tag w:val="_GBC_d0e221e028514260b0b9542a0455ea00"/>
                <w:id w:val="24720130"/>
                <w:lock w:val="sdtLocked"/>
                <w:text/>
              </w:sdtPr>
              <w:sdtContent>
                <w:tc>
                  <w:tcPr>
                    <w:tcW w:w="1777" w:type="pct"/>
                    <w:vAlign w:val="center"/>
                  </w:tcPr>
                  <w:p w:rsidR="00E068AD" w:rsidRDefault="00E068AD" w:rsidP="004C5DB4">
                    <w:pPr>
                      <w:jc w:val="right"/>
                      <w:rPr>
                        <w:szCs w:val="21"/>
                      </w:rPr>
                    </w:pPr>
                    <w:r>
                      <w:rPr>
                        <w:bCs/>
                        <w:szCs w:val="21"/>
                      </w:rPr>
                      <w:t>97,816.68</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对外委托贷款取得的损益</w:t>
                </w:r>
              </w:p>
            </w:tc>
            <w:sdt>
              <w:sdtPr>
                <w:rPr>
                  <w:szCs w:val="21"/>
                </w:rPr>
                <w:alias w:val="对外委托贷款取得的损益（非经常性损益项目）"/>
                <w:tag w:val="_GBC_73076df734314163a354c36636ca1a1c"/>
                <w:id w:val="24720131"/>
                <w:lock w:val="sdtLocked"/>
                <w:text/>
              </w:sdtPr>
              <w:sdtContent>
                <w:tc>
                  <w:tcPr>
                    <w:tcW w:w="1777" w:type="pct"/>
                    <w:vAlign w:val="center"/>
                  </w:tcPr>
                  <w:p w:rsidR="00E068AD" w:rsidRDefault="00E068AD" w:rsidP="00863374">
                    <w:pPr>
                      <w:jc w:val="right"/>
                      <w:rPr>
                        <w:szCs w:val="21"/>
                      </w:rPr>
                    </w:pPr>
                    <w:r w:rsidRPr="006F53C1">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采用公允价值模式进行后续计量的投资性房地产公允价值变动产生的损益</w:t>
                </w:r>
              </w:p>
            </w:tc>
            <w:sdt>
              <w:sdtPr>
                <w:rPr>
                  <w:szCs w:val="21"/>
                </w:rPr>
                <w:alias w:val="采用公允价值模式进行后续计量的投资性房地产公允价值变动产生的损益（非经常性损益项目）"/>
                <w:tag w:val="_GBC_5fab908911b64a89a663ad809712f6a3"/>
                <w:id w:val="24720132"/>
                <w:lock w:val="sdtLocked"/>
                <w:text/>
              </w:sdtPr>
              <w:sdtContent>
                <w:tc>
                  <w:tcPr>
                    <w:tcW w:w="1777" w:type="pct"/>
                    <w:vAlign w:val="center"/>
                  </w:tcPr>
                  <w:p w:rsidR="00E068AD" w:rsidRDefault="00E068AD" w:rsidP="00863374">
                    <w:pPr>
                      <w:jc w:val="right"/>
                      <w:rPr>
                        <w:szCs w:val="21"/>
                      </w:rPr>
                    </w:pPr>
                    <w:r w:rsidRPr="00FD75A4">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根据税收、会计等法律、法规的要求对当期损益进行一次性调整对当期损益的影响</w:t>
                </w:r>
              </w:p>
            </w:tc>
            <w:sdt>
              <w:sdtPr>
                <w:rPr>
                  <w:szCs w:val="21"/>
                </w:rPr>
                <w:alias w:val="根据税收、会计等法律、法规的要求对当期损益进行一次性调整对当期损益的影响（非经常性损益项目）"/>
                <w:tag w:val="_GBC_f2ea7d6c9e53486abbb3219d0f2720b7"/>
                <w:id w:val="24720133"/>
                <w:lock w:val="sdtLocked"/>
                <w:text/>
              </w:sdtPr>
              <w:sdtContent>
                <w:tc>
                  <w:tcPr>
                    <w:tcW w:w="1777" w:type="pct"/>
                    <w:vAlign w:val="center"/>
                  </w:tcPr>
                  <w:p w:rsidR="00E068AD" w:rsidRDefault="00E068AD" w:rsidP="00863374">
                    <w:pPr>
                      <w:jc w:val="right"/>
                      <w:rPr>
                        <w:szCs w:val="21"/>
                      </w:rPr>
                    </w:pPr>
                    <w:r w:rsidRPr="009D6128">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受托经营取得的托管费收入</w:t>
                </w:r>
              </w:p>
            </w:tc>
            <w:sdt>
              <w:sdtPr>
                <w:rPr>
                  <w:szCs w:val="21"/>
                </w:rPr>
                <w:alias w:val="受托经营取得的托管费收入（非经常性损益项目）"/>
                <w:tag w:val="_GBC_00a381535686441b87fb17f12a56e6ec"/>
                <w:id w:val="24720134"/>
                <w:lock w:val="sdtLocked"/>
                <w:text/>
              </w:sdtPr>
              <w:sdtContent>
                <w:tc>
                  <w:tcPr>
                    <w:tcW w:w="1777" w:type="pct"/>
                    <w:vAlign w:val="center"/>
                  </w:tcPr>
                  <w:p w:rsidR="00E068AD" w:rsidRDefault="00E068AD" w:rsidP="00863374">
                    <w:pPr>
                      <w:jc w:val="right"/>
                      <w:rPr>
                        <w:szCs w:val="21"/>
                      </w:rPr>
                    </w:pPr>
                    <w:r w:rsidRPr="00B56185">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除上述各项之外的其他营业外收入和支出</w:t>
                </w:r>
              </w:p>
            </w:tc>
            <w:sdt>
              <w:sdtPr>
                <w:rPr>
                  <w:bCs/>
                  <w:szCs w:val="21"/>
                </w:rPr>
                <w:alias w:val="除上述各项之外的其他营业外收入和支出（非经常性损益项目）"/>
                <w:tag w:val="_GBC_472165d8703e4cc39f9b48a965e4cb64"/>
                <w:id w:val="24720135"/>
                <w:lock w:val="sdtLocked"/>
                <w:text/>
              </w:sdtPr>
              <w:sdtContent>
                <w:tc>
                  <w:tcPr>
                    <w:tcW w:w="1777" w:type="pct"/>
                    <w:vAlign w:val="center"/>
                  </w:tcPr>
                  <w:p w:rsidR="00E068AD" w:rsidRDefault="00E068AD" w:rsidP="004C5DB4">
                    <w:pPr>
                      <w:jc w:val="right"/>
                      <w:rPr>
                        <w:szCs w:val="21"/>
                      </w:rPr>
                    </w:pPr>
                    <w:r w:rsidRPr="00313AD8">
                      <w:rPr>
                        <w:bCs/>
                        <w:szCs w:val="21"/>
                      </w:rPr>
                      <w:t>19,865,447.37</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f92143f182354ce6831ecca86901b012"/>
                <w:id w:val="24720136"/>
                <w:lock w:val="sdtLocked"/>
                <w:text/>
              </w:sdtPr>
              <w:sdtContent>
                <w:tc>
                  <w:tcPr>
                    <w:tcW w:w="1777" w:type="pct"/>
                    <w:vAlign w:val="center"/>
                  </w:tcPr>
                  <w:p w:rsidR="00E068AD" w:rsidRDefault="00E068AD" w:rsidP="00863374">
                    <w:pPr>
                      <w:jc w:val="right"/>
                      <w:rPr>
                        <w:szCs w:val="21"/>
                      </w:rPr>
                    </w:pPr>
                    <w:r w:rsidRPr="009F78C4">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少数股东权益影响额</w:t>
                </w:r>
              </w:p>
            </w:tc>
            <w:sdt>
              <w:sdtPr>
                <w:rPr>
                  <w:szCs w:val="21"/>
                </w:rPr>
                <w:alias w:val="少数股东权益影响额（非经常性损益项目）"/>
                <w:tag w:val="_GBC_954668d415ac473f94c0670fb8a6d6a7"/>
                <w:id w:val="24720137"/>
                <w:lock w:val="sdtLocked"/>
                <w:text/>
              </w:sdtPr>
              <w:sdtContent>
                <w:tc>
                  <w:tcPr>
                    <w:tcW w:w="1777" w:type="pct"/>
                    <w:vAlign w:val="center"/>
                  </w:tcPr>
                  <w:p w:rsidR="00E068AD" w:rsidRDefault="00E068AD" w:rsidP="00863374">
                    <w:pPr>
                      <w:jc w:val="right"/>
                      <w:rPr>
                        <w:szCs w:val="21"/>
                      </w:rPr>
                    </w:pPr>
                    <w:r w:rsidRPr="00956B5E">
                      <w:rPr>
                        <w:rFonts w:hint="eastAsia"/>
                        <w:szCs w:val="21"/>
                      </w:rPr>
                      <w:t>—</w:t>
                    </w:r>
                  </w:p>
                </w:tc>
              </w:sdtContent>
            </w:sdt>
          </w:tr>
          <w:tr w:rsidR="00E068AD" w:rsidTr="004C5DB4">
            <w:tc>
              <w:tcPr>
                <w:tcW w:w="3223" w:type="pct"/>
              </w:tcPr>
              <w:p w:rsidR="00E068AD" w:rsidRDefault="00E068AD" w:rsidP="004C5DB4">
                <w:pPr>
                  <w:pStyle w:val="a9"/>
                  <w:ind w:firstLineChars="0" w:firstLine="0"/>
                  <w:jc w:val="left"/>
                  <w:rPr>
                    <w:szCs w:val="21"/>
                  </w:rPr>
                </w:pPr>
                <w:r>
                  <w:rPr>
                    <w:szCs w:val="21"/>
                  </w:rPr>
                  <w:t>所得税影响额</w:t>
                </w:r>
              </w:p>
            </w:tc>
            <w:sdt>
              <w:sdtPr>
                <w:rPr>
                  <w:bCs/>
                  <w:szCs w:val="21"/>
                </w:rPr>
                <w:alias w:val="非经常性损益_对所得税的影响"/>
                <w:tag w:val="_GBC_2ed8fba43e44496c849ccffa8257235f"/>
                <w:id w:val="24720138"/>
                <w:lock w:val="sdtLocked"/>
                <w:text/>
              </w:sdtPr>
              <w:sdtContent>
                <w:tc>
                  <w:tcPr>
                    <w:tcW w:w="1777" w:type="pct"/>
                    <w:vAlign w:val="center"/>
                  </w:tcPr>
                  <w:p w:rsidR="00E068AD" w:rsidRDefault="00E068AD" w:rsidP="004C5DB4">
                    <w:pPr>
                      <w:jc w:val="right"/>
                      <w:rPr>
                        <w:szCs w:val="21"/>
                      </w:rPr>
                    </w:pPr>
                    <w:r>
                      <w:rPr>
                        <w:bCs/>
                        <w:szCs w:val="21"/>
                      </w:rPr>
                      <w:t>-6,233,730.70</w:t>
                    </w:r>
                  </w:p>
                </w:tc>
              </w:sdtContent>
            </w:sdt>
          </w:tr>
          <w:tr w:rsidR="00E068AD" w:rsidRPr="00AC08E7" w:rsidTr="004C5DB4">
            <w:tc>
              <w:tcPr>
                <w:tcW w:w="3223" w:type="pct"/>
                <w:vAlign w:val="center"/>
              </w:tcPr>
              <w:p w:rsidR="00E068AD" w:rsidRDefault="00E068AD" w:rsidP="004C5DB4">
                <w:pPr>
                  <w:pStyle w:val="a9"/>
                  <w:ind w:firstLineChars="0" w:firstLine="0"/>
                  <w:jc w:val="center"/>
                  <w:rPr>
                    <w:szCs w:val="21"/>
                  </w:rPr>
                </w:pPr>
                <w:r>
                  <w:rPr>
                    <w:szCs w:val="21"/>
                  </w:rPr>
                  <w:t>合计</w:t>
                </w:r>
              </w:p>
            </w:tc>
            <w:sdt>
              <w:sdtPr>
                <w:rPr>
                  <w:bCs/>
                  <w:szCs w:val="21"/>
                </w:rPr>
                <w:alias w:val="扣除的非经常性损益合计"/>
                <w:tag w:val="_GBC_8f92d69260f640a493a239caa6c3a366"/>
                <w:id w:val="24720139"/>
                <w:lock w:val="sdtLocked"/>
                <w:text/>
              </w:sdtPr>
              <w:sdtContent>
                <w:tc>
                  <w:tcPr>
                    <w:tcW w:w="1777" w:type="pct"/>
                    <w:vAlign w:val="center"/>
                  </w:tcPr>
                  <w:p w:rsidR="00E068AD" w:rsidRDefault="00E068AD" w:rsidP="004C5DB4">
                    <w:pPr>
                      <w:jc w:val="right"/>
                      <w:rPr>
                        <w:szCs w:val="21"/>
                      </w:rPr>
                    </w:pPr>
                    <w:r w:rsidRPr="00313AD8">
                      <w:rPr>
                        <w:bCs/>
                        <w:szCs w:val="21"/>
                      </w:rPr>
                      <w:t>17,616,995.80</w:t>
                    </w:r>
                  </w:p>
                </w:tc>
              </w:sdtContent>
            </w:sdt>
          </w:tr>
        </w:tbl>
        <w:p w:rsidR="001276A9" w:rsidRDefault="001276A9" w:rsidP="00AC08E7"/>
        <w:p w:rsidR="00704CAD" w:rsidRPr="00AC08E7" w:rsidRDefault="00422DCA" w:rsidP="00AC08E7"/>
      </w:sdtContent>
    </w:sdt>
    <w:sdt>
      <w:sdtPr>
        <w:rPr>
          <w:rFonts w:ascii="Calibri" w:hAnsi="Calibri" w:cs="宋体" w:hint="eastAsia"/>
          <w:b w:val="0"/>
          <w:bCs w:val="0"/>
          <w:kern w:val="0"/>
          <w:sz w:val="24"/>
          <w:szCs w:val="22"/>
        </w:rPr>
        <w:tag w:val="_GBC_f184afc0b48247ed96fce735d8f760ce"/>
        <w:id w:val="24720142"/>
        <w:lock w:val="sdtLocked"/>
        <w:placeholder>
          <w:docPart w:val="GBC22222222222222222222222222222"/>
        </w:placeholder>
      </w:sdtPr>
      <w:sdtEndPr>
        <w:rPr>
          <w:rFonts w:ascii="宋体" w:hAnsi="宋体"/>
          <w:sz w:val="21"/>
          <w:szCs w:val="24"/>
        </w:rPr>
      </w:sdtEndPr>
      <w:sdtContent>
        <w:p w:rsidR="00704CAD" w:rsidRPr="00386400" w:rsidRDefault="00386400">
          <w:pPr>
            <w:pStyle w:val="2"/>
            <w:numPr>
              <w:ilvl w:val="1"/>
              <w:numId w:val="3"/>
            </w:numPr>
            <w:ind w:left="566" w:hangingChars="236" w:hanging="566"/>
            <w:rPr>
              <w:bCs w:val="0"/>
            </w:rPr>
          </w:pPr>
          <w:r w:rsidRPr="00386400">
            <w:rPr>
              <w:rFonts w:ascii="宋体" w:hAnsi="宋体" w:hint="eastAsia"/>
              <w:kern w:val="0"/>
            </w:rPr>
            <w:t>比较式会计报表中变动幅度超过</w:t>
          </w:r>
          <w:r w:rsidRPr="00386400">
            <w:rPr>
              <w:rFonts w:ascii="宋体" w:hAnsi="宋体"/>
              <w:kern w:val="0"/>
            </w:rPr>
            <w:t>30%</w:t>
          </w:r>
          <w:r w:rsidRPr="00386400">
            <w:rPr>
              <w:rFonts w:ascii="宋体" w:hAnsi="宋体" w:hint="eastAsia"/>
              <w:kern w:val="0"/>
            </w:rPr>
            <w:t>以上项目的情况</w:t>
          </w:r>
        </w:p>
        <w:sdt>
          <w:sdtPr>
            <w:rPr>
              <w:rFonts w:hint="eastAsia"/>
            </w:rPr>
            <w:alias w:val="其他财务和业务数据摘要 "/>
            <w:tag w:val="_GBC_43f5b3076f924fc3bf943a0f5981a8d0"/>
            <w:id w:val="24720141"/>
            <w:lock w:val="sdtLocked"/>
            <w:placeholder>
              <w:docPart w:val="GBC22222222222222222222222222222"/>
            </w:placeholder>
          </w:sdtPr>
          <w:sdtContent>
            <w:p w:rsidR="00386400" w:rsidRPr="004667E6" w:rsidRDefault="00386400" w:rsidP="00386400">
              <w:pPr>
                <w:wordWrap w:val="0"/>
                <w:spacing w:line="560" w:lineRule="exact"/>
                <w:jc w:val="right"/>
                <w:rPr>
                  <w:b/>
                  <w:szCs w:val="21"/>
                </w:rPr>
              </w:pPr>
              <w:r w:rsidRPr="004667E6">
                <w:rPr>
                  <w:rFonts w:hint="eastAsia"/>
                  <w:szCs w:val="21"/>
                </w:rPr>
                <w:t>单位：元</w:t>
              </w:r>
              <w:r w:rsidR="00D35A56">
                <w:rPr>
                  <w:rFonts w:hint="eastAsia"/>
                  <w:szCs w:val="21"/>
                </w:rPr>
                <w:t xml:space="preserve"> </w:t>
              </w:r>
              <w:r w:rsidRPr="0059598C">
                <w:rPr>
                  <w:rFonts w:hint="eastAsia"/>
                  <w:szCs w:val="21"/>
                </w:rPr>
                <w:t>币种：人民币</w:t>
              </w:r>
            </w:p>
            <w:tbl>
              <w:tblPr>
                <w:tblW w:w="5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1985"/>
                <w:gridCol w:w="1983"/>
                <w:gridCol w:w="992"/>
                <w:gridCol w:w="3399"/>
              </w:tblGrid>
              <w:tr w:rsidR="00386400" w:rsidRPr="00FB063E" w:rsidTr="00D361AF">
                <w:trPr>
                  <w:trHeight w:hRule="exact" w:val="883"/>
                  <w:jc w:val="center"/>
                </w:trPr>
                <w:tc>
                  <w:tcPr>
                    <w:tcW w:w="996" w:type="pct"/>
                    <w:shd w:val="clear" w:color="auto" w:fill="auto"/>
                    <w:noWrap/>
                    <w:vAlign w:val="center"/>
                    <w:hideMark/>
                  </w:tcPr>
                  <w:p w:rsidR="00386400" w:rsidRPr="00FB063E" w:rsidRDefault="00386400" w:rsidP="00A92A3D">
                    <w:pPr>
                      <w:spacing w:line="360" w:lineRule="exact"/>
                      <w:jc w:val="center"/>
                      <w:rPr>
                        <w:b/>
                        <w:bCs/>
                        <w:color w:val="000000"/>
                        <w:sz w:val="20"/>
                      </w:rPr>
                    </w:pPr>
                    <w:r w:rsidRPr="00FB063E">
                      <w:rPr>
                        <w:rFonts w:hint="eastAsia"/>
                        <w:b/>
                        <w:bCs/>
                        <w:color w:val="000000"/>
                        <w:sz w:val="20"/>
                      </w:rPr>
                      <w:t>项目</w:t>
                    </w:r>
                  </w:p>
                </w:tc>
                <w:tc>
                  <w:tcPr>
                    <w:tcW w:w="951" w:type="pct"/>
                    <w:tcBorders>
                      <w:bottom w:val="single" w:sz="4" w:space="0" w:color="auto"/>
                    </w:tcBorders>
                    <w:shd w:val="clear" w:color="auto" w:fill="auto"/>
                    <w:noWrap/>
                    <w:vAlign w:val="center"/>
                    <w:hideMark/>
                  </w:tcPr>
                  <w:p w:rsidR="00386400" w:rsidRPr="00FB063E" w:rsidRDefault="00386400" w:rsidP="00A92A3D">
                    <w:pPr>
                      <w:spacing w:line="360" w:lineRule="exact"/>
                      <w:jc w:val="center"/>
                      <w:rPr>
                        <w:b/>
                        <w:bCs/>
                        <w:color w:val="000000"/>
                        <w:sz w:val="20"/>
                      </w:rPr>
                    </w:pPr>
                    <w:r w:rsidRPr="00FB063E">
                      <w:rPr>
                        <w:rFonts w:hint="eastAsia"/>
                        <w:b/>
                        <w:bCs/>
                        <w:color w:val="000000"/>
                        <w:sz w:val="20"/>
                      </w:rPr>
                      <w:t>201</w:t>
                    </w:r>
                    <w:r>
                      <w:rPr>
                        <w:rFonts w:hint="eastAsia"/>
                        <w:b/>
                        <w:bCs/>
                        <w:color w:val="000000"/>
                        <w:sz w:val="20"/>
                      </w:rPr>
                      <w:t>5</w:t>
                    </w:r>
                    <w:r w:rsidRPr="00FB063E">
                      <w:rPr>
                        <w:rFonts w:hint="eastAsia"/>
                        <w:b/>
                        <w:bCs/>
                        <w:color w:val="000000"/>
                        <w:sz w:val="20"/>
                      </w:rPr>
                      <w:t>年6月30日</w:t>
                    </w:r>
                  </w:p>
                </w:tc>
                <w:tc>
                  <w:tcPr>
                    <w:tcW w:w="950" w:type="pct"/>
                    <w:tcBorders>
                      <w:bottom w:val="single" w:sz="4" w:space="0" w:color="auto"/>
                    </w:tcBorders>
                    <w:shd w:val="clear" w:color="auto" w:fill="auto"/>
                    <w:noWrap/>
                    <w:vAlign w:val="center"/>
                    <w:hideMark/>
                  </w:tcPr>
                  <w:p w:rsidR="00386400" w:rsidRPr="00FB063E" w:rsidRDefault="00386400" w:rsidP="00A92A3D">
                    <w:pPr>
                      <w:spacing w:line="360" w:lineRule="exact"/>
                      <w:jc w:val="center"/>
                      <w:rPr>
                        <w:b/>
                        <w:bCs/>
                        <w:color w:val="000000"/>
                        <w:sz w:val="20"/>
                      </w:rPr>
                    </w:pPr>
                    <w:r>
                      <w:rPr>
                        <w:rFonts w:hint="eastAsia"/>
                        <w:b/>
                        <w:bCs/>
                        <w:color w:val="000000"/>
                        <w:sz w:val="20"/>
                      </w:rPr>
                      <w:t>2014</w:t>
                    </w:r>
                    <w:r w:rsidRPr="00FB063E">
                      <w:rPr>
                        <w:rFonts w:hint="eastAsia"/>
                        <w:b/>
                        <w:bCs/>
                        <w:color w:val="000000"/>
                        <w:sz w:val="20"/>
                      </w:rPr>
                      <w:t>年12月31日</w:t>
                    </w:r>
                  </w:p>
                </w:tc>
                <w:tc>
                  <w:tcPr>
                    <w:tcW w:w="475" w:type="pct"/>
                    <w:tcBorders>
                      <w:bottom w:val="single" w:sz="4" w:space="0" w:color="auto"/>
                    </w:tcBorders>
                    <w:shd w:val="clear" w:color="auto" w:fill="auto"/>
                    <w:noWrap/>
                    <w:vAlign w:val="center"/>
                    <w:hideMark/>
                  </w:tcPr>
                  <w:p w:rsidR="00386400" w:rsidRPr="00FB063E" w:rsidRDefault="00386400" w:rsidP="001276A9">
                    <w:pPr>
                      <w:spacing w:line="360" w:lineRule="exact"/>
                      <w:rPr>
                        <w:b/>
                        <w:bCs/>
                        <w:color w:val="000000"/>
                        <w:sz w:val="20"/>
                      </w:rPr>
                    </w:pPr>
                    <w:r w:rsidRPr="00FB063E">
                      <w:rPr>
                        <w:rFonts w:hint="eastAsia"/>
                        <w:b/>
                        <w:bCs/>
                        <w:color w:val="000000"/>
                        <w:sz w:val="20"/>
                      </w:rPr>
                      <w:t xml:space="preserve">增减幅度（%） </w:t>
                    </w:r>
                  </w:p>
                </w:tc>
                <w:tc>
                  <w:tcPr>
                    <w:tcW w:w="1628" w:type="pct"/>
                    <w:shd w:val="clear" w:color="auto" w:fill="auto"/>
                    <w:vAlign w:val="center"/>
                    <w:hideMark/>
                  </w:tcPr>
                  <w:p w:rsidR="00386400" w:rsidRPr="00FB063E" w:rsidRDefault="00386400" w:rsidP="00A92A3D">
                    <w:pPr>
                      <w:spacing w:line="360" w:lineRule="exact"/>
                      <w:jc w:val="center"/>
                      <w:rPr>
                        <w:b/>
                        <w:bCs/>
                        <w:color w:val="000000"/>
                        <w:sz w:val="20"/>
                      </w:rPr>
                    </w:pPr>
                    <w:r w:rsidRPr="00FB063E">
                      <w:rPr>
                        <w:rFonts w:hint="eastAsia"/>
                        <w:b/>
                        <w:bCs/>
                        <w:color w:val="000000"/>
                        <w:sz w:val="20"/>
                      </w:rPr>
                      <w:t xml:space="preserve"> 主要变动原因 </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货币资金</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129,225,249,570.04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54,866,893,638.48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135.52</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客户货币资金增加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结算备付金</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24,774,448,840.92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12,191,800,738.04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103.21</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客户结算备付金增加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lastRenderedPageBreak/>
                      <w:t>融出资金</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114,825,448,408.34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58,595,164,547.26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95.96</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融资业务规模增加</w:t>
                    </w:r>
                  </w:p>
                </w:tc>
              </w:tr>
              <w:tr w:rsidR="00386400" w:rsidRPr="005A3F71" w:rsidTr="00D361AF">
                <w:trPr>
                  <w:trHeight w:hRule="exact" w:val="1208"/>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以公允价值计量且其变动计入当期损益的金融资产</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55,366,849,496.45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36,121,668,050.87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53.28</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交易性债券及股票投资规模增加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衍生金融资产</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855,196,391.76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12,015,035.74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7</w:t>
                    </w:r>
                    <w:r>
                      <w:rPr>
                        <w:rFonts w:hint="eastAsia"/>
                        <w:color w:val="000000"/>
                        <w:sz w:val="20"/>
                      </w:rPr>
                      <w:t>,</w:t>
                    </w:r>
                    <w:r w:rsidRPr="00313BF7">
                      <w:rPr>
                        <w:rFonts w:hint="eastAsia"/>
                        <w:color w:val="000000"/>
                        <w:sz w:val="20"/>
                      </w:rPr>
                      <w:t>017.72</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衍生金融资产增加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买入返售金融资产</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13,032,488,250.70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7,544,698,525.53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72.74</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买入返售业务增加</w:t>
                    </w:r>
                  </w:p>
                </w:tc>
              </w:tr>
              <w:tr w:rsidR="00386400" w:rsidRPr="005A3F71" w:rsidTr="008F7070">
                <w:trPr>
                  <w:trHeight w:hRule="exact" w:val="65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应收款项</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3,799,156,931.51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2,066,943,222.53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83.81</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应收清算款增加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应收利息</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863,096,647.83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399,423,388.12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116.09</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应收融资融券利息增加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存出保证金</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693,286,364.58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244,680,057.67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183.34</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交易保证金增加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应收股利</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6E14A7">
                      <w:rPr>
                        <w:color w:val="000000"/>
                        <w:sz w:val="20"/>
                      </w:rPr>
                      <w:t>70</w:t>
                    </w:r>
                    <w:r>
                      <w:rPr>
                        <w:rFonts w:hint="eastAsia"/>
                        <w:color w:val="000000"/>
                        <w:sz w:val="20"/>
                      </w:rPr>
                      <w:t>,</w:t>
                    </w:r>
                    <w:r w:rsidRPr="006E14A7">
                      <w:rPr>
                        <w:color w:val="000000"/>
                        <w:sz w:val="20"/>
                      </w:rPr>
                      <w:t>424</w:t>
                    </w:r>
                    <w:r>
                      <w:rPr>
                        <w:rFonts w:hint="eastAsia"/>
                        <w:color w:val="000000"/>
                        <w:sz w:val="20"/>
                      </w:rPr>
                      <w:t>,</w:t>
                    </w:r>
                    <w:r w:rsidRPr="006E14A7">
                      <w:rPr>
                        <w:color w:val="000000"/>
                        <w:sz w:val="20"/>
                      </w:rPr>
                      <w:t>968.65</w:t>
                    </w:r>
                  </w:p>
                </w:tc>
                <w:tc>
                  <w:tcPr>
                    <w:tcW w:w="950" w:type="pct"/>
                    <w:shd w:val="clear" w:color="auto" w:fill="auto"/>
                    <w:noWrap/>
                    <w:tcMar>
                      <w:left w:w="57" w:type="dxa"/>
                      <w:right w:w="57" w:type="dxa"/>
                    </w:tcMar>
                    <w:vAlign w:val="center"/>
                    <w:hideMark/>
                  </w:tcPr>
                  <w:p w:rsidR="00386400" w:rsidRPr="00313BF7" w:rsidRDefault="00863374" w:rsidP="00A92A3D">
                    <w:pPr>
                      <w:jc w:val="right"/>
                      <w:rPr>
                        <w:color w:val="000000"/>
                        <w:sz w:val="20"/>
                      </w:rPr>
                    </w:pPr>
                    <w:r w:rsidRPr="00956B5E">
                      <w:rPr>
                        <w:rFonts w:hint="eastAsia"/>
                        <w:szCs w:val="21"/>
                      </w:rPr>
                      <w:t>—</w:t>
                    </w:r>
                  </w:p>
                </w:tc>
                <w:tc>
                  <w:tcPr>
                    <w:tcW w:w="475" w:type="pct"/>
                    <w:shd w:val="clear" w:color="auto" w:fill="auto"/>
                    <w:noWrap/>
                    <w:tcMar>
                      <w:left w:w="57" w:type="dxa"/>
                      <w:right w:w="57" w:type="dxa"/>
                    </w:tcMar>
                    <w:vAlign w:val="center"/>
                    <w:hideMark/>
                  </w:tcPr>
                  <w:p w:rsidR="00386400" w:rsidRPr="00313BF7" w:rsidRDefault="00863374" w:rsidP="00A92A3D">
                    <w:pPr>
                      <w:jc w:val="right"/>
                      <w:rPr>
                        <w:color w:val="000000"/>
                        <w:sz w:val="20"/>
                      </w:rPr>
                    </w:pPr>
                    <w:r w:rsidRPr="00956B5E">
                      <w:rPr>
                        <w:rFonts w:hint="eastAsia"/>
                        <w:szCs w:val="21"/>
                      </w:rPr>
                      <w:t>—</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应收联营公司股利</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递延所得税资产</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481,583,547.39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370,135,810.21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30.11</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可抵扣暂时性差异增加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短期借款</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4,307,204,862.48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2,843,876,350.00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51.46</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香港子公司短期借款增加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应付短期融资款</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44,849,030,000.00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14,363,147,014.00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212.25</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应付收益凭证及短期公司债增加</w:t>
                    </w:r>
                  </w:p>
                </w:tc>
              </w:tr>
              <w:tr w:rsidR="00386400" w:rsidRPr="005A3F71" w:rsidTr="008F7070">
                <w:trPr>
                  <w:trHeight w:hRule="exact" w:val="451"/>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拆入资金</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1,000,000,000.00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4,600,000,000.00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-78.26</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拆入资金及转融通业务融入资金减少</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衍生金融负债</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3,528,695,735.73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849,865,227.37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315.21</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衍生金融负债增加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代理买卖证券款</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112,387,975,548.73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50,650,100,104.14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121.89</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客户交易结算资金余额增加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代理承销证券款</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70,000,000.00 </w:t>
                    </w:r>
                  </w:p>
                </w:tc>
                <w:tc>
                  <w:tcPr>
                    <w:tcW w:w="950" w:type="pct"/>
                    <w:shd w:val="clear" w:color="auto" w:fill="auto"/>
                    <w:noWrap/>
                    <w:tcMar>
                      <w:left w:w="57" w:type="dxa"/>
                      <w:right w:w="57" w:type="dxa"/>
                    </w:tcMar>
                    <w:vAlign w:val="center"/>
                    <w:hideMark/>
                  </w:tcPr>
                  <w:p w:rsidR="00386400" w:rsidRPr="00313BF7" w:rsidRDefault="00863374" w:rsidP="00A92A3D">
                    <w:pPr>
                      <w:jc w:val="right"/>
                      <w:rPr>
                        <w:color w:val="000000"/>
                        <w:sz w:val="20"/>
                      </w:rPr>
                    </w:pPr>
                    <w:r w:rsidRPr="00956B5E">
                      <w:rPr>
                        <w:rFonts w:hint="eastAsia"/>
                        <w:szCs w:val="21"/>
                      </w:rPr>
                      <w:t>—</w:t>
                    </w:r>
                  </w:p>
                </w:tc>
                <w:tc>
                  <w:tcPr>
                    <w:tcW w:w="475" w:type="pct"/>
                    <w:shd w:val="clear" w:color="auto" w:fill="auto"/>
                    <w:noWrap/>
                    <w:tcMar>
                      <w:left w:w="57" w:type="dxa"/>
                      <w:right w:w="57" w:type="dxa"/>
                    </w:tcMar>
                    <w:vAlign w:val="center"/>
                    <w:hideMark/>
                  </w:tcPr>
                  <w:p w:rsidR="00386400" w:rsidRPr="00313BF7" w:rsidRDefault="00863374" w:rsidP="00A92A3D">
                    <w:pPr>
                      <w:jc w:val="right"/>
                      <w:rPr>
                        <w:color w:val="000000"/>
                        <w:sz w:val="20"/>
                      </w:rPr>
                    </w:pPr>
                    <w:r w:rsidRPr="00956B5E">
                      <w:rPr>
                        <w:rFonts w:hint="eastAsia"/>
                        <w:szCs w:val="21"/>
                      </w:rPr>
                      <w:t>—</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客户非公开发行款项</w:t>
                    </w:r>
                  </w:p>
                </w:tc>
              </w:tr>
              <w:tr w:rsidR="00386400" w:rsidRPr="005A3F71" w:rsidTr="00DD407B">
                <w:trPr>
                  <w:trHeight w:hRule="exact" w:val="896"/>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信用交易代理买卖证券款</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21,149,176,358.85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7,044,122,574.21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200.24</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信用客户交易结算资金余额增加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应付职工薪酬</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5,454,105,186.10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1,856,345,000.00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193.81</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应付职工薪酬余额增加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应交税费</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1,379,687,019.69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547,195,071.78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152.14</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应交企业所得税及营业税增加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应付款项</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921440">
                      <w:rPr>
                        <w:color w:val="000000"/>
                        <w:sz w:val="20"/>
                      </w:rPr>
                      <w:t>8</w:t>
                    </w:r>
                    <w:r>
                      <w:rPr>
                        <w:rFonts w:hint="eastAsia"/>
                        <w:color w:val="000000"/>
                        <w:sz w:val="20"/>
                      </w:rPr>
                      <w:t>,</w:t>
                    </w:r>
                    <w:r w:rsidRPr="00921440">
                      <w:rPr>
                        <w:color w:val="000000"/>
                        <w:sz w:val="20"/>
                      </w:rPr>
                      <w:t>952</w:t>
                    </w:r>
                    <w:r>
                      <w:rPr>
                        <w:rFonts w:hint="eastAsia"/>
                        <w:color w:val="000000"/>
                        <w:sz w:val="20"/>
                      </w:rPr>
                      <w:t>,</w:t>
                    </w:r>
                    <w:r w:rsidRPr="00921440">
                      <w:rPr>
                        <w:color w:val="000000"/>
                        <w:sz w:val="20"/>
                      </w:rPr>
                      <w:t>572</w:t>
                    </w:r>
                    <w:r>
                      <w:rPr>
                        <w:rFonts w:hint="eastAsia"/>
                        <w:color w:val="000000"/>
                        <w:sz w:val="20"/>
                      </w:rPr>
                      <w:t>,</w:t>
                    </w:r>
                    <w:r w:rsidRPr="00921440">
                      <w:rPr>
                        <w:color w:val="000000"/>
                        <w:sz w:val="20"/>
                      </w:rPr>
                      <w:t>889.75</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921440">
                      <w:rPr>
                        <w:color w:val="000000"/>
                        <w:sz w:val="20"/>
                      </w:rPr>
                      <w:t>6</w:t>
                    </w:r>
                    <w:r>
                      <w:rPr>
                        <w:rFonts w:hint="eastAsia"/>
                        <w:color w:val="000000"/>
                        <w:sz w:val="20"/>
                      </w:rPr>
                      <w:t>,</w:t>
                    </w:r>
                    <w:r w:rsidRPr="00921440">
                      <w:rPr>
                        <w:color w:val="000000"/>
                        <w:sz w:val="20"/>
                      </w:rPr>
                      <w:t>433</w:t>
                    </w:r>
                    <w:r>
                      <w:rPr>
                        <w:rFonts w:hint="eastAsia"/>
                        <w:color w:val="000000"/>
                        <w:sz w:val="20"/>
                      </w:rPr>
                      <w:t>,</w:t>
                    </w:r>
                    <w:r w:rsidRPr="00921440">
                      <w:rPr>
                        <w:color w:val="000000"/>
                        <w:sz w:val="20"/>
                      </w:rPr>
                      <w:t>395</w:t>
                    </w:r>
                    <w:r>
                      <w:rPr>
                        <w:rFonts w:hint="eastAsia"/>
                        <w:color w:val="000000"/>
                        <w:sz w:val="20"/>
                      </w:rPr>
                      <w:t>,</w:t>
                    </w:r>
                    <w:r w:rsidRPr="00921440">
                      <w:rPr>
                        <w:color w:val="000000"/>
                        <w:sz w:val="20"/>
                      </w:rPr>
                      <w:t>464.16</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Pr>
                        <w:rFonts w:hint="eastAsia"/>
                        <w:color w:val="000000"/>
                        <w:sz w:val="20"/>
                      </w:rPr>
                      <w:t>39.16</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应付客户保证金增加</w:t>
                    </w:r>
                  </w:p>
                </w:tc>
              </w:tr>
              <w:tr w:rsidR="00386400" w:rsidRPr="005A3F71" w:rsidTr="00D361AF">
                <w:trPr>
                  <w:trHeight w:val="381"/>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应付利息</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1,322,059,383.22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570,963,712.93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131.55</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应付次级债券及短期融资款利息增加</w:t>
                    </w:r>
                  </w:p>
                </w:tc>
              </w:tr>
              <w:tr w:rsidR="00386400" w:rsidRPr="005A3F71" w:rsidTr="00D361AF">
                <w:trPr>
                  <w:trHeight w:val="381"/>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长期借款</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399,927,970.82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295,495,755.48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35.34</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招商证券大厦建设借款增加</w:t>
                    </w:r>
                  </w:p>
                </w:tc>
              </w:tr>
              <w:tr w:rsidR="00386400" w:rsidRPr="005A3F71" w:rsidTr="008F7070">
                <w:trPr>
                  <w:trHeight w:hRule="exact" w:val="492"/>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应付债券</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50,458,367,066.70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9,982,485,805.80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405.47</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应付次级债及公司债增加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长期应付职工薪酬</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787,540,000.00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1,813,598,899.06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-56.58</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长期应付职工薪酬余额减少</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递延所得税负债</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1,114,433,173.58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359,672,716.44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209.85</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应纳税暂时性差异增加</w:t>
                    </w:r>
                  </w:p>
                </w:tc>
              </w:tr>
              <w:tr w:rsidR="00386400" w:rsidRPr="005A3F71" w:rsidTr="008F7070">
                <w:trPr>
                  <w:trHeight w:hRule="exact" w:val="485"/>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其他综合收益</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443,719,998.58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-14,644,207.44 </w:t>
                    </w:r>
                  </w:p>
                </w:tc>
                <w:tc>
                  <w:tcPr>
                    <w:tcW w:w="475" w:type="pct"/>
                    <w:shd w:val="clear" w:color="auto" w:fill="auto"/>
                    <w:noWrap/>
                    <w:tcMar>
                      <w:left w:w="57" w:type="dxa"/>
                      <w:right w:w="57" w:type="dxa"/>
                    </w:tcMar>
                    <w:vAlign w:val="center"/>
                    <w:hideMark/>
                  </w:tcPr>
                  <w:p w:rsidR="00386400" w:rsidRPr="00313BF7" w:rsidRDefault="00863374" w:rsidP="00A92A3D">
                    <w:pPr>
                      <w:jc w:val="right"/>
                      <w:rPr>
                        <w:color w:val="000000"/>
                        <w:sz w:val="20"/>
                      </w:rPr>
                    </w:pPr>
                    <w:r w:rsidRPr="00956B5E">
                      <w:rPr>
                        <w:rFonts w:hint="eastAsia"/>
                        <w:szCs w:val="21"/>
                      </w:rPr>
                      <w:t>—</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可供出售金融资产公允价值变动</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未分配利润</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15,043,571,734.74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9,268,062,186.17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62.32</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本期净利润增加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少数股东权益</w:t>
                    </w:r>
                  </w:p>
                </w:tc>
                <w:tc>
                  <w:tcPr>
                    <w:tcW w:w="951"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87,489,355.11 </w:t>
                    </w:r>
                  </w:p>
                </w:tc>
                <w:tc>
                  <w:tcPr>
                    <w:tcW w:w="950"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 xml:space="preserve">58,911,510.28 </w:t>
                    </w:r>
                  </w:p>
                </w:tc>
                <w:tc>
                  <w:tcPr>
                    <w:tcW w:w="475" w:type="pct"/>
                    <w:shd w:val="clear" w:color="auto" w:fill="auto"/>
                    <w:noWrap/>
                    <w:tcMar>
                      <w:left w:w="57" w:type="dxa"/>
                      <w:right w:w="57" w:type="dxa"/>
                    </w:tcMar>
                    <w:vAlign w:val="center"/>
                    <w:hideMark/>
                  </w:tcPr>
                  <w:p w:rsidR="00386400" w:rsidRPr="00313BF7" w:rsidRDefault="00386400" w:rsidP="00A92A3D">
                    <w:pPr>
                      <w:jc w:val="right"/>
                      <w:rPr>
                        <w:color w:val="000000"/>
                        <w:sz w:val="20"/>
                      </w:rPr>
                    </w:pPr>
                    <w:r w:rsidRPr="00313BF7">
                      <w:rPr>
                        <w:rFonts w:hint="eastAsia"/>
                        <w:color w:val="000000"/>
                        <w:sz w:val="20"/>
                      </w:rPr>
                      <w:t>48.51</w:t>
                    </w:r>
                  </w:p>
                </w:tc>
                <w:tc>
                  <w:tcPr>
                    <w:tcW w:w="1628" w:type="pct"/>
                    <w:shd w:val="clear" w:color="auto" w:fill="auto"/>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本期少数股东损益增加</w:t>
                    </w:r>
                  </w:p>
                </w:tc>
              </w:tr>
              <w:tr w:rsidR="00386400" w:rsidRPr="005A3F71" w:rsidTr="00D361AF">
                <w:trPr>
                  <w:trHeight w:hRule="exact" w:val="739"/>
                  <w:jc w:val="center"/>
                </w:trPr>
                <w:tc>
                  <w:tcPr>
                    <w:tcW w:w="996" w:type="pct"/>
                    <w:shd w:val="clear" w:color="auto" w:fill="auto"/>
                    <w:noWrap/>
                    <w:vAlign w:val="center"/>
                    <w:hideMark/>
                  </w:tcPr>
                  <w:p w:rsidR="00386400" w:rsidRPr="00E64A48" w:rsidRDefault="00386400" w:rsidP="00A92A3D">
                    <w:pPr>
                      <w:spacing w:line="360" w:lineRule="exact"/>
                      <w:jc w:val="center"/>
                      <w:rPr>
                        <w:b/>
                        <w:bCs/>
                        <w:color w:val="000000"/>
                        <w:sz w:val="20"/>
                      </w:rPr>
                    </w:pPr>
                    <w:r w:rsidRPr="00E64A48">
                      <w:rPr>
                        <w:rFonts w:hint="eastAsia"/>
                        <w:b/>
                        <w:bCs/>
                        <w:color w:val="000000"/>
                        <w:sz w:val="20"/>
                      </w:rPr>
                      <w:lastRenderedPageBreak/>
                      <w:t>项目</w:t>
                    </w:r>
                  </w:p>
                </w:tc>
                <w:tc>
                  <w:tcPr>
                    <w:tcW w:w="951" w:type="pct"/>
                    <w:shd w:val="clear" w:color="auto" w:fill="auto"/>
                    <w:noWrap/>
                    <w:tcMar>
                      <w:left w:w="57" w:type="dxa"/>
                      <w:right w:w="57" w:type="dxa"/>
                    </w:tcMar>
                    <w:vAlign w:val="center"/>
                    <w:hideMark/>
                  </w:tcPr>
                  <w:p w:rsidR="00386400" w:rsidRPr="00E64A48" w:rsidRDefault="00386400" w:rsidP="00A92A3D">
                    <w:pPr>
                      <w:spacing w:line="360" w:lineRule="exact"/>
                      <w:jc w:val="center"/>
                      <w:rPr>
                        <w:b/>
                        <w:bCs/>
                        <w:color w:val="000000"/>
                        <w:sz w:val="20"/>
                      </w:rPr>
                    </w:pPr>
                    <w:r w:rsidRPr="00E64A48">
                      <w:rPr>
                        <w:rFonts w:hint="eastAsia"/>
                        <w:b/>
                        <w:bCs/>
                        <w:color w:val="000000"/>
                        <w:sz w:val="20"/>
                      </w:rPr>
                      <w:t>201</w:t>
                    </w:r>
                    <w:r>
                      <w:rPr>
                        <w:rFonts w:hint="eastAsia"/>
                        <w:b/>
                        <w:bCs/>
                        <w:color w:val="000000"/>
                        <w:sz w:val="20"/>
                      </w:rPr>
                      <w:t>5</w:t>
                    </w:r>
                    <w:r w:rsidRPr="00E64A48">
                      <w:rPr>
                        <w:rFonts w:hint="eastAsia"/>
                        <w:b/>
                        <w:bCs/>
                        <w:color w:val="000000"/>
                        <w:sz w:val="20"/>
                      </w:rPr>
                      <w:t>年1-6月</w:t>
                    </w:r>
                  </w:p>
                </w:tc>
                <w:tc>
                  <w:tcPr>
                    <w:tcW w:w="950" w:type="pct"/>
                    <w:shd w:val="clear" w:color="auto" w:fill="auto"/>
                    <w:noWrap/>
                    <w:tcMar>
                      <w:left w:w="57" w:type="dxa"/>
                      <w:right w:w="57" w:type="dxa"/>
                    </w:tcMar>
                    <w:vAlign w:val="center"/>
                    <w:hideMark/>
                  </w:tcPr>
                  <w:p w:rsidR="00386400" w:rsidRPr="00F64422" w:rsidRDefault="00386400" w:rsidP="00A92A3D">
                    <w:pPr>
                      <w:spacing w:line="360" w:lineRule="exact"/>
                      <w:jc w:val="center"/>
                      <w:rPr>
                        <w:b/>
                        <w:bCs/>
                        <w:color w:val="000000"/>
                        <w:sz w:val="20"/>
                      </w:rPr>
                    </w:pPr>
                    <w:r w:rsidRPr="00F64422">
                      <w:rPr>
                        <w:rFonts w:hint="eastAsia"/>
                        <w:b/>
                        <w:bCs/>
                        <w:color w:val="000000"/>
                        <w:sz w:val="20"/>
                      </w:rPr>
                      <w:t>2014年1-6月</w:t>
                    </w:r>
                  </w:p>
                </w:tc>
                <w:tc>
                  <w:tcPr>
                    <w:tcW w:w="475" w:type="pct"/>
                    <w:shd w:val="clear" w:color="auto" w:fill="auto"/>
                    <w:noWrap/>
                    <w:tcMar>
                      <w:left w:w="57" w:type="dxa"/>
                      <w:right w:w="57" w:type="dxa"/>
                    </w:tcMar>
                    <w:vAlign w:val="center"/>
                    <w:hideMark/>
                  </w:tcPr>
                  <w:p w:rsidR="00386400" w:rsidRPr="00F64422" w:rsidRDefault="00386400" w:rsidP="00A92A3D">
                    <w:pPr>
                      <w:spacing w:line="360" w:lineRule="exact"/>
                      <w:jc w:val="center"/>
                      <w:rPr>
                        <w:b/>
                        <w:bCs/>
                        <w:color w:val="000000"/>
                        <w:sz w:val="20"/>
                      </w:rPr>
                    </w:pPr>
                    <w:r w:rsidRPr="00F64422">
                      <w:rPr>
                        <w:rFonts w:hint="eastAsia"/>
                        <w:b/>
                        <w:bCs/>
                        <w:color w:val="000000"/>
                        <w:sz w:val="20"/>
                      </w:rPr>
                      <w:t>增减幅度（%）</w:t>
                    </w:r>
                  </w:p>
                </w:tc>
                <w:tc>
                  <w:tcPr>
                    <w:tcW w:w="1628" w:type="pct"/>
                    <w:shd w:val="clear" w:color="auto" w:fill="auto"/>
                    <w:tcMar>
                      <w:left w:w="57" w:type="dxa"/>
                      <w:right w:w="57" w:type="dxa"/>
                    </w:tcMar>
                    <w:vAlign w:val="center"/>
                    <w:hideMark/>
                  </w:tcPr>
                  <w:p w:rsidR="00386400" w:rsidRPr="00F64422" w:rsidRDefault="00386400" w:rsidP="00F64422">
                    <w:pPr>
                      <w:spacing w:line="360" w:lineRule="exact"/>
                      <w:jc w:val="center"/>
                      <w:rPr>
                        <w:b/>
                        <w:sz w:val="20"/>
                      </w:rPr>
                    </w:pPr>
                    <w:r w:rsidRPr="00F64422">
                      <w:rPr>
                        <w:rFonts w:hint="eastAsia"/>
                        <w:b/>
                        <w:sz w:val="20"/>
                      </w:rPr>
                      <w:t>主要变动原因</w:t>
                    </w:r>
                  </w:p>
                </w:tc>
              </w:tr>
              <w:tr w:rsidR="00386400" w:rsidRPr="005A3F71" w:rsidTr="002F2141">
                <w:trPr>
                  <w:trHeight w:hRule="exact" w:val="884"/>
                  <w:jc w:val="center"/>
                </w:trPr>
                <w:tc>
                  <w:tcPr>
                    <w:tcW w:w="996" w:type="pct"/>
                    <w:shd w:val="clear" w:color="auto" w:fill="auto"/>
                    <w:noWrap/>
                    <w:vAlign w:val="center"/>
                    <w:hideMark/>
                  </w:tcPr>
                  <w:p w:rsidR="00386400" w:rsidRPr="005A3F71" w:rsidRDefault="00386400" w:rsidP="0057186E">
                    <w:pPr>
                      <w:spacing w:line="360" w:lineRule="exact"/>
                      <w:rPr>
                        <w:sz w:val="20"/>
                      </w:rPr>
                    </w:pPr>
                    <w:r w:rsidRPr="005A3F71">
                      <w:rPr>
                        <w:rFonts w:hint="eastAsia"/>
                        <w:sz w:val="20"/>
                      </w:rPr>
                      <w:t>手续费</w:t>
                    </w:r>
                    <w:r w:rsidR="0057186E">
                      <w:rPr>
                        <w:rFonts w:hint="eastAsia"/>
                        <w:sz w:val="20"/>
                      </w:rPr>
                      <w:t>及佣金</w:t>
                    </w:r>
                    <w:r w:rsidR="001C6693">
                      <w:rPr>
                        <w:rFonts w:hint="eastAsia"/>
                        <w:sz w:val="20"/>
                      </w:rPr>
                      <w:t>净</w:t>
                    </w:r>
                    <w:r w:rsidR="0057186E">
                      <w:rPr>
                        <w:rFonts w:hint="eastAsia"/>
                        <w:sz w:val="20"/>
                      </w:rPr>
                      <w:t>收入</w:t>
                    </w:r>
                  </w:p>
                </w:tc>
                <w:tc>
                  <w:tcPr>
                    <w:tcW w:w="951" w:type="pct"/>
                    <w:shd w:val="clear" w:color="auto" w:fill="auto"/>
                    <w:noWrap/>
                    <w:tcMar>
                      <w:left w:w="57" w:type="dxa"/>
                      <w:right w:w="57" w:type="dxa"/>
                    </w:tcMar>
                    <w:vAlign w:val="center"/>
                    <w:hideMark/>
                  </w:tcPr>
                  <w:p w:rsidR="00386400" w:rsidRPr="00DA0464" w:rsidRDefault="002F2141" w:rsidP="00A92A3D">
                    <w:pPr>
                      <w:jc w:val="right"/>
                      <w:rPr>
                        <w:color w:val="000000"/>
                        <w:sz w:val="20"/>
                      </w:rPr>
                    </w:pPr>
                    <w:r w:rsidRPr="002F2141">
                      <w:rPr>
                        <w:color w:val="000000"/>
                        <w:sz w:val="20"/>
                      </w:rPr>
                      <w:t>8,870,243,889.98</w:t>
                    </w:r>
                  </w:p>
                </w:tc>
                <w:tc>
                  <w:tcPr>
                    <w:tcW w:w="950" w:type="pct"/>
                    <w:shd w:val="clear" w:color="auto" w:fill="auto"/>
                    <w:noWrap/>
                    <w:tcMar>
                      <w:left w:w="57" w:type="dxa"/>
                      <w:right w:w="57" w:type="dxa"/>
                    </w:tcMar>
                    <w:vAlign w:val="center"/>
                    <w:hideMark/>
                  </w:tcPr>
                  <w:p w:rsidR="00386400" w:rsidRPr="00DA0464" w:rsidRDefault="002F2141" w:rsidP="00A92A3D">
                    <w:pPr>
                      <w:jc w:val="right"/>
                      <w:rPr>
                        <w:color w:val="000000"/>
                        <w:sz w:val="20"/>
                      </w:rPr>
                    </w:pPr>
                    <w:r w:rsidRPr="002F2141">
                      <w:rPr>
                        <w:color w:val="000000"/>
                        <w:sz w:val="20"/>
                      </w:rPr>
                      <w:t>1,873,742,868.92</w:t>
                    </w:r>
                  </w:p>
                </w:tc>
                <w:tc>
                  <w:tcPr>
                    <w:tcW w:w="475" w:type="pct"/>
                    <w:shd w:val="clear" w:color="auto" w:fill="auto"/>
                    <w:noWrap/>
                    <w:tcMar>
                      <w:left w:w="57" w:type="dxa"/>
                      <w:right w:w="57" w:type="dxa"/>
                    </w:tcMar>
                    <w:vAlign w:val="center"/>
                    <w:hideMark/>
                  </w:tcPr>
                  <w:p w:rsidR="00386400" w:rsidRPr="00DA0464" w:rsidRDefault="002F2141" w:rsidP="00A92A3D">
                    <w:pPr>
                      <w:jc w:val="right"/>
                      <w:rPr>
                        <w:color w:val="000000"/>
                        <w:sz w:val="20"/>
                      </w:rPr>
                    </w:pPr>
                    <w:r w:rsidRPr="002F2141">
                      <w:rPr>
                        <w:color w:val="000000"/>
                        <w:sz w:val="20"/>
                      </w:rPr>
                      <w:t>373.40</w:t>
                    </w:r>
                  </w:p>
                </w:tc>
                <w:tc>
                  <w:tcPr>
                    <w:tcW w:w="1628" w:type="pct"/>
                    <w:shd w:val="clear" w:color="auto" w:fill="auto"/>
                    <w:noWrap/>
                    <w:tcMar>
                      <w:left w:w="57" w:type="dxa"/>
                      <w:right w:w="57" w:type="dxa"/>
                    </w:tcMar>
                    <w:vAlign w:val="center"/>
                    <w:hideMark/>
                  </w:tcPr>
                  <w:p w:rsidR="002F2141" w:rsidRPr="002F2141" w:rsidRDefault="002F2141" w:rsidP="002F2141">
                    <w:pPr>
                      <w:spacing w:line="360" w:lineRule="exact"/>
                      <w:rPr>
                        <w:sz w:val="20"/>
                      </w:rPr>
                    </w:pPr>
                    <w:r w:rsidRPr="002F2141">
                      <w:rPr>
                        <w:sz w:val="20"/>
                      </w:rPr>
                      <w:t>经纪业务、投资银行业务及资产管理业务手续费净收入增加</w:t>
                    </w:r>
                  </w:p>
                  <w:p w:rsidR="00386400" w:rsidRPr="002F2141" w:rsidRDefault="00386400" w:rsidP="002F2141">
                    <w:pPr>
                      <w:spacing w:line="360" w:lineRule="exact"/>
                      <w:rPr>
                        <w:sz w:val="20"/>
                      </w:rPr>
                    </w:pP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利息净收入</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1,937,657,350.06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765,157,611.85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153.24</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融资融券利息收入增加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投资收益</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2,441,263,768.69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1,017,026,714.22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140.04</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金融工具投资收益增加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公允价值变动收益</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2,605,096,467.83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-54,725,216.11 </w:t>
                    </w:r>
                  </w:p>
                </w:tc>
                <w:tc>
                  <w:tcPr>
                    <w:tcW w:w="475" w:type="pct"/>
                    <w:shd w:val="clear" w:color="auto" w:fill="auto"/>
                    <w:noWrap/>
                    <w:tcMar>
                      <w:left w:w="57" w:type="dxa"/>
                      <w:right w:w="57" w:type="dxa"/>
                    </w:tcMar>
                    <w:vAlign w:val="center"/>
                    <w:hideMark/>
                  </w:tcPr>
                  <w:p w:rsidR="00386400" w:rsidRPr="00DA0464" w:rsidRDefault="00863374" w:rsidP="00A92A3D">
                    <w:pPr>
                      <w:jc w:val="right"/>
                      <w:rPr>
                        <w:color w:val="000000"/>
                        <w:sz w:val="20"/>
                      </w:rPr>
                    </w:pPr>
                    <w:r w:rsidRPr="00956B5E">
                      <w:rPr>
                        <w:rFonts w:hint="eastAsia"/>
                        <w:szCs w:val="21"/>
                      </w:rPr>
                      <w:t>—</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金融工具公允价值变动</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汇兑收益</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1,267,465.80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-5,484,786.47 </w:t>
                    </w:r>
                  </w:p>
                </w:tc>
                <w:tc>
                  <w:tcPr>
                    <w:tcW w:w="475" w:type="pct"/>
                    <w:shd w:val="clear" w:color="auto" w:fill="auto"/>
                    <w:noWrap/>
                    <w:tcMar>
                      <w:left w:w="57" w:type="dxa"/>
                      <w:right w:w="57" w:type="dxa"/>
                    </w:tcMar>
                    <w:vAlign w:val="center"/>
                    <w:hideMark/>
                  </w:tcPr>
                  <w:p w:rsidR="00386400" w:rsidRPr="00DA0464" w:rsidRDefault="00863374" w:rsidP="00A92A3D">
                    <w:pPr>
                      <w:jc w:val="right"/>
                      <w:rPr>
                        <w:color w:val="000000"/>
                        <w:sz w:val="20"/>
                      </w:rPr>
                    </w:pPr>
                    <w:r w:rsidRPr="00956B5E">
                      <w:rPr>
                        <w:rFonts w:hint="eastAsia"/>
                        <w:szCs w:val="21"/>
                      </w:rPr>
                      <w:t>—</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汇率变化</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营业税金及附加</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957,297,639.85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208,498,799.98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359.14</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应纳营业税额增加</w:t>
                    </w:r>
                  </w:p>
                </w:tc>
              </w:tr>
              <w:tr w:rsidR="00386400" w:rsidRPr="005A3F71" w:rsidTr="00D361AF">
                <w:trPr>
                  <w:trHeight w:hRule="exact" w:val="1468"/>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业务及管理费</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5,602,727,723.10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1,709,166,190.21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227.80</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收入增长带动相关变动成本增加及公司业务规模增长导致的运营类成本增加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资产减值损失</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-4,409,462.97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2,341,463.79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-288.32</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计提的坏账准备变动</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营业外收入</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27,498,294.15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4,076,269.38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574.59</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营业外收入增加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营业外支出</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3,745,384.33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113,002.58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3</w:t>
                    </w:r>
                    <w:r w:rsidR="004C249F">
                      <w:rPr>
                        <w:rFonts w:hint="eastAsia"/>
                        <w:color w:val="000000"/>
                        <w:sz w:val="20"/>
                      </w:rPr>
                      <w:t>,</w:t>
                    </w:r>
                    <w:r w:rsidRPr="00DA0464">
                      <w:rPr>
                        <w:rFonts w:hint="eastAsia"/>
                        <w:color w:val="000000"/>
                        <w:sz w:val="20"/>
                      </w:rPr>
                      <w:t>214.42</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营业外支出增加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所得税费用</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1,996,090,206.34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320,181,310.88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523.42</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应纳税所得额增加</w:t>
                    </w:r>
                  </w:p>
                </w:tc>
              </w:tr>
              <w:tr w:rsidR="00386400" w:rsidRPr="005A3F71" w:rsidTr="00D361AF">
                <w:trPr>
                  <w:trHeight w:hRule="exact" w:val="467"/>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少数股东损益</w:t>
                    </w:r>
                  </w:p>
                </w:tc>
                <w:tc>
                  <w:tcPr>
                    <w:tcW w:w="951" w:type="pct"/>
                    <w:shd w:val="clear" w:color="auto" w:fill="auto"/>
                    <w:noWrap/>
                    <w:tcMar>
                      <w:left w:w="57" w:type="dxa"/>
                      <w:right w:w="57" w:type="dxa"/>
                    </w:tcMar>
                    <w:vAlign w:val="center"/>
                    <w:hideMark/>
                  </w:tcPr>
                  <w:p w:rsidR="00386400" w:rsidRPr="00966757" w:rsidRDefault="00386400" w:rsidP="00A92A3D">
                    <w:pPr>
                      <w:jc w:val="right"/>
                      <w:rPr>
                        <w:color w:val="000000"/>
                        <w:sz w:val="20"/>
                      </w:rPr>
                    </w:pPr>
                    <w:r w:rsidRPr="00966757">
                      <w:rPr>
                        <w:rFonts w:hint="eastAsia"/>
                        <w:color w:val="000000"/>
                        <w:sz w:val="20"/>
                      </w:rPr>
                      <w:t xml:space="preserve">20,462,844.83 </w:t>
                    </w:r>
                  </w:p>
                </w:tc>
                <w:tc>
                  <w:tcPr>
                    <w:tcW w:w="950" w:type="pct"/>
                    <w:shd w:val="clear" w:color="auto" w:fill="auto"/>
                    <w:noWrap/>
                    <w:tcMar>
                      <w:left w:w="57" w:type="dxa"/>
                      <w:right w:w="57" w:type="dxa"/>
                    </w:tcMar>
                    <w:vAlign w:val="center"/>
                    <w:hideMark/>
                  </w:tcPr>
                  <w:p w:rsidR="00386400" w:rsidRPr="00966757" w:rsidRDefault="00386400" w:rsidP="00A92A3D">
                    <w:pPr>
                      <w:jc w:val="right"/>
                      <w:rPr>
                        <w:color w:val="000000"/>
                        <w:sz w:val="20"/>
                      </w:rPr>
                    </w:pPr>
                    <w:r w:rsidRPr="00966757">
                      <w:rPr>
                        <w:rFonts w:hint="eastAsia"/>
                        <w:color w:val="000000"/>
                        <w:sz w:val="20"/>
                      </w:rPr>
                      <w:t xml:space="preserve">1,906,025.56 </w:t>
                    </w:r>
                  </w:p>
                </w:tc>
                <w:tc>
                  <w:tcPr>
                    <w:tcW w:w="475" w:type="pct"/>
                    <w:shd w:val="clear" w:color="auto" w:fill="auto"/>
                    <w:noWrap/>
                    <w:tcMar>
                      <w:left w:w="57" w:type="dxa"/>
                      <w:right w:w="57" w:type="dxa"/>
                    </w:tcMar>
                    <w:vAlign w:val="center"/>
                    <w:hideMark/>
                  </w:tcPr>
                  <w:p w:rsidR="00386400" w:rsidRPr="00966757" w:rsidRDefault="00386400" w:rsidP="00A92A3D">
                    <w:pPr>
                      <w:jc w:val="right"/>
                      <w:rPr>
                        <w:color w:val="000000"/>
                        <w:sz w:val="20"/>
                      </w:rPr>
                    </w:pPr>
                    <w:r w:rsidRPr="00966757">
                      <w:rPr>
                        <w:rFonts w:hint="eastAsia"/>
                        <w:color w:val="000000"/>
                        <w:sz w:val="20"/>
                      </w:rPr>
                      <w:t>973.59</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少数股东损益增加</w:t>
                    </w:r>
                  </w:p>
                </w:tc>
              </w:tr>
              <w:tr w:rsidR="00386400" w:rsidRPr="005A3F71" w:rsidTr="00230528">
                <w:trPr>
                  <w:trHeight w:hRule="exact" w:val="754"/>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其他综合收益的税后净额</w:t>
                    </w:r>
                  </w:p>
                </w:tc>
                <w:tc>
                  <w:tcPr>
                    <w:tcW w:w="951"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458,364,206.02 </w:t>
                    </w:r>
                  </w:p>
                </w:tc>
                <w:tc>
                  <w:tcPr>
                    <w:tcW w:w="950"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 xml:space="preserve">265,268,696.19 </w:t>
                    </w:r>
                  </w:p>
                </w:tc>
                <w:tc>
                  <w:tcPr>
                    <w:tcW w:w="475" w:type="pct"/>
                    <w:shd w:val="clear" w:color="auto" w:fill="auto"/>
                    <w:noWrap/>
                    <w:tcMar>
                      <w:left w:w="57" w:type="dxa"/>
                      <w:right w:w="57" w:type="dxa"/>
                    </w:tcMar>
                    <w:vAlign w:val="center"/>
                    <w:hideMark/>
                  </w:tcPr>
                  <w:p w:rsidR="00386400" w:rsidRPr="00DA0464" w:rsidRDefault="00386400" w:rsidP="00A92A3D">
                    <w:pPr>
                      <w:jc w:val="right"/>
                      <w:rPr>
                        <w:color w:val="000000"/>
                        <w:sz w:val="20"/>
                      </w:rPr>
                    </w:pPr>
                    <w:r w:rsidRPr="00DA0464">
                      <w:rPr>
                        <w:rFonts w:hint="eastAsia"/>
                        <w:color w:val="000000"/>
                        <w:sz w:val="20"/>
                      </w:rPr>
                      <w:t>72.79</w:t>
                    </w:r>
                  </w:p>
                </w:tc>
                <w:tc>
                  <w:tcPr>
                    <w:tcW w:w="1628" w:type="pct"/>
                    <w:shd w:val="clear" w:color="auto" w:fill="auto"/>
                    <w:noWrap/>
                    <w:tcMar>
                      <w:left w:w="57" w:type="dxa"/>
                      <w:right w:w="57" w:type="dxa"/>
                    </w:tcMar>
                    <w:vAlign w:val="center"/>
                    <w:hideMark/>
                  </w:tcPr>
                  <w:p w:rsidR="00386400" w:rsidRPr="005A3F71" w:rsidRDefault="00386400" w:rsidP="00A92A3D">
                    <w:pPr>
                      <w:spacing w:line="360" w:lineRule="exact"/>
                      <w:rPr>
                        <w:sz w:val="20"/>
                      </w:rPr>
                    </w:pPr>
                    <w:r w:rsidRPr="005A3F71">
                      <w:rPr>
                        <w:rFonts w:hint="eastAsia"/>
                        <w:sz w:val="20"/>
                      </w:rPr>
                      <w:t>可供出售金融资产公允价值变动</w:t>
                    </w:r>
                  </w:p>
                </w:tc>
              </w:tr>
              <w:tr w:rsidR="00386400" w:rsidRPr="002F3EB7" w:rsidTr="00D361AF">
                <w:trPr>
                  <w:trHeight w:val="849"/>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 xml:space="preserve">经营活动产生的现金流量净额 </w:t>
                    </w:r>
                  </w:p>
                </w:tc>
                <w:tc>
                  <w:tcPr>
                    <w:tcW w:w="951" w:type="pct"/>
                    <w:shd w:val="clear" w:color="auto" w:fill="auto"/>
                    <w:noWrap/>
                    <w:tcMar>
                      <w:left w:w="57" w:type="dxa"/>
                      <w:right w:w="57" w:type="dxa"/>
                    </w:tcMar>
                    <w:vAlign w:val="center"/>
                    <w:hideMark/>
                  </w:tcPr>
                  <w:p w:rsidR="00386400" w:rsidRPr="003B3D34" w:rsidRDefault="00386400" w:rsidP="00A92A3D">
                    <w:pPr>
                      <w:jc w:val="right"/>
                      <w:rPr>
                        <w:color w:val="000000"/>
                        <w:sz w:val="20"/>
                      </w:rPr>
                    </w:pPr>
                    <w:r w:rsidRPr="003B3D34">
                      <w:rPr>
                        <w:color w:val="000000"/>
                        <w:sz w:val="20"/>
                      </w:rPr>
                      <w:t>13</w:t>
                    </w:r>
                    <w:r w:rsidRPr="003B3D34">
                      <w:rPr>
                        <w:rFonts w:hint="eastAsia"/>
                        <w:color w:val="000000"/>
                        <w:sz w:val="20"/>
                      </w:rPr>
                      <w:t>,</w:t>
                    </w:r>
                    <w:r w:rsidRPr="003B3D34">
                      <w:rPr>
                        <w:color w:val="000000"/>
                        <w:sz w:val="20"/>
                      </w:rPr>
                      <w:t>969</w:t>
                    </w:r>
                    <w:r w:rsidRPr="003B3D34">
                      <w:rPr>
                        <w:rFonts w:hint="eastAsia"/>
                        <w:color w:val="000000"/>
                        <w:sz w:val="20"/>
                      </w:rPr>
                      <w:t>,</w:t>
                    </w:r>
                    <w:r w:rsidRPr="003B3D34">
                      <w:rPr>
                        <w:color w:val="000000"/>
                        <w:sz w:val="20"/>
                      </w:rPr>
                      <w:t>638</w:t>
                    </w:r>
                    <w:r w:rsidRPr="003B3D34">
                      <w:rPr>
                        <w:rFonts w:hint="eastAsia"/>
                        <w:color w:val="000000"/>
                        <w:sz w:val="20"/>
                      </w:rPr>
                      <w:t>,</w:t>
                    </w:r>
                    <w:r w:rsidRPr="003B3D34">
                      <w:rPr>
                        <w:color w:val="000000"/>
                        <w:sz w:val="20"/>
                      </w:rPr>
                      <w:t>812.19</w:t>
                    </w:r>
                  </w:p>
                </w:tc>
                <w:tc>
                  <w:tcPr>
                    <w:tcW w:w="950" w:type="pct"/>
                    <w:shd w:val="clear" w:color="auto" w:fill="auto"/>
                    <w:noWrap/>
                    <w:tcMar>
                      <w:left w:w="57" w:type="dxa"/>
                      <w:right w:w="57" w:type="dxa"/>
                    </w:tcMar>
                    <w:vAlign w:val="center"/>
                    <w:hideMark/>
                  </w:tcPr>
                  <w:p w:rsidR="00386400" w:rsidRPr="003B3D34" w:rsidRDefault="00386400" w:rsidP="00A92A3D">
                    <w:pPr>
                      <w:jc w:val="right"/>
                      <w:rPr>
                        <w:color w:val="000000"/>
                        <w:sz w:val="20"/>
                      </w:rPr>
                    </w:pPr>
                    <w:r w:rsidRPr="003B3D34">
                      <w:rPr>
                        <w:color w:val="000000"/>
                        <w:sz w:val="20"/>
                      </w:rPr>
                      <w:t>-1</w:t>
                    </w:r>
                    <w:r w:rsidRPr="003B3D34">
                      <w:rPr>
                        <w:rFonts w:hint="eastAsia"/>
                        <w:color w:val="000000"/>
                        <w:sz w:val="20"/>
                      </w:rPr>
                      <w:t>,</w:t>
                    </w:r>
                    <w:r w:rsidRPr="003B3D34">
                      <w:rPr>
                        <w:color w:val="000000"/>
                        <w:sz w:val="20"/>
                      </w:rPr>
                      <w:t>281</w:t>
                    </w:r>
                    <w:r w:rsidRPr="003B3D34">
                      <w:rPr>
                        <w:rFonts w:hint="eastAsia"/>
                        <w:color w:val="000000"/>
                        <w:sz w:val="20"/>
                      </w:rPr>
                      <w:t>,</w:t>
                    </w:r>
                    <w:r w:rsidRPr="003B3D34">
                      <w:rPr>
                        <w:color w:val="000000"/>
                        <w:sz w:val="20"/>
                      </w:rPr>
                      <w:t>313</w:t>
                    </w:r>
                    <w:r w:rsidRPr="003B3D34">
                      <w:rPr>
                        <w:rFonts w:hint="eastAsia"/>
                        <w:color w:val="000000"/>
                        <w:sz w:val="20"/>
                      </w:rPr>
                      <w:t>,</w:t>
                    </w:r>
                    <w:r w:rsidRPr="003B3D34">
                      <w:rPr>
                        <w:color w:val="000000"/>
                        <w:sz w:val="20"/>
                      </w:rPr>
                      <w:t>653.5</w:t>
                    </w:r>
                    <w:r w:rsidRPr="003B3D34">
                      <w:rPr>
                        <w:rFonts w:hint="eastAsia"/>
                        <w:color w:val="000000"/>
                        <w:sz w:val="20"/>
                      </w:rPr>
                      <w:t>0</w:t>
                    </w:r>
                  </w:p>
                </w:tc>
                <w:tc>
                  <w:tcPr>
                    <w:tcW w:w="475" w:type="pct"/>
                    <w:shd w:val="clear" w:color="auto" w:fill="auto"/>
                    <w:noWrap/>
                    <w:tcMar>
                      <w:left w:w="57" w:type="dxa"/>
                      <w:right w:w="57" w:type="dxa"/>
                    </w:tcMar>
                    <w:vAlign w:val="center"/>
                    <w:hideMark/>
                  </w:tcPr>
                  <w:p w:rsidR="00386400" w:rsidRPr="003B3D34" w:rsidRDefault="00863374" w:rsidP="00A92A3D">
                    <w:pPr>
                      <w:jc w:val="right"/>
                      <w:rPr>
                        <w:color w:val="000000"/>
                        <w:sz w:val="20"/>
                      </w:rPr>
                    </w:pPr>
                    <w:r w:rsidRPr="00956B5E">
                      <w:rPr>
                        <w:rFonts w:hint="eastAsia"/>
                        <w:szCs w:val="21"/>
                      </w:rPr>
                      <w:t>—</w:t>
                    </w:r>
                  </w:p>
                </w:tc>
                <w:tc>
                  <w:tcPr>
                    <w:tcW w:w="1628" w:type="pct"/>
                    <w:shd w:val="clear" w:color="auto" w:fill="auto"/>
                    <w:tcMar>
                      <w:left w:w="57" w:type="dxa"/>
                      <w:right w:w="57" w:type="dxa"/>
                    </w:tcMar>
                    <w:vAlign w:val="center"/>
                    <w:hideMark/>
                  </w:tcPr>
                  <w:p w:rsidR="00386400" w:rsidRPr="002F3EB7" w:rsidRDefault="00386400" w:rsidP="00A92A3D">
                    <w:pPr>
                      <w:spacing w:line="360" w:lineRule="exact"/>
                      <w:rPr>
                        <w:color w:val="000000"/>
                        <w:szCs w:val="21"/>
                        <w:highlight w:val="yellow"/>
                      </w:rPr>
                    </w:pPr>
                    <w:r w:rsidRPr="002F3EB7">
                      <w:rPr>
                        <w:rFonts w:hint="eastAsia"/>
                        <w:sz w:val="20"/>
                      </w:rPr>
                      <w:t>代理买卖证券业务现金流入净额同比增加707.18亿元，融出资金现金流出净额同比增加525.03亿元</w:t>
                    </w:r>
                  </w:p>
                </w:tc>
              </w:tr>
              <w:tr w:rsidR="00386400" w:rsidRPr="00A93E9F" w:rsidTr="00230528">
                <w:trPr>
                  <w:trHeight w:hRule="exact" w:val="1333"/>
                  <w:jc w:val="center"/>
                </w:trPr>
                <w:tc>
                  <w:tcPr>
                    <w:tcW w:w="996" w:type="pct"/>
                    <w:shd w:val="clear" w:color="auto" w:fill="auto"/>
                    <w:noWrap/>
                    <w:vAlign w:val="center"/>
                    <w:hideMark/>
                  </w:tcPr>
                  <w:p w:rsidR="00386400" w:rsidRPr="005A3F71" w:rsidRDefault="00386400" w:rsidP="00A92A3D">
                    <w:pPr>
                      <w:spacing w:line="360" w:lineRule="exact"/>
                      <w:rPr>
                        <w:sz w:val="20"/>
                      </w:rPr>
                    </w:pPr>
                    <w:r w:rsidRPr="005A3F71">
                      <w:rPr>
                        <w:rFonts w:hint="eastAsia"/>
                        <w:sz w:val="20"/>
                      </w:rPr>
                      <w:t xml:space="preserve">筹资活动产生的现金流量净额 </w:t>
                    </w:r>
                  </w:p>
                </w:tc>
                <w:tc>
                  <w:tcPr>
                    <w:tcW w:w="951" w:type="pct"/>
                    <w:shd w:val="clear" w:color="auto" w:fill="auto"/>
                    <w:noWrap/>
                    <w:tcMar>
                      <w:left w:w="57" w:type="dxa"/>
                      <w:right w:w="57" w:type="dxa"/>
                    </w:tcMar>
                    <w:vAlign w:val="center"/>
                    <w:hideMark/>
                  </w:tcPr>
                  <w:p w:rsidR="00386400" w:rsidRPr="003B3D34" w:rsidRDefault="00386400" w:rsidP="00A92A3D">
                    <w:pPr>
                      <w:jc w:val="right"/>
                      <w:rPr>
                        <w:color w:val="000000"/>
                        <w:sz w:val="20"/>
                      </w:rPr>
                    </w:pPr>
                    <w:r w:rsidRPr="003B3D34">
                      <w:rPr>
                        <w:color w:val="000000"/>
                        <w:sz w:val="20"/>
                      </w:rPr>
                      <w:t xml:space="preserve">        70,169,667,387.10 </w:t>
                    </w:r>
                  </w:p>
                  <w:p w:rsidR="00386400" w:rsidRPr="003B3D34" w:rsidRDefault="00386400" w:rsidP="00A92A3D">
                    <w:pPr>
                      <w:spacing w:line="360" w:lineRule="exact"/>
                      <w:jc w:val="right"/>
                      <w:rPr>
                        <w:color w:val="000000"/>
                        <w:sz w:val="20"/>
                      </w:rPr>
                    </w:pPr>
                  </w:p>
                </w:tc>
                <w:tc>
                  <w:tcPr>
                    <w:tcW w:w="950" w:type="pct"/>
                    <w:shd w:val="clear" w:color="auto" w:fill="auto"/>
                    <w:noWrap/>
                    <w:tcMar>
                      <w:left w:w="57" w:type="dxa"/>
                      <w:right w:w="57" w:type="dxa"/>
                    </w:tcMar>
                    <w:vAlign w:val="center"/>
                    <w:hideMark/>
                  </w:tcPr>
                  <w:p w:rsidR="00386400" w:rsidRPr="003B3D34" w:rsidRDefault="00386400" w:rsidP="00A92A3D">
                    <w:pPr>
                      <w:jc w:val="right"/>
                      <w:rPr>
                        <w:color w:val="000000"/>
                        <w:sz w:val="20"/>
                      </w:rPr>
                    </w:pPr>
                    <w:r w:rsidRPr="003B3D34">
                      <w:rPr>
                        <w:color w:val="000000"/>
                        <w:sz w:val="20"/>
                      </w:rPr>
                      <w:t xml:space="preserve">        8,580,967,742.14 </w:t>
                    </w:r>
                  </w:p>
                  <w:p w:rsidR="00386400" w:rsidRPr="003B3D34" w:rsidRDefault="00386400" w:rsidP="00A92A3D">
                    <w:pPr>
                      <w:spacing w:line="360" w:lineRule="exact"/>
                      <w:jc w:val="right"/>
                      <w:rPr>
                        <w:color w:val="000000"/>
                        <w:sz w:val="20"/>
                      </w:rPr>
                    </w:pPr>
                  </w:p>
                </w:tc>
                <w:tc>
                  <w:tcPr>
                    <w:tcW w:w="475" w:type="pct"/>
                    <w:shd w:val="clear" w:color="auto" w:fill="auto"/>
                    <w:noWrap/>
                    <w:tcMar>
                      <w:left w:w="57" w:type="dxa"/>
                      <w:right w:w="57" w:type="dxa"/>
                    </w:tcMar>
                    <w:vAlign w:val="center"/>
                    <w:hideMark/>
                  </w:tcPr>
                  <w:p w:rsidR="00386400" w:rsidRPr="003B3D34" w:rsidRDefault="00386400" w:rsidP="00A92A3D">
                    <w:pPr>
                      <w:jc w:val="right"/>
                      <w:rPr>
                        <w:color w:val="000000"/>
                        <w:sz w:val="20"/>
                      </w:rPr>
                    </w:pPr>
                    <w:r w:rsidRPr="003B3D34">
                      <w:rPr>
                        <w:rFonts w:hint="eastAsia"/>
                        <w:color w:val="000000"/>
                        <w:sz w:val="20"/>
                      </w:rPr>
                      <w:t>717.74</w:t>
                    </w:r>
                  </w:p>
                </w:tc>
                <w:tc>
                  <w:tcPr>
                    <w:tcW w:w="1628" w:type="pct"/>
                    <w:shd w:val="clear" w:color="auto" w:fill="auto"/>
                    <w:noWrap/>
                    <w:tcMar>
                      <w:left w:w="57" w:type="dxa"/>
                      <w:right w:w="57" w:type="dxa"/>
                    </w:tcMar>
                    <w:vAlign w:val="center"/>
                    <w:hideMark/>
                  </w:tcPr>
                  <w:p w:rsidR="00386400" w:rsidRPr="00A93E9F" w:rsidRDefault="00386400" w:rsidP="00822CCE">
                    <w:pPr>
                      <w:spacing w:line="360" w:lineRule="exact"/>
                      <w:rPr>
                        <w:color w:val="000000"/>
                        <w:sz w:val="20"/>
                        <w:highlight w:val="yellow"/>
                      </w:rPr>
                    </w:pPr>
                    <w:r w:rsidRPr="002F3EB7">
                      <w:rPr>
                        <w:rFonts w:hint="eastAsia"/>
                        <w:sz w:val="20"/>
                      </w:rPr>
                      <w:t>本</w:t>
                    </w:r>
                    <w:r w:rsidR="00822CCE">
                      <w:rPr>
                        <w:rFonts w:hint="eastAsia"/>
                        <w:sz w:val="20"/>
                      </w:rPr>
                      <w:t>期</w:t>
                    </w:r>
                    <w:r w:rsidRPr="002F3EB7">
                      <w:rPr>
                        <w:rFonts w:hint="eastAsia"/>
                        <w:sz w:val="20"/>
                      </w:rPr>
                      <w:t>公司通过发行次级债、短期公司债、收益凭证等方式筹集资金净额同比增加</w:t>
                    </w:r>
                  </w:p>
                </w:tc>
              </w:tr>
            </w:tbl>
            <w:p w:rsidR="002F2141" w:rsidRDefault="002F2141"/>
            <w:p w:rsidR="00704CAD" w:rsidRDefault="002F2141">
              <w:r>
                <w:br w:type="page"/>
              </w:r>
            </w:p>
          </w:sdtContent>
        </w:sdt>
      </w:sdtContent>
    </w:sdt>
    <w:p w:rsidR="00704CAD" w:rsidRDefault="00720895">
      <w:pPr>
        <w:pStyle w:val="10"/>
        <w:numPr>
          <w:ilvl w:val="0"/>
          <w:numId w:val="3"/>
        </w:numPr>
        <w:ind w:left="498" w:hangingChars="177" w:hanging="498"/>
      </w:pPr>
      <w:bookmarkStart w:id="18" w:name="_Toc421545511"/>
      <w:r>
        <w:rPr>
          <w:rFonts w:hint="eastAsia"/>
        </w:rPr>
        <w:lastRenderedPageBreak/>
        <w:t>董事会报告</w:t>
      </w:r>
      <w:bookmarkEnd w:id="17"/>
      <w:bookmarkEnd w:id="18"/>
    </w:p>
    <w:p w:rsidR="00704CAD" w:rsidRDefault="00720895" w:rsidP="009950AC">
      <w:pPr>
        <w:pStyle w:val="2"/>
        <w:numPr>
          <w:ilvl w:val="0"/>
          <w:numId w:val="15"/>
        </w:numPr>
        <w:ind w:left="369" w:hangingChars="175" w:hanging="369"/>
      </w:pPr>
      <w:r>
        <w:t>董事会关于公司报告期内经营情况的讨论与分析</w:t>
      </w:r>
    </w:p>
    <w:sdt>
      <w:sdtPr>
        <w:rPr>
          <w:rFonts w:ascii="Calibri" w:hAnsi="Calibri" w:hint="eastAsia"/>
          <w:szCs w:val="21"/>
        </w:rPr>
        <w:tag w:val="_GBC_346ce62d12ff4d7892d70ef7a6350494"/>
        <w:id w:val="24720144"/>
        <w:lock w:val="sdtLocked"/>
        <w:placeholder>
          <w:docPart w:val="GBC22222222222222222222222222222"/>
        </w:placeholder>
      </w:sdtPr>
      <w:sdtEndPr>
        <w:rPr>
          <w:rFonts w:asciiTheme="minorEastAsia" w:eastAsiaTheme="minorEastAsia" w:hAnsiTheme="minorEastAsia"/>
        </w:rPr>
      </w:sdtEndPr>
      <w:sdtContent>
        <w:sdt>
          <w:sdtPr>
            <w:rPr>
              <w:rFonts w:ascii="Calibri" w:hAnsi="Calibri" w:hint="eastAsia"/>
              <w:szCs w:val="21"/>
            </w:rPr>
            <w:alias w:val="公司董事会对财务报告与其他必要的统计数据以及报告期内发生或将要发生的重大事项，进行讨论与分析"/>
            <w:tag w:val="_GBC_5cf95ac41aef4228933a4538f0814fdb"/>
            <w:id w:val="24720143"/>
            <w:lock w:val="sdtLocked"/>
            <w:placeholder>
              <w:docPart w:val="GBC22222222222222222222222222222"/>
            </w:placeholder>
          </w:sdtPr>
          <w:sdtContent>
            <w:p w:rsidR="00B0777A" w:rsidRDefault="00B0777A" w:rsidP="003C79EB">
              <w:pPr>
                <w:spacing w:line="360" w:lineRule="auto"/>
                <w:ind w:firstLineChars="200" w:firstLine="420"/>
                <w:rPr>
                  <w:rFonts w:ascii="仿宋_GB2312" w:eastAsia="仿宋_GB2312" w:hAnsi="仿宋_GB2312" w:cs="仿宋_GB2312"/>
                  <w:sz w:val="30"/>
                  <w:szCs w:val="30"/>
                </w:rPr>
              </w:pPr>
              <w:r w:rsidRPr="00B0777A">
                <w:rPr>
                  <w:rFonts w:cs="仿宋_GB2312" w:hint="eastAsia"/>
                  <w:bCs/>
                  <w:szCs w:val="21"/>
                </w:rPr>
                <w:t>2015年上半年，世界经济复苏艰难曲折，国内经济发展进入新常态。在一系列稳增长、促改革、调结构、惠民生的重大举措支持下，上半年，我国国民生产总值（GDP）同比增长7.0%，主要经济指标趋稳向好，产业结构继续优化。截至6月30日，上证综指报收4</w:t>
              </w:r>
              <w:r w:rsidR="00856ACE">
                <w:rPr>
                  <w:rFonts w:cs="仿宋_GB2312" w:hint="eastAsia"/>
                  <w:bCs/>
                  <w:szCs w:val="21"/>
                </w:rPr>
                <w:t>,</w:t>
              </w:r>
              <w:r w:rsidRPr="00B0777A">
                <w:rPr>
                  <w:rFonts w:cs="仿宋_GB2312" w:hint="eastAsia"/>
                  <w:bCs/>
                  <w:szCs w:val="21"/>
                </w:rPr>
                <w:t>277.22点，较2014年末上涨32%；深证成指报收14</w:t>
              </w:r>
              <w:r w:rsidR="00856ACE">
                <w:rPr>
                  <w:rFonts w:cs="仿宋_GB2312" w:hint="eastAsia"/>
                  <w:bCs/>
                  <w:szCs w:val="21"/>
                </w:rPr>
                <w:t>,</w:t>
              </w:r>
              <w:r w:rsidRPr="00B0777A">
                <w:rPr>
                  <w:rFonts w:cs="仿宋_GB2312" w:hint="eastAsia"/>
                  <w:bCs/>
                  <w:szCs w:val="21"/>
                </w:rPr>
                <w:t>337.96点，较2014年末上涨30%。二级市场日均股基交易额达到1.24万亿元，同比增长545%；一级市场权益类融资额6</w:t>
              </w:r>
              <w:r w:rsidR="00856ACE">
                <w:rPr>
                  <w:rFonts w:cs="仿宋_GB2312" w:hint="eastAsia"/>
                  <w:bCs/>
                  <w:szCs w:val="21"/>
                </w:rPr>
                <w:t>,</w:t>
              </w:r>
              <w:r w:rsidRPr="00B0777A">
                <w:rPr>
                  <w:rFonts w:cs="仿宋_GB2312" w:hint="eastAsia"/>
                  <w:bCs/>
                  <w:szCs w:val="21"/>
                </w:rPr>
                <w:t>797亿元，同比增长107%；非金融企业债融资额2.42万亿元，同比增长12%。随着市场经营环境的改善，行业盈利水平也水涨船高，截至6月30日，全行业实现营业收入3</w:t>
              </w:r>
              <w:r w:rsidR="00DA747D">
                <w:rPr>
                  <w:rFonts w:cs="仿宋_GB2312" w:hint="eastAsia"/>
                  <w:bCs/>
                  <w:szCs w:val="21"/>
                </w:rPr>
                <w:t>,</w:t>
              </w:r>
              <w:r w:rsidRPr="00B0777A">
                <w:rPr>
                  <w:rFonts w:cs="仿宋_GB2312" w:hint="eastAsia"/>
                  <w:bCs/>
                  <w:szCs w:val="21"/>
                </w:rPr>
                <w:t>283亿元，同比增长253%；净利润1</w:t>
              </w:r>
              <w:r w:rsidR="00856ACE">
                <w:rPr>
                  <w:rFonts w:cs="仿宋_GB2312" w:hint="eastAsia"/>
                  <w:bCs/>
                  <w:szCs w:val="21"/>
                </w:rPr>
                <w:t>,</w:t>
              </w:r>
              <w:r w:rsidRPr="00B0777A">
                <w:rPr>
                  <w:rFonts w:cs="仿宋_GB2312" w:hint="eastAsia"/>
                  <w:bCs/>
                  <w:szCs w:val="21"/>
                </w:rPr>
                <w:t>522亿元，同比增长371%。</w:t>
              </w:r>
            </w:p>
            <w:p w:rsidR="00B0777A" w:rsidRPr="00B0777A" w:rsidRDefault="00B0777A" w:rsidP="003C79EB">
              <w:pPr>
                <w:pStyle w:val="p19"/>
                <w:tabs>
                  <w:tab w:val="left" w:pos="840"/>
                </w:tabs>
                <w:autoSpaceDN w:val="0"/>
                <w:spacing w:line="360" w:lineRule="auto"/>
                <w:ind w:firstLineChars="200"/>
                <w:rPr>
                  <w:rFonts w:ascii="宋体" w:hAnsi="宋体" w:cs="仿宋_GB2312"/>
                  <w:bCs/>
                </w:rPr>
              </w:pPr>
              <w:r>
                <w:rPr>
                  <w:rFonts w:ascii="宋体" w:hAnsi="宋体" w:cs="仿宋_GB2312" w:hint="eastAsia"/>
                  <w:bCs/>
                </w:rPr>
                <w:t>2015</w:t>
              </w:r>
              <w:r w:rsidRPr="00B0777A">
                <w:rPr>
                  <w:rFonts w:ascii="宋体" w:hAnsi="宋体" w:cs="仿宋_GB2312" w:hint="eastAsia"/>
                  <w:bCs/>
                </w:rPr>
                <w:t>上半年，面对复杂多变的经营形势，公司紧扣“增加收入，深化转型，提升能力，优化运营”的年度工作方针，坚定实施赶超战略，经营业绩快速提升。与此同时，公司稳步推进转型升级等战略性工作，全面开启了建设现代投资银行的新征程；继续保持稳健规范经营，连续8年获得AA级评级，实现了又好又快发展。</w:t>
              </w:r>
            </w:p>
            <w:p w:rsidR="00704CAD" w:rsidRPr="00661D1E" w:rsidRDefault="00B0777A" w:rsidP="003C79EB">
              <w:pPr>
                <w:pStyle w:val="p19"/>
                <w:tabs>
                  <w:tab w:val="left" w:pos="840"/>
                </w:tabs>
                <w:autoSpaceDN w:val="0"/>
                <w:spacing w:line="360" w:lineRule="auto"/>
                <w:ind w:firstLineChars="200"/>
                <w:rPr>
                  <w:rFonts w:ascii="宋体" w:hAnsi="宋体" w:cs="仿宋_GB2312"/>
                  <w:bCs/>
                </w:rPr>
              </w:pPr>
              <w:r w:rsidRPr="00B0777A">
                <w:rPr>
                  <w:rFonts w:ascii="宋体" w:hAnsi="宋体" w:cs="仿宋_GB2312" w:hint="eastAsia"/>
                  <w:bCs/>
                </w:rPr>
                <w:t>2015上半年，公司经营业绩快速提升，公司实现营业收入158.63亿元，同比增长340.24%；归属于上市公司股东的净利润73.15亿元，同比增长435.93%。截至2015年6月30日，公司总资产3,647.95亿元，归属于上市公司股东的净资产477.71亿元。</w:t>
              </w:r>
            </w:p>
          </w:sdtContent>
        </w:sdt>
      </w:sdtContent>
    </w:sdt>
    <w:p w:rsidR="00704CAD" w:rsidRDefault="00720895" w:rsidP="001C1A59">
      <w:pPr>
        <w:pStyle w:val="3"/>
        <w:numPr>
          <w:ilvl w:val="0"/>
          <w:numId w:val="7"/>
        </w:numPr>
        <w:ind w:left="369" w:hangingChars="175" w:hanging="369"/>
        <w:rPr>
          <w:szCs w:val="21"/>
        </w:rPr>
      </w:pPr>
      <w:bookmarkStart w:id="19" w:name="_Toc342559738"/>
      <w:bookmarkStart w:id="20" w:name="_Toc342565895"/>
      <w:r>
        <w:rPr>
          <w:rFonts w:hint="eastAsia"/>
          <w:szCs w:val="21"/>
        </w:rPr>
        <w:t>主营业务分析</w:t>
      </w:r>
      <w:bookmarkEnd w:id="19"/>
      <w:bookmarkEnd w:id="20"/>
    </w:p>
    <w:p w:rsidR="00704CAD" w:rsidRDefault="00720895" w:rsidP="001C1A59">
      <w:pPr>
        <w:pStyle w:val="4"/>
        <w:numPr>
          <w:ilvl w:val="0"/>
          <w:numId w:val="8"/>
        </w:numPr>
        <w:tabs>
          <w:tab w:val="left" w:pos="851"/>
        </w:tabs>
        <w:ind w:left="369" w:hangingChars="175" w:hanging="369"/>
      </w:pPr>
      <w:r>
        <w:rPr>
          <w:rFonts w:hint="eastAsia"/>
        </w:rPr>
        <w:t>财务报</w:t>
      </w:r>
      <w:r>
        <w:rPr>
          <w:szCs w:val="21"/>
        </w:rPr>
        <w:t>表</w:t>
      </w:r>
      <w:r>
        <w:t>相关科目变动分析表</w:t>
      </w:r>
    </w:p>
    <w:sdt>
      <w:sdtPr>
        <w:rPr>
          <w:rFonts w:hint="eastAsia"/>
          <w:szCs w:val="21"/>
        </w:rPr>
        <w:tag w:val="_GBC_ae95eb21eadd4d3bb17702445607873e"/>
        <w:id w:val="24720177"/>
        <w:lock w:val="sdtLocked"/>
        <w:placeholder>
          <w:docPart w:val="GBC22222222222222222222222222222"/>
        </w:placeholder>
      </w:sdtPr>
      <w:sdtEndPr>
        <w:rPr>
          <w:rFonts w:ascii="宋体" w:hAnsi="宋体"/>
        </w:rPr>
      </w:sdtEndPr>
      <w:sdtContent>
        <w:p w:rsidR="00704CAD" w:rsidRDefault="00720895">
          <w:pPr>
            <w:pStyle w:val="a9"/>
            <w:ind w:left="360" w:firstLineChars="0" w:firstLine="0"/>
            <w:jc w:val="right"/>
            <w:rPr>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7b4e6f63484bfb89791a4fb364ba99"/>
              <w:id w:val="247201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314F1">
                <w:rPr>
                  <w:rFonts w:ascii="宋体" w:hAnsi="宋体"/>
                  <w:szCs w:val="21"/>
                </w:rPr>
                <w:t>亿元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93f5957c74db4d4d9c89ecd08e4e3879"/>
              <w:id w:val="24720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6"/>
            <w:tblW w:w="5000" w:type="pct"/>
            <w:tblLook w:val="04A0"/>
          </w:tblPr>
          <w:tblGrid>
            <w:gridCol w:w="3473"/>
            <w:gridCol w:w="1857"/>
            <w:gridCol w:w="1875"/>
            <w:gridCol w:w="1844"/>
          </w:tblGrid>
          <w:tr w:rsidR="006314F1" w:rsidRPr="00292C08" w:rsidTr="00292C08">
            <w:trPr>
              <w:tblHeader/>
            </w:trPr>
            <w:tc>
              <w:tcPr>
                <w:tcW w:w="1919" w:type="pct"/>
                <w:vAlign w:val="center"/>
              </w:tcPr>
              <w:p w:rsidR="006314F1" w:rsidRPr="00292C08" w:rsidRDefault="006314F1" w:rsidP="00A92A3D">
                <w:pPr>
                  <w:pStyle w:val="a9"/>
                  <w:ind w:firstLineChars="0" w:firstLine="0"/>
                  <w:jc w:val="center"/>
                  <w:rPr>
                    <w:rFonts w:ascii="宋体" w:hAnsi="宋体"/>
                    <w:b/>
                    <w:szCs w:val="21"/>
                  </w:rPr>
                </w:pPr>
                <w:r w:rsidRPr="00292C08">
                  <w:rPr>
                    <w:rFonts w:ascii="宋体" w:hAnsi="宋体" w:hint="eastAsia"/>
                    <w:b/>
                    <w:szCs w:val="21"/>
                  </w:rPr>
                  <w:t>科目</w:t>
                </w:r>
              </w:p>
            </w:tc>
            <w:tc>
              <w:tcPr>
                <w:tcW w:w="1026" w:type="pct"/>
                <w:vAlign w:val="center"/>
              </w:tcPr>
              <w:p w:rsidR="006314F1" w:rsidRPr="00292C08" w:rsidRDefault="006314F1" w:rsidP="00A92A3D">
                <w:pPr>
                  <w:pStyle w:val="a9"/>
                  <w:ind w:firstLineChars="0" w:firstLine="0"/>
                  <w:jc w:val="center"/>
                  <w:rPr>
                    <w:rFonts w:ascii="宋体" w:hAnsi="宋体"/>
                    <w:b/>
                    <w:szCs w:val="21"/>
                  </w:rPr>
                </w:pPr>
                <w:r w:rsidRPr="00292C08">
                  <w:rPr>
                    <w:rFonts w:ascii="宋体" w:hAnsi="宋体" w:hint="eastAsia"/>
                    <w:b/>
                    <w:szCs w:val="21"/>
                  </w:rPr>
                  <w:t>本期数</w:t>
                </w:r>
              </w:p>
            </w:tc>
            <w:tc>
              <w:tcPr>
                <w:tcW w:w="1036" w:type="pct"/>
                <w:vAlign w:val="center"/>
              </w:tcPr>
              <w:p w:rsidR="006314F1" w:rsidRPr="00292C08" w:rsidRDefault="006314F1" w:rsidP="00A92A3D">
                <w:pPr>
                  <w:pStyle w:val="a9"/>
                  <w:ind w:firstLineChars="0" w:firstLine="0"/>
                  <w:jc w:val="center"/>
                  <w:rPr>
                    <w:rFonts w:ascii="宋体" w:hAnsi="宋体"/>
                    <w:b/>
                    <w:szCs w:val="21"/>
                  </w:rPr>
                </w:pPr>
                <w:r w:rsidRPr="00292C08">
                  <w:rPr>
                    <w:rFonts w:ascii="宋体" w:hAnsi="宋体" w:hint="eastAsia"/>
                    <w:b/>
                    <w:szCs w:val="21"/>
                  </w:rPr>
                  <w:t>上年同期数</w:t>
                </w:r>
              </w:p>
            </w:tc>
            <w:tc>
              <w:tcPr>
                <w:tcW w:w="1019" w:type="pct"/>
                <w:vAlign w:val="center"/>
              </w:tcPr>
              <w:p w:rsidR="006314F1" w:rsidRPr="00292C08" w:rsidRDefault="006314F1" w:rsidP="00A92A3D">
                <w:pPr>
                  <w:pStyle w:val="a9"/>
                  <w:ind w:firstLineChars="0" w:firstLine="0"/>
                  <w:jc w:val="center"/>
                  <w:rPr>
                    <w:rFonts w:ascii="宋体" w:hAnsi="宋体"/>
                    <w:b/>
                    <w:szCs w:val="21"/>
                  </w:rPr>
                </w:pPr>
                <w:r w:rsidRPr="00292C08">
                  <w:rPr>
                    <w:rFonts w:ascii="宋体" w:hAnsi="宋体" w:hint="eastAsia"/>
                    <w:b/>
                    <w:szCs w:val="21"/>
                  </w:rPr>
                  <w:t>变动比例（%）</w:t>
                </w:r>
              </w:p>
            </w:tc>
          </w:tr>
          <w:tr w:rsidR="006314F1" w:rsidTr="00A92A3D">
            <w:tc>
              <w:tcPr>
                <w:tcW w:w="1919" w:type="pct"/>
              </w:tcPr>
              <w:p w:rsidR="006314F1" w:rsidRDefault="006314F1" w:rsidP="00A92A3D">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b7ab5b11e4594d1b9d92ff621cf1d949"/>
                <w:id w:val="24720147"/>
                <w:lock w:val="sdtLocked"/>
              </w:sdtPr>
              <w:sdtContent>
                <w:tc>
                  <w:tcPr>
                    <w:tcW w:w="1026" w:type="pct"/>
                  </w:tcPr>
                  <w:p w:rsidR="006314F1" w:rsidRDefault="006314F1" w:rsidP="00A92A3D">
                    <w:pPr>
                      <w:pStyle w:val="a9"/>
                      <w:ind w:firstLineChars="0" w:firstLine="0"/>
                      <w:jc w:val="right"/>
                      <w:rPr>
                        <w:rFonts w:ascii="宋体" w:hAnsi="宋体"/>
                        <w:szCs w:val="21"/>
                      </w:rPr>
                    </w:pPr>
                    <w:r>
                      <w:rPr>
                        <w:rFonts w:ascii="宋体" w:hAnsi="宋体"/>
                        <w:szCs w:val="21"/>
                      </w:rPr>
                      <w:t>158.63</w:t>
                    </w:r>
                  </w:p>
                </w:tc>
              </w:sdtContent>
            </w:sdt>
            <w:sdt>
              <w:sdtPr>
                <w:rPr>
                  <w:rFonts w:ascii="宋体" w:hAnsi="宋体"/>
                  <w:szCs w:val="21"/>
                </w:rPr>
                <w:alias w:val="营业收入"/>
                <w:tag w:val="_GBC_17d2567a56a342eb83a9cb95872a3739"/>
                <w:id w:val="24720148"/>
                <w:lock w:val="sdtLocked"/>
              </w:sdtPr>
              <w:sdtContent>
                <w:tc>
                  <w:tcPr>
                    <w:tcW w:w="1036" w:type="pct"/>
                  </w:tcPr>
                  <w:p w:rsidR="006314F1" w:rsidRDefault="006314F1" w:rsidP="00A92A3D">
                    <w:pPr>
                      <w:pStyle w:val="a9"/>
                      <w:ind w:firstLineChars="0" w:firstLine="0"/>
                      <w:jc w:val="right"/>
                      <w:rPr>
                        <w:rFonts w:ascii="宋体" w:hAnsi="宋体"/>
                        <w:szCs w:val="21"/>
                      </w:rPr>
                    </w:pPr>
                    <w:r>
                      <w:rPr>
                        <w:rFonts w:ascii="宋体" w:hAnsi="宋体"/>
                        <w:szCs w:val="21"/>
                      </w:rPr>
                      <w:t>36.03</w:t>
                    </w:r>
                  </w:p>
                </w:tc>
              </w:sdtContent>
            </w:sdt>
            <w:sdt>
              <w:sdtPr>
                <w:rPr>
                  <w:rFonts w:ascii="宋体" w:hAnsi="宋体"/>
                  <w:szCs w:val="21"/>
                </w:rPr>
                <w:alias w:val="营业收入本期比上期增减"/>
                <w:tag w:val="_GBC_87e62ef25607420db0c90faa8e9b7b4e"/>
                <w:id w:val="24720149"/>
                <w:lock w:val="sdtLocked"/>
              </w:sdtPr>
              <w:sdtContent>
                <w:tc>
                  <w:tcPr>
                    <w:tcW w:w="1019" w:type="pct"/>
                  </w:tcPr>
                  <w:p w:rsidR="006314F1" w:rsidRDefault="006314F1" w:rsidP="00A92A3D">
                    <w:pPr>
                      <w:pStyle w:val="a9"/>
                      <w:ind w:firstLineChars="0" w:firstLine="0"/>
                      <w:jc w:val="right"/>
                      <w:rPr>
                        <w:rFonts w:ascii="宋体" w:hAnsi="宋体"/>
                        <w:szCs w:val="21"/>
                      </w:rPr>
                    </w:pPr>
                    <w:r>
                      <w:rPr>
                        <w:rFonts w:ascii="宋体" w:hAnsi="宋体"/>
                        <w:szCs w:val="21"/>
                      </w:rPr>
                      <w:t>340.24</w:t>
                    </w:r>
                  </w:p>
                </w:tc>
              </w:sdtContent>
            </w:sdt>
          </w:tr>
          <w:tr w:rsidR="006314F1" w:rsidTr="00A92A3D">
            <w:tc>
              <w:tcPr>
                <w:tcW w:w="1919" w:type="pct"/>
              </w:tcPr>
              <w:p w:rsidR="006314F1" w:rsidRDefault="006314F1" w:rsidP="00C1334D">
                <w:pPr>
                  <w:pStyle w:val="a9"/>
                  <w:ind w:firstLineChars="0" w:firstLine="0"/>
                  <w:rPr>
                    <w:rFonts w:ascii="宋体" w:hAnsi="宋体"/>
                    <w:szCs w:val="21"/>
                  </w:rPr>
                </w:pPr>
                <w:r>
                  <w:rPr>
                    <w:rFonts w:ascii="宋体" w:hAnsi="宋体"/>
                    <w:szCs w:val="21"/>
                  </w:rPr>
                  <w:t>营业</w:t>
                </w:r>
                <w:r w:rsidR="00C1334D">
                  <w:rPr>
                    <w:rFonts w:ascii="宋体" w:hAnsi="宋体" w:hint="eastAsia"/>
                    <w:szCs w:val="21"/>
                  </w:rPr>
                  <w:t>支出</w:t>
                </w:r>
              </w:p>
            </w:tc>
            <w:sdt>
              <w:sdtPr>
                <w:rPr>
                  <w:rFonts w:ascii="宋体" w:hAnsi="宋体"/>
                  <w:szCs w:val="21"/>
                </w:rPr>
                <w:alias w:val="营业成本"/>
                <w:tag w:val="_GBC_0cf3b4f735394415ab5c40e32b1d26e0"/>
                <w:id w:val="24720150"/>
                <w:lock w:val="sdtLocked"/>
              </w:sdtPr>
              <w:sdtContent>
                <w:tc>
                  <w:tcPr>
                    <w:tcW w:w="1026" w:type="pct"/>
                  </w:tcPr>
                  <w:p w:rsidR="006314F1" w:rsidRDefault="006314F1" w:rsidP="00A92A3D">
                    <w:pPr>
                      <w:pStyle w:val="a9"/>
                      <w:ind w:firstLineChars="0" w:firstLine="0"/>
                      <w:jc w:val="right"/>
                      <w:rPr>
                        <w:rFonts w:ascii="宋体" w:hAnsi="宋体"/>
                        <w:szCs w:val="21"/>
                      </w:rPr>
                    </w:pPr>
                    <w:r>
                      <w:rPr>
                        <w:rFonts w:ascii="宋体" w:hAnsi="宋体"/>
                        <w:szCs w:val="21"/>
                      </w:rPr>
                      <w:t>65.56</w:t>
                    </w:r>
                  </w:p>
                </w:tc>
              </w:sdtContent>
            </w:sdt>
            <w:sdt>
              <w:sdtPr>
                <w:rPr>
                  <w:rFonts w:ascii="宋体" w:hAnsi="宋体"/>
                  <w:szCs w:val="21"/>
                </w:rPr>
                <w:alias w:val="营业成本"/>
                <w:tag w:val="_GBC_2a7ec20d840844fda7be155f98ac8621"/>
                <w:id w:val="24720151"/>
                <w:lock w:val="sdtLocked"/>
              </w:sdtPr>
              <w:sdtContent>
                <w:tc>
                  <w:tcPr>
                    <w:tcW w:w="1036" w:type="pct"/>
                  </w:tcPr>
                  <w:p w:rsidR="006314F1" w:rsidRDefault="006314F1" w:rsidP="00A92A3D">
                    <w:pPr>
                      <w:pStyle w:val="a9"/>
                      <w:ind w:firstLineChars="0" w:firstLine="0"/>
                      <w:jc w:val="right"/>
                      <w:rPr>
                        <w:rFonts w:ascii="宋体" w:hAnsi="宋体"/>
                        <w:szCs w:val="21"/>
                      </w:rPr>
                    </w:pPr>
                    <w:r>
                      <w:rPr>
                        <w:rFonts w:ascii="宋体" w:hAnsi="宋体"/>
                        <w:szCs w:val="21"/>
                      </w:rPr>
                      <w:t>19.20</w:t>
                    </w:r>
                  </w:p>
                </w:tc>
              </w:sdtContent>
            </w:sdt>
            <w:sdt>
              <w:sdtPr>
                <w:rPr>
                  <w:rFonts w:ascii="宋体" w:hAnsi="宋体"/>
                  <w:szCs w:val="21"/>
                </w:rPr>
                <w:alias w:val="营业成本本期比上期增减"/>
                <w:tag w:val="_GBC_d2eadf6ac444420ea3f15ff3c25d0366"/>
                <w:id w:val="24720152"/>
                <w:lock w:val="sdtLocked"/>
              </w:sdtPr>
              <w:sdtContent>
                <w:tc>
                  <w:tcPr>
                    <w:tcW w:w="1019" w:type="pct"/>
                  </w:tcPr>
                  <w:p w:rsidR="006314F1" w:rsidRDefault="006314F1" w:rsidP="00A92A3D">
                    <w:pPr>
                      <w:pStyle w:val="a9"/>
                      <w:ind w:firstLineChars="0" w:firstLine="0"/>
                      <w:jc w:val="right"/>
                      <w:rPr>
                        <w:rFonts w:ascii="宋体" w:hAnsi="宋体"/>
                        <w:szCs w:val="21"/>
                      </w:rPr>
                    </w:pPr>
                    <w:r>
                      <w:rPr>
                        <w:rFonts w:ascii="宋体" w:hAnsi="宋体"/>
                        <w:szCs w:val="21"/>
                      </w:rPr>
                      <w:t>241.39</w:t>
                    </w:r>
                  </w:p>
                </w:tc>
              </w:sdtContent>
            </w:sdt>
          </w:tr>
          <w:sdt>
            <w:sdtPr>
              <w:rPr>
                <w:rFonts w:ascii="宋体" w:hAnsi="宋体"/>
                <w:szCs w:val="21"/>
              </w:rPr>
              <w:alias w:val="利润表及现金流量表相关科目变动分析"/>
              <w:tag w:val="_GBC_e97cf377d7494a71b810f76a29ebfd2b"/>
              <w:id w:val="24720157"/>
              <w:lock w:val="sdtLocked"/>
            </w:sdtPr>
            <w:sdtContent>
              <w:tr w:rsidR="006314F1" w:rsidTr="00A92A3D">
                <w:tc>
                  <w:tcPr>
                    <w:tcW w:w="1919" w:type="pct"/>
                  </w:tcPr>
                  <w:p w:rsidR="006314F1" w:rsidRDefault="00422DCA" w:rsidP="00A92A3D">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b32b68c96f1f4849a3c475ac3d16d4cf"/>
                        <w:id w:val="24720153"/>
                        <w:lock w:val="sdtLocked"/>
                      </w:sdtPr>
                      <w:sdtContent>
                        <w:r w:rsidR="006314F1">
                          <w:rPr>
                            <w:rFonts w:ascii="宋体" w:hAnsi="宋体" w:hint="eastAsia"/>
                            <w:szCs w:val="21"/>
                          </w:rPr>
                          <w:t>其中：业务及管理费</w:t>
                        </w:r>
                      </w:sdtContent>
                    </w:sdt>
                  </w:p>
                </w:tc>
                <w:sdt>
                  <w:sdtPr>
                    <w:rPr>
                      <w:rFonts w:ascii="宋体" w:hAnsi="宋体"/>
                      <w:szCs w:val="21"/>
                    </w:rPr>
                    <w:alias w:val="利润表及现金流量表相关科目变动分析-科目值"/>
                    <w:tag w:val="_GBC_46915b6b875a4363b34f6ee1436b2062"/>
                    <w:id w:val="24720154"/>
                    <w:lock w:val="sdtLocked"/>
                  </w:sdtPr>
                  <w:sdtContent>
                    <w:tc>
                      <w:tcPr>
                        <w:tcW w:w="1026" w:type="pct"/>
                      </w:tcPr>
                      <w:p w:rsidR="006314F1" w:rsidRDefault="006314F1" w:rsidP="00A92A3D">
                        <w:pPr>
                          <w:pStyle w:val="a9"/>
                          <w:ind w:firstLineChars="0" w:firstLine="0"/>
                          <w:jc w:val="right"/>
                          <w:rPr>
                            <w:rFonts w:ascii="宋体" w:hAnsi="宋体"/>
                            <w:szCs w:val="21"/>
                          </w:rPr>
                        </w:pPr>
                        <w:r>
                          <w:rPr>
                            <w:rFonts w:ascii="宋体" w:hAnsi="宋体"/>
                            <w:szCs w:val="21"/>
                          </w:rPr>
                          <w:t>56.03</w:t>
                        </w:r>
                      </w:p>
                    </w:tc>
                  </w:sdtContent>
                </w:sdt>
                <w:sdt>
                  <w:sdtPr>
                    <w:rPr>
                      <w:rFonts w:ascii="宋体" w:hAnsi="宋体"/>
                      <w:szCs w:val="21"/>
                    </w:rPr>
                    <w:alias w:val="利润表及现金流量表相关科目变动分析-科目值"/>
                    <w:tag w:val="_GBC_427dd28a3c0d4a7da0936d6ac7456a15"/>
                    <w:id w:val="24720155"/>
                    <w:lock w:val="sdtLocked"/>
                  </w:sdtPr>
                  <w:sdtContent>
                    <w:tc>
                      <w:tcPr>
                        <w:tcW w:w="1036" w:type="pct"/>
                      </w:tcPr>
                      <w:p w:rsidR="006314F1" w:rsidRDefault="006314F1" w:rsidP="00A92A3D">
                        <w:pPr>
                          <w:pStyle w:val="a9"/>
                          <w:ind w:firstLineChars="0" w:firstLine="0"/>
                          <w:jc w:val="right"/>
                          <w:rPr>
                            <w:rFonts w:ascii="宋体" w:hAnsi="宋体"/>
                            <w:szCs w:val="21"/>
                          </w:rPr>
                        </w:pPr>
                        <w:r>
                          <w:rPr>
                            <w:rFonts w:ascii="宋体" w:hAnsi="宋体"/>
                            <w:szCs w:val="21"/>
                          </w:rPr>
                          <w:t>17.09</w:t>
                        </w:r>
                      </w:p>
                    </w:tc>
                  </w:sdtContent>
                </w:sdt>
                <w:sdt>
                  <w:sdtPr>
                    <w:rPr>
                      <w:rFonts w:ascii="宋体" w:hAnsi="宋体"/>
                      <w:szCs w:val="21"/>
                    </w:rPr>
                    <w:alias w:val="利润表及现金流量表相关科目变动分析-本期比上期增减"/>
                    <w:tag w:val="_GBC_c1e207c138e247f69b9cdced49e736b1"/>
                    <w:id w:val="24720156"/>
                    <w:lock w:val="sdtLocked"/>
                  </w:sdtPr>
                  <w:sdtContent>
                    <w:tc>
                      <w:tcPr>
                        <w:tcW w:w="1019" w:type="pct"/>
                      </w:tcPr>
                      <w:p w:rsidR="006314F1" w:rsidRDefault="006314F1" w:rsidP="00A92A3D">
                        <w:pPr>
                          <w:pStyle w:val="a9"/>
                          <w:ind w:firstLineChars="0" w:firstLine="0"/>
                          <w:jc w:val="right"/>
                          <w:rPr>
                            <w:rFonts w:ascii="宋体" w:hAnsi="宋体"/>
                            <w:szCs w:val="21"/>
                          </w:rPr>
                        </w:pPr>
                        <w:r>
                          <w:rPr>
                            <w:rFonts w:ascii="宋体" w:hAnsi="宋体"/>
                            <w:szCs w:val="21"/>
                          </w:rPr>
                          <w:t>227.80</w:t>
                        </w:r>
                      </w:p>
                    </w:tc>
                  </w:sdtContent>
                </w:sdt>
              </w:tr>
            </w:sdtContent>
          </w:sdt>
          <w:sdt>
            <w:sdtPr>
              <w:rPr>
                <w:rFonts w:ascii="宋体" w:hAnsi="宋体"/>
                <w:szCs w:val="21"/>
              </w:rPr>
              <w:alias w:val="利润表及现金流量表相关科目变动分析"/>
              <w:tag w:val="_GBC_e97cf377d7494a71b810f76a29ebfd2b"/>
              <w:id w:val="24720162"/>
              <w:lock w:val="sdtLocked"/>
            </w:sdtPr>
            <w:sdtContent>
              <w:tr w:rsidR="006314F1" w:rsidTr="00A92A3D">
                <w:tc>
                  <w:tcPr>
                    <w:tcW w:w="1919" w:type="pct"/>
                  </w:tcPr>
                  <w:p w:rsidR="006314F1" w:rsidRDefault="00422DCA" w:rsidP="00A92A3D">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b32b68c96f1f4849a3c475ac3d16d4cf"/>
                        <w:id w:val="24720158"/>
                        <w:lock w:val="sdtLocked"/>
                      </w:sdtPr>
                      <w:sdtContent>
                        <w:r w:rsidR="006314F1">
                          <w:rPr>
                            <w:rFonts w:ascii="宋体" w:hAnsi="宋体" w:hint="eastAsia"/>
                            <w:szCs w:val="21"/>
                          </w:rPr>
                          <w:t>归属于上市公司股东的净利润</w:t>
                        </w:r>
                      </w:sdtContent>
                    </w:sdt>
                  </w:p>
                </w:tc>
                <w:sdt>
                  <w:sdtPr>
                    <w:rPr>
                      <w:rFonts w:ascii="宋体" w:hAnsi="宋体"/>
                      <w:szCs w:val="21"/>
                    </w:rPr>
                    <w:alias w:val="利润表及现金流量表相关科目变动分析-科目值"/>
                    <w:tag w:val="_GBC_46915b6b875a4363b34f6ee1436b2062"/>
                    <w:id w:val="24720159"/>
                    <w:lock w:val="sdtLocked"/>
                  </w:sdtPr>
                  <w:sdtContent>
                    <w:tc>
                      <w:tcPr>
                        <w:tcW w:w="1026" w:type="pct"/>
                      </w:tcPr>
                      <w:p w:rsidR="006314F1" w:rsidRDefault="006314F1" w:rsidP="00A92A3D">
                        <w:pPr>
                          <w:pStyle w:val="a9"/>
                          <w:ind w:firstLineChars="0" w:firstLine="0"/>
                          <w:jc w:val="right"/>
                          <w:rPr>
                            <w:rFonts w:ascii="宋体" w:hAnsi="宋体"/>
                            <w:szCs w:val="21"/>
                          </w:rPr>
                        </w:pPr>
                        <w:r>
                          <w:rPr>
                            <w:rFonts w:ascii="宋体" w:hAnsi="宋体"/>
                            <w:szCs w:val="21"/>
                          </w:rPr>
                          <w:t>73.15</w:t>
                        </w:r>
                      </w:p>
                    </w:tc>
                  </w:sdtContent>
                </w:sdt>
                <w:sdt>
                  <w:sdtPr>
                    <w:rPr>
                      <w:rFonts w:ascii="宋体" w:hAnsi="宋体"/>
                      <w:szCs w:val="21"/>
                    </w:rPr>
                    <w:alias w:val="利润表及现金流量表相关科目变动分析-科目值"/>
                    <w:tag w:val="_GBC_427dd28a3c0d4a7da0936d6ac7456a15"/>
                    <w:id w:val="24720160"/>
                    <w:lock w:val="sdtLocked"/>
                  </w:sdtPr>
                  <w:sdtContent>
                    <w:tc>
                      <w:tcPr>
                        <w:tcW w:w="1036" w:type="pct"/>
                      </w:tcPr>
                      <w:p w:rsidR="006314F1" w:rsidRDefault="006314F1" w:rsidP="00A92A3D">
                        <w:pPr>
                          <w:pStyle w:val="a9"/>
                          <w:ind w:firstLineChars="0" w:firstLine="0"/>
                          <w:jc w:val="right"/>
                          <w:rPr>
                            <w:rFonts w:ascii="宋体" w:hAnsi="宋体"/>
                            <w:szCs w:val="21"/>
                          </w:rPr>
                        </w:pPr>
                        <w:r>
                          <w:rPr>
                            <w:rFonts w:ascii="宋体" w:hAnsi="宋体"/>
                            <w:szCs w:val="21"/>
                          </w:rPr>
                          <w:t>13.65</w:t>
                        </w:r>
                      </w:p>
                    </w:tc>
                  </w:sdtContent>
                </w:sdt>
                <w:sdt>
                  <w:sdtPr>
                    <w:rPr>
                      <w:rFonts w:ascii="宋体" w:hAnsi="宋体"/>
                      <w:szCs w:val="21"/>
                    </w:rPr>
                    <w:alias w:val="利润表及现金流量表相关科目变动分析-本期比上期增减"/>
                    <w:tag w:val="_GBC_c1e207c138e247f69b9cdced49e736b1"/>
                    <w:id w:val="24720161"/>
                    <w:lock w:val="sdtLocked"/>
                  </w:sdtPr>
                  <w:sdtContent>
                    <w:tc>
                      <w:tcPr>
                        <w:tcW w:w="1019" w:type="pct"/>
                      </w:tcPr>
                      <w:p w:rsidR="006314F1" w:rsidRDefault="006314F1" w:rsidP="00A92A3D">
                        <w:pPr>
                          <w:pStyle w:val="a9"/>
                          <w:ind w:firstLineChars="0" w:firstLine="0"/>
                          <w:jc w:val="right"/>
                          <w:rPr>
                            <w:rFonts w:ascii="宋体" w:hAnsi="宋体"/>
                            <w:szCs w:val="21"/>
                          </w:rPr>
                        </w:pPr>
                        <w:r>
                          <w:rPr>
                            <w:rFonts w:ascii="宋体" w:hAnsi="宋体"/>
                            <w:szCs w:val="21"/>
                          </w:rPr>
                          <w:t>435.93</w:t>
                        </w:r>
                      </w:p>
                    </w:tc>
                  </w:sdtContent>
                </w:sdt>
              </w:tr>
            </w:sdtContent>
          </w:sdt>
          <w:tr w:rsidR="006314F1" w:rsidTr="00A92A3D">
            <w:tc>
              <w:tcPr>
                <w:tcW w:w="1919" w:type="pct"/>
              </w:tcPr>
              <w:p w:rsidR="006314F1" w:rsidRDefault="006314F1" w:rsidP="00A92A3D">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0ebdc103df5a47d1b3979c24d0bcb66f"/>
                <w:id w:val="24720163"/>
                <w:lock w:val="sdtLocked"/>
              </w:sdtPr>
              <w:sdtContent>
                <w:tc>
                  <w:tcPr>
                    <w:tcW w:w="1026" w:type="pct"/>
                  </w:tcPr>
                  <w:p w:rsidR="006314F1" w:rsidRDefault="006314F1" w:rsidP="00A92A3D">
                    <w:pPr>
                      <w:pStyle w:val="a9"/>
                      <w:ind w:firstLineChars="0" w:firstLine="0"/>
                      <w:jc w:val="right"/>
                      <w:rPr>
                        <w:rFonts w:ascii="宋体" w:hAnsi="宋体"/>
                        <w:szCs w:val="21"/>
                      </w:rPr>
                    </w:pPr>
                    <w:r>
                      <w:rPr>
                        <w:rFonts w:ascii="宋体" w:hAnsi="宋体"/>
                        <w:szCs w:val="21"/>
                      </w:rPr>
                      <w:t>139.70</w:t>
                    </w:r>
                  </w:p>
                </w:tc>
              </w:sdtContent>
            </w:sdt>
            <w:sdt>
              <w:sdtPr>
                <w:rPr>
                  <w:rFonts w:ascii="宋体" w:hAnsi="宋体"/>
                  <w:szCs w:val="21"/>
                </w:rPr>
                <w:alias w:val="经营活动现金流量净额"/>
                <w:tag w:val="_GBC_47e2a8d2699d41829968d5fdf09d179a"/>
                <w:id w:val="24720164"/>
                <w:lock w:val="sdtLocked"/>
              </w:sdtPr>
              <w:sdtContent>
                <w:tc>
                  <w:tcPr>
                    <w:tcW w:w="1036" w:type="pct"/>
                  </w:tcPr>
                  <w:p w:rsidR="006314F1" w:rsidRDefault="006314F1" w:rsidP="00A92A3D">
                    <w:pPr>
                      <w:pStyle w:val="a9"/>
                      <w:ind w:firstLineChars="0" w:firstLine="0"/>
                      <w:jc w:val="right"/>
                      <w:rPr>
                        <w:rFonts w:ascii="宋体" w:hAnsi="宋体"/>
                        <w:szCs w:val="21"/>
                      </w:rPr>
                    </w:pPr>
                    <w:r>
                      <w:rPr>
                        <w:rFonts w:ascii="宋体" w:hAnsi="宋体"/>
                        <w:szCs w:val="21"/>
                      </w:rPr>
                      <w:t>-12.81</w:t>
                    </w:r>
                  </w:p>
                </w:tc>
              </w:sdtContent>
            </w:sdt>
            <w:sdt>
              <w:sdtPr>
                <w:rPr>
                  <w:rFonts w:ascii="宋体" w:hAnsi="宋体"/>
                  <w:szCs w:val="21"/>
                </w:rPr>
                <w:alias w:val="经营活动现金流量净额本期比上期增减"/>
                <w:tag w:val="_GBC_906d00f092324c0dab0607c87f2cbad6"/>
                <w:id w:val="24720165"/>
                <w:lock w:val="sdtLocked"/>
              </w:sdtPr>
              <w:sdtContent>
                <w:tc>
                  <w:tcPr>
                    <w:tcW w:w="1019" w:type="pct"/>
                  </w:tcPr>
                  <w:p w:rsidR="006314F1" w:rsidRDefault="006314F1" w:rsidP="00A92A3D">
                    <w:pPr>
                      <w:pStyle w:val="a9"/>
                      <w:ind w:firstLineChars="0" w:firstLine="0"/>
                      <w:jc w:val="right"/>
                      <w:rPr>
                        <w:rFonts w:ascii="宋体" w:hAnsi="宋体"/>
                        <w:szCs w:val="21"/>
                      </w:rPr>
                    </w:pPr>
                    <w:r>
                      <w:rPr>
                        <w:rFonts w:ascii="宋体" w:hAnsi="宋体"/>
                        <w:szCs w:val="21"/>
                      </w:rPr>
                      <w:t>-</w:t>
                    </w:r>
                  </w:p>
                </w:tc>
              </w:sdtContent>
            </w:sdt>
          </w:tr>
          <w:tr w:rsidR="006314F1" w:rsidTr="00A92A3D">
            <w:tc>
              <w:tcPr>
                <w:tcW w:w="1919" w:type="pct"/>
              </w:tcPr>
              <w:p w:rsidR="006314F1" w:rsidRDefault="006314F1" w:rsidP="00A92A3D">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be4cd2fbcf8b45ec96832496f4500b75"/>
                <w:id w:val="24720166"/>
                <w:lock w:val="sdtLocked"/>
              </w:sdtPr>
              <w:sdtContent>
                <w:tc>
                  <w:tcPr>
                    <w:tcW w:w="1026" w:type="pct"/>
                  </w:tcPr>
                  <w:p w:rsidR="006314F1" w:rsidRDefault="006314F1" w:rsidP="00A92A3D">
                    <w:pPr>
                      <w:pStyle w:val="a9"/>
                      <w:ind w:firstLineChars="0" w:firstLine="0"/>
                      <w:jc w:val="right"/>
                      <w:rPr>
                        <w:rFonts w:ascii="宋体" w:hAnsi="宋体"/>
                        <w:szCs w:val="21"/>
                      </w:rPr>
                    </w:pPr>
                    <w:r>
                      <w:rPr>
                        <w:rFonts w:ascii="宋体" w:hAnsi="宋体"/>
                        <w:szCs w:val="21"/>
                      </w:rPr>
                      <w:t>16.79</w:t>
                    </w:r>
                  </w:p>
                </w:tc>
              </w:sdtContent>
            </w:sdt>
            <w:sdt>
              <w:sdtPr>
                <w:rPr>
                  <w:rFonts w:ascii="宋体" w:hAnsi="宋体"/>
                  <w:szCs w:val="21"/>
                </w:rPr>
                <w:alias w:val="投资活动产生的现金流量净额"/>
                <w:tag w:val="_GBC_78c02e2e3c3a48dcb81744de3c98de46"/>
                <w:id w:val="24720167"/>
                <w:lock w:val="sdtLocked"/>
              </w:sdtPr>
              <w:sdtContent>
                <w:tc>
                  <w:tcPr>
                    <w:tcW w:w="1036" w:type="pct"/>
                  </w:tcPr>
                  <w:p w:rsidR="006314F1" w:rsidRDefault="006314F1" w:rsidP="00A92A3D">
                    <w:pPr>
                      <w:pStyle w:val="a9"/>
                      <w:ind w:firstLineChars="0" w:firstLine="0"/>
                      <w:jc w:val="right"/>
                      <w:rPr>
                        <w:rFonts w:ascii="宋体" w:hAnsi="宋体"/>
                        <w:szCs w:val="21"/>
                      </w:rPr>
                    </w:pPr>
                    <w:r>
                      <w:rPr>
                        <w:rFonts w:ascii="宋体" w:hAnsi="宋体"/>
                        <w:szCs w:val="21"/>
                      </w:rPr>
                      <w:t>14.39</w:t>
                    </w:r>
                  </w:p>
                </w:tc>
              </w:sdtContent>
            </w:sdt>
            <w:sdt>
              <w:sdtPr>
                <w:rPr>
                  <w:rFonts w:ascii="宋体" w:hAnsi="宋体"/>
                  <w:szCs w:val="21"/>
                </w:rPr>
                <w:alias w:val="投资活动产生的现金流量净额本期比上期增减"/>
                <w:tag w:val="_GBC_3b79713e6f834fbe8113c3409eecc803"/>
                <w:id w:val="24720168"/>
                <w:lock w:val="sdtLocked"/>
              </w:sdtPr>
              <w:sdtContent>
                <w:tc>
                  <w:tcPr>
                    <w:tcW w:w="1019" w:type="pct"/>
                  </w:tcPr>
                  <w:p w:rsidR="006314F1" w:rsidRDefault="006314F1" w:rsidP="00A92A3D">
                    <w:pPr>
                      <w:pStyle w:val="a9"/>
                      <w:ind w:firstLineChars="0" w:firstLine="0"/>
                      <w:jc w:val="right"/>
                      <w:rPr>
                        <w:rFonts w:ascii="宋体" w:hAnsi="宋体"/>
                        <w:szCs w:val="21"/>
                      </w:rPr>
                    </w:pPr>
                    <w:r>
                      <w:rPr>
                        <w:rFonts w:ascii="宋体" w:hAnsi="宋体"/>
                        <w:szCs w:val="21"/>
                      </w:rPr>
                      <w:t>16.68</w:t>
                    </w:r>
                  </w:p>
                </w:tc>
              </w:sdtContent>
            </w:sdt>
          </w:tr>
          <w:tr w:rsidR="006314F1" w:rsidTr="00A92A3D">
            <w:tc>
              <w:tcPr>
                <w:tcW w:w="1919" w:type="pct"/>
              </w:tcPr>
              <w:p w:rsidR="006314F1" w:rsidRDefault="006314F1" w:rsidP="00A92A3D">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adc0bffe45464cbfa94b8b854671277b"/>
                <w:id w:val="24720169"/>
                <w:lock w:val="sdtLocked"/>
              </w:sdtPr>
              <w:sdtContent>
                <w:tc>
                  <w:tcPr>
                    <w:tcW w:w="1026" w:type="pct"/>
                  </w:tcPr>
                  <w:p w:rsidR="006314F1" w:rsidRDefault="006314F1" w:rsidP="00A92A3D">
                    <w:pPr>
                      <w:pStyle w:val="a9"/>
                      <w:ind w:firstLineChars="0" w:firstLine="0"/>
                      <w:jc w:val="right"/>
                      <w:rPr>
                        <w:rFonts w:ascii="宋体" w:hAnsi="宋体"/>
                        <w:szCs w:val="21"/>
                      </w:rPr>
                    </w:pPr>
                    <w:r>
                      <w:rPr>
                        <w:rFonts w:ascii="宋体" w:hAnsi="宋体"/>
                        <w:szCs w:val="21"/>
                      </w:rPr>
                      <w:t>701.70</w:t>
                    </w:r>
                  </w:p>
                </w:tc>
              </w:sdtContent>
            </w:sdt>
            <w:sdt>
              <w:sdtPr>
                <w:rPr>
                  <w:rFonts w:ascii="宋体" w:hAnsi="宋体"/>
                  <w:szCs w:val="21"/>
                </w:rPr>
                <w:alias w:val="筹资活动产生的现金流量净额"/>
                <w:tag w:val="_GBC_8a26c380863f4c24aa8ef8c5ff212afb"/>
                <w:id w:val="24720170"/>
                <w:lock w:val="sdtLocked"/>
              </w:sdtPr>
              <w:sdtContent>
                <w:tc>
                  <w:tcPr>
                    <w:tcW w:w="1036" w:type="pct"/>
                  </w:tcPr>
                  <w:p w:rsidR="006314F1" w:rsidRDefault="006314F1" w:rsidP="00A92A3D">
                    <w:pPr>
                      <w:pStyle w:val="a9"/>
                      <w:ind w:firstLineChars="0" w:firstLine="0"/>
                      <w:jc w:val="right"/>
                      <w:rPr>
                        <w:rFonts w:ascii="宋体" w:hAnsi="宋体"/>
                        <w:szCs w:val="21"/>
                      </w:rPr>
                    </w:pPr>
                    <w:r>
                      <w:rPr>
                        <w:rFonts w:ascii="宋体" w:hAnsi="宋体"/>
                        <w:szCs w:val="21"/>
                      </w:rPr>
                      <w:t>85.81</w:t>
                    </w:r>
                  </w:p>
                </w:tc>
              </w:sdtContent>
            </w:sdt>
            <w:sdt>
              <w:sdtPr>
                <w:rPr>
                  <w:rFonts w:ascii="宋体" w:hAnsi="宋体"/>
                  <w:szCs w:val="21"/>
                </w:rPr>
                <w:alias w:val="筹资活动产生的现金流量净额本期比上期增减"/>
                <w:tag w:val="_GBC_beee9b10bf9d4f2282c697be3b29aa2f"/>
                <w:id w:val="24720171"/>
                <w:lock w:val="sdtLocked"/>
              </w:sdtPr>
              <w:sdtContent>
                <w:tc>
                  <w:tcPr>
                    <w:tcW w:w="1019" w:type="pct"/>
                  </w:tcPr>
                  <w:p w:rsidR="006314F1" w:rsidRDefault="006314F1" w:rsidP="00A92A3D">
                    <w:pPr>
                      <w:pStyle w:val="a9"/>
                      <w:ind w:firstLineChars="0" w:firstLine="0"/>
                      <w:jc w:val="right"/>
                      <w:rPr>
                        <w:rFonts w:ascii="宋体" w:hAnsi="宋体"/>
                        <w:szCs w:val="21"/>
                      </w:rPr>
                    </w:pPr>
                    <w:r>
                      <w:rPr>
                        <w:rFonts w:ascii="宋体" w:hAnsi="宋体"/>
                        <w:szCs w:val="21"/>
                      </w:rPr>
                      <w:t>717.74</w:t>
                    </w:r>
                  </w:p>
                </w:tc>
              </w:sdtContent>
            </w:sdt>
          </w:tr>
        </w:tbl>
        <w:p w:rsidR="00704CAD" w:rsidRPr="006314F1" w:rsidRDefault="00720895" w:rsidP="003A49D5">
          <w:pPr>
            <w:pStyle w:val="a9"/>
            <w:spacing w:line="360" w:lineRule="auto"/>
            <w:ind w:firstLineChars="201" w:firstLine="424"/>
            <w:jc w:val="left"/>
            <w:rPr>
              <w:rFonts w:ascii="宋体" w:hAnsi="宋体"/>
              <w:szCs w:val="21"/>
            </w:rPr>
          </w:pPr>
          <w:r w:rsidRPr="006314F1">
            <w:rPr>
              <w:rFonts w:ascii="宋体" w:hAnsi="宋体" w:hint="eastAsia"/>
              <w:b/>
              <w:szCs w:val="21"/>
            </w:rPr>
            <w:t>营业收入变动原因说明</w:t>
          </w:r>
          <w:r w:rsidRPr="006314F1">
            <w:rPr>
              <w:rFonts w:ascii="宋体" w:hAnsi="宋体" w:hint="eastAsia"/>
              <w:szCs w:val="21"/>
            </w:rPr>
            <w:t>:</w:t>
          </w:r>
          <w:sdt>
            <w:sdtPr>
              <w:rPr>
                <w:rFonts w:ascii="宋体" w:hAnsi="宋体"/>
                <w:szCs w:val="21"/>
              </w:rPr>
              <w:alias w:val="营业收入变动原因说明"/>
              <w:tag w:val="_GBC_27301ec6f58a4446955ff4a11f1756b4"/>
              <w:id w:val="24720172"/>
              <w:lock w:val="sdtLocked"/>
              <w:placeholder>
                <w:docPart w:val="GBC22222222222222222222222222222"/>
              </w:placeholder>
            </w:sdtPr>
            <w:sdtContent>
              <w:r w:rsidR="006314F1" w:rsidRPr="006314F1">
                <w:rPr>
                  <w:rFonts w:ascii="宋体" w:hAnsi="宋体" w:hint="eastAsia"/>
                  <w:szCs w:val="21"/>
                </w:rPr>
                <w:t>2015年上半年，沪深股指大幅上扬，两市交易活跃，成交量较上年同期大幅上升，公司积极把握市场机会，提升各项业务竞争力，公司各主要业务收入均同比大幅增长，经营业绩快速提升。</w:t>
              </w:r>
            </w:sdtContent>
          </w:sdt>
        </w:p>
        <w:p w:rsidR="00704CAD" w:rsidRPr="006314F1" w:rsidRDefault="00720895" w:rsidP="003A49D5">
          <w:pPr>
            <w:pStyle w:val="a9"/>
            <w:spacing w:line="360" w:lineRule="auto"/>
            <w:ind w:firstLineChars="201" w:firstLine="424"/>
            <w:jc w:val="left"/>
            <w:rPr>
              <w:rFonts w:ascii="宋体" w:hAnsi="宋体"/>
              <w:szCs w:val="21"/>
            </w:rPr>
          </w:pPr>
          <w:r w:rsidRPr="006314F1">
            <w:rPr>
              <w:rFonts w:ascii="宋体" w:hAnsi="宋体" w:hint="eastAsia"/>
              <w:b/>
              <w:szCs w:val="21"/>
            </w:rPr>
            <w:t>营业</w:t>
          </w:r>
          <w:r w:rsidR="00C1334D">
            <w:rPr>
              <w:rFonts w:ascii="宋体" w:hAnsi="宋体" w:hint="eastAsia"/>
              <w:b/>
              <w:szCs w:val="21"/>
            </w:rPr>
            <w:t>支出</w:t>
          </w:r>
          <w:r w:rsidRPr="006314F1">
            <w:rPr>
              <w:rFonts w:ascii="宋体" w:hAnsi="宋体" w:hint="eastAsia"/>
              <w:b/>
              <w:szCs w:val="21"/>
            </w:rPr>
            <w:t>变动原因说明</w:t>
          </w:r>
          <w:r w:rsidRPr="006314F1">
            <w:rPr>
              <w:rFonts w:ascii="宋体" w:hAnsi="宋体" w:hint="eastAsia"/>
              <w:szCs w:val="21"/>
            </w:rPr>
            <w:t>:</w:t>
          </w:r>
          <w:sdt>
            <w:sdtPr>
              <w:rPr>
                <w:rFonts w:ascii="宋体" w:hAnsi="宋体" w:hint="eastAsia"/>
                <w:szCs w:val="21"/>
              </w:rPr>
              <w:alias w:val="营业成本变动原因说明"/>
              <w:tag w:val="_GBC_0f699cc146794e2cbe787172ff3490ca"/>
              <w:id w:val="24720173"/>
              <w:lock w:val="sdtLocked"/>
              <w:placeholder>
                <w:docPart w:val="GBC22222222222222222222222222222"/>
              </w:placeholder>
            </w:sdtPr>
            <w:sdtContent>
              <w:r w:rsidR="00C1334D" w:rsidRPr="006314F1">
                <w:rPr>
                  <w:rFonts w:ascii="宋体" w:hAnsi="宋体" w:hint="eastAsia"/>
                  <w:szCs w:val="21"/>
                </w:rPr>
                <w:t>2015年上半年，</w:t>
              </w:r>
              <w:r w:rsidR="006314F1" w:rsidRPr="006314F1">
                <w:rPr>
                  <w:rFonts w:ascii="宋体" w:hAnsi="宋体" w:hint="eastAsia"/>
                  <w:szCs w:val="21"/>
                </w:rPr>
                <w:t>公司业务及管理费同比增长227.80</w:t>
              </w:r>
              <w:r w:rsidR="006314F1" w:rsidRPr="006314F1">
                <w:rPr>
                  <w:rFonts w:ascii="宋体" w:hAnsi="宋体"/>
                  <w:szCs w:val="21"/>
                </w:rPr>
                <w:t>%</w:t>
              </w:r>
              <w:r w:rsidR="006314F1" w:rsidRPr="006314F1">
                <w:rPr>
                  <w:rFonts w:ascii="宋体" w:hAnsi="宋体" w:hint="eastAsia"/>
                  <w:szCs w:val="21"/>
                </w:rPr>
                <w:t>，主要是收入增长带动相关变动成本增长及公司业务规模增长导致的运营类成本的增加。</w:t>
              </w:r>
            </w:sdtContent>
          </w:sdt>
        </w:p>
        <w:p w:rsidR="00704CAD" w:rsidRPr="006314F1" w:rsidRDefault="00720895" w:rsidP="003A49D5">
          <w:pPr>
            <w:pStyle w:val="a9"/>
            <w:spacing w:line="360" w:lineRule="auto"/>
            <w:ind w:firstLineChars="201" w:firstLine="424"/>
            <w:jc w:val="left"/>
            <w:rPr>
              <w:rFonts w:ascii="宋体" w:hAnsi="宋体"/>
              <w:szCs w:val="21"/>
            </w:rPr>
          </w:pPr>
          <w:r w:rsidRPr="006314F1">
            <w:rPr>
              <w:rFonts w:ascii="宋体" w:hAnsi="宋体"/>
              <w:b/>
              <w:szCs w:val="21"/>
            </w:rPr>
            <w:t>经营活动产生的现金流量净额</w:t>
          </w:r>
          <w:r w:rsidRPr="006314F1">
            <w:rPr>
              <w:rFonts w:ascii="宋体" w:hAnsi="宋体" w:hint="eastAsia"/>
              <w:b/>
              <w:szCs w:val="21"/>
            </w:rPr>
            <w:t>变动原因说明</w:t>
          </w:r>
          <w:r w:rsidRPr="006314F1">
            <w:rPr>
              <w:rFonts w:ascii="宋体" w:hAnsi="宋体" w:hint="eastAsia"/>
              <w:szCs w:val="21"/>
            </w:rPr>
            <w:t>:</w:t>
          </w:r>
          <w:sdt>
            <w:sdtPr>
              <w:rPr>
                <w:rFonts w:ascii="宋体" w:hAnsi="宋体" w:hint="eastAsia"/>
                <w:szCs w:val="21"/>
              </w:rPr>
              <w:alias w:val="经营活动产生的现金流量净额变动原因说明"/>
              <w:tag w:val="_GBC_dda7b9e408bf47628613b971356d994f"/>
              <w:id w:val="24720174"/>
              <w:lock w:val="sdtLocked"/>
              <w:placeholder>
                <w:docPart w:val="GBC22222222222222222222222222222"/>
              </w:placeholder>
            </w:sdtPr>
            <w:sdtContent>
              <w:r w:rsidR="006314F1" w:rsidRPr="006314F1">
                <w:rPr>
                  <w:rFonts w:ascii="宋体" w:hAnsi="宋体" w:hint="eastAsia"/>
                  <w:szCs w:val="21"/>
                </w:rPr>
                <w:t>2015年上半年，公司经营活动产生的现金流量净额同比增长152.51亿元，主要是：代理买卖证券业务现金流入净额同比增加707.18亿元，收取利息、手续费及佣金的现金流入净额同比增加111.25亿元，融出资金现金流出净额同比增加525.03亿元，拆入资金净流出同比增加41亿元，支付利息、手续费及佣金的现金流出净额同比</w:t>
              </w:r>
              <w:r w:rsidR="006314F1" w:rsidRPr="006314F1">
                <w:rPr>
                  <w:rFonts w:ascii="宋体" w:hAnsi="宋体" w:hint="eastAsia"/>
                  <w:szCs w:val="21"/>
                </w:rPr>
                <w:lastRenderedPageBreak/>
                <w:t>增加26.71亿元。</w:t>
              </w:r>
            </w:sdtContent>
          </w:sdt>
        </w:p>
        <w:p w:rsidR="00704CAD" w:rsidRPr="006314F1" w:rsidRDefault="00720895" w:rsidP="003A49D5">
          <w:pPr>
            <w:pStyle w:val="a9"/>
            <w:spacing w:line="360" w:lineRule="auto"/>
            <w:ind w:firstLineChars="201" w:firstLine="424"/>
            <w:jc w:val="left"/>
            <w:rPr>
              <w:rFonts w:ascii="宋体" w:hAnsi="宋体"/>
              <w:szCs w:val="21"/>
            </w:rPr>
          </w:pPr>
          <w:r w:rsidRPr="006314F1">
            <w:rPr>
              <w:rFonts w:ascii="宋体" w:hAnsi="宋体"/>
              <w:b/>
              <w:szCs w:val="21"/>
            </w:rPr>
            <w:t>投资活动产生的现金流量净额</w:t>
          </w:r>
          <w:r w:rsidRPr="006314F1">
            <w:rPr>
              <w:rFonts w:ascii="宋体" w:hAnsi="宋体" w:hint="eastAsia"/>
              <w:b/>
              <w:szCs w:val="21"/>
            </w:rPr>
            <w:t>变动原因说明</w:t>
          </w:r>
          <w:r w:rsidRPr="006314F1">
            <w:rPr>
              <w:rFonts w:ascii="宋体" w:hAnsi="宋体" w:hint="eastAsia"/>
              <w:szCs w:val="21"/>
            </w:rPr>
            <w:t>:</w:t>
          </w:r>
          <w:sdt>
            <w:sdtPr>
              <w:rPr>
                <w:rFonts w:ascii="宋体" w:hAnsi="宋体" w:hint="eastAsia"/>
                <w:szCs w:val="21"/>
              </w:rPr>
              <w:alias w:val="投资活动产生的现金流量净额变动原因说明"/>
              <w:tag w:val="_GBC_783abb860605432a8212c5eee716d546"/>
              <w:id w:val="24720175"/>
              <w:lock w:val="sdtLocked"/>
              <w:placeholder>
                <w:docPart w:val="GBC22222222222222222222222222222"/>
              </w:placeholder>
            </w:sdtPr>
            <w:sdtContent>
              <w:r w:rsidR="006314F1" w:rsidRPr="006314F1">
                <w:rPr>
                  <w:rFonts w:ascii="宋体" w:hAnsi="宋体" w:hint="eastAsia"/>
                  <w:szCs w:val="21"/>
                </w:rPr>
                <w:t>2015年上半年，</w:t>
              </w:r>
              <w:r w:rsidR="006314F1">
                <w:rPr>
                  <w:rFonts w:ascii="宋体" w:hAnsi="宋体" w:hint="eastAsia"/>
                  <w:szCs w:val="21"/>
                </w:rPr>
                <w:t>公司</w:t>
              </w:r>
              <w:r w:rsidR="006314F1" w:rsidRPr="006314F1">
                <w:rPr>
                  <w:rFonts w:ascii="宋体" w:hAnsi="宋体" w:hint="eastAsia"/>
                  <w:szCs w:val="21"/>
                </w:rPr>
                <w:t>投资活动产生的现金流量净额同比增长2.40亿元，主要是：</w:t>
              </w:r>
              <w:r w:rsidR="00484A41">
                <w:rPr>
                  <w:rFonts w:ascii="宋体" w:hAnsi="宋体" w:hint="eastAsia"/>
                  <w:szCs w:val="21"/>
                </w:rPr>
                <w:t>本期</w:t>
              </w:r>
              <w:r w:rsidR="006314F1" w:rsidRPr="006314F1">
                <w:rPr>
                  <w:rFonts w:ascii="宋体" w:hAnsi="宋体" w:hint="eastAsia"/>
                  <w:szCs w:val="21"/>
                </w:rPr>
                <w:t>取得投资收益收到的现金同比增加5.73亿元，收回投资收到的现金同比减少3.31亿元。</w:t>
              </w:r>
            </w:sdtContent>
          </w:sdt>
        </w:p>
        <w:p w:rsidR="00704CAD" w:rsidRPr="006314F1" w:rsidRDefault="00720895" w:rsidP="003A49D5">
          <w:pPr>
            <w:pStyle w:val="a9"/>
            <w:spacing w:line="360" w:lineRule="auto"/>
            <w:ind w:firstLineChars="201" w:firstLine="424"/>
            <w:jc w:val="left"/>
            <w:rPr>
              <w:rFonts w:ascii="宋体" w:hAnsi="宋体"/>
              <w:szCs w:val="21"/>
            </w:rPr>
          </w:pPr>
          <w:r w:rsidRPr="006314F1">
            <w:rPr>
              <w:rFonts w:ascii="宋体" w:hAnsi="宋体"/>
              <w:b/>
              <w:szCs w:val="21"/>
            </w:rPr>
            <w:t>筹资活动产生的现金流量净额</w:t>
          </w:r>
          <w:r w:rsidRPr="006314F1">
            <w:rPr>
              <w:rFonts w:ascii="宋体" w:hAnsi="宋体" w:hint="eastAsia"/>
              <w:b/>
              <w:szCs w:val="21"/>
            </w:rPr>
            <w:t>变动原因说明</w:t>
          </w:r>
          <w:r w:rsidRPr="006314F1">
            <w:rPr>
              <w:rFonts w:ascii="宋体" w:hAnsi="宋体" w:hint="eastAsia"/>
              <w:szCs w:val="21"/>
            </w:rPr>
            <w:t>:</w:t>
          </w:r>
          <w:sdt>
            <w:sdtPr>
              <w:rPr>
                <w:rFonts w:ascii="宋体" w:hAnsi="宋体" w:hint="eastAsia"/>
                <w:szCs w:val="21"/>
              </w:rPr>
              <w:alias w:val="筹资活动产生的现金流量净额变动原因说明"/>
              <w:tag w:val="_GBC_f41b108052e844ba8003fe98a9cc64cc"/>
              <w:id w:val="24720176"/>
              <w:lock w:val="sdtLocked"/>
              <w:placeholder>
                <w:docPart w:val="GBC22222222222222222222222222222"/>
              </w:placeholder>
            </w:sdtPr>
            <w:sdtContent>
              <w:r w:rsidR="006314F1" w:rsidRPr="006314F1">
                <w:rPr>
                  <w:rFonts w:ascii="宋体" w:hAnsi="宋体" w:hint="eastAsia"/>
                  <w:szCs w:val="21"/>
                </w:rPr>
                <w:t>2015年上半年，</w:t>
              </w:r>
              <w:r w:rsidR="006314F1">
                <w:rPr>
                  <w:rFonts w:ascii="宋体" w:hAnsi="宋体" w:hint="eastAsia"/>
                  <w:szCs w:val="21"/>
                </w:rPr>
                <w:t>公司</w:t>
              </w:r>
              <w:r w:rsidR="006314F1" w:rsidRPr="006314F1">
                <w:rPr>
                  <w:rFonts w:ascii="宋体" w:hAnsi="宋体" w:hint="eastAsia"/>
                  <w:szCs w:val="21"/>
                </w:rPr>
                <w:t>筹资活动产生的现金流量净额同比增加615.89亿元，主要是因</w:t>
              </w:r>
              <w:r w:rsidR="00484A41">
                <w:rPr>
                  <w:rFonts w:ascii="宋体" w:hAnsi="宋体" w:hint="eastAsia"/>
                  <w:szCs w:val="21"/>
                </w:rPr>
                <w:t>本期</w:t>
              </w:r>
              <w:r w:rsidR="006314F1" w:rsidRPr="006314F1">
                <w:rPr>
                  <w:rFonts w:ascii="宋体" w:hAnsi="宋体" w:hint="eastAsia"/>
                  <w:szCs w:val="21"/>
                </w:rPr>
                <w:t>公司通过发行次级债、短期公司债、收益凭证等方式筹集资金净额同比增加。</w:t>
              </w:r>
            </w:sdtContent>
          </w:sdt>
        </w:p>
      </w:sdtContent>
    </w:sdt>
    <w:p w:rsidR="00704CAD" w:rsidRDefault="00704CAD" w:rsidP="003A49D5">
      <w:pPr>
        <w:pStyle w:val="a9"/>
        <w:spacing w:line="360" w:lineRule="auto"/>
        <w:ind w:firstLineChars="0" w:firstLine="0"/>
        <w:jc w:val="left"/>
      </w:pPr>
      <w:bookmarkStart w:id="21" w:name="_Toc342565903"/>
      <w:bookmarkStart w:id="22" w:name="_Toc342559755"/>
    </w:p>
    <w:p w:rsidR="00704CAD" w:rsidRDefault="00720895" w:rsidP="001C1A59">
      <w:pPr>
        <w:pStyle w:val="4"/>
        <w:numPr>
          <w:ilvl w:val="0"/>
          <w:numId w:val="8"/>
        </w:numPr>
        <w:rPr>
          <w:szCs w:val="21"/>
        </w:rPr>
      </w:pPr>
      <w:r>
        <w:rPr>
          <w:rFonts w:hint="eastAsia"/>
          <w:szCs w:val="21"/>
        </w:rPr>
        <w:t>其他</w:t>
      </w:r>
    </w:p>
    <w:sdt>
      <w:sdtPr>
        <w:rPr>
          <w:rFonts w:ascii="宋体" w:hAnsi="宋体" w:cs="宋体"/>
          <w:b w:val="0"/>
          <w:bCs w:val="0"/>
          <w:kern w:val="0"/>
          <w:szCs w:val="21"/>
        </w:rPr>
        <w:tag w:val="_GBC_e53689c24b66451ebadd4f8f317e87e6"/>
        <w:id w:val="24720179"/>
        <w:lock w:val="sdtLocked"/>
        <w:placeholder>
          <w:docPart w:val="GBC22222222222222222222222222222"/>
        </w:placeholder>
      </w:sdtPr>
      <w:sdtEndPr>
        <w:rPr>
          <w:rFonts w:hint="eastAsia"/>
        </w:rPr>
      </w:sdtEndPr>
      <w:sdtContent>
        <w:p w:rsidR="00704CAD" w:rsidRPr="003A49D5" w:rsidRDefault="00720895" w:rsidP="009950AC">
          <w:pPr>
            <w:pStyle w:val="5"/>
            <w:numPr>
              <w:ilvl w:val="0"/>
              <w:numId w:val="19"/>
            </w:numPr>
            <w:tabs>
              <w:tab w:val="left" w:pos="588"/>
            </w:tabs>
            <w:rPr>
              <w:szCs w:val="21"/>
            </w:rPr>
          </w:pPr>
          <w:r w:rsidRPr="003A49D5">
            <w:rPr>
              <w:szCs w:val="21"/>
            </w:rPr>
            <w:t>公司利润构成或利润来源发生重大变动的详细说明</w:t>
          </w:r>
        </w:p>
        <w:sdt>
          <w:sdtPr>
            <w:rPr>
              <w:rFonts w:hint="eastAsia"/>
              <w:szCs w:val="21"/>
            </w:rPr>
            <w:alias w:val="主营业务构成情况的说明"/>
            <w:tag w:val="_GBC_06bf225f14fa4fcf889ebd27dd743e63"/>
            <w:id w:val="24720178"/>
            <w:lock w:val="sdtLocked"/>
            <w:placeholder>
              <w:docPart w:val="GBC22222222222222222222222222222"/>
            </w:placeholder>
          </w:sdtPr>
          <w:sdtContent>
            <w:p w:rsidR="00704CAD" w:rsidRPr="003A49D5" w:rsidRDefault="00386400" w:rsidP="00CB3294">
              <w:pPr>
                <w:spacing w:line="360" w:lineRule="auto"/>
                <w:ind w:firstLineChars="202" w:firstLine="424"/>
                <w:rPr>
                  <w:szCs w:val="21"/>
                </w:rPr>
              </w:pPr>
              <w:r w:rsidRPr="003A49D5">
                <w:rPr>
                  <w:rFonts w:hint="eastAsia"/>
                  <w:szCs w:val="21"/>
                </w:rPr>
                <w:t>公司利润构成和来源无重大变化。</w:t>
              </w:r>
            </w:p>
          </w:sdtContent>
        </w:sdt>
      </w:sdtContent>
    </w:sdt>
    <w:sdt>
      <w:sdtPr>
        <w:rPr>
          <w:rFonts w:ascii="宋体" w:hAnsi="宋体" w:cs="宋体"/>
          <w:b w:val="0"/>
          <w:bCs w:val="0"/>
          <w:kern w:val="0"/>
          <w:szCs w:val="21"/>
        </w:rPr>
        <w:tag w:val="_GBC_af3225e80ba045a799be3d30c96fc27d"/>
        <w:id w:val="24720181"/>
        <w:lock w:val="sdtLocked"/>
        <w:placeholder>
          <w:docPart w:val="GBC22222222222222222222222222222"/>
        </w:placeholder>
      </w:sdtPr>
      <w:sdtEndPr>
        <w:rPr>
          <w:rFonts w:asciiTheme="minorEastAsia" w:eastAsiaTheme="minorEastAsia" w:hAnsiTheme="minorEastAsia" w:hint="eastAsia"/>
        </w:rPr>
      </w:sdtEndPr>
      <w:sdtContent>
        <w:p w:rsidR="00704CAD" w:rsidRPr="003A49D5" w:rsidRDefault="00720895" w:rsidP="009950AC">
          <w:pPr>
            <w:pStyle w:val="5"/>
            <w:numPr>
              <w:ilvl w:val="0"/>
              <w:numId w:val="19"/>
            </w:numPr>
            <w:tabs>
              <w:tab w:val="left" w:pos="602"/>
            </w:tabs>
            <w:rPr>
              <w:szCs w:val="21"/>
            </w:rPr>
          </w:pPr>
          <w:r w:rsidRPr="003A49D5">
            <w:rPr>
              <w:szCs w:val="21"/>
            </w:rPr>
            <w:t>公司前期各类融资事项实施进度分析说明</w:t>
          </w:r>
        </w:p>
        <w:sdt>
          <w:sdtPr>
            <w:rPr>
              <w:rFonts w:ascii="宋体" w:hAnsi="宋体" w:cs="宋体" w:hint="eastAsia"/>
              <w:kern w:val="0"/>
              <w:szCs w:val="21"/>
            </w:rPr>
            <w:alias w:val="公司对规划目标的实施进度进行的分析"/>
            <w:tag w:val="_GBC_8609742a263c4d01b835ac92db619943"/>
            <w:id w:val="24720180"/>
            <w:lock w:val="sdtLocked"/>
            <w:placeholder>
              <w:docPart w:val="GBC22222222222222222222222222222"/>
            </w:placeholder>
          </w:sdtPr>
          <w:sdtContent>
            <w:p w:rsidR="002E4B8D" w:rsidRPr="003A49D5" w:rsidRDefault="002E4B8D" w:rsidP="003A0284">
              <w:pPr>
                <w:pStyle w:val="a9"/>
                <w:numPr>
                  <w:ilvl w:val="0"/>
                  <w:numId w:val="29"/>
                </w:numPr>
                <w:spacing w:beforeLines="50" w:afterLines="50" w:line="360" w:lineRule="auto"/>
                <w:ind w:firstLineChars="0"/>
                <w:rPr>
                  <w:b/>
                  <w:szCs w:val="21"/>
                </w:rPr>
              </w:pPr>
              <w:r w:rsidRPr="003A49D5">
                <w:rPr>
                  <w:rFonts w:hint="eastAsia"/>
                  <w:b/>
                  <w:szCs w:val="21"/>
                </w:rPr>
                <w:t>证券公司短期公司债券</w:t>
              </w:r>
            </w:p>
            <w:p w:rsidR="001C02E0" w:rsidRDefault="001C02E0" w:rsidP="003A0284">
              <w:pPr>
                <w:pStyle w:val="a9"/>
                <w:spacing w:beforeLines="50" w:afterLines="50" w:line="360" w:lineRule="auto"/>
                <w:ind w:leftChars="-68" w:left="-2" w:hangingChars="67" w:hanging="141"/>
                <w:jc w:val="center"/>
                <w:rPr>
                  <w:rFonts w:ascii="宋体" w:hAnsi="宋体" w:cs="宋体"/>
                  <w:b/>
                  <w:kern w:val="0"/>
                  <w:szCs w:val="21"/>
                </w:rPr>
              </w:pPr>
              <w:r w:rsidRPr="0018389F">
                <w:rPr>
                  <w:rFonts w:ascii="宋体" w:hAnsi="宋体" w:cs="宋体" w:hint="eastAsia"/>
                  <w:b/>
                  <w:kern w:val="0"/>
                  <w:szCs w:val="21"/>
                </w:rPr>
                <w:t>2015年上半年公司发行证券公司短期公司债券情况</w:t>
              </w:r>
            </w:p>
            <w:p w:rsidR="00064979" w:rsidRPr="0018389F" w:rsidRDefault="00064979" w:rsidP="00CB3294">
              <w:pPr>
                <w:pStyle w:val="a9"/>
                <w:spacing w:line="360" w:lineRule="auto"/>
                <w:ind w:leftChars="-68" w:left="4" w:hangingChars="67" w:hanging="147"/>
                <w:jc w:val="right"/>
                <w:rPr>
                  <w:rFonts w:ascii="宋体" w:hAnsi="宋体" w:cs="宋体"/>
                  <w:b/>
                  <w:kern w:val="0"/>
                  <w:szCs w:val="21"/>
                </w:rPr>
              </w:pPr>
              <w:r w:rsidRPr="001C02E0">
                <w:rPr>
                  <w:rFonts w:hint="eastAsia"/>
                  <w:color w:val="000000"/>
                  <w:sz w:val="22"/>
                </w:rPr>
                <w:t>单位：</w:t>
              </w:r>
              <w:r w:rsidR="003706B7">
                <w:rPr>
                  <w:rFonts w:hint="eastAsia"/>
                  <w:color w:val="000000"/>
                  <w:sz w:val="22"/>
                </w:rPr>
                <w:t>亿元</w:t>
              </w:r>
              <w:r w:rsidR="001D32E8">
                <w:rPr>
                  <w:rFonts w:hint="eastAsia"/>
                  <w:color w:val="000000"/>
                  <w:sz w:val="22"/>
                </w:rPr>
                <w:t xml:space="preserve">  </w:t>
              </w:r>
              <w:r w:rsidRPr="001C02E0">
                <w:rPr>
                  <w:rFonts w:hint="eastAsia"/>
                  <w:color w:val="000000"/>
                  <w:sz w:val="22"/>
                </w:rPr>
                <w:t>币种：人民币</w:t>
              </w:r>
            </w:p>
            <w:tbl>
              <w:tblPr>
                <w:tblW w:w="923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3764"/>
                <w:gridCol w:w="1185"/>
                <w:gridCol w:w="918"/>
                <w:gridCol w:w="1417"/>
              </w:tblGrid>
              <w:tr w:rsidR="001C02E0" w:rsidRPr="001C02E0" w:rsidTr="007D77D8">
                <w:trPr>
                  <w:trHeight w:val="494"/>
                  <w:tblHeader/>
                  <w:jc w:val="center"/>
                </w:trPr>
                <w:tc>
                  <w:tcPr>
                    <w:tcW w:w="1949" w:type="dxa"/>
                    <w:shd w:val="clear" w:color="auto" w:fill="auto"/>
                    <w:noWrap/>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发行</w:t>
                    </w:r>
                    <w:r w:rsidR="000648F7">
                      <w:rPr>
                        <w:rFonts w:hint="eastAsia"/>
                        <w:b/>
                        <w:bCs/>
                        <w:color w:val="000000"/>
                        <w:sz w:val="22"/>
                        <w:szCs w:val="22"/>
                      </w:rPr>
                      <w:t>完成</w:t>
                    </w:r>
                    <w:r w:rsidRPr="001C02E0">
                      <w:rPr>
                        <w:rFonts w:hint="eastAsia"/>
                        <w:b/>
                        <w:bCs/>
                        <w:color w:val="000000"/>
                        <w:sz w:val="22"/>
                        <w:szCs w:val="22"/>
                      </w:rPr>
                      <w:t>时间</w:t>
                    </w:r>
                  </w:p>
                </w:tc>
                <w:tc>
                  <w:tcPr>
                    <w:tcW w:w="3764" w:type="dxa"/>
                    <w:shd w:val="clear" w:color="auto" w:fill="auto"/>
                    <w:noWrap/>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名称</w:t>
                    </w:r>
                  </w:p>
                </w:tc>
                <w:tc>
                  <w:tcPr>
                    <w:tcW w:w="1185" w:type="dxa"/>
                    <w:shd w:val="clear" w:color="auto" w:fill="auto"/>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发行规模</w:t>
                    </w:r>
                  </w:p>
                </w:tc>
                <w:tc>
                  <w:tcPr>
                    <w:tcW w:w="918" w:type="dxa"/>
                    <w:shd w:val="clear" w:color="auto" w:fill="auto"/>
                    <w:vAlign w:val="center"/>
                    <w:hideMark/>
                  </w:tcPr>
                  <w:p w:rsidR="001C02E0" w:rsidRPr="001C02E0" w:rsidRDefault="001C02E0" w:rsidP="0029373A">
                    <w:pPr>
                      <w:jc w:val="center"/>
                      <w:rPr>
                        <w:b/>
                        <w:bCs/>
                        <w:color w:val="000000"/>
                        <w:sz w:val="22"/>
                        <w:szCs w:val="22"/>
                      </w:rPr>
                    </w:pPr>
                    <w:r w:rsidRPr="001C02E0">
                      <w:rPr>
                        <w:rFonts w:hint="eastAsia"/>
                        <w:b/>
                        <w:bCs/>
                        <w:color w:val="000000"/>
                        <w:sz w:val="22"/>
                        <w:szCs w:val="22"/>
                      </w:rPr>
                      <w:t>期限</w:t>
                    </w:r>
                  </w:p>
                </w:tc>
                <w:tc>
                  <w:tcPr>
                    <w:tcW w:w="1417" w:type="dxa"/>
                    <w:shd w:val="clear" w:color="auto" w:fill="auto"/>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票面利率</w:t>
                    </w:r>
                  </w:p>
                </w:tc>
              </w:tr>
              <w:tr w:rsidR="001C02E0" w:rsidRPr="001C02E0" w:rsidTr="007D77D8">
                <w:trPr>
                  <w:trHeight w:val="402"/>
                  <w:jc w:val="center"/>
                </w:trPr>
                <w:tc>
                  <w:tcPr>
                    <w:tcW w:w="1949" w:type="dxa"/>
                    <w:shd w:val="clear" w:color="auto" w:fill="auto"/>
                    <w:noWrap/>
                    <w:vAlign w:val="center"/>
                    <w:hideMark/>
                  </w:tcPr>
                  <w:p w:rsidR="001C02E0" w:rsidRPr="001C02E0" w:rsidRDefault="001C02E0" w:rsidP="00DB0673">
                    <w:pPr>
                      <w:jc w:val="center"/>
                      <w:rPr>
                        <w:color w:val="000000"/>
                        <w:sz w:val="22"/>
                        <w:szCs w:val="22"/>
                      </w:rPr>
                    </w:pPr>
                    <w:r w:rsidRPr="001C02E0">
                      <w:rPr>
                        <w:rFonts w:hint="eastAsia"/>
                        <w:color w:val="000000"/>
                        <w:sz w:val="22"/>
                        <w:szCs w:val="22"/>
                      </w:rPr>
                      <w:t>2015年1月</w:t>
                    </w:r>
                    <w:r w:rsidR="00DB0673" w:rsidRPr="00474FAD">
                      <w:rPr>
                        <w:rFonts w:hint="eastAsia"/>
                        <w:color w:val="000000"/>
                        <w:sz w:val="22"/>
                        <w:szCs w:val="22"/>
                      </w:rPr>
                      <w:t>13</w:t>
                    </w:r>
                    <w:r w:rsidRPr="001C02E0">
                      <w:rPr>
                        <w:rFonts w:hint="eastAsia"/>
                        <w:color w:val="000000"/>
                        <w:sz w:val="22"/>
                        <w:szCs w:val="22"/>
                      </w:rPr>
                      <w:t>日</w:t>
                    </w:r>
                  </w:p>
                </w:tc>
                <w:tc>
                  <w:tcPr>
                    <w:tcW w:w="3764"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2015年度第一期证券公司短期公司债</w:t>
                    </w:r>
                  </w:p>
                </w:tc>
                <w:tc>
                  <w:tcPr>
                    <w:tcW w:w="1185"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30</w:t>
                    </w:r>
                  </w:p>
                </w:tc>
                <w:tc>
                  <w:tcPr>
                    <w:tcW w:w="918"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365</w:t>
                    </w:r>
                    <w:r w:rsidR="0029373A">
                      <w:rPr>
                        <w:rFonts w:hint="eastAsia"/>
                        <w:color w:val="000000"/>
                        <w:sz w:val="22"/>
                        <w:szCs w:val="22"/>
                      </w:rPr>
                      <w:t>天</w:t>
                    </w:r>
                  </w:p>
                </w:tc>
                <w:tc>
                  <w:tcPr>
                    <w:tcW w:w="1417"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5.30%</w:t>
                    </w:r>
                  </w:p>
                </w:tc>
              </w:tr>
              <w:tr w:rsidR="001C02E0" w:rsidRPr="001C02E0" w:rsidTr="007D77D8">
                <w:trPr>
                  <w:trHeight w:val="402"/>
                  <w:jc w:val="center"/>
                </w:trPr>
                <w:tc>
                  <w:tcPr>
                    <w:tcW w:w="1949"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2015年1月20日</w:t>
                    </w:r>
                  </w:p>
                </w:tc>
                <w:tc>
                  <w:tcPr>
                    <w:tcW w:w="3764"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2015年度第二期证券公司短期公司债</w:t>
                    </w:r>
                  </w:p>
                </w:tc>
                <w:tc>
                  <w:tcPr>
                    <w:tcW w:w="1185"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40</w:t>
                    </w:r>
                  </w:p>
                </w:tc>
                <w:tc>
                  <w:tcPr>
                    <w:tcW w:w="918"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181</w:t>
                    </w:r>
                    <w:r w:rsidR="0029373A">
                      <w:rPr>
                        <w:rFonts w:hint="eastAsia"/>
                        <w:color w:val="000000"/>
                        <w:sz w:val="22"/>
                        <w:szCs w:val="22"/>
                      </w:rPr>
                      <w:t>天</w:t>
                    </w:r>
                  </w:p>
                </w:tc>
                <w:tc>
                  <w:tcPr>
                    <w:tcW w:w="1417"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5.29%</w:t>
                    </w:r>
                  </w:p>
                </w:tc>
              </w:tr>
              <w:tr w:rsidR="001C02E0" w:rsidRPr="001C02E0" w:rsidTr="007D77D8">
                <w:trPr>
                  <w:trHeight w:val="402"/>
                  <w:jc w:val="center"/>
                </w:trPr>
                <w:tc>
                  <w:tcPr>
                    <w:tcW w:w="1949"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2015年3月10日</w:t>
                    </w:r>
                  </w:p>
                </w:tc>
                <w:tc>
                  <w:tcPr>
                    <w:tcW w:w="3764"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2015年度第三期证券公司短期公司债</w:t>
                    </w:r>
                  </w:p>
                </w:tc>
                <w:tc>
                  <w:tcPr>
                    <w:tcW w:w="1185"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40</w:t>
                    </w:r>
                  </w:p>
                </w:tc>
                <w:tc>
                  <w:tcPr>
                    <w:tcW w:w="918" w:type="dxa"/>
                    <w:shd w:val="clear" w:color="auto" w:fill="auto"/>
                    <w:noWrap/>
                    <w:vAlign w:val="center"/>
                    <w:hideMark/>
                  </w:tcPr>
                  <w:p w:rsidR="001C02E0" w:rsidRPr="001C02E0" w:rsidRDefault="00474FAD" w:rsidP="001C02E0">
                    <w:pPr>
                      <w:jc w:val="center"/>
                      <w:rPr>
                        <w:color w:val="000000"/>
                        <w:sz w:val="22"/>
                        <w:szCs w:val="22"/>
                      </w:rPr>
                    </w:pPr>
                    <w:r>
                      <w:rPr>
                        <w:rFonts w:hint="eastAsia"/>
                        <w:color w:val="000000"/>
                        <w:sz w:val="22"/>
                        <w:szCs w:val="22"/>
                      </w:rPr>
                      <w:t>1年</w:t>
                    </w:r>
                  </w:p>
                </w:tc>
                <w:tc>
                  <w:tcPr>
                    <w:tcW w:w="1417"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5.34%</w:t>
                    </w:r>
                  </w:p>
                </w:tc>
              </w:tr>
              <w:tr w:rsidR="001C02E0" w:rsidRPr="001C02E0" w:rsidTr="007D77D8">
                <w:trPr>
                  <w:trHeight w:val="402"/>
                  <w:jc w:val="center"/>
                </w:trPr>
                <w:tc>
                  <w:tcPr>
                    <w:tcW w:w="1949"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2015年4月1日</w:t>
                    </w:r>
                  </w:p>
                </w:tc>
                <w:tc>
                  <w:tcPr>
                    <w:tcW w:w="3764"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2015年度第四期证券公司短期公司债</w:t>
                    </w:r>
                  </w:p>
                </w:tc>
                <w:tc>
                  <w:tcPr>
                    <w:tcW w:w="1185"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40</w:t>
                    </w:r>
                  </w:p>
                </w:tc>
                <w:tc>
                  <w:tcPr>
                    <w:tcW w:w="918" w:type="dxa"/>
                    <w:shd w:val="clear" w:color="auto" w:fill="auto"/>
                    <w:noWrap/>
                    <w:vAlign w:val="center"/>
                    <w:hideMark/>
                  </w:tcPr>
                  <w:p w:rsidR="001C02E0" w:rsidRPr="001C02E0" w:rsidRDefault="00474FAD" w:rsidP="001C02E0">
                    <w:pPr>
                      <w:jc w:val="center"/>
                      <w:rPr>
                        <w:color w:val="000000"/>
                        <w:sz w:val="22"/>
                        <w:szCs w:val="22"/>
                      </w:rPr>
                    </w:pPr>
                    <w:r>
                      <w:rPr>
                        <w:rFonts w:hint="eastAsia"/>
                        <w:color w:val="000000"/>
                        <w:sz w:val="22"/>
                        <w:szCs w:val="22"/>
                      </w:rPr>
                      <w:t>1年</w:t>
                    </w:r>
                  </w:p>
                </w:tc>
                <w:tc>
                  <w:tcPr>
                    <w:tcW w:w="1417" w:type="dxa"/>
                    <w:shd w:val="clear" w:color="auto" w:fill="auto"/>
                    <w:noWrap/>
                    <w:vAlign w:val="center"/>
                    <w:hideMark/>
                  </w:tcPr>
                  <w:p w:rsidR="001C02E0" w:rsidRPr="001C02E0" w:rsidRDefault="001C02E0" w:rsidP="001C02E0">
                    <w:pPr>
                      <w:jc w:val="center"/>
                      <w:rPr>
                        <w:color w:val="000000"/>
                        <w:sz w:val="22"/>
                        <w:szCs w:val="22"/>
                      </w:rPr>
                    </w:pPr>
                    <w:r w:rsidRPr="001C02E0">
                      <w:rPr>
                        <w:rFonts w:hint="eastAsia"/>
                        <w:color w:val="000000"/>
                        <w:sz w:val="22"/>
                        <w:szCs w:val="22"/>
                      </w:rPr>
                      <w:t>5.40%</w:t>
                    </w:r>
                  </w:p>
                </w:tc>
              </w:tr>
              <w:tr w:rsidR="001C02E0" w:rsidRPr="001C02E0" w:rsidTr="007D77D8">
                <w:trPr>
                  <w:trHeight w:val="402"/>
                  <w:jc w:val="center"/>
                </w:trPr>
                <w:tc>
                  <w:tcPr>
                    <w:tcW w:w="1949" w:type="dxa"/>
                    <w:shd w:val="clear" w:color="auto" w:fill="auto"/>
                    <w:noWrap/>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合计</w:t>
                    </w:r>
                  </w:p>
                </w:tc>
                <w:tc>
                  <w:tcPr>
                    <w:tcW w:w="3764" w:type="dxa"/>
                    <w:shd w:val="clear" w:color="auto" w:fill="auto"/>
                    <w:noWrap/>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 xml:space="preserve">　</w:t>
                    </w:r>
                  </w:p>
                </w:tc>
                <w:tc>
                  <w:tcPr>
                    <w:tcW w:w="1185" w:type="dxa"/>
                    <w:shd w:val="clear" w:color="auto" w:fill="auto"/>
                    <w:noWrap/>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150</w:t>
                    </w:r>
                  </w:p>
                </w:tc>
                <w:tc>
                  <w:tcPr>
                    <w:tcW w:w="918" w:type="dxa"/>
                    <w:shd w:val="clear" w:color="auto" w:fill="auto"/>
                    <w:noWrap/>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 xml:space="preserve">　</w:t>
                    </w:r>
                  </w:p>
                </w:tc>
                <w:tc>
                  <w:tcPr>
                    <w:tcW w:w="1417" w:type="dxa"/>
                    <w:shd w:val="clear" w:color="auto" w:fill="auto"/>
                    <w:noWrap/>
                    <w:vAlign w:val="center"/>
                    <w:hideMark/>
                  </w:tcPr>
                  <w:p w:rsidR="001C02E0" w:rsidRPr="001C02E0" w:rsidRDefault="001C02E0" w:rsidP="001C02E0">
                    <w:pPr>
                      <w:jc w:val="center"/>
                      <w:rPr>
                        <w:b/>
                        <w:bCs/>
                        <w:color w:val="000000"/>
                        <w:sz w:val="22"/>
                        <w:szCs w:val="22"/>
                      </w:rPr>
                    </w:pPr>
                    <w:r w:rsidRPr="001C02E0">
                      <w:rPr>
                        <w:rFonts w:hint="eastAsia"/>
                        <w:b/>
                        <w:bCs/>
                        <w:color w:val="000000"/>
                        <w:sz w:val="22"/>
                        <w:szCs w:val="22"/>
                      </w:rPr>
                      <w:t xml:space="preserve">　</w:t>
                    </w:r>
                  </w:p>
                </w:tc>
              </w:tr>
            </w:tbl>
            <w:p w:rsidR="002E4B8D" w:rsidRPr="002E4B8D" w:rsidRDefault="002E4B8D" w:rsidP="00CB3294">
              <w:pPr>
                <w:spacing w:line="360" w:lineRule="auto"/>
                <w:ind w:firstLineChars="200" w:firstLine="420"/>
                <w:rPr>
                  <w:szCs w:val="21"/>
                </w:rPr>
              </w:pPr>
              <w:r w:rsidRPr="002E4B8D">
                <w:rPr>
                  <w:rFonts w:hint="eastAsia"/>
                  <w:szCs w:val="21"/>
                </w:rPr>
                <w:t>公司已将上述债券募集资金按照募集说明书的有关约定全部补充营运资金。</w:t>
              </w:r>
            </w:p>
            <w:p w:rsidR="002E4B8D" w:rsidRPr="002E4B8D" w:rsidRDefault="002E4B8D" w:rsidP="00CB3294">
              <w:pPr>
                <w:spacing w:line="360" w:lineRule="auto"/>
                <w:ind w:firstLineChars="200" w:firstLine="420"/>
                <w:rPr>
                  <w:szCs w:val="21"/>
                </w:rPr>
              </w:pPr>
              <w:r w:rsidRPr="002E4B8D">
                <w:rPr>
                  <w:rFonts w:hint="eastAsia"/>
                  <w:szCs w:val="21"/>
                </w:rPr>
                <w:t>2015年3月20日，公司完成2014年度第一期证券公司短期公司债的本息兑付工作。</w:t>
              </w:r>
            </w:p>
            <w:p w:rsidR="002E4B8D" w:rsidRPr="002E4B8D" w:rsidRDefault="00422DCA" w:rsidP="003A0284">
              <w:pPr>
                <w:spacing w:beforeLines="50" w:afterLines="50" w:line="360" w:lineRule="auto"/>
                <w:ind w:firstLineChars="200" w:firstLine="422"/>
                <w:rPr>
                  <w:b/>
                  <w:szCs w:val="21"/>
                </w:rPr>
              </w:pPr>
              <w:r>
                <w:rPr>
                  <w:b/>
                  <w:szCs w:val="21"/>
                </w:rPr>
                <w:fldChar w:fldCharType="begin"/>
              </w:r>
              <w:r w:rsidR="00386400">
                <w:rPr>
                  <w:rFonts w:hint="eastAsia"/>
                  <w:b/>
                  <w:szCs w:val="21"/>
                </w:rPr>
                <w:instrText>= 2 \* GB3</w:instrText>
              </w:r>
              <w:r>
                <w:rPr>
                  <w:b/>
                  <w:szCs w:val="21"/>
                </w:rPr>
                <w:fldChar w:fldCharType="separate"/>
              </w:r>
              <w:r w:rsidR="00386400">
                <w:rPr>
                  <w:rFonts w:hint="eastAsia"/>
                  <w:b/>
                  <w:noProof/>
                  <w:szCs w:val="21"/>
                </w:rPr>
                <w:t>②</w:t>
              </w:r>
              <w:r>
                <w:rPr>
                  <w:b/>
                  <w:szCs w:val="21"/>
                </w:rPr>
                <w:fldChar w:fldCharType="end"/>
              </w:r>
              <w:r w:rsidR="002E4B8D" w:rsidRPr="002E4B8D">
                <w:rPr>
                  <w:rFonts w:hint="eastAsia"/>
                  <w:b/>
                  <w:szCs w:val="21"/>
                </w:rPr>
                <w:t>证券公司次级债券</w:t>
              </w:r>
            </w:p>
            <w:p w:rsidR="00C265D0" w:rsidRDefault="002E4B8D" w:rsidP="00CB3294">
              <w:pPr>
                <w:spacing w:line="360" w:lineRule="auto"/>
                <w:ind w:firstLineChars="200" w:firstLine="420"/>
                <w:rPr>
                  <w:szCs w:val="21"/>
                </w:rPr>
              </w:pPr>
              <w:r w:rsidRPr="002E4B8D">
                <w:rPr>
                  <w:rFonts w:hint="eastAsia"/>
                  <w:szCs w:val="21"/>
                </w:rPr>
                <w:t>2015年2月13日，公司2015年第一次临时股东大会审议通过了《关于发行次级债券的议案》，同意公司发行</w:t>
              </w:r>
              <w:r w:rsidR="00C265D0" w:rsidRPr="002E4B8D">
                <w:rPr>
                  <w:rFonts w:hint="eastAsia"/>
                  <w:szCs w:val="21"/>
                </w:rPr>
                <w:t>总规模不超过</w:t>
              </w:r>
              <w:r w:rsidR="00C265D0" w:rsidRPr="002E4B8D">
                <w:rPr>
                  <w:szCs w:val="21"/>
                </w:rPr>
                <w:t>350亿元（含350亿元）</w:t>
              </w:r>
              <w:r w:rsidR="00C265D0">
                <w:rPr>
                  <w:rFonts w:hint="eastAsia"/>
                  <w:szCs w:val="21"/>
                </w:rPr>
                <w:t>的</w:t>
              </w:r>
              <w:r w:rsidRPr="002E4B8D">
                <w:rPr>
                  <w:rFonts w:hint="eastAsia"/>
                  <w:szCs w:val="21"/>
                </w:rPr>
                <w:t>次级债券。</w:t>
              </w:r>
            </w:p>
            <w:p w:rsidR="003706B7" w:rsidRDefault="003706B7" w:rsidP="003A0284">
              <w:pPr>
                <w:pStyle w:val="a9"/>
                <w:spacing w:beforeLines="50" w:afterLines="50" w:line="360" w:lineRule="auto"/>
                <w:ind w:leftChars="-68" w:left="-2" w:hangingChars="67" w:hanging="141"/>
                <w:jc w:val="center"/>
                <w:rPr>
                  <w:rFonts w:ascii="宋体" w:hAnsi="宋体" w:cs="宋体"/>
                  <w:b/>
                  <w:kern w:val="0"/>
                  <w:szCs w:val="21"/>
                </w:rPr>
              </w:pPr>
              <w:r w:rsidRPr="0018389F">
                <w:rPr>
                  <w:rFonts w:ascii="宋体" w:hAnsi="宋体" w:cs="宋体" w:hint="eastAsia"/>
                  <w:b/>
                  <w:kern w:val="0"/>
                  <w:szCs w:val="21"/>
                </w:rPr>
                <w:t>2015年上半年公司发行证券公司</w:t>
              </w:r>
              <w:r>
                <w:rPr>
                  <w:rFonts w:ascii="宋体" w:hAnsi="宋体" w:cs="宋体" w:hint="eastAsia"/>
                  <w:b/>
                  <w:kern w:val="0"/>
                  <w:szCs w:val="21"/>
                </w:rPr>
                <w:t>次级</w:t>
              </w:r>
              <w:r w:rsidRPr="0018389F">
                <w:rPr>
                  <w:rFonts w:ascii="宋体" w:hAnsi="宋体" w:cs="宋体" w:hint="eastAsia"/>
                  <w:b/>
                  <w:kern w:val="0"/>
                  <w:szCs w:val="21"/>
                </w:rPr>
                <w:t>债券情况</w:t>
              </w:r>
            </w:p>
            <w:p w:rsidR="003706B7" w:rsidRPr="0018389F" w:rsidRDefault="003706B7" w:rsidP="00CB3294">
              <w:pPr>
                <w:pStyle w:val="a9"/>
                <w:spacing w:line="360" w:lineRule="auto"/>
                <w:ind w:leftChars="-68" w:left="4" w:hangingChars="67" w:hanging="147"/>
                <w:jc w:val="right"/>
                <w:rPr>
                  <w:rFonts w:ascii="宋体" w:hAnsi="宋体" w:cs="宋体"/>
                  <w:b/>
                  <w:kern w:val="0"/>
                  <w:szCs w:val="21"/>
                </w:rPr>
              </w:pPr>
              <w:r w:rsidRPr="001C02E0">
                <w:rPr>
                  <w:rFonts w:hint="eastAsia"/>
                  <w:color w:val="000000"/>
                  <w:sz w:val="22"/>
                </w:rPr>
                <w:t>单位：</w:t>
              </w:r>
              <w:r>
                <w:rPr>
                  <w:rFonts w:hint="eastAsia"/>
                  <w:color w:val="000000"/>
                  <w:sz w:val="22"/>
                </w:rPr>
                <w:t>亿元</w:t>
              </w:r>
              <w:r w:rsidR="001D32E8">
                <w:rPr>
                  <w:rFonts w:hint="eastAsia"/>
                  <w:color w:val="000000"/>
                  <w:sz w:val="22"/>
                </w:rPr>
                <w:t xml:space="preserve">  </w:t>
              </w:r>
              <w:r w:rsidRPr="001C02E0">
                <w:rPr>
                  <w:rFonts w:hint="eastAsia"/>
                  <w:color w:val="000000"/>
                  <w:sz w:val="22"/>
                </w:rPr>
                <w:t>币种：人民币</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6"/>
                <w:gridCol w:w="2807"/>
                <w:gridCol w:w="737"/>
                <w:gridCol w:w="1420"/>
                <w:gridCol w:w="766"/>
                <w:gridCol w:w="887"/>
                <w:gridCol w:w="1267"/>
                <w:gridCol w:w="876"/>
              </w:tblGrid>
              <w:tr w:rsidR="003706B7" w:rsidRPr="003706B7" w:rsidTr="001276A9">
                <w:trPr>
                  <w:trHeight w:val="690"/>
                  <w:tblHeader/>
                  <w:jc w:val="center"/>
                </w:trPr>
                <w:tc>
                  <w:tcPr>
                    <w:tcW w:w="1146" w:type="dxa"/>
                    <w:shd w:val="clear" w:color="auto" w:fill="auto"/>
                    <w:noWrap/>
                    <w:vAlign w:val="center"/>
                    <w:hideMark/>
                  </w:tcPr>
                  <w:p w:rsidR="003706B7" w:rsidRPr="003706B7" w:rsidRDefault="003706B7" w:rsidP="003706B7">
                    <w:pPr>
                      <w:jc w:val="center"/>
                      <w:rPr>
                        <w:b/>
                        <w:bCs/>
                        <w:color w:val="000000"/>
                        <w:sz w:val="22"/>
                        <w:szCs w:val="22"/>
                      </w:rPr>
                    </w:pPr>
                    <w:r w:rsidRPr="003706B7">
                      <w:rPr>
                        <w:rFonts w:hint="eastAsia"/>
                        <w:b/>
                        <w:bCs/>
                        <w:color w:val="000000"/>
                        <w:sz w:val="22"/>
                        <w:szCs w:val="22"/>
                      </w:rPr>
                      <w:t>发行</w:t>
                    </w:r>
                    <w:r w:rsidR="000648F7">
                      <w:rPr>
                        <w:rFonts w:hint="eastAsia"/>
                        <w:b/>
                        <w:bCs/>
                        <w:color w:val="000000"/>
                        <w:sz w:val="22"/>
                        <w:szCs w:val="22"/>
                      </w:rPr>
                      <w:t>完成</w:t>
                    </w:r>
                    <w:r w:rsidRPr="003706B7">
                      <w:rPr>
                        <w:rFonts w:hint="eastAsia"/>
                        <w:b/>
                        <w:bCs/>
                        <w:color w:val="000000"/>
                        <w:sz w:val="22"/>
                        <w:szCs w:val="22"/>
                      </w:rPr>
                      <w:t>时间</w:t>
                    </w:r>
                  </w:p>
                </w:tc>
                <w:tc>
                  <w:tcPr>
                    <w:tcW w:w="2807" w:type="dxa"/>
                    <w:shd w:val="clear" w:color="auto" w:fill="auto"/>
                    <w:noWrap/>
                    <w:vAlign w:val="center"/>
                    <w:hideMark/>
                  </w:tcPr>
                  <w:p w:rsidR="003706B7" w:rsidRPr="003706B7" w:rsidRDefault="003706B7" w:rsidP="003706B7">
                    <w:pPr>
                      <w:jc w:val="center"/>
                      <w:rPr>
                        <w:b/>
                        <w:bCs/>
                        <w:color w:val="000000"/>
                        <w:sz w:val="22"/>
                        <w:szCs w:val="22"/>
                      </w:rPr>
                    </w:pPr>
                    <w:r w:rsidRPr="003706B7">
                      <w:rPr>
                        <w:rFonts w:hint="eastAsia"/>
                        <w:b/>
                        <w:bCs/>
                        <w:color w:val="000000"/>
                        <w:sz w:val="22"/>
                        <w:szCs w:val="22"/>
                      </w:rPr>
                      <w:t>名称</w:t>
                    </w:r>
                  </w:p>
                </w:tc>
                <w:tc>
                  <w:tcPr>
                    <w:tcW w:w="737" w:type="dxa"/>
                    <w:shd w:val="clear" w:color="auto" w:fill="auto"/>
                    <w:vAlign w:val="center"/>
                    <w:hideMark/>
                  </w:tcPr>
                  <w:p w:rsidR="003706B7" w:rsidRPr="003706B7" w:rsidRDefault="003706B7" w:rsidP="003706B7">
                    <w:pPr>
                      <w:jc w:val="center"/>
                      <w:rPr>
                        <w:b/>
                        <w:bCs/>
                        <w:color w:val="000000"/>
                        <w:sz w:val="22"/>
                        <w:szCs w:val="22"/>
                      </w:rPr>
                    </w:pPr>
                    <w:r w:rsidRPr="003706B7">
                      <w:rPr>
                        <w:rFonts w:hint="eastAsia"/>
                        <w:b/>
                        <w:bCs/>
                        <w:color w:val="000000"/>
                        <w:sz w:val="22"/>
                        <w:szCs w:val="22"/>
                      </w:rPr>
                      <w:t>发行规模</w:t>
                    </w:r>
                  </w:p>
                </w:tc>
                <w:tc>
                  <w:tcPr>
                    <w:tcW w:w="1420" w:type="dxa"/>
                    <w:shd w:val="clear" w:color="auto" w:fill="auto"/>
                    <w:vAlign w:val="center"/>
                    <w:hideMark/>
                  </w:tcPr>
                  <w:p w:rsidR="003706B7" w:rsidRPr="003706B7" w:rsidRDefault="003706B7" w:rsidP="0029373A">
                    <w:pPr>
                      <w:jc w:val="center"/>
                      <w:rPr>
                        <w:b/>
                        <w:bCs/>
                        <w:color w:val="000000"/>
                        <w:sz w:val="22"/>
                        <w:szCs w:val="22"/>
                      </w:rPr>
                    </w:pPr>
                    <w:r w:rsidRPr="003706B7">
                      <w:rPr>
                        <w:rFonts w:hint="eastAsia"/>
                        <w:b/>
                        <w:bCs/>
                        <w:color w:val="000000"/>
                        <w:sz w:val="22"/>
                        <w:szCs w:val="22"/>
                      </w:rPr>
                      <w:t>期限</w:t>
                    </w:r>
                  </w:p>
                </w:tc>
                <w:tc>
                  <w:tcPr>
                    <w:tcW w:w="766" w:type="dxa"/>
                    <w:shd w:val="clear" w:color="auto" w:fill="auto"/>
                    <w:vAlign w:val="center"/>
                    <w:hideMark/>
                  </w:tcPr>
                  <w:p w:rsidR="003706B7" w:rsidRPr="003706B7" w:rsidRDefault="003706B7" w:rsidP="003706B7">
                    <w:pPr>
                      <w:jc w:val="center"/>
                      <w:rPr>
                        <w:b/>
                        <w:bCs/>
                        <w:color w:val="000000"/>
                        <w:sz w:val="22"/>
                        <w:szCs w:val="22"/>
                      </w:rPr>
                    </w:pPr>
                    <w:r w:rsidRPr="003706B7">
                      <w:rPr>
                        <w:rFonts w:hint="eastAsia"/>
                        <w:b/>
                        <w:bCs/>
                        <w:color w:val="000000"/>
                        <w:sz w:val="22"/>
                        <w:szCs w:val="22"/>
                      </w:rPr>
                      <w:t>票面利率</w:t>
                    </w:r>
                  </w:p>
                </w:tc>
                <w:tc>
                  <w:tcPr>
                    <w:tcW w:w="887" w:type="dxa"/>
                    <w:shd w:val="clear" w:color="auto" w:fill="auto"/>
                    <w:vAlign w:val="center"/>
                    <w:hideMark/>
                  </w:tcPr>
                  <w:p w:rsidR="003706B7" w:rsidRPr="003706B7" w:rsidRDefault="003706B7" w:rsidP="003706B7">
                    <w:pPr>
                      <w:jc w:val="center"/>
                      <w:rPr>
                        <w:b/>
                        <w:bCs/>
                        <w:color w:val="000000"/>
                        <w:sz w:val="22"/>
                        <w:szCs w:val="22"/>
                      </w:rPr>
                    </w:pPr>
                    <w:r w:rsidRPr="003706B7">
                      <w:rPr>
                        <w:rFonts w:hint="eastAsia"/>
                        <w:b/>
                        <w:bCs/>
                        <w:color w:val="000000"/>
                        <w:sz w:val="22"/>
                        <w:szCs w:val="22"/>
                      </w:rPr>
                      <w:t>上市地</w:t>
                    </w:r>
                  </w:p>
                </w:tc>
                <w:tc>
                  <w:tcPr>
                    <w:tcW w:w="1267" w:type="dxa"/>
                    <w:shd w:val="clear" w:color="auto" w:fill="auto"/>
                    <w:vAlign w:val="center"/>
                    <w:hideMark/>
                  </w:tcPr>
                  <w:p w:rsidR="003706B7" w:rsidRPr="003706B7" w:rsidRDefault="003706B7" w:rsidP="003706B7">
                    <w:pPr>
                      <w:jc w:val="center"/>
                      <w:rPr>
                        <w:b/>
                        <w:bCs/>
                        <w:color w:val="000000"/>
                        <w:sz w:val="22"/>
                        <w:szCs w:val="22"/>
                      </w:rPr>
                    </w:pPr>
                    <w:r w:rsidRPr="003706B7">
                      <w:rPr>
                        <w:rFonts w:hint="eastAsia"/>
                        <w:b/>
                        <w:bCs/>
                        <w:color w:val="000000"/>
                        <w:sz w:val="22"/>
                        <w:szCs w:val="22"/>
                      </w:rPr>
                      <w:t>简称</w:t>
                    </w:r>
                  </w:p>
                </w:tc>
                <w:tc>
                  <w:tcPr>
                    <w:tcW w:w="876" w:type="dxa"/>
                    <w:shd w:val="clear" w:color="auto" w:fill="auto"/>
                    <w:vAlign w:val="center"/>
                    <w:hideMark/>
                  </w:tcPr>
                  <w:p w:rsidR="003706B7" w:rsidRPr="003706B7" w:rsidRDefault="003706B7" w:rsidP="003706B7">
                    <w:pPr>
                      <w:jc w:val="center"/>
                      <w:rPr>
                        <w:b/>
                        <w:bCs/>
                        <w:color w:val="000000"/>
                        <w:sz w:val="22"/>
                        <w:szCs w:val="22"/>
                      </w:rPr>
                    </w:pPr>
                    <w:r w:rsidRPr="003706B7">
                      <w:rPr>
                        <w:rFonts w:hint="eastAsia"/>
                        <w:b/>
                        <w:bCs/>
                        <w:color w:val="000000"/>
                        <w:sz w:val="22"/>
                        <w:szCs w:val="22"/>
                      </w:rPr>
                      <w:t>上市代码</w:t>
                    </w:r>
                  </w:p>
                </w:tc>
              </w:tr>
              <w:tr w:rsidR="003706B7" w:rsidRPr="003706B7" w:rsidTr="001276A9">
                <w:trPr>
                  <w:trHeight w:val="690"/>
                  <w:jc w:val="center"/>
                </w:trPr>
                <w:tc>
                  <w:tcPr>
                    <w:tcW w:w="114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2015年3月19日</w:t>
                    </w:r>
                  </w:p>
                </w:tc>
                <w:tc>
                  <w:tcPr>
                    <w:tcW w:w="280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2015年度第一期次级债券</w:t>
                    </w:r>
                  </w:p>
                </w:tc>
                <w:tc>
                  <w:tcPr>
                    <w:tcW w:w="73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100</w:t>
                    </w:r>
                  </w:p>
                </w:tc>
                <w:tc>
                  <w:tcPr>
                    <w:tcW w:w="1420" w:type="dxa"/>
                    <w:shd w:val="clear" w:color="auto" w:fill="auto"/>
                    <w:tcMar>
                      <w:left w:w="57" w:type="dxa"/>
                      <w:right w:w="57" w:type="dxa"/>
                    </w:tcMar>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3年期，附第2年末发行人赎回选择权</w:t>
                    </w:r>
                  </w:p>
                </w:tc>
                <w:tc>
                  <w:tcPr>
                    <w:tcW w:w="76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5.48%</w:t>
                    </w:r>
                  </w:p>
                </w:tc>
                <w:tc>
                  <w:tcPr>
                    <w:tcW w:w="887" w:type="dxa"/>
                    <w:shd w:val="clear" w:color="auto" w:fill="auto"/>
                    <w:noWrap/>
                    <w:vAlign w:val="center"/>
                    <w:hideMark/>
                  </w:tcPr>
                  <w:p w:rsidR="003706B7" w:rsidRPr="003706B7" w:rsidRDefault="003706B7" w:rsidP="003706B7">
                    <w:pPr>
                      <w:rPr>
                        <w:color w:val="000000"/>
                        <w:sz w:val="22"/>
                        <w:szCs w:val="22"/>
                      </w:rPr>
                    </w:pPr>
                    <w:r w:rsidRPr="003706B7">
                      <w:rPr>
                        <w:rFonts w:hint="eastAsia"/>
                        <w:color w:val="000000"/>
                        <w:sz w:val="22"/>
                        <w:szCs w:val="22"/>
                      </w:rPr>
                      <w:t>上交所</w:t>
                    </w:r>
                  </w:p>
                </w:tc>
                <w:tc>
                  <w:tcPr>
                    <w:tcW w:w="126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15招商01</w:t>
                    </w:r>
                  </w:p>
                </w:tc>
                <w:tc>
                  <w:tcPr>
                    <w:tcW w:w="876" w:type="dxa"/>
                    <w:shd w:val="clear" w:color="auto" w:fill="auto"/>
                    <w:noWrap/>
                    <w:vAlign w:val="center"/>
                    <w:hideMark/>
                  </w:tcPr>
                  <w:p w:rsidR="003706B7" w:rsidRPr="003706B7" w:rsidRDefault="003706B7" w:rsidP="003706B7">
                    <w:pPr>
                      <w:jc w:val="right"/>
                      <w:rPr>
                        <w:color w:val="000000"/>
                        <w:sz w:val="22"/>
                        <w:szCs w:val="22"/>
                      </w:rPr>
                    </w:pPr>
                    <w:r w:rsidRPr="003706B7">
                      <w:rPr>
                        <w:rFonts w:hint="eastAsia"/>
                        <w:color w:val="000000"/>
                        <w:sz w:val="22"/>
                        <w:szCs w:val="22"/>
                      </w:rPr>
                      <w:t>123230</w:t>
                    </w:r>
                  </w:p>
                </w:tc>
              </w:tr>
              <w:tr w:rsidR="003706B7" w:rsidRPr="003706B7" w:rsidTr="001276A9">
                <w:trPr>
                  <w:trHeight w:val="690"/>
                  <w:jc w:val="center"/>
                </w:trPr>
                <w:tc>
                  <w:tcPr>
                    <w:tcW w:w="114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lastRenderedPageBreak/>
                      <w:t>2015年3月24日</w:t>
                    </w:r>
                  </w:p>
                </w:tc>
                <w:tc>
                  <w:tcPr>
                    <w:tcW w:w="280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2015年度第二期次级债券</w:t>
                    </w:r>
                  </w:p>
                </w:tc>
                <w:tc>
                  <w:tcPr>
                    <w:tcW w:w="73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100</w:t>
                    </w:r>
                  </w:p>
                </w:tc>
                <w:tc>
                  <w:tcPr>
                    <w:tcW w:w="1420" w:type="dxa"/>
                    <w:shd w:val="clear" w:color="auto" w:fill="auto"/>
                    <w:tcMar>
                      <w:left w:w="57" w:type="dxa"/>
                      <w:right w:w="57" w:type="dxa"/>
                    </w:tcMar>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5年期，附第3年末发行人赎回选择权</w:t>
                    </w:r>
                  </w:p>
                </w:tc>
                <w:tc>
                  <w:tcPr>
                    <w:tcW w:w="76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5.58%</w:t>
                    </w:r>
                  </w:p>
                </w:tc>
                <w:tc>
                  <w:tcPr>
                    <w:tcW w:w="887" w:type="dxa"/>
                    <w:shd w:val="clear" w:color="auto" w:fill="auto"/>
                    <w:noWrap/>
                    <w:vAlign w:val="center"/>
                    <w:hideMark/>
                  </w:tcPr>
                  <w:p w:rsidR="003706B7" w:rsidRPr="003706B7" w:rsidRDefault="003706B7" w:rsidP="003706B7">
                    <w:pPr>
                      <w:rPr>
                        <w:color w:val="000000"/>
                        <w:sz w:val="22"/>
                        <w:szCs w:val="22"/>
                      </w:rPr>
                    </w:pPr>
                    <w:r w:rsidRPr="003706B7">
                      <w:rPr>
                        <w:rFonts w:hint="eastAsia"/>
                        <w:color w:val="000000"/>
                        <w:sz w:val="22"/>
                        <w:szCs w:val="22"/>
                      </w:rPr>
                      <w:t>上交所</w:t>
                    </w:r>
                  </w:p>
                </w:tc>
                <w:tc>
                  <w:tcPr>
                    <w:tcW w:w="1267" w:type="dxa"/>
                    <w:shd w:val="clear" w:color="auto" w:fill="auto"/>
                    <w:noWrap/>
                    <w:vAlign w:val="center"/>
                    <w:hideMark/>
                  </w:tcPr>
                  <w:p w:rsidR="003706B7" w:rsidRPr="003706B7" w:rsidRDefault="003706B7" w:rsidP="003706B7">
                    <w:pPr>
                      <w:rPr>
                        <w:color w:val="000000"/>
                        <w:sz w:val="22"/>
                        <w:szCs w:val="22"/>
                      </w:rPr>
                    </w:pPr>
                    <w:r w:rsidRPr="003706B7">
                      <w:rPr>
                        <w:rFonts w:hint="eastAsia"/>
                        <w:color w:val="000000"/>
                        <w:sz w:val="22"/>
                        <w:szCs w:val="22"/>
                      </w:rPr>
                      <w:t>15招商02</w:t>
                    </w:r>
                  </w:p>
                </w:tc>
                <w:tc>
                  <w:tcPr>
                    <w:tcW w:w="876" w:type="dxa"/>
                    <w:shd w:val="clear" w:color="auto" w:fill="auto"/>
                    <w:noWrap/>
                    <w:vAlign w:val="center"/>
                    <w:hideMark/>
                  </w:tcPr>
                  <w:p w:rsidR="003706B7" w:rsidRPr="003706B7" w:rsidRDefault="003706B7" w:rsidP="003706B7">
                    <w:pPr>
                      <w:jc w:val="right"/>
                      <w:rPr>
                        <w:color w:val="000000"/>
                        <w:sz w:val="22"/>
                        <w:szCs w:val="22"/>
                      </w:rPr>
                    </w:pPr>
                    <w:r w:rsidRPr="003706B7">
                      <w:rPr>
                        <w:rFonts w:hint="eastAsia"/>
                        <w:color w:val="000000"/>
                        <w:sz w:val="22"/>
                        <w:szCs w:val="22"/>
                      </w:rPr>
                      <w:t>123227</w:t>
                    </w:r>
                  </w:p>
                </w:tc>
              </w:tr>
              <w:tr w:rsidR="003706B7" w:rsidRPr="003706B7" w:rsidTr="001276A9">
                <w:trPr>
                  <w:trHeight w:val="690"/>
                  <w:jc w:val="center"/>
                </w:trPr>
                <w:tc>
                  <w:tcPr>
                    <w:tcW w:w="114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2015年4月13日</w:t>
                    </w:r>
                  </w:p>
                </w:tc>
                <w:tc>
                  <w:tcPr>
                    <w:tcW w:w="280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2015年度第三期次级债券</w:t>
                    </w:r>
                  </w:p>
                </w:tc>
                <w:tc>
                  <w:tcPr>
                    <w:tcW w:w="73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50</w:t>
                    </w:r>
                  </w:p>
                </w:tc>
                <w:tc>
                  <w:tcPr>
                    <w:tcW w:w="1420" w:type="dxa"/>
                    <w:shd w:val="clear" w:color="auto" w:fill="auto"/>
                    <w:tcMar>
                      <w:left w:w="57" w:type="dxa"/>
                      <w:right w:w="57" w:type="dxa"/>
                    </w:tcMar>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3年期，附第2年末发行人赎回选择权</w:t>
                    </w:r>
                  </w:p>
                </w:tc>
                <w:tc>
                  <w:tcPr>
                    <w:tcW w:w="76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5.60%</w:t>
                    </w:r>
                  </w:p>
                </w:tc>
                <w:tc>
                  <w:tcPr>
                    <w:tcW w:w="887" w:type="dxa"/>
                    <w:shd w:val="clear" w:color="auto" w:fill="auto"/>
                    <w:noWrap/>
                    <w:vAlign w:val="center"/>
                    <w:hideMark/>
                  </w:tcPr>
                  <w:p w:rsidR="003706B7" w:rsidRPr="003706B7" w:rsidRDefault="003706B7" w:rsidP="003706B7">
                    <w:pPr>
                      <w:rPr>
                        <w:color w:val="000000"/>
                        <w:sz w:val="22"/>
                        <w:szCs w:val="22"/>
                      </w:rPr>
                    </w:pPr>
                    <w:r w:rsidRPr="003706B7">
                      <w:rPr>
                        <w:rFonts w:hint="eastAsia"/>
                        <w:color w:val="000000"/>
                        <w:sz w:val="22"/>
                        <w:szCs w:val="22"/>
                      </w:rPr>
                      <w:t>上交所</w:t>
                    </w:r>
                  </w:p>
                </w:tc>
                <w:tc>
                  <w:tcPr>
                    <w:tcW w:w="1267" w:type="dxa"/>
                    <w:shd w:val="clear" w:color="auto" w:fill="auto"/>
                    <w:noWrap/>
                    <w:vAlign w:val="center"/>
                    <w:hideMark/>
                  </w:tcPr>
                  <w:p w:rsidR="003706B7" w:rsidRPr="003706B7" w:rsidRDefault="003706B7" w:rsidP="003706B7">
                    <w:pPr>
                      <w:rPr>
                        <w:color w:val="000000"/>
                        <w:sz w:val="22"/>
                        <w:szCs w:val="22"/>
                      </w:rPr>
                    </w:pPr>
                    <w:r w:rsidRPr="003706B7">
                      <w:rPr>
                        <w:rFonts w:hint="eastAsia"/>
                        <w:color w:val="000000"/>
                        <w:sz w:val="22"/>
                        <w:szCs w:val="22"/>
                      </w:rPr>
                      <w:t>15招商03</w:t>
                    </w:r>
                  </w:p>
                </w:tc>
                <w:tc>
                  <w:tcPr>
                    <w:tcW w:w="876" w:type="dxa"/>
                    <w:shd w:val="clear" w:color="auto" w:fill="auto"/>
                    <w:noWrap/>
                    <w:vAlign w:val="center"/>
                    <w:hideMark/>
                  </w:tcPr>
                  <w:p w:rsidR="003706B7" w:rsidRPr="003706B7" w:rsidRDefault="003706B7" w:rsidP="003706B7">
                    <w:pPr>
                      <w:jc w:val="right"/>
                      <w:rPr>
                        <w:color w:val="000000"/>
                        <w:sz w:val="22"/>
                        <w:szCs w:val="22"/>
                      </w:rPr>
                    </w:pPr>
                    <w:r w:rsidRPr="003706B7">
                      <w:rPr>
                        <w:rFonts w:hint="eastAsia"/>
                        <w:color w:val="000000"/>
                        <w:sz w:val="22"/>
                        <w:szCs w:val="22"/>
                      </w:rPr>
                      <w:t>123210</w:t>
                    </w:r>
                  </w:p>
                </w:tc>
              </w:tr>
              <w:tr w:rsidR="003706B7" w:rsidRPr="003706B7" w:rsidTr="001276A9">
                <w:trPr>
                  <w:trHeight w:val="390"/>
                  <w:jc w:val="center"/>
                </w:trPr>
                <w:tc>
                  <w:tcPr>
                    <w:tcW w:w="114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2015年4月13日</w:t>
                    </w:r>
                  </w:p>
                </w:tc>
                <w:tc>
                  <w:tcPr>
                    <w:tcW w:w="280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2015年度第四期次级债券</w:t>
                    </w:r>
                  </w:p>
                </w:tc>
                <w:tc>
                  <w:tcPr>
                    <w:tcW w:w="73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50</w:t>
                    </w:r>
                  </w:p>
                </w:tc>
                <w:tc>
                  <w:tcPr>
                    <w:tcW w:w="1420" w:type="dxa"/>
                    <w:shd w:val="clear" w:color="auto" w:fill="auto"/>
                    <w:tcMar>
                      <w:left w:w="57" w:type="dxa"/>
                      <w:right w:w="57" w:type="dxa"/>
                    </w:tcMar>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3年期</w:t>
                    </w:r>
                  </w:p>
                </w:tc>
                <w:tc>
                  <w:tcPr>
                    <w:tcW w:w="76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5.75%</w:t>
                    </w:r>
                  </w:p>
                </w:tc>
                <w:tc>
                  <w:tcPr>
                    <w:tcW w:w="887" w:type="dxa"/>
                    <w:shd w:val="clear" w:color="auto" w:fill="auto"/>
                    <w:noWrap/>
                    <w:vAlign w:val="center"/>
                    <w:hideMark/>
                  </w:tcPr>
                  <w:p w:rsidR="003706B7" w:rsidRPr="003706B7" w:rsidRDefault="003706B7" w:rsidP="003706B7">
                    <w:pPr>
                      <w:rPr>
                        <w:color w:val="000000"/>
                        <w:sz w:val="22"/>
                        <w:szCs w:val="22"/>
                      </w:rPr>
                    </w:pPr>
                    <w:r w:rsidRPr="003706B7">
                      <w:rPr>
                        <w:rFonts w:hint="eastAsia"/>
                        <w:color w:val="000000"/>
                        <w:sz w:val="22"/>
                        <w:szCs w:val="22"/>
                      </w:rPr>
                      <w:t>上交所</w:t>
                    </w:r>
                  </w:p>
                </w:tc>
                <w:tc>
                  <w:tcPr>
                    <w:tcW w:w="126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15招商04</w:t>
                    </w:r>
                  </w:p>
                </w:tc>
                <w:tc>
                  <w:tcPr>
                    <w:tcW w:w="876" w:type="dxa"/>
                    <w:shd w:val="clear" w:color="auto" w:fill="auto"/>
                    <w:noWrap/>
                    <w:vAlign w:val="center"/>
                    <w:hideMark/>
                  </w:tcPr>
                  <w:p w:rsidR="003706B7" w:rsidRPr="003706B7" w:rsidRDefault="003706B7" w:rsidP="003706B7">
                    <w:pPr>
                      <w:jc w:val="right"/>
                      <w:rPr>
                        <w:color w:val="000000"/>
                        <w:sz w:val="22"/>
                        <w:szCs w:val="22"/>
                      </w:rPr>
                    </w:pPr>
                    <w:r w:rsidRPr="003706B7">
                      <w:rPr>
                        <w:rFonts w:hint="eastAsia"/>
                        <w:color w:val="000000"/>
                        <w:sz w:val="22"/>
                        <w:szCs w:val="22"/>
                      </w:rPr>
                      <w:t>123211</w:t>
                    </w:r>
                  </w:p>
                </w:tc>
              </w:tr>
              <w:tr w:rsidR="003706B7" w:rsidRPr="003706B7" w:rsidTr="001276A9">
                <w:trPr>
                  <w:trHeight w:val="390"/>
                  <w:jc w:val="center"/>
                </w:trPr>
                <w:tc>
                  <w:tcPr>
                    <w:tcW w:w="1146"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2015年4月24日</w:t>
                    </w:r>
                  </w:p>
                </w:tc>
                <w:tc>
                  <w:tcPr>
                    <w:tcW w:w="280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2015年度第五期次级债券</w:t>
                    </w:r>
                  </w:p>
                </w:tc>
                <w:tc>
                  <w:tcPr>
                    <w:tcW w:w="73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50</w:t>
                    </w:r>
                  </w:p>
                </w:tc>
                <w:tc>
                  <w:tcPr>
                    <w:tcW w:w="1420" w:type="dxa"/>
                    <w:shd w:val="clear" w:color="auto" w:fill="auto"/>
                    <w:tcMar>
                      <w:left w:w="57" w:type="dxa"/>
                      <w:right w:w="57" w:type="dxa"/>
                    </w:tcMar>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2.5年期</w:t>
                    </w:r>
                  </w:p>
                </w:tc>
                <w:tc>
                  <w:tcPr>
                    <w:tcW w:w="766" w:type="dxa"/>
                    <w:shd w:val="clear" w:color="auto" w:fill="auto"/>
                    <w:noWrap/>
                    <w:vAlign w:val="center"/>
                    <w:hideMark/>
                  </w:tcPr>
                  <w:p w:rsidR="003706B7" w:rsidRPr="003706B7" w:rsidRDefault="003706B7" w:rsidP="003706B7">
                    <w:pPr>
                      <w:jc w:val="right"/>
                      <w:rPr>
                        <w:color w:val="000000"/>
                        <w:sz w:val="22"/>
                        <w:szCs w:val="22"/>
                      </w:rPr>
                    </w:pPr>
                    <w:r w:rsidRPr="003706B7">
                      <w:rPr>
                        <w:rFonts w:hint="eastAsia"/>
                        <w:color w:val="000000"/>
                        <w:sz w:val="22"/>
                        <w:szCs w:val="22"/>
                      </w:rPr>
                      <w:t>5.57%</w:t>
                    </w:r>
                  </w:p>
                </w:tc>
                <w:tc>
                  <w:tcPr>
                    <w:tcW w:w="887" w:type="dxa"/>
                    <w:shd w:val="clear" w:color="auto" w:fill="auto"/>
                    <w:noWrap/>
                    <w:vAlign w:val="center"/>
                    <w:hideMark/>
                  </w:tcPr>
                  <w:p w:rsidR="003706B7" w:rsidRPr="003706B7" w:rsidRDefault="003706B7" w:rsidP="003706B7">
                    <w:pPr>
                      <w:rPr>
                        <w:color w:val="000000"/>
                        <w:sz w:val="22"/>
                        <w:szCs w:val="22"/>
                      </w:rPr>
                    </w:pPr>
                    <w:r w:rsidRPr="003706B7">
                      <w:rPr>
                        <w:rFonts w:hint="eastAsia"/>
                        <w:color w:val="000000"/>
                        <w:sz w:val="22"/>
                        <w:szCs w:val="22"/>
                      </w:rPr>
                      <w:t>上交所</w:t>
                    </w:r>
                  </w:p>
                </w:tc>
                <w:tc>
                  <w:tcPr>
                    <w:tcW w:w="1267" w:type="dxa"/>
                    <w:shd w:val="clear" w:color="auto" w:fill="auto"/>
                    <w:noWrap/>
                    <w:vAlign w:val="center"/>
                    <w:hideMark/>
                  </w:tcPr>
                  <w:p w:rsidR="003706B7" w:rsidRPr="003706B7" w:rsidRDefault="003706B7" w:rsidP="003706B7">
                    <w:pPr>
                      <w:jc w:val="center"/>
                      <w:rPr>
                        <w:color w:val="000000"/>
                        <w:sz w:val="22"/>
                        <w:szCs w:val="22"/>
                      </w:rPr>
                    </w:pPr>
                    <w:r w:rsidRPr="003706B7">
                      <w:rPr>
                        <w:rFonts w:hint="eastAsia"/>
                        <w:color w:val="000000"/>
                        <w:sz w:val="22"/>
                        <w:szCs w:val="22"/>
                      </w:rPr>
                      <w:t>15招商05</w:t>
                    </w:r>
                  </w:p>
                </w:tc>
                <w:tc>
                  <w:tcPr>
                    <w:tcW w:w="876" w:type="dxa"/>
                    <w:shd w:val="clear" w:color="auto" w:fill="auto"/>
                    <w:noWrap/>
                    <w:vAlign w:val="center"/>
                    <w:hideMark/>
                  </w:tcPr>
                  <w:p w:rsidR="003706B7" w:rsidRPr="003706B7" w:rsidRDefault="003706B7" w:rsidP="003706B7">
                    <w:pPr>
                      <w:jc w:val="right"/>
                      <w:rPr>
                        <w:color w:val="000000"/>
                        <w:sz w:val="22"/>
                        <w:szCs w:val="22"/>
                      </w:rPr>
                    </w:pPr>
                    <w:r w:rsidRPr="003706B7">
                      <w:rPr>
                        <w:rFonts w:hint="eastAsia"/>
                        <w:color w:val="000000"/>
                        <w:sz w:val="22"/>
                        <w:szCs w:val="22"/>
                      </w:rPr>
                      <w:t>123092</w:t>
                    </w:r>
                  </w:p>
                </w:tc>
              </w:tr>
              <w:tr w:rsidR="003706B7" w:rsidRPr="003706B7" w:rsidTr="001276A9">
                <w:trPr>
                  <w:trHeight w:val="390"/>
                  <w:jc w:val="center"/>
                </w:trPr>
                <w:tc>
                  <w:tcPr>
                    <w:tcW w:w="1146" w:type="dxa"/>
                    <w:shd w:val="clear" w:color="auto" w:fill="auto"/>
                    <w:noWrap/>
                    <w:vAlign w:val="center"/>
                    <w:hideMark/>
                  </w:tcPr>
                  <w:p w:rsidR="003706B7" w:rsidRPr="002845E0" w:rsidRDefault="003706B7" w:rsidP="003706B7">
                    <w:pPr>
                      <w:jc w:val="center"/>
                      <w:rPr>
                        <w:b/>
                        <w:color w:val="000000"/>
                        <w:sz w:val="22"/>
                        <w:szCs w:val="22"/>
                      </w:rPr>
                    </w:pPr>
                    <w:r w:rsidRPr="002845E0">
                      <w:rPr>
                        <w:rFonts w:hint="eastAsia"/>
                        <w:b/>
                        <w:color w:val="000000"/>
                        <w:sz w:val="22"/>
                        <w:szCs w:val="22"/>
                      </w:rPr>
                      <w:t>合计</w:t>
                    </w:r>
                  </w:p>
                </w:tc>
                <w:tc>
                  <w:tcPr>
                    <w:tcW w:w="2807" w:type="dxa"/>
                    <w:shd w:val="clear" w:color="auto" w:fill="auto"/>
                    <w:noWrap/>
                    <w:vAlign w:val="center"/>
                    <w:hideMark/>
                  </w:tcPr>
                  <w:p w:rsidR="003706B7" w:rsidRPr="002845E0" w:rsidRDefault="003706B7" w:rsidP="003706B7">
                    <w:pPr>
                      <w:jc w:val="center"/>
                      <w:rPr>
                        <w:b/>
                        <w:color w:val="000000"/>
                        <w:sz w:val="22"/>
                        <w:szCs w:val="22"/>
                      </w:rPr>
                    </w:pPr>
                  </w:p>
                </w:tc>
                <w:tc>
                  <w:tcPr>
                    <w:tcW w:w="737" w:type="dxa"/>
                    <w:shd w:val="clear" w:color="auto" w:fill="auto"/>
                    <w:noWrap/>
                    <w:vAlign w:val="center"/>
                    <w:hideMark/>
                  </w:tcPr>
                  <w:p w:rsidR="003706B7" w:rsidRPr="002845E0" w:rsidRDefault="003706B7" w:rsidP="003706B7">
                    <w:pPr>
                      <w:jc w:val="center"/>
                      <w:rPr>
                        <w:b/>
                        <w:color w:val="000000"/>
                        <w:sz w:val="22"/>
                        <w:szCs w:val="22"/>
                      </w:rPr>
                    </w:pPr>
                    <w:r w:rsidRPr="002845E0">
                      <w:rPr>
                        <w:rFonts w:hint="eastAsia"/>
                        <w:b/>
                        <w:color w:val="000000"/>
                        <w:sz w:val="22"/>
                        <w:szCs w:val="22"/>
                      </w:rPr>
                      <w:t>350</w:t>
                    </w:r>
                  </w:p>
                </w:tc>
                <w:tc>
                  <w:tcPr>
                    <w:tcW w:w="1420" w:type="dxa"/>
                    <w:shd w:val="clear" w:color="auto" w:fill="auto"/>
                    <w:vAlign w:val="center"/>
                    <w:hideMark/>
                  </w:tcPr>
                  <w:p w:rsidR="003706B7" w:rsidRPr="002845E0" w:rsidRDefault="003706B7" w:rsidP="003706B7">
                    <w:pPr>
                      <w:jc w:val="center"/>
                      <w:rPr>
                        <w:b/>
                        <w:color w:val="000000"/>
                        <w:sz w:val="22"/>
                        <w:szCs w:val="22"/>
                      </w:rPr>
                    </w:pPr>
                  </w:p>
                </w:tc>
                <w:tc>
                  <w:tcPr>
                    <w:tcW w:w="766" w:type="dxa"/>
                    <w:shd w:val="clear" w:color="auto" w:fill="auto"/>
                    <w:noWrap/>
                    <w:vAlign w:val="center"/>
                    <w:hideMark/>
                  </w:tcPr>
                  <w:p w:rsidR="003706B7" w:rsidRPr="002845E0" w:rsidRDefault="003706B7" w:rsidP="003706B7">
                    <w:pPr>
                      <w:jc w:val="right"/>
                      <w:rPr>
                        <w:b/>
                        <w:color w:val="000000"/>
                        <w:sz w:val="22"/>
                        <w:szCs w:val="22"/>
                      </w:rPr>
                    </w:pPr>
                  </w:p>
                </w:tc>
                <w:tc>
                  <w:tcPr>
                    <w:tcW w:w="887" w:type="dxa"/>
                    <w:shd w:val="clear" w:color="auto" w:fill="auto"/>
                    <w:noWrap/>
                    <w:vAlign w:val="center"/>
                    <w:hideMark/>
                  </w:tcPr>
                  <w:p w:rsidR="003706B7" w:rsidRPr="002845E0" w:rsidRDefault="003706B7" w:rsidP="003706B7">
                    <w:pPr>
                      <w:rPr>
                        <w:b/>
                        <w:color w:val="000000"/>
                        <w:sz w:val="22"/>
                        <w:szCs w:val="22"/>
                      </w:rPr>
                    </w:pPr>
                  </w:p>
                </w:tc>
                <w:tc>
                  <w:tcPr>
                    <w:tcW w:w="1267" w:type="dxa"/>
                    <w:shd w:val="clear" w:color="auto" w:fill="auto"/>
                    <w:noWrap/>
                    <w:vAlign w:val="center"/>
                    <w:hideMark/>
                  </w:tcPr>
                  <w:p w:rsidR="003706B7" w:rsidRPr="002845E0" w:rsidRDefault="003706B7" w:rsidP="003706B7">
                    <w:pPr>
                      <w:jc w:val="center"/>
                      <w:rPr>
                        <w:b/>
                        <w:color w:val="000000"/>
                        <w:sz w:val="22"/>
                        <w:szCs w:val="22"/>
                      </w:rPr>
                    </w:pPr>
                  </w:p>
                </w:tc>
                <w:tc>
                  <w:tcPr>
                    <w:tcW w:w="876" w:type="dxa"/>
                    <w:shd w:val="clear" w:color="auto" w:fill="auto"/>
                    <w:noWrap/>
                    <w:vAlign w:val="center"/>
                    <w:hideMark/>
                  </w:tcPr>
                  <w:p w:rsidR="003706B7" w:rsidRPr="002845E0" w:rsidRDefault="003706B7" w:rsidP="003706B7">
                    <w:pPr>
                      <w:jc w:val="right"/>
                      <w:rPr>
                        <w:b/>
                        <w:color w:val="000000"/>
                        <w:sz w:val="22"/>
                        <w:szCs w:val="22"/>
                      </w:rPr>
                    </w:pPr>
                  </w:p>
                </w:tc>
              </w:tr>
            </w:tbl>
            <w:p w:rsidR="002E4B8D" w:rsidRPr="002E4B8D" w:rsidRDefault="002E4B8D" w:rsidP="00CB3294">
              <w:pPr>
                <w:spacing w:line="360" w:lineRule="auto"/>
                <w:ind w:firstLineChars="200" w:firstLine="420"/>
                <w:rPr>
                  <w:szCs w:val="21"/>
                </w:rPr>
              </w:pPr>
              <w:r w:rsidRPr="002E4B8D">
                <w:rPr>
                  <w:rFonts w:hint="eastAsia"/>
                  <w:szCs w:val="21"/>
                </w:rPr>
                <w:t>公司已将上述债券募集资金按照募集说明书的有关约定全部补充营运资金。</w:t>
              </w:r>
            </w:p>
            <w:p w:rsidR="00167A3A" w:rsidRDefault="00167A3A" w:rsidP="00CB3294">
              <w:pPr>
                <w:spacing w:line="360" w:lineRule="auto"/>
                <w:ind w:firstLineChars="200" w:firstLine="420"/>
                <w:rPr>
                  <w:szCs w:val="21"/>
                </w:rPr>
              </w:pPr>
            </w:p>
            <w:p w:rsidR="002E4B8D" w:rsidRPr="002E4B8D" w:rsidRDefault="002E4B8D" w:rsidP="003C79EB">
              <w:pPr>
                <w:spacing w:line="360" w:lineRule="auto"/>
                <w:ind w:firstLineChars="200" w:firstLine="420"/>
                <w:rPr>
                  <w:szCs w:val="21"/>
                </w:rPr>
              </w:pPr>
              <w:r w:rsidRPr="002E4B8D">
                <w:rPr>
                  <w:rFonts w:hint="eastAsia"/>
                  <w:szCs w:val="21"/>
                </w:rPr>
                <w:t>根据中国证监会《公司债券发行与交易管理办法》和上海证券交易所《上海证券交易所公司债券上市规则》的有关规定，本公司委托</w:t>
              </w:r>
              <w:r w:rsidR="00181FE2" w:rsidRPr="00181FE2">
                <w:rPr>
                  <w:rFonts w:hint="eastAsia"/>
                  <w:szCs w:val="21"/>
                </w:rPr>
                <w:t>上海新世纪</w:t>
              </w:r>
              <w:r w:rsidRPr="002E4B8D">
                <w:rPr>
                  <w:rFonts w:hint="eastAsia"/>
                  <w:szCs w:val="21"/>
                </w:rPr>
                <w:t>对</w:t>
              </w:r>
              <w:r w:rsidRPr="002E4B8D">
                <w:rPr>
                  <w:szCs w:val="21"/>
                </w:rPr>
                <w:t xml:space="preserve">次级债券“15招商01”、“15招商02”进行了跟踪信用评级。 </w:t>
              </w:r>
            </w:p>
            <w:p w:rsidR="002E4B8D" w:rsidRPr="002E4B8D" w:rsidRDefault="002E4B8D" w:rsidP="003C79EB">
              <w:pPr>
                <w:spacing w:line="360" w:lineRule="auto"/>
                <w:ind w:firstLineChars="200" w:firstLine="420"/>
                <w:rPr>
                  <w:szCs w:val="21"/>
                </w:rPr>
              </w:pPr>
              <w:r w:rsidRPr="002E4B8D">
                <w:rPr>
                  <w:szCs w:val="21"/>
                </w:rPr>
                <w:t>2015年4月10日</w:t>
              </w:r>
              <w:r w:rsidRPr="002E4B8D">
                <w:rPr>
                  <w:rFonts w:hint="eastAsia"/>
                  <w:szCs w:val="21"/>
                </w:rPr>
                <w:t>，上海新世纪</w:t>
              </w:r>
              <w:r w:rsidRPr="002E4B8D">
                <w:rPr>
                  <w:szCs w:val="21"/>
                </w:rPr>
                <w:t>出具了《招商证券股份有限公司2015年次级债券跟踪评级报告》</w:t>
              </w:r>
              <w:r w:rsidRPr="002E4B8D">
                <w:rPr>
                  <w:rFonts w:hint="eastAsia"/>
                  <w:szCs w:val="21"/>
                </w:rPr>
                <w:t>，</w:t>
              </w:r>
              <w:r w:rsidRPr="002E4B8D">
                <w:rPr>
                  <w:szCs w:val="21"/>
                </w:rPr>
                <w:t>维持本公司次级债券“15招商01”、“15招商02”信用等级为AA+，维持本公司主体信用级别为AAA，评级展望稳定。</w:t>
              </w:r>
              <w:r w:rsidRPr="002E4B8D">
                <w:rPr>
                  <w:rFonts w:hint="eastAsia"/>
                  <w:szCs w:val="21"/>
                </w:rPr>
                <w:t>具体内容详见公司于2015年4月</w:t>
              </w:r>
              <w:r w:rsidR="00F209B8">
                <w:rPr>
                  <w:rFonts w:hint="eastAsia"/>
                  <w:szCs w:val="21"/>
                </w:rPr>
                <w:t>16</w:t>
              </w:r>
              <w:r w:rsidRPr="002E4B8D">
                <w:rPr>
                  <w:rFonts w:hint="eastAsia"/>
                  <w:szCs w:val="21"/>
                </w:rPr>
                <w:t>日发布的相关公告。</w:t>
              </w:r>
            </w:p>
            <w:p w:rsidR="002E4B8D" w:rsidRPr="002E4B8D" w:rsidRDefault="00F209B8" w:rsidP="003C79EB">
              <w:pPr>
                <w:spacing w:line="360" w:lineRule="auto"/>
                <w:ind w:firstLineChars="200" w:firstLine="420"/>
                <w:rPr>
                  <w:szCs w:val="21"/>
                </w:rPr>
              </w:pPr>
              <w:r w:rsidRPr="002E4B8D">
                <w:rPr>
                  <w:szCs w:val="21"/>
                </w:rPr>
                <w:t>2015年6月24日，公司2015年第三次临时股东大会审议通过了《关于发行普通次级债券及永续次级债券的议案》。</w:t>
              </w:r>
              <w:r w:rsidR="002E4B8D" w:rsidRPr="002E4B8D">
                <w:rPr>
                  <w:szCs w:val="21"/>
                </w:rPr>
                <w:t>同意</w:t>
              </w:r>
              <w:r w:rsidR="002E4B8D" w:rsidRPr="002E4B8D">
                <w:rPr>
                  <w:rFonts w:hint="eastAsia"/>
                  <w:szCs w:val="21"/>
                </w:rPr>
                <w:t>公司</w:t>
              </w:r>
              <w:r w:rsidR="002E4B8D" w:rsidRPr="002E4B8D">
                <w:rPr>
                  <w:szCs w:val="21"/>
                </w:rPr>
                <w:t>本次发行的次级债券总规模为不超过250亿元，其中包含不超过150亿元的永续次级债，在额度内公司可根据业务用资需求和市场情况择机一次或分次发行</w:t>
              </w:r>
              <w:r w:rsidR="002E4B8D" w:rsidRPr="002E4B8D">
                <w:rPr>
                  <w:rFonts w:hint="eastAsia"/>
                  <w:szCs w:val="21"/>
                </w:rPr>
                <w:t>。</w:t>
              </w:r>
            </w:p>
            <w:p w:rsidR="006A7F26" w:rsidRDefault="002E4B8D" w:rsidP="003C79EB">
              <w:pPr>
                <w:spacing w:line="360" w:lineRule="auto"/>
                <w:ind w:firstLineChars="200" w:firstLine="420"/>
                <w:rPr>
                  <w:szCs w:val="21"/>
                </w:rPr>
              </w:pPr>
              <w:r w:rsidRPr="002E4B8D">
                <w:rPr>
                  <w:rFonts w:hint="eastAsia"/>
                  <w:szCs w:val="21"/>
                </w:rPr>
                <w:t>目前，公司已收到中国证监会《关于招商证券股份有限公司试点发行永续次级债券的无异议函》（机构部函</w:t>
              </w:r>
              <w:r w:rsidRPr="002E4B8D">
                <w:rPr>
                  <w:szCs w:val="21"/>
                </w:rPr>
                <w:t>[2015]2150号</w:t>
              </w:r>
              <w:r w:rsidRPr="002E4B8D">
                <w:rPr>
                  <w:rFonts w:hint="eastAsia"/>
                  <w:szCs w:val="21"/>
                </w:rPr>
                <w:t>，2015年7月15日印发</w:t>
              </w:r>
              <w:r w:rsidRPr="002E4B8D">
                <w:rPr>
                  <w:szCs w:val="21"/>
                </w:rPr>
                <w:t>）。根据该函，中国证监会对公司试点非公开发行永续次级债券事项无异议。</w:t>
              </w:r>
            </w:p>
            <w:p w:rsidR="006A7F26" w:rsidRPr="00121B7B" w:rsidRDefault="006A7F26" w:rsidP="003A0284">
              <w:pPr>
                <w:spacing w:beforeLines="50" w:afterLines="50" w:line="360" w:lineRule="auto"/>
                <w:ind w:firstLineChars="200" w:firstLine="422"/>
                <w:rPr>
                  <w:szCs w:val="21"/>
                </w:rPr>
              </w:pPr>
              <w:r w:rsidRPr="003A49D5">
                <w:rPr>
                  <w:rFonts w:cs="Calibri"/>
                  <w:b/>
                  <w:szCs w:val="21"/>
                </w:rPr>
                <w:t>③</w:t>
              </w:r>
              <w:r>
                <w:rPr>
                  <w:rFonts w:asciiTheme="minorEastAsia" w:eastAsiaTheme="minorEastAsia" w:hAnsiTheme="minorEastAsia" w:hint="eastAsia"/>
                  <w:b/>
                  <w:szCs w:val="21"/>
                </w:rPr>
                <w:t>短期融资券</w:t>
              </w:r>
            </w:p>
            <w:p w:rsidR="0029373A" w:rsidRDefault="0029373A" w:rsidP="003A0284">
              <w:pPr>
                <w:pStyle w:val="a9"/>
                <w:spacing w:beforeLines="50" w:afterLines="50" w:line="360" w:lineRule="auto"/>
                <w:ind w:leftChars="-68" w:left="-2" w:hangingChars="67" w:hanging="141"/>
                <w:jc w:val="center"/>
                <w:rPr>
                  <w:rFonts w:ascii="宋体" w:hAnsi="宋体" w:cs="宋体"/>
                  <w:b/>
                  <w:kern w:val="0"/>
                  <w:szCs w:val="21"/>
                </w:rPr>
              </w:pPr>
              <w:r w:rsidRPr="0018389F">
                <w:rPr>
                  <w:rFonts w:ascii="宋体" w:hAnsi="宋体" w:cs="宋体" w:hint="eastAsia"/>
                  <w:b/>
                  <w:kern w:val="0"/>
                  <w:szCs w:val="21"/>
                </w:rPr>
                <w:t>2015年上半年公司发行</w:t>
              </w:r>
              <w:r>
                <w:rPr>
                  <w:rFonts w:ascii="宋体" w:hAnsi="宋体" w:cs="宋体" w:hint="eastAsia"/>
                  <w:b/>
                  <w:kern w:val="0"/>
                  <w:szCs w:val="21"/>
                </w:rPr>
                <w:t>短期融资券</w:t>
              </w:r>
              <w:r w:rsidRPr="0018389F">
                <w:rPr>
                  <w:rFonts w:ascii="宋体" w:hAnsi="宋体" w:cs="宋体" w:hint="eastAsia"/>
                  <w:b/>
                  <w:kern w:val="0"/>
                  <w:szCs w:val="21"/>
                </w:rPr>
                <w:t>情况</w:t>
              </w:r>
            </w:p>
            <w:p w:rsidR="0029373A" w:rsidRPr="0018389F" w:rsidRDefault="0029373A" w:rsidP="00CB3294">
              <w:pPr>
                <w:pStyle w:val="a9"/>
                <w:spacing w:line="360" w:lineRule="auto"/>
                <w:ind w:leftChars="-68" w:left="4" w:hangingChars="67" w:hanging="147"/>
                <w:jc w:val="right"/>
                <w:rPr>
                  <w:rFonts w:ascii="宋体" w:hAnsi="宋体" w:cs="宋体"/>
                  <w:b/>
                  <w:kern w:val="0"/>
                  <w:szCs w:val="21"/>
                </w:rPr>
              </w:pPr>
              <w:r w:rsidRPr="001C02E0">
                <w:rPr>
                  <w:rFonts w:hint="eastAsia"/>
                  <w:color w:val="000000"/>
                  <w:sz w:val="22"/>
                </w:rPr>
                <w:t>单位：</w:t>
              </w:r>
              <w:r>
                <w:rPr>
                  <w:rFonts w:hint="eastAsia"/>
                  <w:color w:val="000000"/>
                  <w:sz w:val="22"/>
                </w:rPr>
                <w:t>亿元</w:t>
              </w:r>
              <w:r w:rsidR="001D32E8">
                <w:rPr>
                  <w:rFonts w:hint="eastAsia"/>
                  <w:color w:val="000000"/>
                  <w:sz w:val="22"/>
                </w:rPr>
                <w:t xml:space="preserve">  </w:t>
              </w:r>
              <w:r w:rsidRPr="001C02E0">
                <w:rPr>
                  <w:rFonts w:hint="eastAsia"/>
                  <w:color w:val="000000"/>
                  <w:sz w:val="22"/>
                </w:rPr>
                <w:t>币种：人民币</w:t>
              </w:r>
            </w:p>
            <w:tbl>
              <w:tblPr>
                <w:tblW w:w="9862" w:type="dxa"/>
                <w:jc w:val="center"/>
                <w:tblInd w:w="-11" w:type="dxa"/>
                <w:tblLook w:val="04A0"/>
              </w:tblPr>
              <w:tblGrid>
                <w:gridCol w:w="1864"/>
                <w:gridCol w:w="2740"/>
                <w:gridCol w:w="812"/>
                <w:gridCol w:w="902"/>
                <w:gridCol w:w="812"/>
                <w:gridCol w:w="1456"/>
                <w:gridCol w:w="1276"/>
              </w:tblGrid>
              <w:tr w:rsidR="0029373A" w:rsidRPr="0029373A" w:rsidTr="001276A9">
                <w:trPr>
                  <w:trHeight w:val="720"/>
                  <w:tblHeader/>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b/>
                        <w:bCs/>
                        <w:color w:val="000000"/>
                        <w:sz w:val="22"/>
                        <w:szCs w:val="22"/>
                      </w:rPr>
                    </w:pPr>
                    <w:r w:rsidRPr="0029373A">
                      <w:rPr>
                        <w:rFonts w:hint="eastAsia"/>
                        <w:b/>
                        <w:bCs/>
                        <w:color w:val="000000"/>
                        <w:sz w:val="22"/>
                        <w:szCs w:val="22"/>
                      </w:rPr>
                      <w:t>发行</w:t>
                    </w:r>
                    <w:r w:rsidR="000648F7">
                      <w:rPr>
                        <w:rFonts w:hint="eastAsia"/>
                        <w:b/>
                        <w:bCs/>
                        <w:color w:val="000000"/>
                        <w:sz w:val="22"/>
                        <w:szCs w:val="22"/>
                      </w:rPr>
                      <w:t>完成</w:t>
                    </w:r>
                    <w:r w:rsidRPr="0029373A">
                      <w:rPr>
                        <w:rFonts w:hint="eastAsia"/>
                        <w:b/>
                        <w:bCs/>
                        <w:color w:val="000000"/>
                        <w:sz w:val="22"/>
                        <w:szCs w:val="22"/>
                      </w:rPr>
                      <w:t>时间</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b/>
                        <w:bCs/>
                        <w:color w:val="000000"/>
                        <w:sz w:val="22"/>
                        <w:szCs w:val="22"/>
                      </w:rPr>
                    </w:pPr>
                    <w:r w:rsidRPr="0029373A">
                      <w:rPr>
                        <w:rFonts w:hint="eastAsia"/>
                        <w:b/>
                        <w:bCs/>
                        <w:color w:val="000000"/>
                        <w:sz w:val="22"/>
                        <w:szCs w:val="22"/>
                      </w:rPr>
                      <w:t>名称</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29373A" w:rsidRPr="0029373A" w:rsidRDefault="0029373A" w:rsidP="0029373A">
                    <w:pPr>
                      <w:jc w:val="center"/>
                      <w:rPr>
                        <w:b/>
                        <w:bCs/>
                        <w:color w:val="000000"/>
                        <w:sz w:val="22"/>
                        <w:szCs w:val="22"/>
                      </w:rPr>
                    </w:pPr>
                    <w:r w:rsidRPr="0029373A">
                      <w:rPr>
                        <w:rFonts w:hint="eastAsia"/>
                        <w:b/>
                        <w:bCs/>
                        <w:color w:val="000000"/>
                        <w:sz w:val="22"/>
                        <w:szCs w:val="22"/>
                      </w:rPr>
                      <w:t>发行规模</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29373A" w:rsidRPr="0029373A" w:rsidRDefault="0029373A" w:rsidP="0029373A">
                    <w:pPr>
                      <w:jc w:val="center"/>
                      <w:rPr>
                        <w:b/>
                        <w:bCs/>
                        <w:color w:val="000000"/>
                        <w:sz w:val="22"/>
                        <w:szCs w:val="22"/>
                      </w:rPr>
                    </w:pPr>
                    <w:r w:rsidRPr="0029373A">
                      <w:rPr>
                        <w:rFonts w:hint="eastAsia"/>
                        <w:b/>
                        <w:bCs/>
                        <w:color w:val="000000"/>
                        <w:sz w:val="22"/>
                        <w:szCs w:val="22"/>
                      </w:rPr>
                      <w:t>期限</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29373A" w:rsidRPr="0029373A" w:rsidRDefault="0029373A" w:rsidP="0029373A">
                    <w:pPr>
                      <w:jc w:val="center"/>
                      <w:rPr>
                        <w:b/>
                        <w:bCs/>
                        <w:color w:val="000000"/>
                        <w:sz w:val="22"/>
                        <w:szCs w:val="22"/>
                      </w:rPr>
                    </w:pPr>
                    <w:r w:rsidRPr="0029373A">
                      <w:rPr>
                        <w:rFonts w:hint="eastAsia"/>
                        <w:b/>
                        <w:bCs/>
                        <w:color w:val="000000"/>
                        <w:sz w:val="22"/>
                        <w:szCs w:val="22"/>
                      </w:rPr>
                      <w:t>票面利率</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29373A" w:rsidRPr="0029373A" w:rsidRDefault="0029373A" w:rsidP="0029373A">
                    <w:pPr>
                      <w:jc w:val="center"/>
                      <w:rPr>
                        <w:b/>
                        <w:bCs/>
                        <w:color w:val="000000"/>
                        <w:sz w:val="22"/>
                        <w:szCs w:val="22"/>
                      </w:rPr>
                    </w:pPr>
                    <w:r w:rsidRPr="0029373A">
                      <w:rPr>
                        <w:rFonts w:hint="eastAsia"/>
                        <w:b/>
                        <w:bCs/>
                        <w:color w:val="000000"/>
                        <w:sz w:val="22"/>
                        <w:szCs w:val="22"/>
                      </w:rPr>
                      <w:t>简称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9373A" w:rsidRPr="0029373A" w:rsidRDefault="0029373A" w:rsidP="0029373A">
                    <w:pPr>
                      <w:jc w:val="center"/>
                      <w:rPr>
                        <w:b/>
                        <w:bCs/>
                        <w:color w:val="000000"/>
                        <w:sz w:val="22"/>
                        <w:szCs w:val="22"/>
                      </w:rPr>
                    </w:pPr>
                    <w:r w:rsidRPr="0029373A">
                      <w:rPr>
                        <w:rFonts w:hint="eastAsia"/>
                        <w:b/>
                        <w:bCs/>
                        <w:color w:val="000000"/>
                        <w:sz w:val="22"/>
                        <w:szCs w:val="22"/>
                      </w:rPr>
                      <w:t>交易代码</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2015年1月28日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2015年第一期短期融资券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28.5</w:t>
                    </w:r>
                  </w:p>
                </w:tc>
                <w:tc>
                  <w:tcPr>
                    <w:tcW w:w="90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90天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4.93%</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15招商CP01</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071501001</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2015年2月10日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2015年第二期短期融资券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18</w:t>
                    </w:r>
                  </w:p>
                </w:tc>
                <w:tc>
                  <w:tcPr>
                    <w:tcW w:w="90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90天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4.88%</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15招商CP02</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071501002</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2015年3月17日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2015年第三期短期融资券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18</w:t>
                    </w:r>
                  </w:p>
                </w:tc>
                <w:tc>
                  <w:tcPr>
                    <w:tcW w:w="90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90天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4.95%</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15招商CP03</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071501003</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2015年3月20日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2015年第四期短期融资券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18</w:t>
                    </w:r>
                  </w:p>
                </w:tc>
                <w:tc>
                  <w:tcPr>
                    <w:tcW w:w="902" w:type="dxa"/>
                    <w:tcBorders>
                      <w:top w:val="nil"/>
                      <w:left w:val="nil"/>
                      <w:bottom w:val="single" w:sz="4" w:space="0" w:color="auto"/>
                      <w:right w:val="single" w:sz="4" w:space="0" w:color="auto"/>
                    </w:tcBorders>
                    <w:shd w:val="clear" w:color="auto" w:fill="auto"/>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88天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4.87%</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15招商CP04</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071501004</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lastRenderedPageBreak/>
                      <w:t>2015年5月6日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2015年第五期短期融资券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28.5</w:t>
                    </w:r>
                  </w:p>
                </w:tc>
                <w:tc>
                  <w:tcPr>
                    <w:tcW w:w="90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90天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3.76%</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15招商CP05</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071501005</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2015年5月19日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2015年第六期短期融资券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18</w:t>
                    </w:r>
                  </w:p>
                </w:tc>
                <w:tc>
                  <w:tcPr>
                    <w:tcW w:w="90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90天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2.83%</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15招商CP06</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071501006</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2015年6月23日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2015年第七期短期融资券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18</w:t>
                    </w:r>
                  </w:p>
                </w:tc>
                <w:tc>
                  <w:tcPr>
                    <w:tcW w:w="90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90天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3.70%</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15招商CP07</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071501007</w:t>
                    </w:r>
                  </w:p>
                </w:tc>
              </w:tr>
              <w:tr w:rsidR="0029373A" w:rsidRPr="0029373A" w:rsidTr="0029373A">
                <w:trPr>
                  <w:trHeight w:val="39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2015年6月26日</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2015年第八期短期融资券</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sz w:val="22"/>
                        <w:szCs w:val="22"/>
                      </w:rPr>
                    </w:pPr>
                    <w:r w:rsidRPr="0029373A">
                      <w:rPr>
                        <w:rFonts w:hint="eastAsia"/>
                        <w:sz w:val="22"/>
                        <w:szCs w:val="22"/>
                      </w:rPr>
                      <w:t>18</w:t>
                    </w:r>
                  </w:p>
                </w:tc>
                <w:tc>
                  <w:tcPr>
                    <w:tcW w:w="902" w:type="dxa"/>
                    <w:tcBorders>
                      <w:top w:val="nil"/>
                      <w:left w:val="nil"/>
                      <w:bottom w:val="single" w:sz="4" w:space="0" w:color="auto"/>
                      <w:right w:val="single" w:sz="4" w:space="0" w:color="auto"/>
                    </w:tcBorders>
                    <w:shd w:val="clear" w:color="auto" w:fill="auto"/>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88天</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0F5A2D">
                    <w:pPr>
                      <w:jc w:val="center"/>
                      <w:rPr>
                        <w:sz w:val="22"/>
                        <w:szCs w:val="22"/>
                      </w:rPr>
                    </w:pPr>
                    <w:r w:rsidRPr="0029373A">
                      <w:rPr>
                        <w:rFonts w:hint="eastAsia"/>
                        <w:sz w:val="22"/>
                        <w:szCs w:val="22"/>
                      </w:rPr>
                      <w:t>3.</w:t>
                    </w:r>
                    <w:r w:rsidR="000F5A2D">
                      <w:rPr>
                        <w:rFonts w:hint="eastAsia"/>
                        <w:sz w:val="22"/>
                        <w:szCs w:val="22"/>
                      </w:rPr>
                      <w:t>60</w:t>
                    </w:r>
                    <w:r w:rsidRPr="0029373A">
                      <w:rPr>
                        <w:rFonts w:hint="eastAsia"/>
                        <w:sz w:val="22"/>
                        <w:szCs w:val="22"/>
                      </w:rPr>
                      <w:t>%</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15招商CP08</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color w:val="000000"/>
                        <w:sz w:val="22"/>
                        <w:szCs w:val="22"/>
                      </w:rPr>
                    </w:pPr>
                    <w:r w:rsidRPr="0029373A">
                      <w:rPr>
                        <w:rFonts w:hint="eastAsia"/>
                        <w:color w:val="000000"/>
                        <w:sz w:val="22"/>
                        <w:szCs w:val="22"/>
                      </w:rPr>
                      <w:t>071501008</w:t>
                    </w:r>
                  </w:p>
                </w:tc>
              </w:tr>
              <w:tr w:rsidR="0029373A" w:rsidRPr="0029373A" w:rsidTr="0029373A">
                <w:trPr>
                  <w:trHeight w:val="360"/>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29373A" w:rsidRPr="0029373A" w:rsidRDefault="0029373A" w:rsidP="0029373A">
                    <w:pPr>
                      <w:jc w:val="center"/>
                      <w:rPr>
                        <w:b/>
                        <w:color w:val="000000"/>
                        <w:sz w:val="22"/>
                        <w:szCs w:val="22"/>
                      </w:rPr>
                    </w:pPr>
                    <w:r w:rsidRPr="0029373A">
                      <w:rPr>
                        <w:rFonts w:hint="eastAsia"/>
                        <w:b/>
                        <w:color w:val="000000"/>
                        <w:sz w:val="22"/>
                        <w:szCs w:val="22"/>
                      </w:rPr>
                      <w:t>合计</w:t>
                    </w:r>
                  </w:p>
                </w:tc>
                <w:tc>
                  <w:tcPr>
                    <w:tcW w:w="2740"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b/>
                        <w:color w:val="000000"/>
                        <w:sz w:val="22"/>
                        <w:szCs w:val="22"/>
                      </w:rPr>
                    </w:pPr>
                    <w:r w:rsidRPr="0029373A">
                      <w:rPr>
                        <w:rFonts w:hint="eastAsia"/>
                        <w:b/>
                        <w:color w:val="000000"/>
                        <w:sz w:val="22"/>
                        <w:szCs w:val="22"/>
                      </w:rPr>
                      <w:t xml:space="preserve">　</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b/>
                        <w:sz w:val="22"/>
                        <w:szCs w:val="22"/>
                      </w:rPr>
                    </w:pPr>
                    <w:r w:rsidRPr="0029373A">
                      <w:rPr>
                        <w:rFonts w:hint="eastAsia"/>
                        <w:b/>
                        <w:sz w:val="22"/>
                        <w:szCs w:val="22"/>
                      </w:rPr>
                      <w:t>165</w:t>
                    </w:r>
                  </w:p>
                </w:tc>
                <w:tc>
                  <w:tcPr>
                    <w:tcW w:w="90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b/>
                        <w:color w:val="000000"/>
                        <w:sz w:val="22"/>
                        <w:szCs w:val="22"/>
                      </w:rPr>
                    </w:pPr>
                    <w:r w:rsidRPr="0029373A">
                      <w:rPr>
                        <w:rFonts w:hint="eastAsia"/>
                        <w:b/>
                        <w:color w:val="000000"/>
                        <w:sz w:val="22"/>
                        <w:szCs w:val="22"/>
                      </w:rPr>
                      <w:t xml:space="preserve">　</w:t>
                    </w:r>
                  </w:p>
                </w:tc>
                <w:tc>
                  <w:tcPr>
                    <w:tcW w:w="812"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b/>
                        <w:color w:val="000000"/>
                        <w:sz w:val="22"/>
                        <w:szCs w:val="22"/>
                      </w:rPr>
                    </w:pPr>
                    <w:r w:rsidRPr="0029373A">
                      <w:rPr>
                        <w:rFonts w:hint="eastAsia"/>
                        <w:b/>
                        <w:color w:val="000000"/>
                        <w:sz w:val="22"/>
                        <w:szCs w:val="22"/>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b/>
                        <w:color w:val="000000"/>
                        <w:sz w:val="22"/>
                        <w:szCs w:val="22"/>
                      </w:rPr>
                    </w:pPr>
                    <w:r w:rsidRPr="0029373A">
                      <w:rPr>
                        <w:rFonts w:hint="eastAsia"/>
                        <w:b/>
                        <w:color w:val="00000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29373A" w:rsidRPr="0029373A" w:rsidRDefault="0029373A" w:rsidP="0029373A">
                    <w:pPr>
                      <w:jc w:val="center"/>
                      <w:rPr>
                        <w:b/>
                        <w:color w:val="000000"/>
                        <w:sz w:val="22"/>
                        <w:szCs w:val="22"/>
                      </w:rPr>
                    </w:pPr>
                    <w:r w:rsidRPr="0029373A">
                      <w:rPr>
                        <w:rFonts w:hint="eastAsia"/>
                        <w:b/>
                        <w:color w:val="000000"/>
                        <w:sz w:val="22"/>
                        <w:szCs w:val="22"/>
                      </w:rPr>
                      <w:t xml:space="preserve">　</w:t>
                    </w:r>
                  </w:p>
                </w:tc>
              </w:tr>
            </w:tbl>
            <w:p w:rsidR="00631965" w:rsidRDefault="00631965" w:rsidP="003A0284">
              <w:pPr>
                <w:spacing w:beforeLines="50" w:afterLines="50" w:line="360" w:lineRule="auto"/>
                <w:ind w:firstLineChars="200" w:firstLine="422"/>
                <w:rPr>
                  <w:rFonts w:cs="Calibri"/>
                  <w:b/>
                  <w:szCs w:val="21"/>
                </w:rPr>
              </w:pPr>
            </w:p>
            <w:p w:rsidR="006A7F26" w:rsidRPr="00121B7B" w:rsidRDefault="006A7F26" w:rsidP="003A0284">
              <w:pPr>
                <w:spacing w:beforeLines="50" w:afterLines="50" w:line="360" w:lineRule="auto"/>
                <w:ind w:firstLineChars="200" w:firstLine="422"/>
                <w:rPr>
                  <w:szCs w:val="21"/>
                </w:rPr>
              </w:pPr>
              <w:r w:rsidRPr="00167A3A">
                <w:rPr>
                  <w:rFonts w:cs="Calibri" w:hint="eastAsia"/>
                  <w:b/>
                  <w:szCs w:val="21"/>
                </w:rPr>
                <w:t>④</w:t>
              </w:r>
              <w:r w:rsidRPr="00167A3A">
                <w:rPr>
                  <w:rFonts w:asciiTheme="minorEastAsia" w:eastAsiaTheme="minorEastAsia" w:hAnsiTheme="minorEastAsia" w:hint="eastAsia"/>
                  <w:b/>
                  <w:szCs w:val="21"/>
                </w:rPr>
                <w:t>公司债券</w:t>
              </w:r>
            </w:p>
            <w:p w:rsidR="00CA1F28" w:rsidRPr="00CA1F28" w:rsidRDefault="00CA1F28" w:rsidP="00CB3294">
              <w:pPr>
                <w:spacing w:line="360" w:lineRule="auto"/>
                <w:ind w:firstLineChars="225" w:firstLine="473"/>
                <w:rPr>
                  <w:szCs w:val="21"/>
                </w:rPr>
              </w:pPr>
              <w:r w:rsidRPr="00CA1F28">
                <w:rPr>
                  <w:rFonts w:hint="eastAsia"/>
                  <w:szCs w:val="21"/>
                </w:rPr>
                <w:t>2015年4月8日，公司</w:t>
              </w:r>
              <w:r w:rsidRPr="00CA1F28">
                <w:rPr>
                  <w:szCs w:val="21"/>
                </w:rPr>
                <w:t>收到中国证监会《关于核准</w:t>
              </w:r>
              <w:r w:rsidRPr="00CA1F28">
                <w:rPr>
                  <w:rFonts w:hint="eastAsia"/>
                  <w:szCs w:val="21"/>
                </w:rPr>
                <w:t>招商证券</w:t>
              </w:r>
              <w:r w:rsidRPr="00CA1F28">
                <w:rPr>
                  <w:szCs w:val="21"/>
                </w:rPr>
                <w:t>股份有限公司公开发行公司债券的批复》(证监许可﹝201</w:t>
              </w:r>
              <w:r w:rsidRPr="00CA1F28">
                <w:rPr>
                  <w:rFonts w:hint="eastAsia"/>
                  <w:szCs w:val="21"/>
                </w:rPr>
                <w:t>5</w:t>
              </w:r>
              <w:r w:rsidRPr="00CA1F28">
                <w:rPr>
                  <w:szCs w:val="21"/>
                </w:rPr>
                <w:t>﹞</w:t>
              </w:r>
              <w:r w:rsidRPr="00CA1F28">
                <w:rPr>
                  <w:rFonts w:hint="eastAsia"/>
                  <w:szCs w:val="21"/>
                </w:rPr>
                <w:t>512</w:t>
              </w:r>
              <w:r w:rsidRPr="00CA1F28">
                <w:rPr>
                  <w:szCs w:val="21"/>
                </w:rPr>
                <w:t>号)，</w:t>
              </w:r>
              <w:r w:rsidRPr="00CA1F28">
                <w:rPr>
                  <w:rFonts w:hint="eastAsia"/>
                  <w:szCs w:val="21"/>
                </w:rPr>
                <w:t>中国证监会</w:t>
              </w:r>
              <w:r w:rsidRPr="00CA1F28">
                <w:rPr>
                  <w:szCs w:val="21"/>
                </w:rPr>
                <w:t>核准公司向社会公开发行面值不超过</w:t>
              </w:r>
              <w:r w:rsidRPr="00CA1F28">
                <w:rPr>
                  <w:rFonts w:hint="eastAsia"/>
                  <w:szCs w:val="21"/>
                </w:rPr>
                <w:t>55</w:t>
              </w:r>
              <w:r w:rsidRPr="00CA1F28">
                <w:rPr>
                  <w:szCs w:val="21"/>
                </w:rPr>
                <w:t>亿元的公司债券</w:t>
              </w:r>
              <w:r w:rsidRPr="00CA1F28">
                <w:rPr>
                  <w:rFonts w:hint="eastAsia"/>
                  <w:szCs w:val="21"/>
                </w:rPr>
                <w:t>。</w:t>
              </w:r>
            </w:p>
            <w:p w:rsidR="002845E0" w:rsidRDefault="002845E0" w:rsidP="003A0284">
              <w:pPr>
                <w:pStyle w:val="a9"/>
                <w:spacing w:beforeLines="50" w:afterLines="50" w:line="360" w:lineRule="auto"/>
                <w:ind w:leftChars="-68" w:left="-2" w:hangingChars="67" w:hanging="141"/>
                <w:jc w:val="center"/>
                <w:rPr>
                  <w:rFonts w:ascii="宋体" w:hAnsi="宋体" w:cs="宋体"/>
                  <w:b/>
                  <w:kern w:val="0"/>
                  <w:szCs w:val="21"/>
                </w:rPr>
              </w:pPr>
              <w:r w:rsidRPr="0018389F">
                <w:rPr>
                  <w:rFonts w:ascii="宋体" w:hAnsi="宋体" w:cs="宋体" w:hint="eastAsia"/>
                  <w:b/>
                  <w:kern w:val="0"/>
                  <w:szCs w:val="21"/>
                </w:rPr>
                <w:t>2015年上半年公司发行</w:t>
              </w:r>
              <w:r w:rsidR="007C737F">
                <w:rPr>
                  <w:rFonts w:ascii="宋体" w:hAnsi="宋体" w:cs="宋体" w:hint="eastAsia"/>
                  <w:b/>
                  <w:kern w:val="0"/>
                  <w:szCs w:val="21"/>
                </w:rPr>
                <w:t>公司债券</w:t>
              </w:r>
              <w:r w:rsidRPr="0018389F">
                <w:rPr>
                  <w:rFonts w:ascii="宋体" w:hAnsi="宋体" w:cs="宋体" w:hint="eastAsia"/>
                  <w:b/>
                  <w:kern w:val="0"/>
                  <w:szCs w:val="21"/>
                </w:rPr>
                <w:t>情况</w:t>
              </w:r>
            </w:p>
            <w:p w:rsidR="002845E0" w:rsidRPr="0018389F" w:rsidRDefault="002845E0" w:rsidP="00CB3294">
              <w:pPr>
                <w:pStyle w:val="a9"/>
                <w:spacing w:line="360" w:lineRule="auto"/>
                <w:ind w:leftChars="-68" w:left="4" w:hangingChars="67" w:hanging="147"/>
                <w:jc w:val="right"/>
                <w:rPr>
                  <w:rFonts w:ascii="宋体" w:hAnsi="宋体" w:cs="宋体"/>
                  <w:b/>
                  <w:kern w:val="0"/>
                  <w:szCs w:val="21"/>
                </w:rPr>
              </w:pPr>
              <w:r w:rsidRPr="001C02E0">
                <w:rPr>
                  <w:rFonts w:hint="eastAsia"/>
                  <w:color w:val="000000"/>
                  <w:sz w:val="22"/>
                </w:rPr>
                <w:t>单位：</w:t>
              </w:r>
              <w:r>
                <w:rPr>
                  <w:rFonts w:hint="eastAsia"/>
                  <w:color w:val="000000"/>
                  <w:sz w:val="22"/>
                </w:rPr>
                <w:t>亿元</w:t>
              </w:r>
              <w:r w:rsidR="001D32E8">
                <w:rPr>
                  <w:rFonts w:hint="eastAsia"/>
                  <w:color w:val="000000"/>
                  <w:sz w:val="22"/>
                </w:rPr>
                <w:t xml:space="preserve">  </w:t>
              </w:r>
              <w:r w:rsidRPr="001C02E0">
                <w:rPr>
                  <w:rFonts w:hint="eastAsia"/>
                  <w:color w:val="000000"/>
                  <w:sz w:val="22"/>
                </w:rPr>
                <w:t>币种：人民币</w:t>
              </w:r>
            </w:p>
            <w:tbl>
              <w:tblPr>
                <w:tblW w:w="9145" w:type="dxa"/>
                <w:tblInd w:w="93" w:type="dxa"/>
                <w:tblLook w:val="04A0"/>
              </w:tblPr>
              <w:tblGrid>
                <w:gridCol w:w="1854"/>
                <w:gridCol w:w="1847"/>
                <w:gridCol w:w="709"/>
                <w:gridCol w:w="708"/>
                <w:gridCol w:w="766"/>
                <w:gridCol w:w="935"/>
                <w:gridCol w:w="1134"/>
                <w:gridCol w:w="1192"/>
              </w:tblGrid>
              <w:tr w:rsidR="002845E0" w:rsidRPr="002845E0" w:rsidTr="002845E0">
                <w:trPr>
                  <w:trHeight w:val="69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发行</w:t>
                    </w:r>
                    <w:r w:rsidR="000648F7">
                      <w:rPr>
                        <w:rFonts w:hint="eastAsia"/>
                        <w:b/>
                        <w:bCs/>
                        <w:color w:val="000000"/>
                        <w:sz w:val="22"/>
                        <w:szCs w:val="22"/>
                      </w:rPr>
                      <w:t>完成</w:t>
                    </w:r>
                    <w:r w:rsidRPr="002845E0">
                      <w:rPr>
                        <w:rFonts w:hint="eastAsia"/>
                        <w:b/>
                        <w:bCs/>
                        <w:color w:val="000000"/>
                        <w:sz w:val="22"/>
                        <w:szCs w:val="22"/>
                      </w:rPr>
                      <w:t>时间</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名称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发行规模</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期限</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票面利率</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上市地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简称</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2845E0" w:rsidRPr="002845E0" w:rsidRDefault="002845E0" w:rsidP="002845E0">
                    <w:pPr>
                      <w:jc w:val="center"/>
                      <w:rPr>
                        <w:b/>
                        <w:bCs/>
                        <w:color w:val="000000"/>
                        <w:sz w:val="22"/>
                        <w:szCs w:val="22"/>
                      </w:rPr>
                    </w:pPr>
                    <w:r w:rsidRPr="002845E0">
                      <w:rPr>
                        <w:rFonts w:hint="eastAsia"/>
                        <w:b/>
                        <w:bCs/>
                        <w:color w:val="000000"/>
                        <w:sz w:val="22"/>
                        <w:szCs w:val="22"/>
                      </w:rPr>
                      <w:t>上市代码</w:t>
                    </w:r>
                  </w:p>
                </w:tc>
              </w:tr>
              <w:tr w:rsidR="002845E0" w:rsidRPr="002845E0" w:rsidTr="002845E0">
                <w:trPr>
                  <w:trHeight w:val="39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 w:val="22"/>
                        <w:szCs w:val="22"/>
                      </w:rPr>
                    </w:pPr>
                    <w:r w:rsidRPr="002845E0">
                      <w:rPr>
                        <w:rFonts w:hint="eastAsia"/>
                        <w:color w:val="000000"/>
                        <w:sz w:val="22"/>
                        <w:szCs w:val="22"/>
                      </w:rPr>
                      <w:t>2015年5月28日</w:t>
                    </w:r>
                  </w:p>
                </w:tc>
                <w:tc>
                  <w:tcPr>
                    <w:tcW w:w="1847" w:type="dxa"/>
                    <w:tcBorders>
                      <w:top w:val="nil"/>
                      <w:left w:val="nil"/>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 w:val="22"/>
                        <w:szCs w:val="22"/>
                      </w:rPr>
                    </w:pPr>
                    <w:r w:rsidRPr="002845E0">
                      <w:rPr>
                        <w:rFonts w:hint="eastAsia"/>
                        <w:color w:val="000000"/>
                        <w:sz w:val="22"/>
                        <w:szCs w:val="22"/>
                      </w:rPr>
                      <w:t>2014年公司债券</w:t>
                    </w:r>
                  </w:p>
                </w:tc>
                <w:tc>
                  <w:tcPr>
                    <w:tcW w:w="709" w:type="dxa"/>
                    <w:tcBorders>
                      <w:top w:val="nil"/>
                      <w:left w:val="nil"/>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 w:val="22"/>
                        <w:szCs w:val="22"/>
                      </w:rPr>
                    </w:pPr>
                    <w:r w:rsidRPr="002845E0">
                      <w:rPr>
                        <w:rFonts w:hint="eastAsia"/>
                        <w:color w:val="000000"/>
                        <w:sz w:val="22"/>
                        <w:szCs w:val="22"/>
                      </w:rPr>
                      <w:t>55</w:t>
                    </w:r>
                  </w:p>
                </w:tc>
                <w:tc>
                  <w:tcPr>
                    <w:tcW w:w="708" w:type="dxa"/>
                    <w:tcBorders>
                      <w:top w:val="nil"/>
                      <w:left w:val="nil"/>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 w:val="22"/>
                        <w:szCs w:val="22"/>
                      </w:rPr>
                    </w:pPr>
                    <w:r w:rsidRPr="002845E0">
                      <w:rPr>
                        <w:rFonts w:hint="eastAsia"/>
                        <w:color w:val="000000"/>
                        <w:sz w:val="22"/>
                        <w:szCs w:val="22"/>
                      </w:rPr>
                      <w:t>10年</w:t>
                    </w:r>
                  </w:p>
                </w:tc>
                <w:tc>
                  <w:tcPr>
                    <w:tcW w:w="766" w:type="dxa"/>
                    <w:tcBorders>
                      <w:top w:val="nil"/>
                      <w:left w:val="nil"/>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 w:val="22"/>
                        <w:szCs w:val="22"/>
                      </w:rPr>
                    </w:pPr>
                    <w:r w:rsidRPr="002845E0">
                      <w:rPr>
                        <w:rFonts w:hint="eastAsia"/>
                        <w:color w:val="000000"/>
                        <w:sz w:val="22"/>
                        <w:szCs w:val="22"/>
                      </w:rPr>
                      <w:t>5.08%</w:t>
                    </w:r>
                  </w:p>
                </w:tc>
                <w:tc>
                  <w:tcPr>
                    <w:tcW w:w="935" w:type="dxa"/>
                    <w:tcBorders>
                      <w:top w:val="nil"/>
                      <w:left w:val="nil"/>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 w:val="22"/>
                        <w:szCs w:val="22"/>
                      </w:rPr>
                    </w:pPr>
                    <w:r w:rsidRPr="002845E0">
                      <w:rPr>
                        <w:rFonts w:hint="eastAsia"/>
                        <w:color w:val="000000"/>
                        <w:sz w:val="22"/>
                        <w:szCs w:val="22"/>
                      </w:rPr>
                      <w:t>上交所</w:t>
                    </w:r>
                  </w:p>
                </w:tc>
                <w:tc>
                  <w:tcPr>
                    <w:tcW w:w="1134" w:type="dxa"/>
                    <w:tcBorders>
                      <w:top w:val="nil"/>
                      <w:left w:val="nil"/>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Cs w:val="21"/>
                      </w:rPr>
                    </w:pPr>
                    <w:r w:rsidRPr="002845E0">
                      <w:rPr>
                        <w:rFonts w:hint="eastAsia"/>
                        <w:color w:val="000000"/>
                        <w:szCs w:val="21"/>
                      </w:rPr>
                      <w:t>14招商债</w:t>
                    </w:r>
                  </w:p>
                </w:tc>
                <w:tc>
                  <w:tcPr>
                    <w:tcW w:w="1192" w:type="dxa"/>
                    <w:tcBorders>
                      <w:top w:val="nil"/>
                      <w:left w:val="nil"/>
                      <w:bottom w:val="single" w:sz="4" w:space="0" w:color="auto"/>
                      <w:right w:val="single" w:sz="4" w:space="0" w:color="auto"/>
                    </w:tcBorders>
                    <w:shd w:val="clear" w:color="auto" w:fill="auto"/>
                    <w:noWrap/>
                    <w:vAlign w:val="center"/>
                    <w:hideMark/>
                  </w:tcPr>
                  <w:p w:rsidR="002845E0" w:rsidRPr="002845E0" w:rsidRDefault="002845E0" w:rsidP="00B174A5">
                    <w:pPr>
                      <w:jc w:val="center"/>
                      <w:rPr>
                        <w:color w:val="000000"/>
                        <w:sz w:val="22"/>
                        <w:szCs w:val="22"/>
                      </w:rPr>
                    </w:pPr>
                    <w:r w:rsidRPr="002845E0">
                      <w:rPr>
                        <w:rFonts w:hint="eastAsia"/>
                        <w:color w:val="000000"/>
                        <w:sz w:val="22"/>
                        <w:szCs w:val="22"/>
                      </w:rPr>
                      <w:t>122374</w:t>
                    </w:r>
                  </w:p>
                </w:tc>
              </w:tr>
            </w:tbl>
            <w:p w:rsidR="001276A9" w:rsidRDefault="001276A9" w:rsidP="001276A9">
              <w:pPr>
                <w:spacing w:line="360" w:lineRule="auto"/>
                <w:ind w:firstLine="539"/>
                <w:rPr>
                  <w:szCs w:val="21"/>
                </w:rPr>
              </w:pPr>
            </w:p>
            <w:p w:rsidR="00A05CDC" w:rsidRDefault="00A05CDC" w:rsidP="001276A9">
              <w:pPr>
                <w:spacing w:line="360" w:lineRule="auto"/>
                <w:ind w:firstLine="539"/>
                <w:rPr>
                  <w:szCs w:val="21"/>
                </w:rPr>
              </w:pPr>
              <w:r w:rsidRPr="00E8323A">
                <w:rPr>
                  <w:rFonts w:hint="eastAsia"/>
                  <w:szCs w:val="21"/>
                </w:rPr>
                <w:t>公司委托</w:t>
              </w:r>
              <w:r w:rsidRPr="00181FE2">
                <w:rPr>
                  <w:rFonts w:hint="eastAsia"/>
                  <w:szCs w:val="21"/>
                </w:rPr>
                <w:t>上海新世纪对</w:t>
              </w:r>
              <w:r w:rsidRPr="00E8323A">
                <w:rPr>
                  <w:rFonts w:hint="eastAsia"/>
                  <w:szCs w:val="21"/>
                </w:rPr>
                <w:t>本期债券进行了跟踪信用评级。201</w:t>
              </w:r>
              <w:r>
                <w:rPr>
                  <w:rFonts w:hint="eastAsia"/>
                  <w:szCs w:val="21"/>
                </w:rPr>
                <w:t>5</w:t>
              </w:r>
              <w:r w:rsidRPr="00E8323A">
                <w:rPr>
                  <w:rFonts w:hint="eastAsia"/>
                  <w:szCs w:val="21"/>
                </w:rPr>
                <w:t>年</w:t>
              </w:r>
              <w:r>
                <w:rPr>
                  <w:rFonts w:hint="eastAsia"/>
                  <w:szCs w:val="21"/>
                </w:rPr>
                <w:t>7</w:t>
              </w:r>
              <w:r w:rsidRPr="00E8323A">
                <w:rPr>
                  <w:rFonts w:hint="eastAsia"/>
                  <w:szCs w:val="21"/>
                </w:rPr>
                <w:t>月8日，上海新世纪出具了《</w:t>
              </w:r>
              <w:r w:rsidRPr="00A05CDC">
                <w:rPr>
                  <w:rFonts w:hint="eastAsia"/>
                  <w:szCs w:val="21"/>
                </w:rPr>
                <w:t>招商证券股份有限公司公开发行2014年公司债券跟踪评级报告》（编号：</w:t>
              </w:r>
              <w:r w:rsidRPr="00A05CDC">
                <w:rPr>
                  <w:szCs w:val="21"/>
                </w:rPr>
                <w:t>新世纪</w:t>
              </w:r>
              <w:r w:rsidRPr="00A05CDC">
                <w:rPr>
                  <w:rFonts w:hint="eastAsia"/>
                  <w:szCs w:val="21"/>
                </w:rPr>
                <w:t>跟踪</w:t>
              </w:r>
              <w:r w:rsidRPr="00A05CDC">
                <w:rPr>
                  <w:szCs w:val="21"/>
                </w:rPr>
                <w:t>[20</w:t>
              </w:r>
              <w:r w:rsidRPr="00A05CDC">
                <w:rPr>
                  <w:rFonts w:hint="eastAsia"/>
                  <w:szCs w:val="21"/>
                </w:rPr>
                <w:t>15</w:t>
              </w:r>
              <w:r w:rsidRPr="00A05CDC">
                <w:rPr>
                  <w:szCs w:val="21"/>
                </w:rPr>
                <w:t>]</w:t>
              </w:r>
              <w:r w:rsidRPr="00A05CDC">
                <w:rPr>
                  <w:rFonts w:hint="eastAsia"/>
                  <w:szCs w:val="21"/>
                </w:rPr>
                <w:t>100467），本公司债券“14招商债</w:t>
              </w:r>
              <w:r w:rsidRPr="00A05CDC">
                <w:rPr>
                  <w:szCs w:val="21"/>
                </w:rPr>
                <w:t>”</w:t>
              </w:r>
              <w:r w:rsidRPr="00A05CDC">
                <w:rPr>
                  <w:rFonts w:hint="eastAsia"/>
                  <w:szCs w:val="21"/>
                </w:rPr>
                <w:t>的信用等级为</w:t>
              </w:r>
              <w:r w:rsidRPr="00A05CDC">
                <w:rPr>
                  <w:szCs w:val="21"/>
                </w:rPr>
                <w:t>AAA</w:t>
              </w:r>
              <w:r w:rsidRPr="00A05CDC">
                <w:rPr>
                  <w:rFonts w:hint="eastAsia"/>
                  <w:szCs w:val="21"/>
                </w:rPr>
                <w:t>，本公司主体信用级别为</w:t>
              </w:r>
              <w:r w:rsidRPr="00A05CDC">
                <w:rPr>
                  <w:szCs w:val="21"/>
                </w:rPr>
                <w:t>AAA</w:t>
              </w:r>
              <w:r w:rsidRPr="00A05CDC">
                <w:rPr>
                  <w:rFonts w:hint="eastAsia"/>
                  <w:szCs w:val="21"/>
                </w:rPr>
                <w:t>，评级展望稳定。</w:t>
              </w:r>
              <w:r w:rsidRPr="00E8323A">
                <w:rPr>
                  <w:rFonts w:hint="eastAsia"/>
                  <w:szCs w:val="21"/>
                </w:rPr>
                <w:t>具体内容详见公司于201</w:t>
              </w:r>
              <w:r>
                <w:rPr>
                  <w:rFonts w:hint="eastAsia"/>
                  <w:szCs w:val="21"/>
                </w:rPr>
                <w:t>5</w:t>
              </w:r>
              <w:r w:rsidRPr="00E8323A">
                <w:rPr>
                  <w:rFonts w:hint="eastAsia"/>
                  <w:szCs w:val="21"/>
                </w:rPr>
                <w:t>年</w:t>
              </w:r>
              <w:r>
                <w:rPr>
                  <w:rFonts w:hint="eastAsia"/>
                  <w:szCs w:val="21"/>
                </w:rPr>
                <w:t>7</w:t>
              </w:r>
              <w:r w:rsidRPr="00E8323A">
                <w:rPr>
                  <w:rFonts w:hint="eastAsia"/>
                  <w:szCs w:val="21"/>
                </w:rPr>
                <w:t>月</w:t>
              </w:r>
              <w:r>
                <w:rPr>
                  <w:rFonts w:hint="eastAsia"/>
                  <w:szCs w:val="21"/>
                </w:rPr>
                <w:t>11</w:t>
              </w:r>
              <w:r w:rsidRPr="00E8323A">
                <w:rPr>
                  <w:rFonts w:hint="eastAsia"/>
                  <w:szCs w:val="21"/>
                </w:rPr>
                <w:t>日发布的相关公告。</w:t>
              </w:r>
            </w:p>
            <w:p w:rsidR="00F209B8" w:rsidRPr="00E8323A" w:rsidRDefault="00F209B8" w:rsidP="00A05CDC">
              <w:pPr>
                <w:spacing w:line="360" w:lineRule="auto"/>
                <w:ind w:firstLine="539"/>
                <w:rPr>
                  <w:szCs w:val="21"/>
                </w:rPr>
              </w:pPr>
            </w:p>
            <w:p w:rsidR="00167A3A" w:rsidRPr="00E8323A" w:rsidRDefault="00167A3A" w:rsidP="00167A3A">
              <w:pPr>
                <w:spacing w:line="360" w:lineRule="auto"/>
                <w:ind w:firstLine="539"/>
                <w:rPr>
                  <w:szCs w:val="21"/>
                </w:rPr>
              </w:pPr>
              <w:r w:rsidRPr="00E8323A">
                <w:rPr>
                  <w:szCs w:val="21"/>
                </w:rPr>
                <w:t>201</w:t>
              </w:r>
              <w:r w:rsidRPr="00E8323A">
                <w:rPr>
                  <w:rFonts w:hint="eastAsia"/>
                  <w:szCs w:val="21"/>
                </w:rPr>
                <w:t>5</w:t>
              </w:r>
              <w:r w:rsidRPr="00E8323A">
                <w:rPr>
                  <w:szCs w:val="21"/>
                </w:rPr>
                <w:t>年3月5日</w:t>
              </w:r>
              <w:r>
                <w:rPr>
                  <w:rFonts w:hint="eastAsia"/>
                  <w:szCs w:val="21"/>
                </w:rPr>
                <w:t>，</w:t>
              </w:r>
              <w:r w:rsidRPr="00E8323A">
                <w:rPr>
                  <w:szCs w:val="21"/>
                </w:rPr>
                <w:t>公司支付</w:t>
              </w:r>
              <w:r>
                <w:rPr>
                  <w:rFonts w:hint="eastAsia"/>
                  <w:szCs w:val="21"/>
                </w:rPr>
                <w:t>2012年公司债券</w:t>
              </w:r>
              <w:r w:rsidRPr="00E8323A">
                <w:rPr>
                  <w:szCs w:val="21"/>
                </w:rPr>
                <w:t>自201</w:t>
              </w:r>
              <w:r w:rsidRPr="00E8323A">
                <w:rPr>
                  <w:rFonts w:hint="eastAsia"/>
                  <w:szCs w:val="21"/>
                </w:rPr>
                <w:t>4</w:t>
              </w:r>
              <w:r w:rsidRPr="00E8323A">
                <w:rPr>
                  <w:szCs w:val="21"/>
                </w:rPr>
                <w:t>年3月5日至201</w:t>
              </w:r>
              <w:r w:rsidRPr="00E8323A">
                <w:rPr>
                  <w:rFonts w:hint="eastAsia"/>
                  <w:szCs w:val="21"/>
                </w:rPr>
                <w:t>5</w:t>
              </w:r>
              <w:r w:rsidRPr="00E8323A">
                <w:rPr>
                  <w:szCs w:val="21"/>
                </w:rPr>
                <w:t>年3月4日期间的利息48,875万元（含税）</w:t>
              </w:r>
              <w:r w:rsidRPr="00E8323A">
                <w:rPr>
                  <w:rFonts w:hint="eastAsia"/>
                  <w:szCs w:val="21"/>
                </w:rPr>
                <w:t>。公司已发行债券兑付兑息不存在违约情况；公司经营稳定，盈利情况良好，未发现可能导致未来出现不能按期偿付情况的风险。</w:t>
              </w:r>
            </w:p>
            <w:p w:rsidR="00034DF7" w:rsidRDefault="00167A3A" w:rsidP="000F7EA0">
              <w:pPr>
                <w:spacing w:line="360" w:lineRule="auto"/>
                <w:ind w:firstLine="539"/>
                <w:rPr>
                  <w:szCs w:val="21"/>
                </w:rPr>
              </w:pPr>
              <w:r w:rsidRPr="00167A3A">
                <w:rPr>
                  <w:rFonts w:hint="eastAsia"/>
                  <w:szCs w:val="21"/>
                </w:rPr>
                <w:t>2015年4月10日，上海新世纪对公司发行的2012年公司债券</w:t>
              </w:r>
              <w:r w:rsidRPr="00167A3A">
                <w:rPr>
                  <w:szCs w:val="21"/>
                </w:rPr>
                <w:t>“1</w:t>
              </w:r>
              <w:r w:rsidRPr="00167A3A">
                <w:rPr>
                  <w:rFonts w:hint="eastAsia"/>
                  <w:szCs w:val="21"/>
                </w:rPr>
                <w:t>2招商</w:t>
              </w:r>
              <w:r w:rsidRPr="00167A3A">
                <w:rPr>
                  <w:szCs w:val="21"/>
                </w:rPr>
                <w:t>01”</w:t>
              </w:r>
              <w:r w:rsidRPr="00167A3A">
                <w:rPr>
                  <w:rFonts w:hint="eastAsia"/>
                  <w:szCs w:val="21"/>
                </w:rPr>
                <w:t>、</w:t>
              </w:r>
              <w:r w:rsidRPr="00167A3A">
                <w:rPr>
                  <w:szCs w:val="21"/>
                </w:rPr>
                <w:t>“1</w:t>
              </w:r>
              <w:r w:rsidRPr="00167A3A">
                <w:rPr>
                  <w:rFonts w:hint="eastAsia"/>
                  <w:szCs w:val="21"/>
                </w:rPr>
                <w:t>2招商</w:t>
              </w:r>
              <w:r w:rsidRPr="00167A3A">
                <w:rPr>
                  <w:szCs w:val="21"/>
                </w:rPr>
                <w:t>02”</w:t>
              </w:r>
              <w:r w:rsidRPr="00167A3A">
                <w:rPr>
                  <w:rFonts w:hint="eastAsia"/>
                  <w:szCs w:val="21"/>
                </w:rPr>
                <w:t>、</w:t>
              </w:r>
              <w:r w:rsidRPr="00167A3A">
                <w:rPr>
                  <w:szCs w:val="21"/>
                </w:rPr>
                <w:t xml:space="preserve"> “1</w:t>
              </w:r>
              <w:r w:rsidRPr="00167A3A">
                <w:rPr>
                  <w:rFonts w:hint="eastAsia"/>
                  <w:szCs w:val="21"/>
                </w:rPr>
                <w:t>2招商</w:t>
              </w:r>
              <w:r w:rsidRPr="00167A3A">
                <w:rPr>
                  <w:szCs w:val="21"/>
                </w:rPr>
                <w:t>03”</w:t>
              </w:r>
              <w:r w:rsidRPr="00167A3A">
                <w:rPr>
                  <w:rFonts w:hint="eastAsia"/>
                  <w:szCs w:val="21"/>
                </w:rPr>
                <w:t>的信用状况进行了跟踪评级，并出具了《招商证券股份有限公司2012年公司债券跟踪评级报告》（编号：</w:t>
              </w:r>
              <w:r w:rsidRPr="00167A3A">
                <w:rPr>
                  <w:szCs w:val="21"/>
                </w:rPr>
                <w:t>新世纪</w:t>
              </w:r>
              <w:r w:rsidRPr="00167A3A">
                <w:rPr>
                  <w:rFonts w:hint="eastAsia"/>
                  <w:szCs w:val="21"/>
                </w:rPr>
                <w:t>跟踪</w:t>
              </w:r>
              <w:r w:rsidRPr="00167A3A">
                <w:rPr>
                  <w:szCs w:val="21"/>
                </w:rPr>
                <w:t>[20</w:t>
              </w:r>
              <w:r w:rsidRPr="00167A3A">
                <w:rPr>
                  <w:rFonts w:hint="eastAsia"/>
                  <w:szCs w:val="21"/>
                </w:rPr>
                <w:t>15</w:t>
              </w:r>
              <w:r w:rsidRPr="00167A3A">
                <w:rPr>
                  <w:szCs w:val="21"/>
                </w:rPr>
                <w:t>]</w:t>
              </w:r>
              <w:r w:rsidRPr="00167A3A">
                <w:rPr>
                  <w:rFonts w:hint="eastAsia"/>
                  <w:szCs w:val="21"/>
                </w:rPr>
                <w:t>100070），维持本公司债券“</w:t>
              </w:r>
              <w:r w:rsidRPr="00167A3A">
                <w:rPr>
                  <w:szCs w:val="21"/>
                </w:rPr>
                <w:t>1</w:t>
              </w:r>
              <w:r w:rsidRPr="00167A3A">
                <w:rPr>
                  <w:rFonts w:hint="eastAsia"/>
                  <w:szCs w:val="21"/>
                </w:rPr>
                <w:t>2招商</w:t>
              </w:r>
              <w:r w:rsidRPr="00167A3A">
                <w:rPr>
                  <w:szCs w:val="21"/>
                </w:rPr>
                <w:t>01”</w:t>
              </w:r>
              <w:r w:rsidRPr="00167A3A">
                <w:rPr>
                  <w:rFonts w:hint="eastAsia"/>
                  <w:szCs w:val="21"/>
                </w:rPr>
                <w:t>、</w:t>
              </w:r>
              <w:r w:rsidRPr="00167A3A">
                <w:rPr>
                  <w:szCs w:val="21"/>
                </w:rPr>
                <w:t>“1</w:t>
              </w:r>
              <w:r w:rsidRPr="00167A3A">
                <w:rPr>
                  <w:rFonts w:hint="eastAsia"/>
                  <w:szCs w:val="21"/>
                </w:rPr>
                <w:t>2招商</w:t>
              </w:r>
              <w:r w:rsidRPr="00167A3A">
                <w:rPr>
                  <w:szCs w:val="21"/>
                </w:rPr>
                <w:t>02”</w:t>
              </w:r>
              <w:r w:rsidRPr="00167A3A">
                <w:rPr>
                  <w:rFonts w:hint="eastAsia"/>
                  <w:szCs w:val="21"/>
                </w:rPr>
                <w:t>、</w:t>
              </w:r>
              <w:r w:rsidRPr="00167A3A">
                <w:rPr>
                  <w:szCs w:val="21"/>
                </w:rPr>
                <w:t xml:space="preserve"> “1</w:t>
              </w:r>
              <w:r w:rsidRPr="00167A3A">
                <w:rPr>
                  <w:rFonts w:hint="eastAsia"/>
                  <w:szCs w:val="21"/>
                </w:rPr>
                <w:t>2招商</w:t>
              </w:r>
              <w:r w:rsidRPr="00167A3A">
                <w:rPr>
                  <w:szCs w:val="21"/>
                </w:rPr>
                <w:t>03”</w:t>
              </w:r>
              <w:r w:rsidRPr="00167A3A">
                <w:rPr>
                  <w:rFonts w:hint="eastAsia"/>
                  <w:szCs w:val="21"/>
                </w:rPr>
                <w:t>的信用等级为</w:t>
              </w:r>
              <w:r w:rsidRPr="00167A3A">
                <w:rPr>
                  <w:szCs w:val="21"/>
                </w:rPr>
                <w:t>AAA</w:t>
              </w:r>
              <w:r w:rsidRPr="00167A3A">
                <w:rPr>
                  <w:rFonts w:hint="eastAsia"/>
                  <w:szCs w:val="21"/>
                </w:rPr>
                <w:t>，维持本公司主体信用级别为</w:t>
              </w:r>
              <w:r w:rsidRPr="00167A3A">
                <w:rPr>
                  <w:szCs w:val="21"/>
                </w:rPr>
                <w:t>AAA</w:t>
              </w:r>
              <w:r w:rsidRPr="00167A3A">
                <w:rPr>
                  <w:rFonts w:hint="eastAsia"/>
                  <w:szCs w:val="21"/>
                </w:rPr>
                <w:t>，评级展望稳定。具体内容详见公司于2015年4月16日发布的相关公告。</w:t>
              </w:r>
            </w:p>
            <w:p w:rsidR="00034DF7" w:rsidRPr="00121B7B" w:rsidRDefault="00034DF7" w:rsidP="003A0284">
              <w:pPr>
                <w:spacing w:beforeLines="50" w:afterLines="50" w:line="360" w:lineRule="auto"/>
                <w:ind w:firstLineChars="200" w:firstLine="422"/>
                <w:rPr>
                  <w:szCs w:val="21"/>
                </w:rPr>
              </w:pPr>
              <w:r>
                <w:rPr>
                  <w:rFonts w:cs="Calibri" w:hint="eastAsia"/>
                  <w:b/>
                  <w:szCs w:val="21"/>
                </w:rPr>
                <w:t>⑤</w:t>
              </w:r>
              <w:r>
                <w:rPr>
                  <w:rFonts w:asciiTheme="minorEastAsia" w:eastAsiaTheme="minorEastAsia" w:hAnsiTheme="minorEastAsia" w:hint="eastAsia"/>
                  <w:b/>
                  <w:szCs w:val="21"/>
                </w:rPr>
                <w:t>发行H股事项</w:t>
              </w:r>
            </w:p>
            <w:p w:rsidR="00034DF7" w:rsidRDefault="00034DF7" w:rsidP="00CB3294">
              <w:pPr>
                <w:spacing w:line="360" w:lineRule="auto"/>
                <w:ind w:firstLineChars="202" w:firstLine="424"/>
                <w:rPr>
                  <w:szCs w:val="21"/>
                </w:rPr>
              </w:pPr>
              <w:r w:rsidRPr="00E233DB">
                <w:rPr>
                  <w:rFonts w:hint="eastAsia"/>
                  <w:szCs w:val="21"/>
                </w:rPr>
                <w:lastRenderedPageBreak/>
                <w:t>2015年5月15日，公司第五届董事会第二十次会议审议通过了《关于公司发行H股股票并在香港联合交易所上市的议案》等议案</w:t>
              </w:r>
              <w:r>
                <w:rPr>
                  <w:rFonts w:hint="eastAsia"/>
                  <w:szCs w:val="21"/>
                </w:rPr>
                <w:t>。</w:t>
              </w:r>
            </w:p>
            <w:p w:rsidR="00034DF7" w:rsidRDefault="00034DF7" w:rsidP="00CB3294">
              <w:pPr>
                <w:spacing w:line="360" w:lineRule="auto"/>
                <w:ind w:firstLineChars="225" w:firstLine="473"/>
                <w:rPr>
                  <w:szCs w:val="21"/>
                </w:rPr>
              </w:pPr>
              <w:r w:rsidRPr="00801A43">
                <w:rPr>
                  <w:rFonts w:hint="eastAsia"/>
                  <w:szCs w:val="21"/>
                </w:rPr>
                <w:t>6月8日，公司收到国资委《关于招商证券股份有限公司首次公开发行H股股票有关问题的批复》（国资产权[2015]412号）。根据该批复，国资委原则同意公司首次公开发行不超过117,871.09万股H股股票方案。</w:t>
              </w:r>
            </w:p>
            <w:p w:rsidR="00034DF7" w:rsidRDefault="00034DF7" w:rsidP="00CB3294">
              <w:pPr>
                <w:spacing w:line="360" w:lineRule="auto"/>
                <w:ind w:firstLineChars="225" w:firstLine="473"/>
                <w:rPr>
                  <w:szCs w:val="21"/>
                </w:rPr>
              </w:pPr>
              <w:r w:rsidRPr="00E233DB">
                <w:rPr>
                  <w:rFonts w:hint="eastAsia"/>
                  <w:szCs w:val="21"/>
                </w:rPr>
                <w:t>6月11日，</w:t>
              </w:r>
              <w:r>
                <w:rPr>
                  <w:rFonts w:hint="eastAsia"/>
                  <w:szCs w:val="21"/>
                </w:rPr>
                <w:t>公司</w:t>
              </w:r>
              <w:r w:rsidRPr="00E233DB">
                <w:rPr>
                  <w:rFonts w:hint="eastAsia"/>
                  <w:szCs w:val="21"/>
                </w:rPr>
                <w:t>2015年第二次临时股东大会</w:t>
              </w:r>
              <w:r>
                <w:rPr>
                  <w:rFonts w:hint="eastAsia"/>
                  <w:szCs w:val="21"/>
                </w:rPr>
                <w:t>审议通过了以上议案。</w:t>
              </w:r>
            </w:p>
            <w:p w:rsidR="002E4B8D" w:rsidRPr="002E4B8D" w:rsidRDefault="00034DF7" w:rsidP="00CB3294">
              <w:pPr>
                <w:spacing w:line="360" w:lineRule="auto"/>
                <w:ind w:firstLineChars="225" w:firstLine="473"/>
                <w:rPr>
                  <w:szCs w:val="21"/>
                </w:rPr>
              </w:pPr>
              <w:r>
                <w:rPr>
                  <w:rFonts w:hint="eastAsia"/>
                  <w:szCs w:val="21"/>
                </w:rPr>
                <w:t>具体内容详见公司于2015年5月16日、6月9日、6月12日在《中国证券报》、《上海证券报》、《证券时报》、《证券日报》和上交所网站（</w:t>
              </w:r>
              <w:hyperlink r:id="rId15" w:history="1">
                <w:r w:rsidRPr="00C70E36">
                  <w:t>http://www.sse.com.cn</w:t>
                </w:r>
              </w:hyperlink>
              <w:r>
                <w:rPr>
                  <w:rFonts w:hint="eastAsia"/>
                  <w:szCs w:val="21"/>
                </w:rPr>
                <w:t>）发布的相关公告。</w:t>
              </w:r>
            </w:p>
          </w:sdtContent>
        </w:sdt>
      </w:sdtContent>
    </w:sdt>
    <w:p w:rsidR="00704CAD" w:rsidRPr="002E4B8D" w:rsidRDefault="00704CAD" w:rsidP="002E4B8D">
      <w:pPr>
        <w:spacing w:line="360" w:lineRule="auto"/>
        <w:rPr>
          <w:szCs w:val="21"/>
        </w:rPr>
      </w:pPr>
    </w:p>
    <w:sdt>
      <w:sdtPr>
        <w:rPr>
          <w:rFonts w:ascii="宋体" w:hAnsi="宋体" w:cs="宋体"/>
          <w:b w:val="0"/>
          <w:bCs w:val="0"/>
          <w:kern w:val="0"/>
          <w:sz w:val="24"/>
          <w:szCs w:val="21"/>
        </w:rPr>
        <w:tag w:val="_GBC_bb6c9f52d98a468ba8ef32d85235e725"/>
        <w:id w:val="24720183"/>
        <w:lock w:val="sdtLocked"/>
        <w:placeholder>
          <w:docPart w:val="GBC22222222222222222222222222222"/>
        </w:placeholder>
      </w:sdtPr>
      <w:sdtEndPr>
        <w:rPr>
          <w:rFonts w:asciiTheme="minorEastAsia" w:eastAsiaTheme="minorEastAsia" w:hAnsiTheme="minorEastAsia" w:hint="eastAsia"/>
          <w:sz w:val="21"/>
        </w:rPr>
      </w:sdtEndPr>
      <w:sdtContent>
        <w:p w:rsidR="00704CAD" w:rsidRDefault="00720895" w:rsidP="009950AC">
          <w:pPr>
            <w:pStyle w:val="5"/>
            <w:numPr>
              <w:ilvl w:val="0"/>
              <w:numId w:val="19"/>
            </w:numPr>
            <w:tabs>
              <w:tab w:val="left" w:pos="588"/>
            </w:tabs>
            <w:ind w:hangingChars="175"/>
            <w:rPr>
              <w:szCs w:val="21"/>
            </w:rPr>
          </w:pPr>
          <w:r>
            <w:rPr>
              <w:szCs w:val="21"/>
            </w:rPr>
            <w:t>经营计划进展说明</w:t>
          </w:r>
        </w:p>
        <w:sdt>
          <w:sdtPr>
            <w:rPr>
              <w:rFonts w:ascii="宋体" w:hAnsi="宋体" w:hint="eastAsia"/>
              <w:szCs w:val="24"/>
            </w:rPr>
            <w:alias w:val="公司回顾总结前期披露的发展战略和经营计划在报告期内的进展，未达到计划目标的情况的解释"/>
            <w:tag w:val="_GBC_dcdbfb3156344ea8afdf1c21d9711664"/>
            <w:id w:val="24720182"/>
            <w:lock w:val="sdtLocked"/>
            <w:placeholder>
              <w:docPart w:val="GBC22222222222222222222222222222"/>
            </w:placeholder>
          </w:sdtPr>
          <w:sdtEndPr>
            <w:rPr>
              <w:rFonts w:ascii="Calibri" w:hAnsi="Calibri"/>
              <w:szCs w:val="21"/>
            </w:rPr>
          </w:sdtEndPr>
          <w:sdtContent>
            <w:p w:rsidR="003358CE" w:rsidRPr="003358CE" w:rsidRDefault="00E90EFC" w:rsidP="003358CE">
              <w:pPr>
                <w:pStyle w:val="p19"/>
                <w:tabs>
                  <w:tab w:val="left" w:pos="840"/>
                </w:tabs>
                <w:autoSpaceDN w:val="0"/>
                <w:spacing w:line="360" w:lineRule="auto"/>
                <w:ind w:firstLineChars="200"/>
                <w:rPr>
                  <w:rFonts w:ascii="宋体" w:hAnsi="宋体" w:cs="仿宋_GB2312"/>
                  <w:bCs/>
                </w:rPr>
              </w:pPr>
              <w:r w:rsidRPr="00AF25AB">
                <w:rPr>
                  <w:rFonts w:ascii="宋体" w:hAnsi="宋体" w:cs="仿宋_GB2312" w:hint="eastAsia"/>
                  <w:bCs/>
                </w:rPr>
                <w:t>2015</w:t>
              </w:r>
              <w:r w:rsidR="003358CE" w:rsidRPr="003358CE">
                <w:rPr>
                  <w:rFonts w:ascii="宋体" w:hAnsi="宋体" w:cs="仿宋_GB2312" w:hint="eastAsia"/>
                  <w:bCs/>
                </w:rPr>
                <w:t>上半年，公司以国际领先的现代投资银行为蓝本，搭建业务架构、完善组织设计，提升关键能力，取得了转型升级的显著成效。</w:t>
              </w:r>
            </w:p>
            <w:p w:rsidR="003358CE" w:rsidRPr="003358CE" w:rsidRDefault="003358CE" w:rsidP="003358CE">
              <w:pPr>
                <w:pStyle w:val="p19"/>
                <w:tabs>
                  <w:tab w:val="left" w:pos="840"/>
                </w:tabs>
                <w:autoSpaceDN w:val="0"/>
                <w:spacing w:line="360" w:lineRule="auto"/>
                <w:ind w:firstLineChars="200"/>
                <w:rPr>
                  <w:rFonts w:ascii="宋体" w:hAnsi="宋体" w:cs="仿宋_GB2312"/>
                  <w:bCs/>
                </w:rPr>
              </w:pPr>
              <w:r w:rsidRPr="003358CE">
                <w:rPr>
                  <w:rFonts w:ascii="宋体" w:hAnsi="宋体" w:cs="仿宋_GB2312" w:hint="eastAsia"/>
                  <w:bCs/>
                </w:rPr>
                <w:t>一是业务转型向纵深推进。主券商业务率先突破重围，在行业内初步建立了差异化的竞争优势。公司托管与服务外包业务在市场上打响了招商证券的“金字招牌”，</w:t>
              </w:r>
              <w:r w:rsidRPr="003358CE">
                <w:rPr>
                  <w:rFonts w:ascii="宋体" w:hAnsi="宋体" w:cs="仿宋_GB2312"/>
                  <w:bCs/>
                </w:rPr>
                <w:t>稳固保持行业第一的领先优势</w:t>
              </w:r>
              <w:r w:rsidRPr="003358CE">
                <w:rPr>
                  <w:rFonts w:ascii="宋体" w:hAnsi="宋体" w:cs="仿宋_GB2312" w:hint="eastAsia"/>
                  <w:bCs/>
                </w:rPr>
                <w:t>。投资银行业务专业团队建设和营销模式升级取得新进展。场外投行业务着重培养核心竞争力，</w:t>
              </w:r>
              <w:r w:rsidRPr="003358CE">
                <w:rPr>
                  <w:rFonts w:ascii="宋体" w:hAnsi="宋体" w:cs="仿宋_GB2312"/>
                  <w:bCs/>
                </w:rPr>
                <w:t>组建专业化服务团队，提升了对客户的全产业链服务能力和品牌竞争力。财富管理业务持续提升服务质量，深挖客户价值。</w:t>
              </w:r>
              <w:r w:rsidRPr="003358CE">
                <w:rPr>
                  <w:rFonts w:ascii="宋体" w:hAnsi="宋体" w:cs="仿宋_GB2312" w:hint="eastAsia"/>
                  <w:bCs/>
                </w:rPr>
                <w:t>分支机构综合化经营稳步推进。</w:t>
              </w:r>
            </w:p>
            <w:p w:rsidR="003358CE" w:rsidRPr="003358CE" w:rsidRDefault="003358CE" w:rsidP="003358CE">
              <w:pPr>
                <w:pStyle w:val="p19"/>
                <w:tabs>
                  <w:tab w:val="left" w:pos="840"/>
                </w:tabs>
                <w:autoSpaceDN w:val="0"/>
                <w:spacing w:line="360" w:lineRule="auto"/>
                <w:ind w:firstLineChars="200"/>
                <w:rPr>
                  <w:rFonts w:ascii="宋体" w:hAnsi="宋体" w:cs="仿宋_GB2312"/>
                  <w:bCs/>
                </w:rPr>
              </w:pPr>
              <w:r w:rsidRPr="003358CE">
                <w:rPr>
                  <w:rFonts w:ascii="宋体" w:hAnsi="宋体" w:cs="仿宋_GB2312" w:hint="eastAsia"/>
                  <w:bCs/>
                </w:rPr>
                <w:t>二是全力以赴推动产品开发能力的提升。</w:t>
              </w:r>
              <w:r w:rsidR="009E3FDE">
                <w:rPr>
                  <w:rFonts w:ascii="宋体" w:hAnsi="宋体" w:cs="仿宋_GB2312" w:hint="eastAsia"/>
                  <w:bCs/>
                </w:rPr>
                <w:t>2015</w:t>
              </w:r>
              <w:r w:rsidRPr="003358CE">
                <w:rPr>
                  <w:rFonts w:ascii="宋体" w:hAnsi="宋体" w:cs="仿宋_GB2312" w:hint="eastAsia"/>
                  <w:bCs/>
                </w:rPr>
                <w:t>上半年，公司积极发挥产品委员会的统筹规划与组织推动作用，全面整合公司产品开发能力，搭建起公司统一的产品开发管理体系。</w:t>
              </w:r>
            </w:p>
            <w:p w:rsidR="003358CE" w:rsidRPr="003358CE" w:rsidRDefault="003358CE" w:rsidP="003358CE">
              <w:pPr>
                <w:pStyle w:val="p19"/>
                <w:tabs>
                  <w:tab w:val="left" w:pos="840"/>
                </w:tabs>
                <w:autoSpaceDN w:val="0"/>
                <w:spacing w:line="360" w:lineRule="auto"/>
                <w:ind w:firstLineChars="200"/>
                <w:rPr>
                  <w:rFonts w:ascii="宋体" w:hAnsi="宋体" w:cs="仿宋_GB2312"/>
                  <w:bCs/>
                </w:rPr>
              </w:pPr>
              <w:r w:rsidRPr="003358CE">
                <w:rPr>
                  <w:rFonts w:ascii="宋体" w:hAnsi="宋体" w:cs="仿宋_GB2312" w:hint="eastAsia"/>
                  <w:bCs/>
                </w:rPr>
                <w:t>三是优化跨部门协同体制与机制。</w:t>
              </w:r>
              <w:bookmarkStart w:id="23" w:name="_Toc425468948"/>
              <w:r w:rsidR="009E3FDE">
                <w:rPr>
                  <w:rFonts w:ascii="宋体" w:hAnsi="宋体" w:cs="仿宋_GB2312" w:hint="eastAsia"/>
                  <w:bCs/>
                </w:rPr>
                <w:t>2015</w:t>
              </w:r>
              <w:r w:rsidRPr="003358CE">
                <w:rPr>
                  <w:rFonts w:ascii="宋体" w:hAnsi="宋体" w:cs="仿宋_GB2312" w:hint="eastAsia"/>
                  <w:bCs/>
                </w:rPr>
                <w:t>上半年，各业务线的协同意识和协同能力有了较大提升。</w:t>
              </w:r>
            </w:p>
            <w:p w:rsidR="00704CAD" w:rsidRPr="00892D17" w:rsidRDefault="003358CE" w:rsidP="00892D17">
              <w:pPr>
                <w:pStyle w:val="p19"/>
                <w:tabs>
                  <w:tab w:val="left" w:pos="840"/>
                </w:tabs>
                <w:autoSpaceDN w:val="0"/>
                <w:spacing w:line="360" w:lineRule="auto"/>
                <w:ind w:firstLineChars="200"/>
                <w:rPr>
                  <w:rFonts w:ascii="宋体" w:hAnsi="宋体" w:cs="仿宋_GB2312"/>
                  <w:bCs/>
                </w:rPr>
              </w:pPr>
              <w:r w:rsidRPr="003358CE">
                <w:rPr>
                  <w:rFonts w:ascii="宋体" w:hAnsi="宋体" w:cs="仿宋_GB2312" w:hint="eastAsia"/>
                  <w:bCs/>
                </w:rPr>
                <w:t>四是加强中后台管理、支持与服务能力建设，为赶超战略与转型升级提供有力保障</w:t>
              </w:r>
              <w:bookmarkEnd w:id="23"/>
              <w:r w:rsidRPr="003358CE">
                <w:rPr>
                  <w:rFonts w:ascii="宋体" w:hAnsi="宋体" w:cs="仿宋_GB2312" w:hint="eastAsia"/>
                  <w:bCs/>
                </w:rPr>
                <w:t>。上半年，为保障赶超战略和转型升级战略性任务的顺利推进，公司各中后台部门勤勉尽责，工作效率、服务质量和内控管理能力都有显著提升。</w:t>
              </w:r>
            </w:p>
          </w:sdtContent>
        </w:sdt>
      </w:sdtContent>
    </w:sdt>
    <w:p w:rsidR="001276A9" w:rsidRDefault="001276A9">
      <w:pPr>
        <w:rPr>
          <w:szCs w:val="21"/>
        </w:rPr>
      </w:pPr>
    </w:p>
    <w:p w:rsidR="00704CAD" w:rsidRDefault="00D05EB4" w:rsidP="001C1A59">
      <w:pPr>
        <w:pStyle w:val="3"/>
        <w:numPr>
          <w:ilvl w:val="0"/>
          <w:numId w:val="7"/>
        </w:numPr>
        <w:ind w:left="369" w:hangingChars="175" w:hanging="369"/>
        <w:rPr>
          <w:szCs w:val="21"/>
        </w:rPr>
      </w:pPr>
      <w:r>
        <w:rPr>
          <w:rFonts w:hint="eastAsia"/>
          <w:szCs w:val="21"/>
        </w:rPr>
        <w:t>业务</w:t>
      </w:r>
      <w:r w:rsidR="00720895">
        <w:rPr>
          <w:rFonts w:hint="eastAsia"/>
          <w:szCs w:val="21"/>
        </w:rPr>
        <w:t>或地区经营情况分析</w:t>
      </w:r>
      <w:bookmarkEnd w:id="21"/>
      <w:bookmarkEnd w:id="22"/>
    </w:p>
    <w:bookmarkStart w:id="24" w:name="_Toc340829716" w:displacedByCustomXml="next"/>
    <w:bookmarkStart w:id="25" w:name="_Toc342559756" w:displacedByCustomXml="next"/>
    <w:bookmarkStart w:id="26" w:name="_Toc342565904" w:displacedByCustomXml="next"/>
    <w:sdt>
      <w:sdtPr>
        <w:rPr>
          <w:rFonts w:ascii="Calibri" w:hAnsi="Calibri" w:cs="宋体"/>
          <w:b w:val="0"/>
          <w:bCs w:val="0"/>
          <w:kern w:val="0"/>
          <w:sz w:val="24"/>
          <w:szCs w:val="21"/>
        </w:rPr>
        <w:tag w:val="_GBC_eff87b255ed742b3a7c0df9c4701e3ec"/>
        <w:id w:val="24720235"/>
        <w:lock w:val="sdtLocked"/>
        <w:placeholder>
          <w:docPart w:val="GBC22222222222222222222222222222"/>
        </w:placeholder>
      </w:sdtPr>
      <w:sdtEndPr>
        <w:rPr>
          <w:rFonts w:ascii="宋体" w:hAnsi="宋体" w:hint="eastAsia"/>
          <w:sz w:val="21"/>
        </w:rPr>
      </w:sdtEndPr>
      <w:sdtContent>
        <w:p w:rsidR="00704CAD" w:rsidRDefault="00720895" w:rsidP="001C1A59">
          <w:pPr>
            <w:pStyle w:val="4"/>
            <w:numPr>
              <w:ilvl w:val="0"/>
              <w:numId w:val="9"/>
            </w:numPr>
            <w:ind w:hangingChars="175"/>
            <w:rPr>
              <w:szCs w:val="21"/>
            </w:rPr>
          </w:pPr>
          <w:r>
            <w:rPr>
              <w:szCs w:val="21"/>
            </w:rPr>
            <w:t>主营业务</w:t>
          </w:r>
          <w:r>
            <w:rPr>
              <w:rFonts w:hint="eastAsia"/>
              <w:szCs w:val="21"/>
            </w:rPr>
            <w:t>分</w:t>
          </w:r>
          <w:r w:rsidR="00D05EB4">
            <w:rPr>
              <w:rFonts w:hint="eastAsia"/>
              <w:szCs w:val="21"/>
            </w:rPr>
            <w:t>业务</w:t>
          </w:r>
          <w:r>
            <w:rPr>
              <w:rFonts w:hint="eastAsia"/>
              <w:szCs w:val="21"/>
            </w:rPr>
            <w:t>情况</w:t>
          </w:r>
          <w:bookmarkEnd w:id="26"/>
          <w:bookmarkEnd w:id="25"/>
          <w:bookmarkEnd w:id="24"/>
        </w:p>
        <w:p w:rsidR="001276A9" w:rsidRDefault="001276A9" w:rsidP="00D0436F"/>
        <w:p w:rsidR="00704CAD" w:rsidRDefault="00720895">
          <w:pPr>
            <w:jc w:val="right"/>
            <w:rPr>
              <w:szCs w:val="21"/>
            </w:rPr>
          </w:pPr>
          <w:r>
            <w:rPr>
              <w:rFonts w:hint="eastAsia"/>
              <w:szCs w:val="21"/>
            </w:rPr>
            <w:t>单位</w:t>
          </w:r>
          <w:r>
            <w:rPr>
              <w:szCs w:val="21"/>
            </w:rPr>
            <w:t>:</w:t>
          </w:r>
          <w:sdt>
            <w:sdtPr>
              <w:rPr>
                <w:szCs w:val="21"/>
              </w:rPr>
              <w:alias w:val="单位：主营业务分行业、分产品情况表"/>
              <w:tag w:val="_GBC_b8cbd4922b5d40d6a352aad65dd67931"/>
              <w:id w:val="24720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0436F">
                <w:rPr>
                  <w:szCs w:val="21"/>
                </w:rPr>
                <w:t>亿元</w:t>
              </w:r>
            </w:sdtContent>
          </w:sdt>
          <w:r>
            <w:rPr>
              <w:rFonts w:hint="eastAsia"/>
              <w:szCs w:val="21"/>
            </w:rPr>
            <w:t xml:space="preserve">  币种</w:t>
          </w:r>
          <w:r>
            <w:rPr>
              <w:szCs w:val="21"/>
            </w:rPr>
            <w:t>:</w:t>
          </w:r>
          <w:sdt>
            <w:sdtPr>
              <w:rPr>
                <w:szCs w:val="21"/>
              </w:rPr>
              <w:alias w:val="币种：主营业务分行业、分产品情况表"/>
              <w:tag w:val="_GBC_c68424dcea8640f98a34941150f100b1"/>
              <w:id w:val="247201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ayout w:type="fixed"/>
            <w:tblLook w:val="0000"/>
          </w:tblPr>
          <w:tblGrid>
            <w:gridCol w:w="1242"/>
            <w:gridCol w:w="992"/>
            <w:gridCol w:w="995"/>
            <w:gridCol w:w="988"/>
            <w:gridCol w:w="1276"/>
            <w:gridCol w:w="1417"/>
            <w:gridCol w:w="2139"/>
          </w:tblGrid>
          <w:tr w:rsidR="003426E8" w:rsidTr="00DE031E">
            <w:trPr>
              <w:tblHeader/>
            </w:trPr>
            <w:tc>
              <w:tcPr>
                <w:tcW w:w="5000" w:type="pct"/>
                <w:gridSpan w:val="7"/>
                <w:vAlign w:val="center"/>
              </w:tcPr>
              <w:p w:rsidR="003426E8" w:rsidRPr="00D0436F" w:rsidRDefault="003426E8" w:rsidP="00DE031E">
                <w:pPr>
                  <w:jc w:val="center"/>
                  <w:rPr>
                    <w:b/>
                    <w:szCs w:val="21"/>
                  </w:rPr>
                </w:pPr>
                <w:bookmarkStart w:id="27" w:name="_Toc342559760"/>
                <w:bookmarkStart w:id="28" w:name="_Toc342565908"/>
                <w:r w:rsidRPr="00D0436F">
                  <w:rPr>
                    <w:rFonts w:hint="eastAsia"/>
                    <w:b/>
                    <w:szCs w:val="21"/>
                  </w:rPr>
                  <w:t>主营业务分业务情况</w:t>
                </w:r>
              </w:p>
            </w:tc>
          </w:tr>
          <w:tr w:rsidR="003426E8" w:rsidTr="001276A9">
            <w:trPr>
              <w:tblHeader/>
            </w:trPr>
            <w:tc>
              <w:tcPr>
                <w:tcW w:w="686" w:type="pct"/>
                <w:vAlign w:val="center"/>
              </w:tcPr>
              <w:p w:rsidR="003426E8" w:rsidRPr="00D0436F" w:rsidRDefault="003426E8" w:rsidP="00DE031E">
                <w:pPr>
                  <w:jc w:val="center"/>
                  <w:rPr>
                    <w:b/>
                    <w:szCs w:val="21"/>
                  </w:rPr>
                </w:pPr>
                <w:r w:rsidRPr="00D0436F">
                  <w:rPr>
                    <w:b/>
                    <w:szCs w:val="21"/>
                  </w:rPr>
                  <w:t>分行业</w:t>
                </w:r>
              </w:p>
            </w:tc>
            <w:tc>
              <w:tcPr>
                <w:tcW w:w="548" w:type="pct"/>
                <w:vAlign w:val="center"/>
              </w:tcPr>
              <w:p w:rsidR="003426E8" w:rsidRPr="00D0436F" w:rsidRDefault="003426E8" w:rsidP="00DE031E">
                <w:pPr>
                  <w:jc w:val="center"/>
                  <w:rPr>
                    <w:b/>
                    <w:szCs w:val="21"/>
                  </w:rPr>
                </w:pPr>
                <w:r w:rsidRPr="00D0436F">
                  <w:rPr>
                    <w:b/>
                    <w:szCs w:val="21"/>
                  </w:rPr>
                  <w:t>营业收入</w:t>
                </w:r>
              </w:p>
            </w:tc>
            <w:tc>
              <w:tcPr>
                <w:tcW w:w="550" w:type="pct"/>
                <w:vAlign w:val="center"/>
              </w:tcPr>
              <w:p w:rsidR="003426E8" w:rsidRPr="00D0436F" w:rsidRDefault="003426E8" w:rsidP="00DE031E">
                <w:pPr>
                  <w:jc w:val="center"/>
                  <w:rPr>
                    <w:b/>
                    <w:szCs w:val="21"/>
                  </w:rPr>
                </w:pPr>
                <w:r w:rsidRPr="00D0436F">
                  <w:rPr>
                    <w:b/>
                    <w:szCs w:val="21"/>
                  </w:rPr>
                  <w:t>营业成本</w:t>
                </w:r>
              </w:p>
            </w:tc>
            <w:tc>
              <w:tcPr>
                <w:tcW w:w="546" w:type="pct"/>
                <w:vAlign w:val="center"/>
              </w:tcPr>
              <w:p w:rsidR="003426E8" w:rsidRPr="00D0436F" w:rsidRDefault="003426E8" w:rsidP="00DE031E">
                <w:pPr>
                  <w:jc w:val="center"/>
                  <w:rPr>
                    <w:b/>
                    <w:szCs w:val="21"/>
                  </w:rPr>
                </w:pPr>
                <w:r w:rsidRPr="00D0436F">
                  <w:rPr>
                    <w:rFonts w:hint="eastAsia"/>
                    <w:b/>
                    <w:szCs w:val="21"/>
                  </w:rPr>
                  <w:t>毛利率</w:t>
                </w:r>
                <w:r w:rsidRPr="00D0436F">
                  <w:rPr>
                    <w:b/>
                    <w:szCs w:val="21"/>
                  </w:rPr>
                  <w:t>（</w:t>
                </w:r>
                <w:r w:rsidRPr="00D0436F">
                  <w:rPr>
                    <w:rFonts w:hint="eastAsia"/>
                    <w:b/>
                    <w:szCs w:val="21"/>
                  </w:rPr>
                  <w:t>%</w:t>
                </w:r>
                <w:r w:rsidRPr="00D0436F">
                  <w:rPr>
                    <w:b/>
                    <w:szCs w:val="21"/>
                  </w:rPr>
                  <w:t>）</w:t>
                </w:r>
              </w:p>
            </w:tc>
            <w:tc>
              <w:tcPr>
                <w:tcW w:w="705" w:type="pct"/>
                <w:vAlign w:val="center"/>
              </w:tcPr>
              <w:p w:rsidR="003426E8" w:rsidRPr="00D0436F" w:rsidRDefault="003426E8" w:rsidP="00DE031E">
                <w:pPr>
                  <w:jc w:val="center"/>
                  <w:rPr>
                    <w:b/>
                    <w:szCs w:val="21"/>
                  </w:rPr>
                </w:pPr>
                <w:r w:rsidRPr="00D0436F">
                  <w:rPr>
                    <w:b/>
                    <w:szCs w:val="21"/>
                  </w:rPr>
                  <w:t>营业收入比上年增减（</w:t>
                </w:r>
                <w:r w:rsidRPr="00D0436F">
                  <w:rPr>
                    <w:rFonts w:hint="eastAsia"/>
                    <w:b/>
                    <w:szCs w:val="21"/>
                  </w:rPr>
                  <w:t>%</w:t>
                </w:r>
                <w:r w:rsidRPr="00D0436F">
                  <w:rPr>
                    <w:b/>
                    <w:szCs w:val="21"/>
                  </w:rPr>
                  <w:t>）</w:t>
                </w:r>
              </w:p>
            </w:tc>
            <w:tc>
              <w:tcPr>
                <w:tcW w:w="783" w:type="pct"/>
                <w:vAlign w:val="center"/>
              </w:tcPr>
              <w:p w:rsidR="003426E8" w:rsidRPr="00D0436F" w:rsidRDefault="003426E8" w:rsidP="00DE031E">
                <w:pPr>
                  <w:jc w:val="center"/>
                  <w:rPr>
                    <w:b/>
                    <w:szCs w:val="21"/>
                  </w:rPr>
                </w:pPr>
                <w:r w:rsidRPr="00D0436F">
                  <w:rPr>
                    <w:b/>
                    <w:szCs w:val="21"/>
                  </w:rPr>
                  <w:t>营业成本比上年增减（</w:t>
                </w:r>
                <w:r w:rsidRPr="00D0436F">
                  <w:rPr>
                    <w:rFonts w:hint="eastAsia"/>
                    <w:b/>
                    <w:szCs w:val="21"/>
                  </w:rPr>
                  <w:t>%</w:t>
                </w:r>
                <w:r w:rsidRPr="00D0436F">
                  <w:rPr>
                    <w:b/>
                    <w:szCs w:val="21"/>
                  </w:rPr>
                  <w:t>）</w:t>
                </w:r>
              </w:p>
            </w:tc>
            <w:tc>
              <w:tcPr>
                <w:tcW w:w="1182" w:type="pct"/>
                <w:vAlign w:val="center"/>
              </w:tcPr>
              <w:p w:rsidR="003426E8" w:rsidRPr="00D0436F" w:rsidRDefault="003426E8" w:rsidP="00DE031E">
                <w:pPr>
                  <w:jc w:val="center"/>
                  <w:rPr>
                    <w:b/>
                    <w:szCs w:val="21"/>
                  </w:rPr>
                </w:pPr>
                <w:r w:rsidRPr="00D0436F">
                  <w:rPr>
                    <w:rFonts w:hint="eastAsia"/>
                    <w:b/>
                    <w:szCs w:val="21"/>
                  </w:rPr>
                  <w:t>毛利率</w:t>
                </w:r>
                <w:r w:rsidRPr="00D0436F">
                  <w:rPr>
                    <w:b/>
                    <w:szCs w:val="21"/>
                  </w:rPr>
                  <w:t>比上年增减（</w:t>
                </w:r>
                <w:r w:rsidRPr="00D0436F">
                  <w:rPr>
                    <w:rFonts w:hint="eastAsia"/>
                    <w:b/>
                    <w:szCs w:val="21"/>
                  </w:rPr>
                  <w:t>%</w:t>
                </w:r>
                <w:r w:rsidRPr="00D0436F">
                  <w:rPr>
                    <w:b/>
                    <w:szCs w:val="21"/>
                  </w:rPr>
                  <w:t>）</w:t>
                </w:r>
              </w:p>
            </w:tc>
          </w:tr>
          <w:sdt>
            <w:sdtPr>
              <w:rPr>
                <w:rFonts w:ascii="宋体" w:eastAsiaTheme="minorEastAsia" w:hAnsi="宋体" w:cs="宋体"/>
                <w:kern w:val="0"/>
                <w:szCs w:val="21"/>
              </w:rPr>
              <w:alias w:val="董事会报告出具的分行业主营业务"/>
              <w:tag w:val="_GBC_ae6af61fe43c44ec919c387ab1441e5b"/>
              <w:id w:val="25982458"/>
              <w:lock w:val="sdtLocked"/>
            </w:sdtPr>
            <w:sdtEndPr>
              <w:rPr>
                <w:color w:val="008000"/>
              </w:rPr>
            </w:sdtEndPr>
            <w:sdtContent>
              <w:tr w:rsidR="003426E8" w:rsidTr="001276A9">
                <w:sdt>
                  <w:sdtPr>
                    <w:rPr>
                      <w:rFonts w:ascii="宋体" w:eastAsiaTheme="minorEastAsia" w:hAnsi="宋体" w:cs="宋体"/>
                      <w:kern w:val="0"/>
                      <w:szCs w:val="21"/>
                    </w:rPr>
                    <w:alias w:val="董事会报告出具的主营业务分行业名称"/>
                    <w:tag w:val="_GBC_465668d6ce6541f19e408aab5b63473d"/>
                    <w:id w:val="25982451"/>
                    <w:lock w:val="sdtLocked"/>
                  </w:sdtPr>
                  <w:sdtEndPr>
                    <w:rPr>
                      <w:rFonts w:ascii="Calibri" w:eastAsia="宋体" w:hAnsi="Calibri" w:cs="Times New Roman"/>
                      <w:kern w:val="2"/>
                    </w:rPr>
                  </w:sdtEndPr>
                  <w:sdtContent>
                    <w:tc>
                      <w:tcPr>
                        <w:tcW w:w="686" w:type="pct"/>
                        <w:vAlign w:val="center"/>
                      </w:tcPr>
                      <w:p w:rsidR="003426E8" w:rsidRDefault="003426E8" w:rsidP="00DE031E">
                        <w:pPr>
                          <w:pStyle w:val="a9"/>
                          <w:ind w:firstLineChars="0" w:firstLine="0"/>
                          <w:jc w:val="center"/>
                          <w:rPr>
                            <w:szCs w:val="21"/>
                          </w:rPr>
                        </w:pPr>
                        <w:r>
                          <w:rPr>
                            <w:rFonts w:ascii="宋体" w:eastAsiaTheme="minorEastAsia" w:hAnsi="宋体" w:cs="宋体"/>
                            <w:szCs w:val="21"/>
                          </w:rPr>
                          <w:t>经纪业务</w:t>
                        </w:r>
                      </w:p>
                    </w:tc>
                  </w:sdtContent>
                </w:sdt>
                <w:sdt>
                  <w:sdtPr>
                    <w:rPr>
                      <w:szCs w:val="21"/>
                    </w:rPr>
                    <w:alias w:val="董事会报告出具的分行业主营业务收入"/>
                    <w:tag w:val="_GBC_90f3fce981924cb9b85df198c328541a"/>
                    <w:id w:val="25982452"/>
                    <w:lock w:val="sdtLocked"/>
                  </w:sdtPr>
                  <w:sdtContent>
                    <w:tc>
                      <w:tcPr>
                        <w:tcW w:w="548" w:type="pct"/>
                        <w:vAlign w:val="center"/>
                      </w:tcPr>
                      <w:p w:rsidR="003426E8" w:rsidRDefault="003426E8" w:rsidP="00DE031E">
                        <w:pPr>
                          <w:jc w:val="right"/>
                          <w:rPr>
                            <w:szCs w:val="21"/>
                          </w:rPr>
                        </w:pPr>
                        <w:r>
                          <w:rPr>
                            <w:szCs w:val="21"/>
                          </w:rPr>
                          <w:t>99.73</w:t>
                        </w:r>
                      </w:p>
                    </w:tc>
                  </w:sdtContent>
                </w:sdt>
                <w:sdt>
                  <w:sdtPr>
                    <w:rPr>
                      <w:szCs w:val="21"/>
                    </w:rPr>
                    <w:alias w:val="董事会报告出具的分行业主营业务成本"/>
                    <w:tag w:val="_GBC_5f0935a07add47838650975dc6e9b3a8"/>
                    <w:id w:val="25982453"/>
                    <w:lock w:val="sdtLocked"/>
                  </w:sdtPr>
                  <w:sdtContent>
                    <w:tc>
                      <w:tcPr>
                        <w:tcW w:w="550" w:type="pct"/>
                        <w:vAlign w:val="center"/>
                      </w:tcPr>
                      <w:p w:rsidR="003426E8" w:rsidRDefault="003426E8" w:rsidP="00DE031E">
                        <w:pPr>
                          <w:jc w:val="right"/>
                          <w:rPr>
                            <w:szCs w:val="21"/>
                          </w:rPr>
                        </w:pPr>
                        <w:r>
                          <w:rPr>
                            <w:szCs w:val="21"/>
                          </w:rPr>
                          <w:t>29.21</w:t>
                        </w:r>
                      </w:p>
                    </w:tc>
                  </w:sdtContent>
                </w:sdt>
                <w:sdt>
                  <w:sdtPr>
                    <w:rPr>
                      <w:szCs w:val="21"/>
                    </w:rPr>
                    <w:alias w:val="董事会报告出具的分行业主营业务毛利率"/>
                    <w:tag w:val="_GBC_6fefc39ba7d144239fbd55e79ecff71d"/>
                    <w:id w:val="25982454"/>
                    <w:lock w:val="sdtLocked"/>
                  </w:sdtPr>
                  <w:sdtContent>
                    <w:tc>
                      <w:tcPr>
                        <w:tcW w:w="546" w:type="pct"/>
                        <w:vAlign w:val="center"/>
                      </w:tcPr>
                      <w:p w:rsidR="003426E8" w:rsidRDefault="003426E8" w:rsidP="00DE031E">
                        <w:pPr>
                          <w:jc w:val="right"/>
                          <w:rPr>
                            <w:szCs w:val="21"/>
                          </w:rPr>
                        </w:pPr>
                        <w:r>
                          <w:rPr>
                            <w:szCs w:val="21"/>
                          </w:rPr>
                          <w:t>70.71</w:t>
                        </w:r>
                      </w:p>
                    </w:tc>
                  </w:sdtContent>
                </w:sdt>
                <w:sdt>
                  <w:sdtPr>
                    <w:rPr>
                      <w:szCs w:val="21"/>
                    </w:rPr>
                    <w:alias w:val="董事会报告出具的分行业主营业务收入比上年增减"/>
                    <w:tag w:val="_GBC_243bdf179ca1425fbd1207eecb215f61"/>
                    <w:id w:val="25982455"/>
                    <w:lock w:val="sdtLocked"/>
                  </w:sdtPr>
                  <w:sdtContent>
                    <w:tc>
                      <w:tcPr>
                        <w:tcW w:w="705" w:type="pct"/>
                        <w:vAlign w:val="center"/>
                      </w:tcPr>
                      <w:p w:rsidR="003426E8" w:rsidRDefault="003426E8" w:rsidP="00DE031E">
                        <w:pPr>
                          <w:jc w:val="right"/>
                          <w:rPr>
                            <w:szCs w:val="21"/>
                          </w:rPr>
                        </w:pPr>
                        <w:r>
                          <w:rPr>
                            <w:szCs w:val="21"/>
                          </w:rPr>
                          <w:t>331.14</w:t>
                        </w:r>
                      </w:p>
                    </w:tc>
                  </w:sdtContent>
                </w:sdt>
                <w:sdt>
                  <w:sdtPr>
                    <w:rPr>
                      <w:szCs w:val="21"/>
                    </w:rPr>
                    <w:alias w:val="董事会报告出具的分行业主营业务成本比上年增减"/>
                    <w:tag w:val="_GBC_4b67bebd8968430c8b20f1915af480d4"/>
                    <w:id w:val="25982456"/>
                    <w:lock w:val="sdtLocked"/>
                  </w:sdtPr>
                  <w:sdtContent>
                    <w:tc>
                      <w:tcPr>
                        <w:tcW w:w="783" w:type="pct"/>
                        <w:vAlign w:val="center"/>
                      </w:tcPr>
                      <w:p w:rsidR="003426E8" w:rsidRDefault="003426E8" w:rsidP="00DE031E">
                        <w:pPr>
                          <w:jc w:val="right"/>
                          <w:rPr>
                            <w:szCs w:val="21"/>
                          </w:rPr>
                        </w:pPr>
                        <w:r>
                          <w:rPr>
                            <w:szCs w:val="21"/>
                          </w:rPr>
                          <w:t>196.01</w:t>
                        </w:r>
                      </w:p>
                    </w:tc>
                  </w:sdtContent>
                </w:sdt>
                <w:sdt>
                  <w:sdtPr>
                    <w:rPr>
                      <w:szCs w:val="21"/>
                    </w:rPr>
                    <w:alias w:val="董事会报告出具的分行业毛利率比上年增减"/>
                    <w:tag w:val="_GBC_4a7c331781d6423a9fc8bd2280f1e33b"/>
                    <w:id w:val="25982457"/>
                    <w:lock w:val="sdtLocked"/>
                  </w:sdtPr>
                  <w:sdtContent>
                    <w:tc>
                      <w:tcPr>
                        <w:tcW w:w="1182" w:type="pct"/>
                        <w:vAlign w:val="center"/>
                      </w:tcPr>
                      <w:p w:rsidR="003426E8" w:rsidRDefault="003426E8" w:rsidP="00DE031E">
                        <w:pPr>
                          <w:jc w:val="right"/>
                          <w:rPr>
                            <w:szCs w:val="21"/>
                          </w:rPr>
                        </w:pPr>
                        <w:r>
                          <w:rPr>
                            <w:szCs w:val="21"/>
                          </w:rPr>
                          <w:t xml:space="preserve">增加13.37个百分点 </w:t>
                        </w:r>
                      </w:p>
                    </w:tc>
                  </w:sdtContent>
                </w:sdt>
              </w:tr>
            </w:sdtContent>
          </w:sdt>
          <w:sdt>
            <w:sdtPr>
              <w:rPr>
                <w:rFonts w:ascii="宋体" w:eastAsiaTheme="minorEastAsia" w:hAnsi="宋体" w:cs="宋体"/>
                <w:kern w:val="0"/>
                <w:szCs w:val="21"/>
              </w:rPr>
              <w:alias w:val="董事会报告出具的分行业主营业务"/>
              <w:tag w:val="_GBC_ae6af61fe43c44ec919c387ab1441e5b"/>
              <w:id w:val="25982466"/>
              <w:lock w:val="sdtLocked"/>
            </w:sdtPr>
            <w:sdtEndPr>
              <w:rPr>
                <w:color w:val="008000"/>
              </w:rPr>
            </w:sdtEndPr>
            <w:sdtContent>
              <w:tr w:rsidR="003426E8" w:rsidTr="001276A9">
                <w:sdt>
                  <w:sdtPr>
                    <w:rPr>
                      <w:rFonts w:ascii="宋体" w:eastAsiaTheme="minorEastAsia" w:hAnsi="宋体" w:cs="宋体"/>
                      <w:kern w:val="0"/>
                      <w:szCs w:val="21"/>
                    </w:rPr>
                    <w:alias w:val="董事会报告出具的主营业务分行业名称"/>
                    <w:tag w:val="_GBC_465668d6ce6541f19e408aab5b63473d"/>
                    <w:id w:val="25982459"/>
                    <w:lock w:val="sdtLocked"/>
                  </w:sdtPr>
                  <w:sdtEndPr>
                    <w:rPr>
                      <w:rFonts w:ascii="Calibri" w:eastAsia="宋体" w:hAnsi="Calibri" w:cs="Times New Roman"/>
                      <w:kern w:val="2"/>
                    </w:rPr>
                  </w:sdtEndPr>
                  <w:sdtContent>
                    <w:tc>
                      <w:tcPr>
                        <w:tcW w:w="686" w:type="pct"/>
                        <w:vAlign w:val="center"/>
                      </w:tcPr>
                      <w:p w:rsidR="003426E8" w:rsidRDefault="003426E8" w:rsidP="00DE031E">
                        <w:pPr>
                          <w:pStyle w:val="a9"/>
                          <w:ind w:firstLineChars="0" w:firstLine="0"/>
                          <w:jc w:val="center"/>
                          <w:rPr>
                            <w:szCs w:val="21"/>
                          </w:rPr>
                        </w:pPr>
                        <w:r>
                          <w:rPr>
                            <w:rFonts w:ascii="宋体" w:eastAsiaTheme="minorEastAsia" w:hAnsi="宋体" w:cs="宋体"/>
                            <w:szCs w:val="21"/>
                          </w:rPr>
                          <w:t>资产管理业务</w:t>
                        </w:r>
                      </w:p>
                    </w:tc>
                  </w:sdtContent>
                </w:sdt>
                <w:sdt>
                  <w:sdtPr>
                    <w:rPr>
                      <w:szCs w:val="21"/>
                    </w:rPr>
                    <w:alias w:val="董事会报告出具的分行业主营业务收入"/>
                    <w:tag w:val="_GBC_90f3fce981924cb9b85df198c328541a"/>
                    <w:id w:val="25982460"/>
                    <w:lock w:val="sdtLocked"/>
                  </w:sdtPr>
                  <w:sdtContent>
                    <w:tc>
                      <w:tcPr>
                        <w:tcW w:w="548" w:type="pct"/>
                        <w:vAlign w:val="center"/>
                      </w:tcPr>
                      <w:p w:rsidR="003426E8" w:rsidRDefault="003426E8" w:rsidP="00DE031E">
                        <w:pPr>
                          <w:jc w:val="right"/>
                          <w:rPr>
                            <w:szCs w:val="21"/>
                          </w:rPr>
                        </w:pPr>
                        <w:r>
                          <w:rPr>
                            <w:szCs w:val="21"/>
                          </w:rPr>
                          <w:t>4.99</w:t>
                        </w:r>
                      </w:p>
                    </w:tc>
                  </w:sdtContent>
                </w:sdt>
                <w:sdt>
                  <w:sdtPr>
                    <w:rPr>
                      <w:szCs w:val="21"/>
                    </w:rPr>
                    <w:alias w:val="董事会报告出具的分行业主营业务成本"/>
                    <w:tag w:val="_GBC_5f0935a07add47838650975dc6e9b3a8"/>
                    <w:id w:val="25982461"/>
                    <w:lock w:val="sdtLocked"/>
                  </w:sdtPr>
                  <w:sdtContent>
                    <w:tc>
                      <w:tcPr>
                        <w:tcW w:w="550" w:type="pct"/>
                        <w:vAlign w:val="center"/>
                      </w:tcPr>
                      <w:p w:rsidR="003426E8" w:rsidRDefault="003426E8" w:rsidP="00DE031E">
                        <w:pPr>
                          <w:jc w:val="right"/>
                          <w:rPr>
                            <w:szCs w:val="21"/>
                          </w:rPr>
                        </w:pPr>
                        <w:r>
                          <w:rPr>
                            <w:szCs w:val="21"/>
                          </w:rPr>
                          <w:t>2.17</w:t>
                        </w:r>
                      </w:p>
                    </w:tc>
                  </w:sdtContent>
                </w:sdt>
                <w:sdt>
                  <w:sdtPr>
                    <w:rPr>
                      <w:szCs w:val="21"/>
                    </w:rPr>
                    <w:alias w:val="董事会报告出具的分行业主营业务毛利率"/>
                    <w:tag w:val="_GBC_6fefc39ba7d144239fbd55e79ecff71d"/>
                    <w:id w:val="25982462"/>
                    <w:lock w:val="sdtLocked"/>
                  </w:sdtPr>
                  <w:sdtContent>
                    <w:tc>
                      <w:tcPr>
                        <w:tcW w:w="546" w:type="pct"/>
                        <w:vAlign w:val="center"/>
                      </w:tcPr>
                      <w:p w:rsidR="003426E8" w:rsidRDefault="003426E8" w:rsidP="00DE031E">
                        <w:pPr>
                          <w:jc w:val="right"/>
                          <w:rPr>
                            <w:szCs w:val="21"/>
                          </w:rPr>
                        </w:pPr>
                        <w:r>
                          <w:rPr>
                            <w:szCs w:val="21"/>
                          </w:rPr>
                          <w:t>56.60</w:t>
                        </w:r>
                      </w:p>
                    </w:tc>
                  </w:sdtContent>
                </w:sdt>
                <w:sdt>
                  <w:sdtPr>
                    <w:rPr>
                      <w:szCs w:val="21"/>
                    </w:rPr>
                    <w:alias w:val="董事会报告出具的分行业主营业务收入比上年增减"/>
                    <w:tag w:val="_GBC_243bdf179ca1425fbd1207eecb215f61"/>
                    <w:id w:val="25982463"/>
                    <w:lock w:val="sdtLocked"/>
                  </w:sdtPr>
                  <w:sdtContent>
                    <w:tc>
                      <w:tcPr>
                        <w:tcW w:w="705" w:type="pct"/>
                        <w:vAlign w:val="center"/>
                      </w:tcPr>
                      <w:p w:rsidR="003426E8" w:rsidRDefault="003426E8" w:rsidP="00DE031E">
                        <w:pPr>
                          <w:jc w:val="right"/>
                          <w:rPr>
                            <w:szCs w:val="21"/>
                          </w:rPr>
                        </w:pPr>
                        <w:r>
                          <w:rPr>
                            <w:szCs w:val="21"/>
                          </w:rPr>
                          <w:t>221.93</w:t>
                        </w:r>
                      </w:p>
                    </w:tc>
                  </w:sdtContent>
                </w:sdt>
                <w:sdt>
                  <w:sdtPr>
                    <w:rPr>
                      <w:szCs w:val="21"/>
                    </w:rPr>
                    <w:alias w:val="董事会报告出具的分行业主营业务成本比上年增减"/>
                    <w:tag w:val="_GBC_4b67bebd8968430c8b20f1915af480d4"/>
                    <w:id w:val="25982464"/>
                    <w:lock w:val="sdtLocked"/>
                  </w:sdtPr>
                  <w:sdtContent>
                    <w:tc>
                      <w:tcPr>
                        <w:tcW w:w="783" w:type="pct"/>
                        <w:vAlign w:val="center"/>
                      </w:tcPr>
                      <w:p w:rsidR="003426E8" w:rsidRDefault="003426E8" w:rsidP="00DE031E">
                        <w:pPr>
                          <w:jc w:val="right"/>
                          <w:rPr>
                            <w:szCs w:val="21"/>
                          </w:rPr>
                        </w:pPr>
                        <w:r>
                          <w:rPr>
                            <w:szCs w:val="21"/>
                          </w:rPr>
                          <w:t>276.31</w:t>
                        </w:r>
                      </w:p>
                    </w:tc>
                  </w:sdtContent>
                </w:sdt>
                <w:sdt>
                  <w:sdtPr>
                    <w:rPr>
                      <w:szCs w:val="21"/>
                    </w:rPr>
                    <w:alias w:val="董事会报告出具的分行业毛利率比上年增减"/>
                    <w:tag w:val="_GBC_4a7c331781d6423a9fc8bd2280f1e33b"/>
                    <w:id w:val="25982465"/>
                    <w:lock w:val="sdtLocked"/>
                  </w:sdtPr>
                  <w:sdtContent>
                    <w:tc>
                      <w:tcPr>
                        <w:tcW w:w="1182" w:type="pct"/>
                        <w:vAlign w:val="center"/>
                      </w:tcPr>
                      <w:p w:rsidR="003426E8" w:rsidRDefault="003426E8" w:rsidP="00DE031E">
                        <w:pPr>
                          <w:jc w:val="right"/>
                          <w:rPr>
                            <w:szCs w:val="21"/>
                          </w:rPr>
                        </w:pPr>
                        <w:r>
                          <w:rPr>
                            <w:szCs w:val="21"/>
                          </w:rPr>
                          <w:t xml:space="preserve">减少6.27个百分点 </w:t>
                        </w:r>
                      </w:p>
                    </w:tc>
                  </w:sdtContent>
                </w:sdt>
              </w:tr>
            </w:sdtContent>
          </w:sdt>
          <w:sdt>
            <w:sdtPr>
              <w:rPr>
                <w:rFonts w:ascii="宋体" w:eastAsiaTheme="minorEastAsia" w:hAnsi="宋体" w:cs="宋体"/>
                <w:kern w:val="0"/>
                <w:szCs w:val="21"/>
              </w:rPr>
              <w:alias w:val="董事会报告出具的分行业主营业务"/>
              <w:tag w:val="_GBC_ae6af61fe43c44ec919c387ab1441e5b"/>
              <w:id w:val="25982474"/>
              <w:lock w:val="sdtLocked"/>
            </w:sdtPr>
            <w:sdtEndPr>
              <w:rPr>
                <w:color w:val="008000"/>
              </w:rPr>
            </w:sdtEndPr>
            <w:sdtContent>
              <w:tr w:rsidR="003426E8" w:rsidTr="001276A9">
                <w:sdt>
                  <w:sdtPr>
                    <w:rPr>
                      <w:rFonts w:ascii="宋体" w:eastAsiaTheme="minorEastAsia" w:hAnsi="宋体" w:cs="宋体"/>
                      <w:kern w:val="0"/>
                      <w:szCs w:val="21"/>
                    </w:rPr>
                    <w:alias w:val="董事会报告出具的主营业务分行业名称"/>
                    <w:tag w:val="_GBC_465668d6ce6541f19e408aab5b63473d"/>
                    <w:id w:val="25982467"/>
                    <w:lock w:val="sdtLocked"/>
                  </w:sdtPr>
                  <w:sdtEndPr>
                    <w:rPr>
                      <w:rFonts w:ascii="Calibri" w:eastAsia="宋体" w:hAnsi="Calibri" w:cs="Times New Roman"/>
                      <w:kern w:val="2"/>
                    </w:rPr>
                  </w:sdtEndPr>
                  <w:sdtContent>
                    <w:tc>
                      <w:tcPr>
                        <w:tcW w:w="686" w:type="pct"/>
                        <w:vAlign w:val="center"/>
                      </w:tcPr>
                      <w:p w:rsidR="003426E8" w:rsidRDefault="003426E8" w:rsidP="00DE031E">
                        <w:pPr>
                          <w:pStyle w:val="a9"/>
                          <w:ind w:firstLineChars="0" w:firstLine="0"/>
                          <w:jc w:val="center"/>
                          <w:rPr>
                            <w:szCs w:val="21"/>
                          </w:rPr>
                        </w:pPr>
                        <w:r>
                          <w:rPr>
                            <w:rFonts w:ascii="宋体" w:eastAsiaTheme="minorEastAsia" w:hAnsi="宋体" w:cs="宋体"/>
                            <w:szCs w:val="21"/>
                          </w:rPr>
                          <w:t>证券投资业务</w:t>
                        </w:r>
                      </w:p>
                    </w:tc>
                  </w:sdtContent>
                </w:sdt>
                <w:sdt>
                  <w:sdtPr>
                    <w:rPr>
                      <w:szCs w:val="21"/>
                    </w:rPr>
                    <w:alias w:val="董事会报告出具的分行业主营业务收入"/>
                    <w:tag w:val="_GBC_90f3fce981924cb9b85df198c328541a"/>
                    <w:id w:val="25982468"/>
                    <w:lock w:val="sdtLocked"/>
                  </w:sdtPr>
                  <w:sdtContent>
                    <w:tc>
                      <w:tcPr>
                        <w:tcW w:w="548" w:type="pct"/>
                        <w:vAlign w:val="center"/>
                      </w:tcPr>
                      <w:p w:rsidR="003426E8" w:rsidRDefault="003426E8" w:rsidP="00DE031E">
                        <w:pPr>
                          <w:jc w:val="right"/>
                          <w:rPr>
                            <w:szCs w:val="21"/>
                          </w:rPr>
                        </w:pPr>
                        <w:r>
                          <w:rPr>
                            <w:szCs w:val="21"/>
                          </w:rPr>
                          <w:t>39.14</w:t>
                        </w:r>
                      </w:p>
                    </w:tc>
                  </w:sdtContent>
                </w:sdt>
                <w:sdt>
                  <w:sdtPr>
                    <w:rPr>
                      <w:szCs w:val="21"/>
                    </w:rPr>
                    <w:alias w:val="董事会报告出具的分行业主营业务成本"/>
                    <w:tag w:val="_GBC_5f0935a07add47838650975dc6e9b3a8"/>
                    <w:id w:val="25982469"/>
                    <w:lock w:val="sdtLocked"/>
                  </w:sdtPr>
                  <w:sdtContent>
                    <w:tc>
                      <w:tcPr>
                        <w:tcW w:w="550" w:type="pct"/>
                        <w:vAlign w:val="center"/>
                      </w:tcPr>
                      <w:p w:rsidR="003426E8" w:rsidRDefault="003426E8" w:rsidP="00DE031E">
                        <w:pPr>
                          <w:jc w:val="right"/>
                          <w:rPr>
                            <w:szCs w:val="21"/>
                          </w:rPr>
                        </w:pPr>
                        <w:r>
                          <w:rPr>
                            <w:szCs w:val="21"/>
                          </w:rPr>
                          <w:t>10.77</w:t>
                        </w:r>
                      </w:p>
                    </w:tc>
                  </w:sdtContent>
                </w:sdt>
                <w:sdt>
                  <w:sdtPr>
                    <w:rPr>
                      <w:szCs w:val="21"/>
                    </w:rPr>
                    <w:alias w:val="董事会报告出具的分行业主营业务毛利率"/>
                    <w:tag w:val="_GBC_6fefc39ba7d144239fbd55e79ecff71d"/>
                    <w:id w:val="25982470"/>
                    <w:lock w:val="sdtLocked"/>
                  </w:sdtPr>
                  <w:sdtContent>
                    <w:tc>
                      <w:tcPr>
                        <w:tcW w:w="546" w:type="pct"/>
                        <w:vAlign w:val="center"/>
                      </w:tcPr>
                      <w:p w:rsidR="003426E8" w:rsidRDefault="003426E8" w:rsidP="00DE031E">
                        <w:pPr>
                          <w:jc w:val="right"/>
                          <w:rPr>
                            <w:szCs w:val="21"/>
                          </w:rPr>
                        </w:pPr>
                        <w:r>
                          <w:rPr>
                            <w:szCs w:val="21"/>
                          </w:rPr>
                          <w:t>72.47</w:t>
                        </w:r>
                      </w:p>
                    </w:tc>
                  </w:sdtContent>
                </w:sdt>
                <w:sdt>
                  <w:sdtPr>
                    <w:rPr>
                      <w:szCs w:val="21"/>
                    </w:rPr>
                    <w:alias w:val="董事会报告出具的分行业主营业务收入比上年增减"/>
                    <w:tag w:val="_GBC_243bdf179ca1425fbd1207eecb215f61"/>
                    <w:id w:val="25982471"/>
                    <w:lock w:val="sdtLocked"/>
                  </w:sdtPr>
                  <w:sdtContent>
                    <w:tc>
                      <w:tcPr>
                        <w:tcW w:w="705" w:type="pct"/>
                        <w:vAlign w:val="center"/>
                      </w:tcPr>
                      <w:p w:rsidR="003426E8" w:rsidRDefault="003426E8" w:rsidP="00DE031E">
                        <w:pPr>
                          <w:jc w:val="right"/>
                          <w:rPr>
                            <w:szCs w:val="21"/>
                          </w:rPr>
                        </w:pPr>
                        <w:r>
                          <w:rPr>
                            <w:szCs w:val="21"/>
                          </w:rPr>
                          <w:t>850.77</w:t>
                        </w:r>
                      </w:p>
                    </w:tc>
                  </w:sdtContent>
                </w:sdt>
                <w:sdt>
                  <w:sdtPr>
                    <w:rPr>
                      <w:szCs w:val="21"/>
                    </w:rPr>
                    <w:alias w:val="董事会报告出具的分行业主营业务成本比上年增减"/>
                    <w:tag w:val="_GBC_4b67bebd8968430c8b20f1915af480d4"/>
                    <w:id w:val="25982472"/>
                    <w:lock w:val="sdtLocked"/>
                  </w:sdtPr>
                  <w:sdtContent>
                    <w:tc>
                      <w:tcPr>
                        <w:tcW w:w="783" w:type="pct"/>
                        <w:vAlign w:val="center"/>
                      </w:tcPr>
                      <w:p w:rsidR="003426E8" w:rsidRDefault="003426E8" w:rsidP="00DE031E">
                        <w:pPr>
                          <w:jc w:val="right"/>
                          <w:rPr>
                            <w:szCs w:val="21"/>
                          </w:rPr>
                        </w:pPr>
                        <w:r>
                          <w:rPr>
                            <w:szCs w:val="21"/>
                          </w:rPr>
                          <w:t>347.98</w:t>
                        </w:r>
                      </w:p>
                    </w:tc>
                  </w:sdtContent>
                </w:sdt>
                <w:sdt>
                  <w:sdtPr>
                    <w:rPr>
                      <w:szCs w:val="21"/>
                    </w:rPr>
                    <w:alias w:val="董事会报告出具的分行业毛利率比上年增减"/>
                    <w:tag w:val="_GBC_4a7c331781d6423a9fc8bd2280f1e33b"/>
                    <w:id w:val="25982473"/>
                    <w:lock w:val="sdtLocked"/>
                  </w:sdtPr>
                  <w:sdtContent>
                    <w:tc>
                      <w:tcPr>
                        <w:tcW w:w="1182" w:type="pct"/>
                        <w:vAlign w:val="center"/>
                      </w:tcPr>
                      <w:p w:rsidR="003426E8" w:rsidRDefault="003426E8" w:rsidP="00DE031E">
                        <w:pPr>
                          <w:jc w:val="right"/>
                          <w:rPr>
                            <w:szCs w:val="21"/>
                          </w:rPr>
                        </w:pPr>
                        <w:r>
                          <w:rPr>
                            <w:szCs w:val="21"/>
                          </w:rPr>
                          <w:t xml:space="preserve">增加30.89个百分点 </w:t>
                        </w:r>
                      </w:p>
                    </w:tc>
                  </w:sdtContent>
                </w:sdt>
              </w:tr>
            </w:sdtContent>
          </w:sdt>
          <w:sdt>
            <w:sdtPr>
              <w:rPr>
                <w:rFonts w:ascii="宋体" w:eastAsiaTheme="minorEastAsia" w:hAnsi="宋体" w:cs="宋体"/>
                <w:kern w:val="0"/>
                <w:szCs w:val="21"/>
              </w:rPr>
              <w:alias w:val="董事会报告出具的分行业主营业务"/>
              <w:tag w:val="_GBC_ae6af61fe43c44ec919c387ab1441e5b"/>
              <w:id w:val="25982482"/>
              <w:lock w:val="sdtLocked"/>
            </w:sdtPr>
            <w:sdtEndPr>
              <w:rPr>
                <w:color w:val="008000"/>
              </w:rPr>
            </w:sdtEndPr>
            <w:sdtContent>
              <w:tr w:rsidR="003426E8" w:rsidTr="001276A9">
                <w:sdt>
                  <w:sdtPr>
                    <w:rPr>
                      <w:rFonts w:ascii="宋体" w:eastAsiaTheme="minorEastAsia" w:hAnsi="宋体" w:cs="宋体"/>
                      <w:kern w:val="0"/>
                      <w:szCs w:val="21"/>
                    </w:rPr>
                    <w:alias w:val="董事会报告出具的主营业务分行业名称"/>
                    <w:tag w:val="_GBC_465668d6ce6541f19e408aab5b63473d"/>
                    <w:id w:val="25982475"/>
                    <w:lock w:val="sdtLocked"/>
                  </w:sdtPr>
                  <w:sdtEndPr>
                    <w:rPr>
                      <w:rFonts w:ascii="Calibri" w:eastAsia="宋体" w:hAnsi="Calibri" w:cs="Times New Roman"/>
                      <w:kern w:val="2"/>
                    </w:rPr>
                  </w:sdtEndPr>
                  <w:sdtContent>
                    <w:tc>
                      <w:tcPr>
                        <w:tcW w:w="686" w:type="pct"/>
                        <w:vAlign w:val="center"/>
                      </w:tcPr>
                      <w:p w:rsidR="003426E8" w:rsidRDefault="003426E8" w:rsidP="00DE031E">
                        <w:pPr>
                          <w:pStyle w:val="a9"/>
                          <w:ind w:firstLineChars="0" w:firstLine="0"/>
                          <w:jc w:val="center"/>
                          <w:rPr>
                            <w:szCs w:val="21"/>
                          </w:rPr>
                        </w:pPr>
                        <w:r>
                          <w:rPr>
                            <w:rFonts w:ascii="宋体" w:eastAsiaTheme="minorEastAsia" w:hAnsi="宋体" w:cs="宋体"/>
                            <w:szCs w:val="21"/>
                          </w:rPr>
                          <w:t>投资银行业务</w:t>
                        </w:r>
                      </w:p>
                    </w:tc>
                  </w:sdtContent>
                </w:sdt>
                <w:sdt>
                  <w:sdtPr>
                    <w:rPr>
                      <w:szCs w:val="21"/>
                    </w:rPr>
                    <w:alias w:val="董事会报告出具的分行业主营业务收入"/>
                    <w:tag w:val="_GBC_90f3fce981924cb9b85df198c328541a"/>
                    <w:id w:val="25982476"/>
                    <w:lock w:val="sdtLocked"/>
                  </w:sdtPr>
                  <w:sdtContent>
                    <w:tc>
                      <w:tcPr>
                        <w:tcW w:w="548" w:type="pct"/>
                        <w:vAlign w:val="center"/>
                      </w:tcPr>
                      <w:p w:rsidR="003426E8" w:rsidRDefault="003426E8" w:rsidP="00DE031E">
                        <w:pPr>
                          <w:jc w:val="right"/>
                          <w:rPr>
                            <w:szCs w:val="21"/>
                          </w:rPr>
                        </w:pPr>
                        <w:r>
                          <w:rPr>
                            <w:szCs w:val="21"/>
                          </w:rPr>
                          <w:t>8.76</w:t>
                        </w:r>
                      </w:p>
                    </w:tc>
                  </w:sdtContent>
                </w:sdt>
                <w:sdt>
                  <w:sdtPr>
                    <w:rPr>
                      <w:szCs w:val="21"/>
                    </w:rPr>
                    <w:alias w:val="董事会报告出具的分行业主营业务成本"/>
                    <w:tag w:val="_GBC_5f0935a07add47838650975dc6e9b3a8"/>
                    <w:id w:val="25982477"/>
                    <w:lock w:val="sdtLocked"/>
                  </w:sdtPr>
                  <w:sdtContent>
                    <w:tc>
                      <w:tcPr>
                        <w:tcW w:w="550" w:type="pct"/>
                        <w:vAlign w:val="center"/>
                      </w:tcPr>
                      <w:p w:rsidR="003426E8" w:rsidRDefault="003426E8" w:rsidP="00DE031E">
                        <w:pPr>
                          <w:jc w:val="right"/>
                          <w:rPr>
                            <w:szCs w:val="21"/>
                          </w:rPr>
                        </w:pPr>
                        <w:r>
                          <w:rPr>
                            <w:szCs w:val="21"/>
                          </w:rPr>
                          <w:t>6.13</w:t>
                        </w:r>
                      </w:p>
                    </w:tc>
                  </w:sdtContent>
                </w:sdt>
                <w:sdt>
                  <w:sdtPr>
                    <w:rPr>
                      <w:szCs w:val="21"/>
                    </w:rPr>
                    <w:alias w:val="董事会报告出具的分行业主营业务毛利率"/>
                    <w:tag w:val="_GBC_6fefc39ba7d144239fbd55e79ecff71d"/>
                    <w:id w:val="25982478"/>
                    <w:lock w:val="sdtLocked"/>
                  </w:sdtPr>
                  <w:sdtContent>
                    <w:tc>
                      <w:tcPr>
                        <w:tcW w:w="546" w:type="pct"/>
                        <w:vAlign w:val="center"/>
                      </w:tcPr>
                      <w:p w:rsidR="003426E8" w:rsidRDefault="003426E8" w:rsidP="00DE031E">
                        <w:pPr>
                          <w:jc w:val="right"/>
                          <w:rPr>
                            <w:szCs w:val="21"/>
                          </w:rPr>
                        </w:pPr>
                        <w:r>
                          <w:rPr>
                            <w:szCs w:val="21"/>
                          </w:rPr>
                          <w:t>30.04</w:t>
                        </w:r>
                      </w:p>
                    </w:tc>
                  </w:sdtContent>
                </w:sdt>
                <w:sdt>
                  <w:sdtPr>
                    <w:rPr>
                      <w:szCs w:val="21"/>
                    </w:rPr>
                    <w:alias w:val="董事会报告出具的分行业主营业务收入比上年增减"/>
                    <w:tag w:val="_GBC_243bdf179ca1425fbd1207eecb215f61"/>
                    <w:id w:val="25982479"/>
                    <w:lock w:val="sdtLocked"/>
                  </w:sdtPr>
                  <w:sdtContent>
                    <w:tc>
                      <w:tcPr>
                        <w:tcW w:w="705" w:type="pct"/>
                        <w:vAlign w:val="center"/>
                      </w:tcPr>
                      <w:p w:rsidR="003426E8" w:rsidRDefault="003426E8" w:rsidP="00DE031E">
                        <w:pPr>
                          <w:jc w:val="right"/>
                          <w:rPr>
                            <w:szCs w:val="21"/>
                          </w:rPr>
                        </w:pPr>
                        <w:r>
                          <w:rPr>
                            <w:szCs w:val="21"/>
                          </w:rPr>
                          <w:t>118.68</w:t>
                        </w:r>
                      </w:p>
                    </w:tc>
                  </w:sdtContent>
                </w:sdt>
                <w:sdt>
                  <w:sdtPr>
                    <w:rPr>
                      <w:szCs w:val="21"/>
                    </w:rPr>
                    <w:alias w:val="董事会报告出具的分行业主营业务成本比上年增减"/>
                    <w:tag w:val="_GBC_4b67bebd8968430c8b20f1915af480d4"/>
                    <w:id w:val="25982480"/>
                    <w:lock w:val="sdtLocked"/>
                  </w:sdtPr>
                  <w:sdtContent>
                    <w:tc>
                      <w:tcPr>
                        <w:tcW w:w="783" w:type="pct"/>
                        <w:vAlign w:val="center"/>
                      </w:tcPr>
                      <w:p w:rsidR="003426E8" w:rsidRDefault="003426E8" w:rsidP="00DE031E">
                        <w:pPr>
                          <w:jc w:val="right"/>
                          <w:rPr>
                            <w:szCs w:val="21"/>
                          </w:rPr>
                        </w:pPr>
                        <w:r>
                          <w:rPr>
                            <w:szCs w:val="21"/>
                          </w:rPr>
                          <w:t>199.76</w:t>
                        </w:r>
                      </w:p>
                    </w:tc>
                  </w:sdtContent>
                </w:sdt>
                <w:sdt>
                  <w:sdtPr>
                    <w:rPr>
                      <w:szCs w:val="21"/>
                    </w:rPr>
                    <w:alias w:val="董事会报告出具的分行业毛利率比上年增减"/>
                    <w:tag w:val="_GBC_4a7c331781d6423a9fc8bd2280f1e33b"/>
                    <w:id w:val="25982481"/>
                    <w:lock w:val="sdtLocked"/>
                  </w:sdtPr>
                  <w:sdtContent>
                    <w:tc>
                      <w:tcPr>
                        <w:tcW w:w="1182" w:type="pct"/>
                        <w:vAlign w:val="center"/>
                      </w:tcPr>
                      <w:p w:rsidR="003426E8" w:rsidRDefault="003426E8" w:rsidP="00DE031E">
                        <w:pPr>
                          <w:jc w:val="right"/>
                          <w:rPr>
                            <w:szCs w:val="21"/>
                          </w:rPr>
                        </w:pPr>
                        <w:r>
                          <w:rPr>
                            <w:szCs w:val="21"/>
                          </w:rPr>
                          <w:t xml:space="preserve">减少18.92个百分点 </w:t>
                        </w:r>
                      </w:p>
                    </w:tc>
                  </w:sdtContent>
                </w:sdt>
              </w:tr>
            </w:sdtContent>
          </w:sdt>
          <w:sdt>
            <w:sdtPr>
              <w:rPr>
                <w:rFonts w:ascii="宋体" w:eastAsiaTheme="minorEastAsia" w:hAnsi="宋体" w:cs="宋体"/>
                <w:kern w:val="0"/>
                <w:szCs w:val="21"/>
              </w:rPr>
              <w:alias w:val="董事会报告出具的分行业主营业务"/>
              <w:tag w:val="_GBC_ae6af61fe43c44ec919c387ab1441e5b"/>
              <w:id w:val="25982490"/>
              <w:lock w:val="sdtLocked"/>
            </w:sdtPr>
            <w:sdtEndPr>
              <w:rPr>
                <w:color w:val="008000"/>
              </w:rPr>
            </w:sdtEndPr>
            <w:sdtContent>
              <w:tr w:rsidR="003426E8" w:rsidTr="001276A9">
                <w:sdt>
                  <w:sdtPr>
                    <w:rPr>
                      <w:rFonts w:ascii="宋体" w:eastAsiaTheme="minorEastAsia" w:hAnsi="宋体" w:cs="宋体"/>
                      <w:kern w:val="0"/>
                      <w:szCs w:val="21"/>
                    </w:rPr>
                    <w:alias w:val="董事会报告出具的主营业务分行业名称"/>
                    <w:tag w:val="_GBC_465668d6ce6541f19e408aab5b63473d"/>
                    <w:id w:val="25982483"/>
                    <w:lock w:val="sdtLocked"/>
                  </w:sdtPr>
                  <w:sdtEndPr>
                    <w:rPr>
                      <w:rFonts w:ascii="Calibri" w:eastAsia="宋体" w:hAnsi="Calibri" w:cs="Times New Roman"/>
                      <w:kern w:val="2"/>
                    </w:rPr>
                  </w:sdtEndPr>
                  <w:sdtContent>
                    <w:tc>
                      <w:tcPr>
                        <w:tcW w:w="686" w:type="pct"/>
                        <w:vAlign w:val="center"/>
                      </w:tcPr>
                      <w:p w:rsidR="003426E8" w:rsidRDefault="003426E8" w:rsidP="00DE031E">
                        <w:pPr>
                          <w:pStyle w:val="a9"/>
                          <w:ind w:firstLineChars="0" w:firstLine="0"/>
                          <w:jc w:val="center"/>
                          <w:rPr>
                            <w:szCs w:val="21"/>
                          </w:rPr>
                        </w:pPr>
                        <w:r>
                          <w:rPr>
                            <w:rFonts w:ascii="宋体" w:eastAsiaTheme="minorEastAsia" w:hAnsi="宋体" w:cs="宋体"/>
                            <w:szCs w:val="21"/>
                          </w:rPr>
                          <w:t>其他</w:t>
                        </w:r>
                      </w:p>
                    </w:tc>
                  </w:sdtContent>
                </w:sdt>
                <w:sdt>
                  <w:sdtPr>
                    <w:rPr>
                      <w:szCs w:val="21"/>
                    </w:rPr>
                    <w:alias w:val="董事会报告出具的分行业主营业务收入"/>
                    <w:tag w:val="_GBC_90f3fce981924cb9b85df198c328541a"/>
                    <w:id w:val="25982484"/>
                    <w:lock w:val="sdtLocked"/>
                  </w:sdtPr>
                  <w:sdtContent>
                    <w:tc>
                      <w:tcPr>
                        <w:tcW w:w="548" w:type="pct"/>
                        <w:vAlign w:val="center"/>
                      </w:tcPr>
                      <w:p w:rsidR="003426E8" w:rsidRDefault="003426E8" w:rsidP="00DE031E">
                        <w:pPr>
                          <w:jc w:val="right"/>
                          <w:rPr>
                            <w:szCs w:val="21"/>
                          </w:rPr>
                        </w:pPr>
                        <w:r>
                          <w:rPr>
                            <w:szCs w:val="21"/>
                          </w:rPr>
                          <w:t>6.01</w:t>
                        </w:r>
                      </w:p>
                    </w:tc>
                  </w:sdtContent>
                </w:sdt>
                <w:sdt>
                  <w:sdtPr>
                    <w:rPr>
                      <w:szCs w:val="21"/>
                    </w:rPr>
                    <w:alias w:val="董事会报告出具的分行业主营业务成本"/>
                    <w:tag w:val="_GBC_5f0935a07add47838650975dc6e9b3a8"/>
                    <w:id w:val="25982485"/>
                    <w:lock w:val="sdtLocked"/>
                  </w:sdtPr>
                  <w:sdtContent>
                    <w:tc>
                      <w:tcPr>
                        <w:tcW w:w="550" w:type="pct"/>
                        <w:vAlign w:val="center"/>
                      </w:tcPr>
                      <w:p w:rsidR="003426E8" w:rsidRDefault="003426E8" w:rsidP="00DE031E">
                        <w:pPr>
                          <w:jc w:val="right"/>
                          <w:rPr>
                            <w:szCs w:val="21"/>
                          </w:rPr>
                        </w:pPr>
                        <w:r>
                          <w:rPr>
                            <w:szCs w:val="21"/>
                          </w:rPr>
                          <w:t>17.28</w:t>
                        </w:r>
                      </w:p>
                    </w:tc>
                  </w:sdtContent>
                </w:sdt>
                <w:sdt>
                  <w:sdtPr>
                    <w:rPr>
                      <w:szCs w:val="21"/>
                    </w:rPr>
                    <w:alias w:val="董事会报告出具的分行业主营业务毛利率"/>
                    <w:tag w:val="_GBC_6fefc39ba7d144239fbd55e79ecff71d"/>
                    <w:id w:val="25982486"/>
                    <w:lock w:val="sdtLocked"/>
                  </w:sdtPr>
                  <w:sdtContent>
                    <w:tc>
                      <w:tcPr>
                        <w:tcW w:w="546" w:type="pct"/>
                        <w:vAlign w:val="center"/>
                      </w:tcPr>
                      <w:p w:rsidR="003426E8" w:rsidRDefault="003426E8" w:rsidP="00DE031E">
                        <w:pPr>
                          <w:jc w:val="right"/>
                          <w:rPr>
                            <w:szCs w:val="21"/>
                          </w:rPr>
                        </w:pPr>
                        <w:r>
                          <w:rPr>
                            <w:szCs w:val="21"/>
                          </w:rPr>
                          <w:t xml:space="preserve"> - </w:t>
                        </w:r>
                      </w:p>
                    </w:tc>
                  </w:sdtContent>
                </w:sdt>
                <w:sdt>
                  <w:sdtPr>
                    <w:rPr>
                      <w:szCs w:val="21"/>
                    </w:rPr>
                    <w:alias w:val="董事会报告出具的分行业主营业务收入比上年增减"/>
                    <w:tag w:val="_GBC_243bdf179ca1425fbd1207eecb215f61"/>
                    <w:id w:val="25982487"/>
                    <w:lock w:val="sdtLocked"/>
                  </w:sdtPr>
                  <w:sdtContent>
                    <w:tc>
                      <w:tcPr>
                        <w:tcW w:w="705" w:type="pct"/>
                        <w:vAlign w:val="center"/>
                      </w:tcPr>
                      <w:p w:rsidR="003426E8" w:rsidRDefault="003426E8" w:rsidP="00DE031E">
                        <w:pPr>
                          <w:jc w:val="right"/>
                          <w:rPr>
                            <w:szCs w:val="21"/>
                          </w:rPr>
                        </w:pPr>
                        <w:r>
                          <w:rPr>
                            <w:szCs w:val="21"/>
                          </w:rPr>
                          <w:t>86.18</w:t>
                        </w:r>
                      </w:p>
                    </w:tc>
                  </w:sdtContent>
                </w:sdt>
                <w:sdt>
                  <w:sdtPr>
                    <w:rPr>
                      <w:szCs w:val="21"/>
                    </w:rPr>
                    <w:alias w:val="董事会报告出具的分行业主营业务成本比上年增减"/>
                    <w:tag w:val="_GBC_4b67bebd8968430c8b20f1915af480d4"/>
                    <w:id w:val="25982488"/>
                    <w:lock w:val="sdtLocked"/>
                  </w:sdtPr>
                  <w:sdtContent>
                    <w:tc>
                      <w:tcPr>
                        <w:tcW w:w="783" w:type="pct"/>
                        <w:vAlign w:val="center"/>
                      </w:tcPr>
                      <w:p w:rsidR="003426E8" w:rsidRDefault="003426E8" w:rsidP="00DE031E">
                        <w:pPr>
                          <w:jc w:val="right"/>
                          <w:rPr>
                            <w:szCs w:val="21"/>
                          </w:rPr>
                        </w:pPr>
                        <w:r>
                          <w:rPr>
                            <w:szCs w:val="21"/>
                          </w:rPr>
                          <w:t>300.91</w:t>
                        </w:r>
                      </w:p>
                    </w:tc>
                  </w:sdtContent>
                </w:sdt>
                <w:sdt>
                  <w:sdtPr>
                    <w:rPr>
                      <w:szCs w:val="21"/>
                    </w:rPr>
                    <w:alias w:val="董事会报告出具的分行业毛利率比上年增减"/>
                    <w:tag w:val="_GBC_4a7c331781d6423a9fc8bd2280f1e33b"/>
                    <w:id w:val="25982489"/>
                    <w:lock w:val="sdtLocked"/>
                  </w:sdtPr>
                  <w:sdtContent>
                    <w:tc>
                      <w:tcPr>
                        <w:tcW w:w="1182" w:type="pct"/>
                        <w:vAlign w:val="center"/>
                      </w:tcPr>
                      <w:p w:rsidR="003426E8" w:rsidRDefault="003426E8" w:rsidP="00DE031E">
                        <w:pPr>
                          <w:jc w:val="right"/>
                          <w:rPr>
                            <w:szCs w:val="21"/>
                          </w:rPr>
                        </w:pPr>
                      </w:p>
                    </w:tc>
                  </w:sdtContent>
                </w:sdt>
              </w:tr>
            </w:sdtContent>
          </w:sdt>
          <w:sdt>
            <w:sdtPr>
              <w:rPr>
                <w:rFonts w:ascii="宋体" w:eastAsiaTheme="minorEastAsia" w:hAnsi="宋体" w:cs="宋体"/>
                <w:kern w:val="0"/>
                <w:szCs w:val="21"/>
              </w:rPr>
              <w:alias w:val="董事会报告出具的分行业主营业务"/>
              <w:tag w:val="_GBC_ae6af61fe43c44ec919c387ab1441e5b"/>
              <w:id w:val="25982498"/>
              <w:lock w:val="sdtLocked"/>
            </w:sdtPr>
            <w:sdtEndPr>
              <w:rPr>
                <w:color w:val="008000"/>
              </w:rPr>
            </w:sdtEndPr>
            <w:sdtContent>
              <w:tr w:rsidR="003426E8" w:rsidTr="001276A9">
                <w:sdt>
                  <w:sdtPr>
                    <w:rPr>
                      <w:rFonts w:ascii="宋体" w:eastAsiaTheme="minorEastAsia" w:hAnsi="宋体" w:cs="宋体"/>
                      <w:kern w:val="0"/>
                      <w:szCs w:val="21"/>
                    </w:rPr>
                    <w:alias w:val="董事会报告出具的主营业务分行业名称"/>
                    <w:tag w:val="_GBC_465668d6ce6541f19e408aab5b63473d"/>
                    <w:id w:val="25982491"/>
                    <w:lock w:val="sdtLocked"/>
                  </w:sdtPr>
                  <w:sdtEndPr>
                    <w:rPr>
                      <w:rFonts w:ascii="Calibri" w:eastAsia="宋体" w:hAnsi="Calibri" w:cs="Times New Roman"/>
                      <w:kern w:val="2"/>
                    </w:rPr>
                  </w:sdtEndPr>
                  <w:sdtContent>
                    <w:tc>
                      <w:tcPr>
                        <w:tcW w:w="686" w:type="pct"/>
                        <w:vAlign w:val="center"/>
                      </w:tcPr>
                      <w:p w:rsidR="003426E8" w:rsidRDefault="003426E8" w:rsidP="00DE031E">
                        <w:pPr>
                          <w:pStyle w:val="a9"/>
                          <w:ind w:firstLineChars="0" w:firstLine="0"/>
                          <w:jc w:val="center"/>
                          <w:rPr>
                            <w:szCs w:val="21"/>
                          </w:rPr>
                        </w:pPr>
                        <w:r>
                          <w:rPr>
                            <w:rFonts w:ascii="宋体" w:eastAsiaTheme="minorEastAsia" w:hAnsi="宋体" w:cs="宋体"/>
                            <w:szCs w:val="21"/>
                          </w:rPr>
                          <w:t>合计</w:t>
                        </w:r>
                      </w:p>
                    </w:tc>
                  </w:sdtContent>
                </w:sdt>
                <w:sdt>
                  <w:sdtPr>
                    <w:rPr>
                      <w:szCs w:val="21"/>
                    </w:rPr>
                    <w:alias w:val="董事会报告出具的分行业主营业务收入"/>
                    <w:tag w:val="_GBC_90f3fce981924cb9b85df198c328541a"/>
                    <w:id w:val="25982492"/>
                    <w:lock w:val="sdtLocked"/>
                  </w:sdtPr>
                  <w:sdtContent>
                    <w:tc>
                      <w:tcPr>
                        <w:tcW w:w="548" w:type="pct"/>
                        <w:vAlign w:val="center"/>
                      </w:tcPr>
                      <w:p w:rsidR="003426E8" w:rsidRDefault="003426E8" w:rsidP="00DE031E">
                        <w:pPr>
                          <w:jc w:val="right"/>
                          <w:rPr>
                            <w:szCs w:val="21"/>
                          </w:rPr>
                        </w:pPr>
                        <w:r>
                          <w:rPr>
                            <w:szCs w:val="21"/>
                          </w:rPr>
                          <w:t>158.63</w:t>
                        </w:r>
                      </w:p>
                    </w:tc>
                  </w:sdtContent>
                </w:sdt>
                <w:sdt>
                  <w:sdtPr>
                    <w:rPr>
                      <w:szCs w:val="21"/>
                    </w:rPr>
                    <w:alias w:val="董事会报告出具的分行业主营业务成本"/>
                    <w:tag w:val="_GBC_5f0935a07add47838650975dc6e9b3a8"/>
                    <w:id w:val="25982493"/>
                    <w:lock w:val="sdtLocked"/>
                  </w:sdtPr>
                  <w:sdtContent>
                    <w:tc>
                      <w:tcPr>
                        <w:tcW w:w="550" w:type="pct"/>
                        <w:vAlign w:val="center"/>
                      </w:tcPr>
                      <w:p w:rsidR="003426E8" w:rsidRDefault="003426E8" w:rsidP="00DE031E">
                        <w:pPr>
                          <w:jc w:val="right"/>
                          <w:rPr>
                            <w:szCs w:val="21"/>
                          </w:rPr>
                        </w:pPr>
                        <w:r>
                          <w:rPr>
                            <w:szCs w:val="21"/>
                          </w:rPr>
                          <w:t>65.56</w:t>
                        </w:r>
                      </w:p>
                    </w:tc>
                  </w:sdtContent>
                </w:sdt>
                <w:sdt>
                  <w:sdtPr>
                    <w:rPr>
                      <w:szCs w:val="21"/>
                    </w:rPr>
                    <w:alias w:val="董事会报告出具的分行业主营业务毛利率"/>
                    <w:tag w:val="_GBC_6fefc39ba7d144239fbd55e79ecff71d"/>
                    <w:id w:val="25982494"/>
                    <w:lock w:val="sdtLocked"/>
                  </w:sdtPr>
                  <w:sdtContent>
                    <w:tc>
                      <w:tcPr>
                        <w:tcW w:w="546" w:type="pct"/>
                        <w:vAlign w:val="center"/>
                      </w:tcPr>
                      <w:p w:rsidR="003426E8" w:rsidRDefault="003426E8" w:rsidP="00DE031E">
                        <w:pPr>
                          <w:jc w:val="right"/>
                          <w:rPr>
                            <w:szCs w:val="21"/>
                          </w:rPr>
                        </w:pPr>
                        <w:r>
                          <w:rPr>
                            <w:szCs w:val="21"/>
                          </w:rPr>
                          <w:t>58.67</w:t>
                        </w:r>
                      </w:p>
                    </w:tc>
                  </w:sdtContent>
                </w:sdt>
                <w:sdt>
                  <w:sdtPr>
                    <w:rPr>
                      <w:szCs w:val="21"/>
                    </w:rPr>
                    <w:alias w:val="董事会报告出具的分行业主营业务收入比上年增减"/>
                    <w:tag w:val="_GBC_243bdf179ca1425fbd1207eecb215f61"/>
                    <w:id w:val="25982495"/>
                    <w:lock w:val="sdtLocked"/>
                  </w:sdtPr>
                  <w:sdtContent>
                    <w:tc>
                      <w:tcPr>
                        <w:tcW w:w="705" w:type="pct"/>
                        <w:vAlign w:val="center"/>
                      </w:tcPr>
                      <w:p w:rsidR="003426E8" w:rsidRDefault="003426E8" w:rsidP="00DE031E">
                        <w:pPr>
                          <w:jc w:val="right"/>
                          <w:rPr>
                            <w:szCs w:val="21"/>
                          </w:rPr>
                        </w:pPr>
                        <w:r>
                          <w:rPr>
                            <w:szCs w:val="21"/>
                          </w:rPr>
                          <w:t>340.24</w:t>
                        </w:r>
                      </w:p>
                    </w:tc>
                  </w:sdtContent>
                </w:sdt>
                <w:sdt>
                  <w:sdtPr>
                    <w:rPr>
                      <w:szCs w:val="21"/>
                    </w:rPr>
                    <w:alias w:val="董事会报告出具的分行业主营业务成本比上年增减"/>
                    <w:tag w:val="_GBC_4b67bebd8968430c8b20f1915af480d4"/>
                    <w:id w:val="25982496"/>
                    <w:lock w:val="sdtLocked"/>
                  </w:sdtPr>
                  <w:sdtContent>
                    <w:tc>
                      <w:tcPr>
                        <w:tcW w:w="783" w:type="pct"/>
                        <w:vAlign w:val="center"/>
                      </w:tcPr>
                      <w:p w:rsidR="003426E8" w:rsidRDefault="003426E8" w:rsidP="00DE031E">
                        <w:pPr>
                          <w:jc w:val="right"/>
                          <w:rPr>
                            <w:szCs w:val="21"/>
                          </w:rPr>
                        </w:pPr>
                        <w:r>
                          <w:rPr>
                            <w:szCs w:val="21"/>
                          </w:rPr>
                          <w:t>241.39</w:t>
                        </w:r>
                      </w:p>
                    </w:tc>
                  </w:sdtContent>
                </w:sdt>
                <w:sdt>
                  <w:sdtPr>
                    <w:rPr>
                      <w:szCs w:val="21"/>
                    </w:rPr>
                    <w:alias w:val="董事会报告出具的分行业毛利率比上年增减"/>
                    <w:tag w:val="_GBC_4a7c331781d6423a9fc8bd2280f1e33b"/>
                    <w:id w:val="25982497"/>
                    <w:lock w:val="sdtLocked"/>
                  </w:sdtPr>
                  <w:sdtContent>
                    <w:tc>
                      <w:tcPr>
                        <w:tcW w:w="1182" w:type="pct"/>
                        <w:vAlign w:val="center"/>
                      </w:tcPr>
                      <w:p w:rsidR="003426E8" w:rsidRDefault="003426E8" w:rsidP="00DE031E">
                        <w:pPr>
                          <w:jc w:val="right"/>
                          <w:rPr>
                            <w:szCs w:val="21"/>
                          </w:rPr>
                        </w:pPr>
                        <w:r>
                          <w:rPr>
                            <w:szCs w:val="21"/>
                          </w:rPr>
                          <w:t xml:space="preserve">增加11.97个百分点 </w:t>
                        </w:r>
                      </w:p>
                    </w:tc>
                  </w:sdtContent>
                </w:sdt>
              </w:tr>
            </w:sdtContent>
          </w:sdt>
        </w:tbl>
        <w:p w:rsidR="003426E8" w:rsidRDefault="003426E8"/>
        <w:sdt>
          <w:sdtPr>
            <w:rPr>
              <w:rFonts w:hint="eastAsia"/>
              <w:szCs w:val="21"/>
            </w:rPr>
            <w:alias w:val="主营业务分行业和分产品情况的说明"/>
            <w:tag w:val="_GBC_9432795e458e476bb3265f98e2be9423"/>
            <w:id w:val="24720234"/>
            <w:lock w:val="sdtLocked"/>
            <w:placeholder>
              <w:docPart w:val="GBC22222222222222222222222222222"/>
            </w:placeholder>
          </w:sdtPr>
          <w:sdtContent>
            <w:p w:rsidR="00710186" w:rsidRPr="00493675" w:rsidRDefault="00710186" w:rsidP="00B113C0">
              <w:pPr>
                <w:rPr>
                  <w:b/>
                  <w:szCs w:val="21"/>
                </w:rPr>
              </w:pPr>
              <w:r w:rsidRPr="00493675">
                <w:rPr>
                  <w:b/>
                  <w:szCs w:val="21"/>
                </w:rPr>
                <w:t>主营业务分</w:t>
              </w:r>
              <w:r w:rsidRPr="00493675">
                <w:rPr>
                  <w:rFonts w:hint="eastAsia"/>
                  <w:b/>
                  <w:szCs w:val="21"/>
                </w:rPr>
                <w:t>业务</w:t>
              </w:r>
              <w:r w:rsidRPr="00493675">
                <w:rPr>
                  <w:b/>
                  <w:szCs w:val="21"/>
                </w:rPr>
                <w:t>情况说明</w:t>
              </w:r>
            </w:p>
            <w:p w:rsidR="00710186" w:rsidRPr="008E4798" w:rsidRDefault="00710186" w:rsidP="003A0284">
              <w:pPr>
                <w:spacing w:beforeLines="50" w:afterLines="50" w:line="360" w:lineRule="auto"/>
                <w:ind w:firstLine="425"/>
                <w:rPr>
                  <w:rFonts w:asciiTheme="minorEastAsia" w:eastAsiaTheme="minorEastAsia" w:hAnsiTheme="minorEastAsia"/>
                  <w:b/>
                  <w:szCs w:val="21"/>
                </w:rPr>
              </w:pPr>
              <w:r>
                <w:rPr>
                  <w:rFonts w:asciiTheme="minorEastAsia" w:eastAsiaTheme="minorEastAsia" w:hAnsiTheme="minorEastAsia" w:hint="eastAsia"/>
                  <w:b/>
                  <w:szCs w:val="21"/>
                </w:rPr>
                <w:t>（1）</w:t>
              </w:r>
              <w:r w:rsidRPr="008E4798">
                <w:rPr>
                  <w:rFonts w:asciiTheme="minorEastAsia" w:eastAsiaTheme="minorEastAsia" w:hAnsiTheme="minorEastAsia" w:hint="eastAsia"/>
                  <w:b/>
                  <w:szCs w:val="21"/>
                </w:rPr>
                <w:t>经纪业务</w:t>
              </w:r>
            </w:p>
            <w:p w:rsidR="00710186" w:rsidRPr="009B5480" w:rsidRDefault="00710186" w:rsidP="009B5480">
              <w:pPr>
                <w:spacing w:line="360" w:lineRule="auto"/>
                <w:ind w:firstLine="539"/>
                <w:rPr>
                  <w:szCs w:val="21"/>
                </w:rPr>
              </w:pPr>
              <w:r w:rsidRPr="00D05E21">
                <w:rPr>
                  <w:rFonts w:asciiTheme="minorEastAsia" w:eastAsiaTheme="minorEastAsia" w:hAnsiTheme="minorEastAsia" w:hint="eastAsia"/>
                  <w:szCs w:val="21"/>
                </w:rPr>
                <w:t>2015年上半年，公司经纪业务收入和利润增加的主要原因：一是2015年上半年公司累计股基交易量增长迅速，交易金额为124,801亿元，</w:t>
              </w:r>
              <w:r>
                <w:rPr>
                  <w:rFonts w:asciiTheme="minorEastAsia" w:eastAsiaTheme="minorEastAsia" w:hAnsiTheme="minorEastAsia" w:hint="eastAsia"/>
                  <w:szCs w:val="21"/>
                </w:rPr>
                <w:t>同比</w:t>
              </w:r>
              <w:r w:rsidRPr="00D05E21">
                <w:rPr>
                  <w:rFonts w:asciiTheme="minorEastAsia" w:eastAsiaTheme="minorEastAsia" w:hAnsiTheme="minorEastAsia" w:hint="eastAsia"/>
                  <w:szCs w:val="21"/>
                </w:rPr>
                <w:t>增长558%。二是融资融券业务增长</w:t>
              </w:r>
              <w:r>
                <w:rPr>
                  <w:rFonts w:asciiTheme="minorEastAsia" w:eastAsiaTheme="minorEastAsia" w:hAnsiTheme="minorEastAsia" w:hint="eastAsia"/>
                  <w:szCs w:val="21"/>
                </w:rPr>
                <w:t>迅猛</w:t>
              </w:r>
              <w:r w:rsidRPr="00D05E21">
                <w:rPr>
                  <w:rFonts w:asciiTheme="minorEastAsia" w:eastAsiaTheme="minorEastAsia" w:hAnsiTheme="minorEastAsia" w:hint="eastAsia"/>
                  <w:szCs w:val="21"/>
                </w:rPr>
                <w:t>，</w:t>
              </w:r>
              <w:r w:rsidRPr="006A7F26">
                <w:rPr>
                  <w:szCs w:val="21"/>
                </w:rPr>
                <w:t>2015年上半年公司融资融券账户累计利息</w:t>
              </w:r>
              <w:r w:rsidR="00B44C0F">
                <w:rPr>
                  <w:rFonts w:hint="eastAsia"/>
                  <w:szCs w:val="21"/>
                </w:rPr>
                <w:t>净</w:t>
              </w:r>
              <w:r w:rsidRPr="006A7F26">
                <w:rPr>
                  <w:szCs w:val="21"/>
                </w:rPr>
                <w:t>收入37.95亿元，佣金</w:t>
              </w:r>
              <w:r w:rsidR="00B44C0F">
                <w:rPr>
                  <w:rFonts w:hint="eastAsia"/>
                  <w:szCs w:val="21"/>
                </w:rPr>
                <w:t>净</w:t>
              </w:r>
              <w:r w:rsidRPr="006A7F26">
                <w:rPr>
                  <w:szCs w:val="21"/>
                </w:rPr>
                <w:t>收入24.19亿元，合计62.14亿元，</w:t>
              </w:r>
              <w:r>
                <w:rPr>
                  <w:rFonts w:hint="eastAsia"/>
                  <w:szCs w:val="21"/>
                </w:rPr>
                <w:t>同比</w:t>
              </w:r>
              <w:r w:rsidRPr="006A7F26">
                <w:rPr>
                  <w:szCs w:val="21"/>
                </w:rPr>
                <w:t>分别增长310.91%、847.95%和427.17%。</w:t>
              </w:r>
              <w:r w:rsidRPr="00D05E21">
                <w:rPr>
                  <w:rFonts w:asciiTheme="minorEastAsia" w:eastAsiaTheme="minorEastAsia" w:hAnsiTheme="minorEastAsia" w:hint="eastAsia"/>
                  <w:szCs w:val="21"/>
                </w:rPr>
                <w:t>三是公司通过大力发展财富管理业务、提高客户服务水平，2015年上半年公司代理买卖净收入市场份额为4.40</w:t>
              </w:r>
              <w:r>
                <w:rPr>
                  <w:rFonts w:asciiTheme="minorEastAsia" w:eastAsiaTheme="minorEastAsia" w:hAnsiTheme="minorEastAsia" w:hint="eastAsia"/>
                  <w:szCs w:val="21"/>
                </w:rPr>
                <w:t>%</w:t>
              </w:r>
              <w:r w:rsidRPr="00D05E21">
                <w:rPr>
                  <w:rFonts w:asciiTheme="minorEastAsia" w:eastAsiaTheme="minorEastAsia" w:hAnsiTheme="minorEastAsia" w:hint="eastAsia"/>
                  <w:szCs w:val="21"/>
                </w:rPr>
                <w:t>，</w:t>
              </w:r>
              <w:r>
                <w:rPr>
                  <w:rFonts w:asciiTheme="minorEastAsia" w:eastAsiaTheme="minorEastAsia" w:hAnsiTheme="minorEastAsia" w:hint="eastAsia"/>
                  <w:szCs w:val="21"/>
                </w:rPr>
                <w:t>同比</w:t>
              </w:r>
              <w:r w:rsidRPr="00D05E21">
                <w:rPr>
                  <w:rFonts w:asciiTheme="minorEastAsia" w:eastAsiaTheme="minorEastAsia" w:hAnsiTheme="minorEastAsia" w:hint="eastAsia"/>
                  <w:szCs w:val="21"/>
                </w:rPr>
                <w:t>增加22.56%。</w:t>
              </w:r>
            </w:p>
            <w:p w:rsidR="00710186" w:rsidRPr="00D05E21" w:rsidRDefault="00710186" w:rsidP="00D05E21">
              <w:pPr>
                <w:spacing w:line="360" w:lineRule="auto"/>
                <w:ind w:firstLine="539"/>
                <w:rPr>
                  <w:rFonts w:asciiTheme="minorEastAsia" w:eastAsiaTheme="minorEastAsia" w:hAnsiTheme="minorEastAsia"/>
                  <w:szCs w:val="21"/>
                </w:rPr>
              </w:pPr>
              <w:r w:rsidRPr="00D05E21">
                <w:rPr>
                  <w:rFonts w:asciiTheme="minorEastAsia" w:eastAsiaTheme="minorEastAsia" w:hAnsiTheme="minorEastAsia" w:hint="eastAsia"/>
                  <w:szCs w:val="21"/>
                </w:rPr>
                <w:t>2015年上半年经纪业务主要经营数据如下：</w:t>
              </w:r>
            </w:p>
            <w:tbl>
              <w:tblPr>
                <w:tblW w:w="9438"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5"/>
                <w:gridCol w:w="1843"/>
                <w:gridCol w:w="1701"/>
                <w:gridCol w:w="2409"/>
              </w:tblGrid>
              <w:tr w:rsidR="00710186" w:rsidRPr="00D05E21" w:rsidTr="004B4DE3">
                <w:trPr>
                  <w:trHeight w:val="269"/>
                  <w:tblHeader/>
                  <w:jc w:val="center"/>
                </w:trPr>
                <w:tc>
                  <w:tcPr>
                    <w:tcW w:w="3485" w:type="dxa"/>
                    <w:vAlign w:val="center"/>
                  </w:tcPr>
                  <w:p w:rsidR="00710186" w:rsidRPr="00D05E21" w:rsidRDefault="00710186" w:rsidP="00394FD6">
                    <w:pPr>
                      <w:spacing w:line="360" w:lineRule="auto"/>
                      <w:jc w:val="center"/>
                      <w:rPr>
                        <w:rFonts w:asciiTheme="minorEastAsia" w:hAnsiTheme="minorEastAsia"/>
                        <w:b/>
                        <w:szCs w:val="21"/>
                      </w:rPr>
                    </w:pPr>
                    <w:r w:rsidRPr="00D05E21">
                      <w:rPr>
                        <w:rFonts w:asciiTheme="minorEastAsia" w:hAnsiTheme="minorEastAsia" w:hint="eastAsia"/>
                        <w:b/>
                        <w:szCs w:val="21"/>
                      </w:rPr>
                      <w:t>经营指标</w:t>
                    </w:r>
                  </w:p>
                </w:tc>
                <w:tc>
                  <w:tcPr>
                    <w:tcW w:w="1843" w:type="dxa"/>
                    <w:vAlign w:val="center"/>
                  </w:tcPr>
                  <w:p w:rsidR="00710186" w:rsidRPr="00D05E21" w:rsidRDefault="00710186" w:rsidP="00394FD6">
                    <w:pPr>
                      <w:spacing w:line="360" w:lineRule="auto"/>
                      <w:jc w:val="center"/>
                      <w:rPr>
                        <w:rFonts w:asciiTheme="minorEastAsia" w:hAnsiTheme="minorEastAsia"/>
                        <w:b/>
                        <w:szCs w:val="21"/>
                      </w:rPr>
                    </w:pPr>
                    <w:r w:rsidRPr="00D05E21">
                      <w:rPr>
                        <w:rFonts w:asciiTheme="minorEastAsia" w:hAnsiTheme="minorEastAsia" w:hint="eastAsia"/>
                        <w:b/>
                        <w:szCs w:val="21"/>
                      </w:rPr>
                      <w:t>2015年上半年</w:t>
                    </w:r>
                  </w:p>
                </w:tc>
                <w:tc>
                  <w:tcPr>
                    <w:tcW w:w="1701" w:type="dxa"/>
                    <w:vAlign w:val="center"/>
                  </w:tcPr>
                  <w:p w:rsidR="00710186" w:rsidRPr="00D05E21" w:rsidRDefault="00710186" w:rsidP="00394FD6">
                    <w:pPr>
                      <w:spacing w:line="360" w:lineRule="auto"/>
                      <w:jc w:val="center"/>
                      <w:rPr>
                        <w:rFonts w:asciiTheme="minorEastAsia" w:hAnsiTheme="minorEastAsia"/>
                        <w:b/>
                        <w:szCs w:val="21"/>
                      </w:rPr>
                    </w:pPr>
                    <w:r w:rsidRPr="00D05E21">
                      <w:rPr>
                        <w:rFonts w:asciiTheme="minorEastAsia" w:hAnsiTheme="minorEastAsia" w:hint="eastAsia"/>
                        <w:b/>
                        <w:szCs w:val="21"/>
                      </w:rPr>
                      <w:t>2014年上半年</w:t>
                    </w:r>
                  </w:p>
                </w:tc>
                <w:tc>
                  <w:tcPr>
                    <w:tcW w:w="2409" w:type="dxa"/>
                    <w:vAlign w:val="center"/>
                  </w:tcPr>
                  <w:p w:rsidR="00710186" w:rsidRPr="00D05E21" w:rsidRDefault="00710186" w:rsidP="00394FD6">
                    <w:pPr>
                      <w:spacing w:line="360" w:lineRule="auto"/>
                      <w:jc w:val="center"/>
                      <w:rPr>
                        <w:rFonts w:asciiTheme="minorEastAsia" w:hAnsiTheme="minorEastAsia"/>
                        <w:b/>
                        <w:szCs w:val="21"/>
                      </w:rPr>
                    </w:pPr>
                    <w:r w:rsidRPr="00D05E21">
                      <w:rPr>
                        <w:rFonts w:asciiTheme="minorEastAsia" w:hAnsiTheme="minorEastAsia" w:hint="eastAsia"/>
                        <w:b/>
                        <w:szCs w:val="21"/>
                      </w:rPr>
                      <w:t>数据来源</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公司累计股基交易量</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 xml:space="preserve">124,801亿元 </w:t>
                    </w:r>
                  </w:p>
                </w:tc>
                <w:tc>
                  <w:tcPr>
                    <w:tcW w:w="1701"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18,955亿元</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交易所</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公司股基市场占有率</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 xml:space="preserve">4.2344% </w:t>
                    </w:r>
                  </w:p>
                </w:tc>
                <w:tc>
                  <w:tcPr>
                    <w:tcW w:w="1701"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4.1500%</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交易所</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代理买卖证券业务净收入市场份额</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4.40%</w:t>
                    </w:r>
                  </w:p>
                </w:tc>
                <w:tc>
                  <w:tcPr>
                    <w:tcW w:w="1701" w:type="dxa"/>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szCs w:val="21"/>
                      </w:rPr>
                      <w:t>3.59%</w:t>
                    </w:r>
                  </w:p>
                </w:tc>
                <w:tc>
                  <w:tcPr>
                    <w:tcW w:w="2409" w:type="dxa"/>
                  </w:tcPr>
                  <w:p w:rsidR="00710186" w:rsidRPr="00D05E21" w:rsidRDefault="00710186" w:rsidP="00D2140A">
                    <w:pPr>
                      <w:spacing w:line="360" w:lineRule="auto"/>
                      <w:jc w:val="center"/>
                      <w:rPr>
                        <w:rFonts w:asciiTheme="minorEastAsia" w:hAnsiTheme="minorEastAsia"/>
                        <w:szCs w:val="21"/>
                      </w:rPr>
                    </w:pPr>
                    <w:r>
                      <w:rPr>
                        <w:rFonts w:asciiTheme="minorEastAsia" w:hAnsiTheme="minorEastAsia" w:hint="eastAsia"/>
                        <w:szCs w:val="21"/>
                      </w:rPr>
                      <w:t>证券业</w:t>
                    </w:r>
                    <w:r w:rsidRPr="00D05E21">
                      <w:rPr>
                        <w:rFonts w:asciiTheme="minorEastAsia" w:hAnsiTheme="minorEastAsia" w:hint="eastAsia"/>
                        <w:szCs w:val="21"/>
                      </w:rPr>
                      <w:t>协会</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行业股基交易量排名</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第6名</w:t>
                    </w:r>
                  </w:p>
                </w:tc>
                <w:tc>
                  <w:tcPr>
                    <w:tcW w:w="1701" w:type="dxa"/>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hint="eastAsia"/>
                        <w:szCs w:val="21"/>
                      </w:rPr>
                      <w:t>第</w:t>
                    </w:r>
                    <w:r w:rsidRPr="00D05E21">
                      <w:rPr>
                        <w:rFonts w:asciiTheme="minorEastAsia" w:hAnsiTheme="minorEastAsia"/>
                        <w:szCs w:val="21"/>
                      </w:rPr>
                      <w:t>5</w:t>
                    </w:r>
                    <w:r w:rsidRPr="00D05E21">
                      <w:rPr>
                        <w:rFonts w:asciiTheme="minorEastAsia" w:hAnsiTheme="minorEastAsia" w:hint="eastAsia"/>
                        <w:szCs w:val="21"/>
                      </w:rPr>
                      <w:t>名</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交易所</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公司基金分盘小占比</w:t>
                    </w:r>
                  </w:p>
                </w:tc>
                <w:tc>
                  <w:tcPr>
                    <w:tcW w:w="1843" w:type="dxa"/>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hint="eastAsia"/>
                        <w:szCs w:val="21"/>
                      </w:rPr>
                      <w:t>5.24%</w:t>
                    </w:r>
                  </w:p>
                </w:tc>
                <w:tc>
                  <w:tcPr>
                    <w:tcW w:w="1701" w:type="dxa"/>
                    <w:shd w:val="clear" w:color="auto" w:fill="auto"/>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hint="eastAsia"/>
                        <w:szCs w:val="21"/>
                      </w:rPr>
                      <w:t>4.93%</w:t>
                    </w:r>
                  </w:p>
                </w:tc>
                <w:tc>
                  <w:tcPr>
                    <w:tcW w:w="2409" w:type="dxa"/>
                    <w:shd w:val="clear" w:color="auto" w:fill="auto"/>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交易所、内部统计</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公司基金分盘累计交易量</w:t>
                    </w:r>
                  </w:p>
                </w:tc>
                <w:tc>
                  <w:tcPr>
                    <w:tcW w:w="1843" w:type="dxa"/>
                    <w:vAlign w:val="center"/>
                  </w:tcPr>
                  <w:p w:rsidR="00710186" w:rsidRPr="00D05E21" w:rsidRDefault="00710186" w:rsidP="006F66A4">
                    <w:pPr>
                      <w:spacing w:line="360" w:lineRule="auto"/>
                      <w:jc w:val="right"/>
                      <w:rPr>
                        <w:rFonts w:asciiTheme="minorEastAsia" w:hAnsiTheme="minorEastAsia"/>
                        <w:szCs w:val="21"/>
                      </w:rPr>
                    </w:pPr>
                    <w:r w:rsidRPr="00D05E21">
                      <w:rPr>
                        <w:rFonts w:asciiTheme="minorEastAsia" w:hAnsiTheme="minorEastAsia" w:hint="eastAsia"/>
                        <w:szCs w:val="21"/>
                      </w:rPr>
                      <w:t>4,749.5</w:t>
                    </w:r>
                    <w:r w:rsidR="006F66A4">
                      <w:rPr>
                        <w:rFonts w:asciiTheme="minorEastAsia" w:hAnsiTheme="minorEastAsia" w:hint="eastAsia"/>
                        <w:szCs w:val="21"/>
                      </w:rPr>
                      <w:t>5</w:t>
                    </w:r>
                    <w:r w:rsidRPr="00D05E21">
                      <w:rPr>
                        <w:rFonts w:asciiTheme="minorEastAsia" w:hAnsiTheme="minorEastAsia" w:hint="eastAsia"/>
                        <w:szCs w:val="21"/>
                      </w:rPr>
                      <w:t>亿</w:t>
                    </w:r>
                    <w:r>
                      <w:rPr>
                        <w:rFonts w:asciiTheme="minorEastAsia" w:hAnsiTheme="minorEastAsia" w:hint="eastAsia"/>
                        <w:szCs w:val="21"/>
                      </w:rPr>
                      <w:t>元</w:t>
                    </w:r>
                  </w:p>
                </w:tc>
                <w:tc>
                  <w:tcPr>
                    <w:tcW w:w="1701" w:type="dxa"/>
                    <w:shd w:val="clear" w:color="auto" w:fill="auto"/>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hint="eastAsia"/>
                        <w:szCs w:val="21"/>
                      </w:rPr>
                      <w:t>1,321.20亿元</w:t>
                    </w:r>
                  </w:p>
                </w:tc>
                <w:tc>
                  <w:tcPr>
                    <w:tcW w:w="2409" w:type="dxa"/>
                    <w:shd w:val="clear" w:color="auto" w:fill="auto"/>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内部统计</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公司基金分盘累计佣金</w:t>
                    </w:r>
                  </w:p>
                </w:tc>
                <w:tc>
                  <w:tcPr>
                    <w:tcW w:w="1843" w:type="dxa"/>
                    <w:vAlign w:val="center"/>
                  </w:tcPr>
                  <w:p w:rsidR="00710186" w:rsidRPr="00D05E21" w:rsidRDefault="00710186" w:rsidP="00E426BF">
                    <w:pPr>
                      <w:spacing w:line="360" w:lineRule="auto"/>
                      <w:jc w:val="right"/>
                      <w:rPr>
                        <w:rFonts w:asciiTheme="minorEastAsia" w:hAnsiTheme="minorEastAsia"/>
                        <w:szCs w:val="21"/>
                      </w:rPr>
                    </w:pPr>
                    <w:r>
                      <w:rPr>
                        <w:rFonts w:asciiTheme="minorEastAsia" w:hAnsiTheme="minorEastAsia" w:hint="eastAsia"/>
                        <w:szCs w:val="21"/>
                      </w:rPr>
                      <w:t>3.87亿元</w:t>
                    </w:r>
                  </w:p>
                </w:tc>
                <w:tc>
                  <w:tcPr>
                    <w:tcW w:w="1701" w:type="dxa"/>
                    <w:shd w:val="clear" w:color="auto" w:fill="auto"/>
                    <w:vAlign w:val="center"/>
                  </w:tcPr>
                  <w:p w:rsidR="00710186" w:rsidRPr="00D05E21" w:rsidRDefault="00710186" w:rsidP="00E426BF">
                    <w:pPr>
                      <w:spacing w:line="360" w:lineRule="auto"/>
                      <w:jc w:val="right"/>
                      <w:rPr>
                        <w:rFonts w:asciiTheme="minorEastAsia" w:hAnsiTheme="minorEastAsia"/>
                        <w:szCs w:val="21"/>
                      </w:rPr>
                    </w:pPr>
                    <w:r>
                      <w:rPr>
                        <w:rFonts w:asciiTheme="minorEastAsia" w:hAnsiTheme="minorEastAsia" w:hint="eastAsia"/>
                        <w:szCs w:val="21"/>
                      </w:rPr>
                      <w:t>1.14亿元</w:t>
                    </w:r>
                  </w:p>
                </w:tc>
                <w:tc>
                  <w:tcPr>
                    <w:tcW w:w="2409" w:type="dxa"/>
                    <w:shd w:val="clear" w:color="auto" w:fill="auto"/>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内部统计</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公司正常交易客户数（注1）</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4,081,615</w:t>
                    </w:r>
                    <w:r>
                      <w:rPr>
                        <w:rFonts w:asciiTheme="minorEastAsia" w:hAnsiTheme="minorEastAsia" w:hint="eastAsia"/>
                        <w:bCs/>
                        <w:szCs w:val="21"/>
                      </w:rPr>
                      <w:t>户</w:t>
                    </w:r>
                  </w:p>
                </w:tc>
                <w:tc>
                  <w:tcPr>
                    <w:tcW w:w="1701" w:type="dxa"/>
                    <w:vAlign w:val="center"/>
                  </w:tcPr>
                  <w:p w:rsidR="00710186" w:rsidRPr="00D05E21" w:rsidRDefault="00710186" w:rsidP="00E426BF">
                    <w:pPr>
                      <w:spacing w:line="360" w:lineRule="auto"/>
                      <w:jc w:val="right"/>
                      <w:rPr>
                        <w:rFonts w:asciiTheme="minorEastAsia" w:hAnsiTheme="minorEastAsia" w:cs="Arial"/>
                        <w:color w:val="000000"/>
                        <w:szCs w:val="21"/>
                      </w:rPr>
                    </w:pPr>
                    <w:r w:rsidRPr="00D05E21">
                      <w:rPr>
                        <w:rFonts w:asciiTheme="minorEastAsia" w:hAnsiTheme="minorEastAsia" w:cs="Arial"/>
                        <w:color w:val="000000"/>
                        <w:szCs w:val="21"/>
                      </w:rPr>
                      <w:t>2,975,743</w:t>
                    </w:r>
                    <w:r>
                      <w:rPr>
                        <w:rFonts w:asciiTheme="minorEastAsia" w:hAnsiTheme="minorEastAsia" w:cs="Arial" w:hint="eastAsia"/>
                        <w:color w:val="000000"/>
                        <w:szCs w:val="21"/>
                      </w:rPr>
                      <w:t>户</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内部统计</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公司本年新开户数</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885,897户</w:t>
                    </w:r>
                  </w:p>
                </w:tc>
                <w:tc>
                  <w:tcPr>
                    <w:tcW w:w="1701" w:type="dxa"/>
                    <w:vAlign w:val="center"/>
                  </w:tcPr>
                  <w:p w:rsidR="00710186" w:rsidRPr="00D05E21" w:rsidRDefault="00710186" w:rsidP="00E426BF">
                    <w:pPr>
                      <w:spacing w:line="360" w:lineRule="auto"/>
                      <w:jc w:val="right"/>
                      <w:rPr>
                        <w:rFonts w:asciiTheme="minorEastAsia" w:hAnsiTheme="minorEastAsia"/>
                        <w:color w:val="000000"/>
                        <w:szCs w:val="21"/>
                      </w:rPr>
                    </w:pPr>
                    <w:r w:rsidRPr="00D05E21">
                      <w:rPr>
                        <w:rFonts w:asciiTheme="minorEastAsia" w:hAnsiTheme="minorEastAsia"/>
                        <w:color w:val="000000"/>
                        <w:szCs w:val="21"/>
                      </w:rPr>
                      <w:t>106</w:t>
                    </w:r>
                    <w:r w:rsidRPr="00D05E21">
                      <w:rPr>
                        <w:rFonts w:asciiTheme="minorEastAsia" w:hAnsiTheme="minorEastAsia" w:hint="eastAsia"/>
                        <w:color w:val="000000"/>
                        <w:szCs w:val="21"/>
                      </w:rPr>
                      <w:t>,</w:t>
                    </w:r>
                    <w:r w:rsidRPr="00D05E21">
                      <w:rPr>
                        <w:rFonts w:asciiTheme="minorEastAsia" w:hAnsiTheme="minorEastAsia"/>
                        <w:color w:val="000000"/>
                        <w:szCs w:val="21"/>
                      </w:rPr>
                      <w:t>039</w:t>
                    </w:r>
                    <w:r w:rsidRPr="00D05E21">
                      <w:rPr>
                        <w:rFonts w:asciiTheme="minorEastAsia" w:hAnsiTheme="minorEastAsia" w:hint="eastAsia"/>
                        <w:color w:val="000000"/>
                        <w:szCs w:val="21"/>
                      </w:rPr>
                      <w:t>户</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内部统计</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公司年末托管资产</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23,781.51亿元</w:t>
                    </w:r>
                  </w:p>
                </w:tc>
                <w:tc>
                  <w:tcPr>
                    <w:tcW w:w="1701" w:type="dxa"/>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color w:val="000000"/>
                        <w:szCs w:val="21"/>
                      </w:rPr>
                      <w:t>8</w:t>
                    </w:r>
                    <w:r w:rsidRPr="00D05E21">
                      <w:rPr>
                        <w:rFonts w:asciiTheme="minorEastAsia" w:hAnsiTheme="minorEastAsia" w:hint="eastAsia"/>
                        <w:color w:val="000000"/>
                        <w:szCs w:val="21"/>
                      </w:rPr>
                      <w:t>,</w:t>
                    </w:r>
                    <w:r w:rsidRPr="00D05E21">
                      <w:rPr>
                        <w:rFonts w:asciiTheme="minorEastAsia" w:hAnsiTheme="minorEastAsia"/>
                        <w:color w:val="000000"/>
                        <w:szCs w:val="21"/>
                      </w:rPr>
                      <w:t>771.59</w:t>
                    </w:r>
                    <w:r w:rsidRPr="00D05E21">
                      <w:rPr>
                        <w:rFonts w:asciiTheme="minorEastAsia" w:hAnsiTheme="minorEastAsia" w:hint="eastAsia"/>
                        <w:color w:val="000000"/>
                        <w:szCs w:val="21"/>
                      </w:rPr>
                      <w:t>亿元</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中登公司</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公司融资融券余额</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1125.43亿元</w:t>
                    </w:r>
                  </w:p>
                </w:tc>
                <w:tc>
                  <w:tcPr>
                    <w:tcW w:w="1701" w:type="dxa"/>
                    <w:vAlign w:val="center"/>
                  </w:tcPr>
                  <w:p w:rsidR="00710186" w:rsidRPr="00D05E21" w:rsidRDefault="00710186" w:rsidP="00E426BF">
                    <w:pPr>
                      <w:spacing w:line="360" w:lineRule="auto"/>
                      <w:jc w:val="right"/>
                      <w:rPr>
                        <w:rFonts w:asciiTheme="minorEastAsia" w:hAnsiTheme="minorEastAsia"/>
                        <w:color w:val="000000"/>
                        <w:szCs w:val="21"/>
                      </w:rPr>
                    </w:pPr>
                    <w:r w:rsidRPr="00D05E21">
                      <w:rPr>
                        <w:rFonts w:asciiTheme="minorEastAsia" w:hAnsiTheme="minorEastAsia" w:hint="eastAsia"/>
                        <w:szCs w:val="21"/>
                      </w:rPr>
                      <w:t>232.55亿元</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交易所</w:t>
                    </w:r>
                  </w:p>
                </w:tc>
              </w:tr>
              <w:tr w:rsidR="00710186" w:rsidRPr="00D05E21" w:rsidTr="00E426BF">
                <w:trPr>
                  <w:trHeight w:val="269"/>
                  <w:jc w:val="center"/>
                </w:trPr>
                <w:tc>
                  <w:tcPr>
                    <w:tcW w:w="3485" w:type="dxa"/>
                  </w:tcPr>
                  <w:p w:rsidR="00710186" w:rsidRPr="00D05E21" w:rsidRDefault="00710186" w:rsidP="00E426BF">
                    <w:pPr>
                      <w:spacing w:line="360" w:lineRule="auto"/>
                      <w:rPr>
                        <w:rFonts w:asciiTheme="minorEastAsia" w:hAnsiTheme="minorEastAsia"/>
                        <w:szCs w:val="21"/>
                      </w:rPr>
                    </w:pPr>
                    <w:r w:rsidRPr="00D05E21">
                      <w:rPr>
                        <w:rFonts w:asciiTheme="minorEastAsia" w:hAnsiTheme="minorEastAsia" w:hint="eastAsia"/>
                        <w:szCs w:val="21"/>
                      </w:rPr>
                      <w:t>公司融资融券余额排名（注2）</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第7名</w:t>
                    </w:r>
                  </w:p>
                </w:tc>
                <w:tc>
                  <w:tcPr>
                    <w:tcW w:w="1701" w:type="dxa"/>
                    <w:vAlign w:val="center"/>
                  </w:tcPr>
                  <w:p w:rsidR="00710186" w:rsidRPr="00D05E21" w:rsidRDefault="00710186" w:rsidP="00E426BF">
                    <w:pPr>
                      <w:spacing w:line="360" w:lineRule="auto"/>
                      <w:ind w:firstLine="75"/>
                      <w:jc w:val="right"/>
                      <w:rPr>
                        <w:rFonts w:asciiTheme="minorEastAsia" w:hAnsiTheme="minorEastAsia"/>
                        <w:szCs w:val="21"/>
                      </w:rPr>
                    </w:pPr>
                    <w:r w:rsidRPr="00D05E21">
                      <w:rPr>
                        <w:rFonts w:asciiTheme="minorEastAsia" w:hAnsiTheme="minorEastAsia" w:hint="eastAsia"/>
                        <w:szCs w:val="21"/>
                      </w:rPr>
                      <w:t>第4名</w:t>
                    </w:r>
                  </w:p>
                </w:tc>
                <w:tc>
                  <w:tcPr>
                    <w:tcW w:w="2409" w:type="dxa"/>
                  </w:tcPr>
                  <w:p w:rsidR="00710186" w:rsidRPr="00D05E21" w:rsidRDefault="00710186" w:rsidP="00D2140A">
                    <w:pPr>
                      <w:spacing w:line="360" w:lineRule="auto"/>
                      <w:ind w:firstLine="75"/>
                      <w:jc w:val="center"/>
                      <w:rPr>
                        <w:rFonts w:asciiTheme="minorEastAsia" w:hAnsiTheme="minorEastAsia"/>
                        <w:szCs w:val="21"/>
                      </w:rPr>
                    </w:pPr>
                    <w:r w:rsidRPr="00D05E21">
                      <w:rPr>
                        <w:rFonts w:asciiTheme="minorEastAsia" w:hAnsiTheme="minorEastAsia" w:hint="eastAsia"/>
                        <w:szCs w:val="21"/>
                      </w:rPr>
                      <w:t>交易所</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公司营业部家数</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162家</w:t>
                    </w:r>
                  </w:p>
                </w:tc>
                <w:tc>
                  <w:tcPr>
                    <w:tcW w:w="1701" w:type="dxa"/>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hint="eastAsia"/>
                        <w:szCs w:val="21"/>
                      </w:rPr>
                      <w:t>146家</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内部统计</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财富管理计划累计客户数</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70.18万户</w:t>
                    </w:r>
                  </w:p>
                </w:tc>
                <w:tc>
                  <w:tcPr>
                    <w:tcW w:w="1701" w:type="dxa"/>
                    <w:vAlign w:val="center"/>
                  </w:tcPr>
                  <w:p w:rsidR="00710186" w:rsidRPr="00D05E21" w:rsidRDefault="00710186" w:rsidP="00E426BF">
                    <w:pPr>
                      <w:spacing w:line="360" w:lineRule="auto"/>
                      <w:jc w:val="right"/>
                      <w:rPr>
                        <w:rFonts w:asciiTheme="minorEastAsia" w:hAnsiTheme="minorEastAsia"/>
                        <w:szCs w:val="21"/>
                      </w:rPr>
                    </w:pPr>
                    <w:r w:rsidRPr="00D05E21">
                      <w:rPr>
                        <w:rFonts w:asciiTheme="minorEastAsia" w:hAnsiTheme="minorEastAsia" w:hint="eastAsia"/>
                        <w:szCs w:val="21"/>
                      </w:rPr>
                      <w:t>48.66万户</w:t>
                    </w:r>
                  </w:p>
                </w:tc>
                <w:tc>
                  <w:tcPr>
                    <w:tcW w:w="2409" w:type="dxa"/>
                  </w:tcPr>
                  <w:p w:rsidR="00710186" w:rsidRPr="00D05E21" w:rsidRDefault="00710186" w:rsidP="00D2140A">
                    <w:pPr>
                      <w:spacing w:line="360" w:lineRule="auto"/>
                      <w:jc w:val="center"/>
                      <w:rPr>
                        <w:rFonts w:asciiTheme="minorEastAsia" w:hAnsiTheme="minorEastAsia"/>
                        <w:szCs w:val="21"/>
                      </w:rPr>
                    </w:pPr>
                    <w:r w:rsidRPr="00D05E21">
                      <w:rPr>
                        <w:rFonts w:asciiTheme="minorEastAsia" w:hAnsiTheme="minorEastAsia" w:hint="eastAsia"/>
                        <w:szCs w:val="21"/>
                      </w:rPr>
                      <w:t>内部统计</w:t>
                    </w:r>
                  </w:p>
                </w:tc>
              </w:tr>
              <w:tr w:rsidR="00710186" w:rsidRPr="00D05E21" w:rsidTr="00E426BF">
                <w:trPr>
                  <w:trHeight w:val="269"/>
                  <w:jc w:val="center"/>
                </w:trPr>
                <w:tc>
                  <w:tcPr>
                    <w:tcW w:w="3485" w:type="dxa"/>
                  </w:tcPr>
                  <w:p w:rsidR="00710186" w:rsidRPr="00D05E21" w:rsidRDefault="00710186" w:rsidP="00D2140A">
                    <w:pPr>
                      <w:spacing w:line="360" w:lineRule="auto"/>
                      <w:rPr>
                        <w:rFonts w:asciiTheme="minorEastAsia" w:hAnsiTheme="minorEastAsia"/>
                        <w:szCs w:val="21"/>
                      </w:rPr>
                    </w:pPr>
                    <w:r w:rsidRPr="00D05E21">
                      <w:rPr>
                        <w:rFonts w:asciiTheme="minorEastAsia" w:hAnsiTheme="minorEastAsia" w:hint="eastAsia"/>
                        <w:szCs w:val="21"/>
                      </w:rPr>
                      <w:t>销售各类理财产品（注3）</w:t>
                    </w:r>
                  </w:p>
                </w:tc>
                <w:tc>
                  <w:tcPr>
                    <w:tcW w:w="1843" w:type="dxa"/>
                    <w:vAlign w:val="center"/>
                  </w:tcPr>
                  <w:p w:rsidR="00710186" w:rsidRPr="00D05E21" w:rsidRDefault="00710186" w:rsidP="00E426BF">
                    <w:pPr>
                      <w:spacing w:line="360" w:lineRule="auto"/>
                      <w:jc w:val="right"/>
                      <w:rPr>
                        <w:rFonts w:asciiTheme="minorEastAsia" w:hAnsiTheme="minorEastAsia"/>
                        <w:bCs/>
                        <w:szCs w:val="21"/>
                      </w:rPr>
                    </w:pPr>
                    <w:r w:rsidRPr="00D05E21">
                      <w:rPr>
                        <w:rFonts w:asciiTheme="minorEastAsia" w:hAnsiTheme="minorEastAsia" w:hint="eastAsia"/>
                        <w:bCs/>
                        <w:szCs w:val="21"/>
                      </w:rPr>
                      <w:t>440.74亿元</w:t>
                    </w:r>
                  </w:p>
                </w:tc>
                <w:tc>
                  <w:tcPr>
                    <w:tcW w:w="1701" w:type="dxa"/>
                    <w:vAlign w:val="center"/>
                  </w:tcPr>
                  <w:p w:rsidR="00710186" w:rsidRPr="00247C35" w:rsidRDefault="004346DD" w:rsidP="00E426BF">
                    <w:pPr>
                      <w:spacing w:line="360" w:lineRule="auto"/>
                      <w:jc w:val="right"/>
                      <w:rPr>
                        <w:rFonts w:asciiTheme="minorEastAsia" w:hAnsiTheme="minorEastAsia"/>
                        <w:szCs w:val="21"/>
                        <w:highlight w:val="yellow"/>
                      </w:rPr>
                    </w:pPr>
                    <w:r w:rsidRPr="0047336F">
                      <w:rPr>
                        <w:rFonts w:hint="eastAsia"/>
                        <w:szCs w:val="21"/>
                      </w:rPr>
                      <w:t>222.94</w:t>
                    </w:r>
                    <w:r w:rsidR="00710186" w:rsidRPr="004346DD">
                      <w:rPr>
                        <w:rFonts w:asciiTheme="minorEastAsia" w:hAnsiTheme="minorEastAsia" w:hint="eastAsia"/>
                        <w:szCs w:val="21"/>
                      </w:rPr>
                      <w:t>亿元</w:t>
                    </w:r>
                  </w:p>
                </w:tc>
                <w:tc>
                  <w:tcPr>
                    <w:tcW w:w="2409" w:type="dxa"/>
                  </w:tcPr>
                  <w:p w:rsidR="00710186" w:rsidRPr="00247C35" w:rsidRDefault="00710186" w:rsidP="00D2140A">
                    <w:pPr>
                      <w:spacing w:line="360" w:lineRule="auto"/>
                      <w:jc w:val="center"/>
                      <w:rPr>
                        <w:rFonts w:asciiTheme="minorEastAsia" w:hAnsiTheme="minorEastAsia"/>
                        <w:szCs w:val="21"/>
                        <w:highlight w:val="yellow"/>
                      </w:rPr>
                    </w:pPr>
                    <w:r w:rsidRPr="00247C35">
                      <w:rPr>
                        <w:rFonts w:asciiTheme="minorEastAsia" w:hAnsiTheme="minorEastAsia" w:hint="eastAsia"/>
                        <w:szCs w:val="21"/>
                      </w:rPr>
                      <w:t>内部统计</w:t>
                    </w:r>
                  </w:p>
                </w:tc>
              </w:tr>
            </w:tbl>
            <w:p w:rsidR="00710186" w:rsidRPr="00D05E21" w:rsidRDefault="00710186" w:rsidP="00D05E21">
              <w:pPr>
                <w:spacing w:line="360" w:lineRule="auto"/>
                <w:ind w:firstLine="480"/>
                <w:rPr>
                  <w:rFonts w:asciiTheme="minorEastAsia" w:eastAsiaTheme="minorEastAsia" w:hAnsiTheme="minorEastAsia"/>
                  <w:szCs w:val="21"/>
                </w:rPr>
              </w:pPr>
              <w:r w:rsidRPr="00D05E21">
                <w:rPr>
                  <w:rFonts w:asciiTheme="minorEastAsia" w:eastAsiaTheme="minorEastAsia" w:hAnsiTheme="minorEastAsia" w:hint="eastAsia"/>
                  <w:szCs w:val="21"/>
                </w:rPr>
                <w:t>注：</w:t>
              </w:r>
            </w:p>
            <w:p w:rsidR="00710186" w:rsidRPr="00A63C4A" w:rsidRDefault="00710186" w:rsidP="009950AC">
              <w:pPr>
                <w:pStyle w:val="a9"/>
                <w:widowControl/>
                <w:numPr>
                  <w:ilvl w:val="0"/>
                  <w:numId w:val="26"/>
                </w:numPr>
                <w:ind w:left="839" w:firstLineChars="0" w:hanging="357"/>
                <w:rPr>
                  <w:rFonts w:asciiTheme="minorEastAsia" w:eastAsiaTheme="minorEastAsia" w:hAnsiTheme="minorEastAsia" w:cs="宋体"/>
                  <w:kern w:val="0"/>
                  <w:szCs w:val="21"/>
                </w:rPr>
              </w:pPr>
              <w:r w:rsidRPr="00A63C4A">
                <w:rPr>
                  <w:rFonts w:asciiTheme="minorEastAsia" w:eastAsiaTheme="minorEastAsia" w:hAnsiTheme="minorEastAsia" w:cs="宋体" w:hint="eastAsia"/>
                  <w:kern w:val="0"/>
                  <w:szCs w:val="21"/>
                </w:rPr>
                <w:t>正常交易客户指</w:t>
              </w:r>
              <w:r w:rsidRPr="00A63C4A">
                <w:rPr>
                  <w:rFonts w:asciiTheme="minorEastAsia" w:eastAsiaTheme="minorEastAsia" w:hAnsiTheme="minorEastAsia" w:cs="宋体"/>
                  <w:kern w:val="0"/>
                  <w:szCs w:val="21"/>
                </w:rPr>
                <w:t>非休眠非不合格资金账户</w:t>
              </w:r>
              <w:r w:rsidRPr="00A63C4A">
                <w:rPr>
                  <w:rFonts w:asciiTheme="minorEastAsia" w:eastAsiaTheme="minorEastAsia" w:hAnsiTheme="minorEastAsia" w:cs="宋体" w:hint="eastAsia"/>
                  <w:kern w:val="0"/>
                  <w:szCs w:val="21"/>
                </w:rPr>
                <w:t>。</w:t>
              </w:r>
            </w:p>
            <w:p w:rsidR="00710186" w:rsidRPr="00A63C4A" w:rsidRDefault="00710186" w:rsidP="009950AC">
              <w:pPr>
                <w:pStyle w:val="a9"/>
                <w:widowControl/>
                <w:numPr>
                  <w:ilvl w:val="0"/>
                  <w:numId w:val="26"/>
                </w:numPr>
                <w:ind w:left="839" w:firstLineChars="0" w:hanging="357"/>
                <w:rPr>
                  <w:rFonts w:asciiTheme="minorEastAsia" w:eastAsiaTheme="minorEastAsia" w:hAnsiTheme="minorEastAsia" w:cs="宋体"/>
                  <w:kern w:val="0"/>
                  <w:szCs w:val="21"/>
                </w:rPr>
              </w:pPr>
              <w:r w:rsidRPr="00A63C4A">
                <w:rPr>
                  <w:rFonts w:asciiTheme="minorEastAsia" w:eastAsiaTheme="minorEastAsia" w:hAnsiTheme="minorEastAsia" w:cs="宋体" w:hint="eastAsia"/>
                  <w:kern w:val="0"/>
                  <w:szCs w:val="21"/>
                </w:rPr>
                <w:t>因原申银万国证券及宏源证券合并因素，导致公司融资融券业务规模市场排名下降。如剔除该因素，则公司2015年上半年融资融券业务规模市场排名为第6位。</w:t>
              </w:r>
            </w:p>
            <w:p w:rsidR="00710186" w:rsidRPr="00A63C4A" w:rsidRDefault="00710186" w:rsidP="009950AC">
              <w:pPr>
                <w:pStyle w:val="a9"/>
                <w:widowControl/>
                <w:numPr>
                  <w:ilvl w:val="0"/>
                  <w:numId w:val="26"/>
                </w:numPr>
                <w:ind w:left="839" w:firstLineChars="0" w:hanging="357"/>
                <w:rPr>
                  <w:rFonts w:asciiTheme="minorEastAsia" w:eastAsiaTheme="minorEastAsia" w:hAnsiTheme="minorEastAsia" w:cs="宋体"/>
                  <w:kern w:val="0"/>
                  <w:szCs w:val="21"/>
                </w:rPr>
              </w:pPr>
              <w:r w:rsidRPr="00A63C4A">
                <w:rPr>
                  <w:rFonts w:asciiTheme="minorEastAsia" w:eastAsiaTheme="minorEastAsia" w:hAnsiTheme="minorEastAsia" w:cs="宋体" w:hint="eastAsia"/>
                  <w:kern w:val="0"/>
                  <w:szCs w:val="21"/>
                </w:rPr>
                <w:lastRenderedPageBreak/>
                <w:t>销售各类理财产品含公募基金、公司集合理财产品、信托产品、银行理财产品。</w:t>
              </w:r>
            </w:p>
            <w:p w:rsidR="00710186" w:rsidRDefault="00710186" w:rsidP="00D05E21">
              <w:pPr>
                <w:spacing w:line="360" w:lineRule="auto"/>
                <w:ind w:firstLine="539"/>
                <w:rPr>
                  <w:rFonts w:asciiTheme="minorEastAsia" w:eastAsiaTheme="minorEastAsia" w:hAnsiTheme="minorEastAsia"/>
                  <w:szCs w:val="21"/>
                </w:rPr>
              </w:pPr>
            </w:p>
            <w:p w:rsidR="00710186" w:rsidRPr="00D05E21" w:rsidRDefault="00710186" w:rsidP="00D05E21">
              <w:pPr>
                <w:spacing w:line="360" w:lineRule="auto"/>
                <w:ind w:firstLine="539"/>
                <w:rPr>
                  <w:rFonts w:asciiTheme="minorEastAsia" w:eastAsiaTheme="minorEastAsia" w:hAnsiTheme="minorEastAsia"/>
                  <w:color w:val="000000"/>
                  <w:szCs w:val="21"/>
                </w:rPr>
              </w:pPr>
              <w:r w:rsidRPr="00D05E21">
                <w:rPr>
                  <w:rFonts w:asciiTheme="minorEastAsia" w:eastAsiaTheme="minorEastAsia" w:hAnsiTheme="minorEastAsia" w:hint="eastAsia"/>
                  <w:szCs w:val="21"/>
                </w:rPr>
                <w:t>2015年上半年</w:t>
              </w:r>
              <w:r>
                <w:rPr>
                  <w:rFonts w:asciiTheme="minorEastAsia" w:eastAsiaTheme="minorEastAsia" w:hAnsiTheme="minorEastAsia" w:hint="eastAsia"/>
                  <w:szCs w:val="21"/>
                </w:rPr>
                <w:t>，面对一人多户、佣金率持续下滑的竞争环境，</w:t>
              </w:r>
              <w:r w:rsidRPr="00D05E21">
                <w:rPr>
                  <w:rFonts w:asciiTheme="minorEastAsia" w:eastAsiaTheme="minorEastAsia" w:hAnsiTheme="minorEastAsia" w:hint="eastAsia"/>
                  <w:szCs w:val="21"/>
                </w:rPr>
                <w:t>公司继续深化发展财富管理业务</w:t>
              </w:r>
              <w:r>
                <w:rPr>
                  <w:rFonts w:asciiTheme="minorEastAsia" w:eastAsiaTheme="minorEastAsia" w:hAnsiTheme="minorEastAsia" w:hint="eastAsia"/>
                  <w:szCs w:val="21"/>
                </w:rPr>
                <w:t>、积极推动综合经营，取得了良好的成效：</w:t>
              </w:r>
              <w:r w:rsidRPr="00D05E21">
                <w:rPr>
                  <w:rFonts w:asciiTheme="minorEastAsia" w:eastAsiaTheme="minorEastAsia" w:hAnsiTheme="minorEastAsia" w:hint="eastAsia"/>
                  <w:szCs w:val="21"/>
                </w:rPr>
                <w:t>（1）优化财富管理业务组织架构，为高净值客户提供资产配置、产品定制、财务指导、投资分析服务</w:t>
              </w:r>
              <w:r>
                <w:rPr>
                  <w:rFonts w:asciiTheme="minorEastAsia" w:eastAsiaTheme="minorEastAsia" w:hAnsiTheme="minorEastAsia" w:hint="eastAsia"/>
                  <w:szCs w:val="21"/>
                </w:rPr>
                <w:t>，</w:t>
              </w:r>
              <w:r w:rsidRPr="00FF0B5C">
                <w:rPr>
                  <w:rFonts w:asciiTheme="minorEastAsia" w:eastAsiaTheme="minorEastAsia" w:hAnsiTheme="minorEastAsia" w:hint="eastAsia"/>
                  <w:szCs w:val="21"/>
                </w:rPr>
                <w:t>高净值客户收入贡献占比从2014年的26.82%提升至34.3%。（2）丰富财富管理产品种类，提升产品</w:t>
              </w:r>
              <w:r w:rsidRPr="00D05E21">
                <w:rPr>
                  <w:rFonts w:asciiTheme="minorEastAsia" w:eastAsiaTheme="minorEastAsia" w:hAnsiTheme="minorEastAsia" w:hint="eastAsia"/>
                  <w:szCs w:val="21"/>
                </w:rPr>
                <w:t>的质量。目前公司财富管理产品体系包括公募基金、私募基金、基金专户及基金子公司产品、公司理财产品、信托产品等多种主体，产品类型包括股票型、债券型、新三板、定增及股权投资、短期固定收益理财、人身保险、财产保险等多个品种。2015年上半年，销售各类理财产品超过400亿元，</w:t>
              </w:r>
              <w:r>
                <w:rPr>
                  <w:rFonts w:asciiTheme="minorEastAsia" w:eastAsiaTheme="minorEastAsia" w:hAnsiTheme="minorEastAsia" w:hint="eastAsia"/>
                  <w:szCs w:val="21"/>
                </w:rPr>
                <w:t>同比</w:t>
              </w:r>
              <w:r w:rsidRPr="00D05E21">
                <w:rPr>
                  <w:rFonts w:asciiTheme="minorEastAsia" w:eastAsiaTheme="minorEastAsia" w:hAnsiTheme="minorEastAsia" w:hint="eastAsia"/>
                  <w:szCs w:val="21"/>
                </w:rPr>
                <w:t>增长</w:t>
              </w:r>
              <w:r w:rsidR="00BF2078">
                <w:rPr>
                  <w:rFonts w:asciiTheme="minorEastAsia" w:eastAsiaTheme="minorEastAsia" w:hAnsiTheme="minorEastAsia" w:hint="eastAsia"/>
                  <w:szCs w:val="21"/>
                </w:rPr>
                <w:t>97.69</w:t>
              </w:r>
              <w:r w:rsidRPr="00D05E21">
                <w:rPr>
                  <w:rFonts w:asciiTheme="minorEastAsia" w:eastAsiaTheme="minorEastAsia" w:hAnsiTheme="minorEastAsia" w:hint="eastAsia"/>
                  <w:szCs w:val="21"/>
                </w:rPr>
                <w:t>%。（3）注重</w:t>
              </w:r>
              <w:r>
                <w:rPr>
                  <w:rFonts w:asciiTheme="minorEastAsia" w:eastAsiaTheme="minorEastAsia" w:hAnsiTheme="minorEastAsia" w:hint="eastAsia"/>
                  <w:szCs w:val="21"/>
                </w:rPr>
                <w:t>沪港通等</w:t>
              </w:r>
              <w:r w:rsidRPr="00D05E21">
                <w:rPr>
                  <w:rFonts w:asciiTheme="minorEastAsia" w:eastAsiaTheme="minorEastAsia" w:hAnsiTheme="minorEastAsia" w:hint="eastAsia"/>
                  <w:szCs w:val="21"/>
                </w:rPr>
                <w:t>新业务的推进与培训</w:t>
              </w:r>
              <w:r>
                <w:rPr>
                  <w:rFonts w:asciiTheme="minorEastAsia" w:eastAsiaTheme="minorEastAsia" w:hAnsiTheme="minorEastAsia" w:hint="eastAsia"/>
                  <w:szCs w:val="21"/>
                </w:rPr>
                <w:t>，2015年6月末</w:t>
              </w:r>
              <w:r w:rsidRPr="00FD1059">
                <w:rPr>
                  <w:rFonts w:asciiTheme="minorEastAsia" w:eastAsiaTheme="minorEastAsia" w:hAnsiTheme="minorEastAsia" w:hint="eastAsia"/>
                  <w:szCs w:val="21"/>
                </w:rPr>
                <w:t>沪港通业务市场占比7.227%，行业</w:t>
              </w:r>
              <w:r>
                <w:rPr>
                  <w:rFonts w:asciiTheme="minorEastAsia" w:eastAsiaTheme="minorEastAsia" w:hAnsiTheme="minorEastAsia" w:hint="eastAsia"/>
                  <w:szCs w:val="21"/>
                </w:rPr>
                <w:t>排名</w:t>
              </w:r>
              <w:r w:rsidRPr="00FD1059">
                <w:rPr>
                  <w:rFonts w:asciiTheme="minorEastAsia" w:eastAsiaTheme="minorEastAsia" w:hAnsiTheme="minorEastAsia" w:hint="eastAsia"/>
                  <w:szCs w:val="21"/>
                </w:rPr>
                <w:t>第三</w:t>
              </w:r>
              <w:r w:rsidRPr="00D05E21">
                <w:rPr>
                  <w:rFonts w:asciiTheme="minorEastAsia" w:eastAsiaTheme="minorEastAsia" w:hAnsiTheme="minorEastAsia" w:hint="eastAsia"/>
                  <w:szCs w:val="21"/>
                </w:rPr>
                <w:t>。</w:t>
              </w:r>
              <w:r>
                <w:rPr>
                  <w:rFonts w:asciiTheme="minorEastAsia" w:eastAsiaTheme="minorEastAsia" w:hAnsiTheme="minorEastAsia" w:hint="eastAsia"/>
                  <w:szCs w:val="21"/>
                </w:rPr>
                <w:t>（4）</w:t>
              </w:r>
              <w:r w:rsidRPr="00AA080B">
                <w:rPr>
                  <w:rFonts w:asciiTheme="minorEastAsia" w:eastAsiaTheme="minorEastAsia" w:hAnsiTheme="minorEastAsia" w:hint="eastAsia"/>
                  <w:szCs w:val="21"/>
                </w:rPr>
                <w:t>综合经营业务稳步发展，</w:t>
              </w:r>
              <w:r w:rsidRPr="007921DF">
                <w:rPr>
                  <w:rFonts w:asciiTheme="minorEastAsia" w:eastAsiaTheme="minorEastAsia" w:hAnsiTheme="minorEastAsia" w:hint="eastAsia"/>
                  <w:szCs w:val="21"/>
                </w:rPr>
                <w:t>截至2015年6月，</w:t>
              </w:r>
              <w:r w:rsidR="00B3763D" w:rsidRPr="007921DF">
                <w:rPr>
                  <w:rFonts w:asciiTheme="minorEastAsia" w:eastAsiaTheme="minorEastAsia" w:hAnsiTheme="minorEastAsia" w:hint="eastAsia"/>
                  <w:szCs w:val="21"/>
                </w:rPr>
                <w:t>公司</w:t>
              </w:r>
              <w:r w:rsidRPr="007921DF">
                <w:rPr>
                  <w:rFonts w:asciiTheme="minorEastAsia" w:eastAsiaTheme="minorEastAsia" w:hAnsiTheme="minorEastAsia" w:hint="eastAsia"/>
                  <w:szCs w:val="21"/>
                </w:rPr>
                <w:t>综合经营业务实现收入5.57亿，同比增长353%。</w:t>
              </w:r>
            </w:p>
            <w:p w:rsidR="00710186" w:rsidRDefault="00710186" w:rsidP="00CB3294">
              <w:pPr>
                <w:spacing w:line="360" w:lineRule="auto"/>
                <w:ind w:firstLineChars="250" w:firstLine="525"/>
                <w:rPr>
                  <w:rFonts w:asciiTheme="minorEastAsia" w:eastAsiaTheme="minorEastAsia" w:hAnsiTheme="minorEastAsia"/>
                  <w:szCs w:val="21"/>
                </w:rPr>
              </w:pPr>
              <w:r w:rsidRPr="00D05E21">
                <w:rPr>
                  <w:rFonts w:asciiTheme="minorEastAsia" w:eastAsiaTheme="minorEastAsia" w:hAnsiTheme="minorEastAsia" w:hint="eastAsia"/>
                  <w:szCs w:val="21"/>
                </w:rPr>
                <w:t>公司</w:t>
              </w:r>
              <w:r w:rsidRPr="00D05E21">
                <w:rPr>
                  <w:rFonts w:asciiTheme="minorEastAsia" w:eastAsiaTheme="minorEastAsia" w:hAnsiTheme="minorEastAsia"/>
                  <w:szCs w:val="21"/>
                </w:rPr>
                <w:t>持续关注</w:t>
              </w:r>
              <w:r>
                <w:rPr>
                  <w:rFonts w:asciiTheme="minorEastAsia" w:eastAsiaTheme="minorEastAsia" w:hAnsiTheme="minorEastAsia" w:hint="eastAsia"/>
                  <w:szCs w:val="21"/>
                </w:rPr>
                <w:t>实体网点</w:t>
              </w:r>
              <w:r w:rsidRPr="00D05E21">
                <w:rPr>
                  <w:rFonts w:asciiTheme="minorEastAsia" w:eastAsiaTheme="minorEastAsia" w:hAnsiTheme="minorEastAsia"/>
                  <w:szCs w:val="21"/>
                </w:rPr>
                <w:t>建设与互联网金融动态，</w:t>
              </w:r>
              <w:r>
                <w:rPr>
                  <w:rFonts w:asciiTheme="minorEastAsia" w:eastAsiaTheme="minorEastAsia" w:hAnsiTheme="minorEastAsia" w:hint="eastAsia"/>
                  <w:szCs w:val="21"/>
                </w:rPr>
                <w:t>一方面积极推进</w:t>
              </w:r>
              <w:r w:rsidRPr="00D05E21">
                <w:rPr>
                  <w:rFonts w:asciiTheme="minorEastAsia" w:eastAsiaTheme="minorEastAsia" w:hAnsiTheme="minorEastAsia" w:hint="eastAsia"/>
                  <w:szCs w:val="21"/>
                </w:rPr>
                <w:t>新设40家证券营业部</w:t>
              </w:r>
              <w:r>
                <w:rPr>
                  <w:rFonts w:asciiTheme="minorEastAsia" w:eastAsiaTheme="minorEastAsia" w:hAnsiTheme="minorEastAsia" w:hint="eastAsia"/>
                  <w:szCs w:val="21"/>
                </w:rPr>
                <w:t>的工作并于6月初获</w:t>
              </w:r>
              <w:r w:rsidRPr="00D05E21">
                <w:rPr>
                  <w:rFonts w:asciiTheme="minorEastAsia" w:eastAsiaTheme="minorEastAsia" w:hAnsiTheme="minorEastAsia" w:hint="eastAsia"/>
                  <w:szCs w:val="21"/>
                </w:rPr>
                <w:t>得深圳证监局批复</w:t>
              </w:r>
              <w:r>
                <w:rPr>
                  <w:rFonts w:asciiTheme="minorEastAsia" w:eastAsiaTheme="minorEastAsia" w:hAnsiTheme="minorEastAsia" w:hint="eastAsia"/>
                  <w:szCs w:val="21"/>
                </w:rPr>
                <w:t>；另一方面，大力推进互联网金融建设，加强营业部柜台功能的网络化，成功获得微信开户试点资格。</w:t>
              </w:r>
            </w:p>
            <w:p w:rsidR="00710186" w:rsidRPr="00531030" w:rsidRDefault="00710186" w:rsidP="003C3BBC">
              <w:pPr>
                <w:spacing w:line="360" w:lineRule="auto"/>
                <w:ind w:firstLineChars="270" w:firstLine="567"/>
                <w:rPr>
                  <w:rFonts w:asciiTheme="minorEastAsia" w:eastAsiaTheme="minorEastAsia" w:hAnsiTheme="minorEastAsia"/>
                  <w:b/>
                  <w:szCs w:val="21"/>
                </w:rPr>
              </w:pPr>
              <w:r>
                <w:rPr>
                  <w:rFonts w:hint="eastAsia"/>
                  <w:szCs w:val="21"/>
                </w:rPr>
                <w:t>机构业务方面，公司</w:t>
              </w:r>
              <w:r w:rsidRPr="00617AF7">
                <w:rPr>
                  <w:rFonts w:hint="eastAsia"/>
                  <w:szCs w:val="21"/>
                </w:rPr>
                <w:t>公募基金分盘占比</w:t>
              </w:r>
              <w:r>
                <w:rPr>
                  <w:rFonts w:hint="eastAsia"/>
                  <w:szCs w:val="21"/>
                </w:rPr>
                <w:t>和</w:t>
              </w:r>
              <w:r w:rsidRPr="00617AF7">
                <w:rPr>
                  <w:rFonts w:hint="eastAsia"/>
                  <w:szCs w:val="21"/>
                </w:rPr>
                <w:t>佣金收入</w:t>
              </w:r>
              <w:r>
                <w:rPr>
                  <w:rFonts w:hint="eastAsia"/>
                  <w:szCs w:val="21"/>
                </w:rPr>
                <w:t>均</w:t>
              </w:r>
              <w:r w:rsidRPr="00617AF7">
                <w:rPr>
                  <w:rFonts w:hint="eastAsia"/>
                  <w:szCs w:val="21"/>
                </w:rPr>
                <w:t>创出历史新高</w:t>
              </w:r>
              <w:r>
                <w:rPr>
                  <w:rFonts w:hint="eastAsia"/>
                  <w:szCs w:val="21"/>
                </w:rPr>
                <w:t>。公司近年来着力发展</w:t>
              </w:r>
              <w:r w:rsidRPr="00617AF7">
                <w:rPr>
                  <w:rFonts w:hint="eastAsia"/>
                  <w:szCs w:val="21"/>
                </w:rPr>
                <w:t>主券商业务，</w:t>
              </w:r>
              <w:r>
                <w:rPr>
                  <w:rFonts w:hint="eastAsia"/>
                  <w:szCs w:val="21"/>
                </w:rPr>
                <w:t>目前已</w:t>
              </w:r>
              <w:r w:rsidRPr="00617AF7">
                <w:rPr>
                  <w:rFonts w:hint="eastAsia"/>
                  <w:szCs w:val="21"/>
                </w:rPr>
                <w:t>初步建立差异化的竞争优势</w:t>
              </w:r>
              <w:r>
                <w:rPr>
                  <w:rFonts w:hint="eastAsia"/>
                  <w:szCs w:val="21"/>
                </w:rPr>
                <w:t>。公司主券商业务</w:t>
              </w:r>
              <w:r w:rsidRPr="00617AF7">
                <w:rPr>
                  <w:rFonts w:hint="eastAsia"/>
                  <w:szCs w:val="21"/>
                </w:rPr>
                <w:t>向高端私募基金客户提供快速交易、种子基金孵化、托管外包，产品设计、融资融券、资金推介、跨境</w:t>
              </w:r>
              <w:r>
                <w:rPr>
                  <w:rFonts w:hint="eastAsia"/>
                  <w:szCs w:val="21"/>
                </w:rPr>
                <w:t>业务</w:t>
              </w:r>
              <w:r w:rsidRPr="00617AF7">
                <w:rPr>
                  <w:rFonts w:hint="eastAsia"/>
                  <w:szCs w:val="21"/>
                </w:rPr>
                <w:t>等一站式服务</w:t>
              </w:r>
              <w:r>
                <w:rPr>
                  <w:rFonts w:hint="eastAsia"/>
                  <w:szCs w:val="21"/>
                </w:rPr>
                <w:t>，由此产生的</w:t>
              </w:r>
              <w:r w:rsidRPr="00617AF7">
                <w:rPr>
                  <w:rFonts w:hint="eastAsia"/>
                  <w:szCs w:val="21"/>
                </w:rPr>
                <w:t>佣金息差、融资融券、托管外包等综合收入均实现大幅增长。</w:t>
              </w:r>
              <w:r>
                <w:rPr>
                  <w:rFonts w:hint="eastAsia"/>
                  <w:szCs w:val="21"/>
                </w:rPr>
                <w:t>特别是</w:t>
              </w:r>
              <w:r w:rsidRPr="00617AF7">
                <w:rPr>
                  <w:rFonts w:hint="eastAsia"/>
                  <w:szCs w:val="21"/>
                </w:rPr>
                <w:t>跨境客户拓展迅速，已形成核心的海外机构客户群，成为海外对冲基金进军中国的首选合作伙伴之一</w:t>
              </w:r>
              <w:r>
                <w:rPr>
                  <w:rFonts w:hint="eastAsia"/>
                  <w:szCs w:val="21"/>
                </w:rPr>
                <w:t>。</w:t>
              </w:r>
            </w:p>
            <w:p w:rsidR="00710186" w:rsidRPr="00D05E21" w:rsidRDefault="00710186" w:rsidP="00D141D2">
              <w:pPr>
                <w:ind w:firstLineChars="250" w:firstLine="525"/>
                <w:rPr>
                  <w:rFonts w:asciiTheme="minorEastAsia" w:eastAsiaTheme="minorEastAsia" w:hAnsiTheme="minorEastAsia"/>
                  <w:szCs w:val="21"/>
                </w:rPr>
              </w:pPr>
            </w:p>
            <w:p w:rsidR="00710186" w:rsidRPr="008E4798" w:rsidRDefault="00710186" w:rsidP="003A0284">
              <w:pPr>
                <w:spacing w:beforeLines="50" w:afterLines="50" w:line="360" w:lineRule="auto"/>
                <w:ind w:firstLine="425"/>
                <w:rPr>
                  <w:rFonts w:asciiTheme="minorEastAsia" w:eastAsiaTheme="minorEastAsia" w:hAnsiTheme="minorEastAsia"/>
                  <w:b/>
                  <w:szCs w:val="21"/>
                </w:rPr>
              </w:pPr>
              <w:r w:rsidRPr="00850DF3">
                <w:rPr>
                  <w:rFonts w:asciiTheme="minorEastAsia" w:eastAsiaTheme="minorEastAsia" w:hAnsiTheme="minorEastAsia" w:hint="eastAsia"/>
                  <w:b/>
                  <w:szCs w:val="21"/>
                </w:rPr>
                <w:t>（2）资产管理业务</w:t>
              </w:r>
            </w:p>
            <w:p w:rsidR="00710186" w:rsidRPr="00850DF3" w:rsidRDefault="00710186" w:rsidP="00850DF3">
              <w:pPr>
                <w:spacing w:line="360" w:lineRule="auto"/>
                <w:ind w:firstLine="539"/>
                <w:rPr>
                  <w:szCs w:val="21"/>
                </w:rPr>
              </w:pPr>
              <w:r w:rsidRPr="00850DF3">
                <w:rPr>
                  <w:szCs w:val="21"/>
                </w:rPr>
                <w:t>公司</w:t>
              </w:r>
              <w:r w:rsidRPr="00850DF3">
                <w:rPr>
                  <w:rFonts w:hint="eastAsia"/>
                  <w:szCs w:val="21"/>
                </w:rPr>
                <w:t>于</w:t>
              </w:r>
              <w:r w:rsidRPr="00850DF3">
                <w:rPr>
                  <w:szCs w:val="21"/>
                </w:rPr>
                <w:t>2015年1月26日获得中国</w:t>
              </w:r>
              <w:r>
                <w:rPr>
                  <w:rFonts w:hint="eastAsia"/>
                  <w:szCs w:val="21"/>
                </w:rPr>
                <w:t>证监会</w:t>
              </w:r>
              <w:r w:rsidRPr="00850DF3">
                <w:rPr>
                  <w:szCs w:val="21"/>
                </w:rPr>
                <w:t>《关于核准招商证券股份有限公司设立资产管理子公司的批复》（证监许可〔2015〕123号），获准设立全资证券资产管理子公司，即“招商证券资产管理有限公司”。2015年5月起，公司管理的所有集合与专项资产管理计划管理人由“招商证券股份有限公司”变更为“招商证券资产管理有限公司”。</w:t>
              </w:r>
            </w:p>
            <w:p w:rsidR="00710186" w:rsidRPr="00850DF3" w:rsidRDefault="00710186" w:rsidP="00850DF3">
              <w:pPr>
                <w:spacing w:line="360" w:lineRule="auto"/>
                <w:ind w:firstLine="539"/>
                <w:rPr>
                  <w:szCs w:val="21"/>
                </w:rPr>
              </w:pPr>
              <w:r w:rsidRPr="00850DF3">
                <w:rPr>
                  <w:rFonts w:hint="eastAsia"/>
                  <w:szCs w:val="21"/>
                </w:rPr>
                <w:t>公司资产管理业务持续将创新产品的开发作为工作重点，通过对产品模式、投资工具、投资策略等多方面的创新，构建了更加齐备的创新产品线。为使原有集合理财产品更加适应日益变化的市场需求，挖掘产品潜力，公司还对部分集合理财产品进行了合同变更、产品结构改造等工作。</w:t>
              </w:r>
            </w:p>
            <w:p w:rsidR="00710186" w:rsidRPr="00850DF3" w:rsidRDefault="00710186" w:rsidP="00850DF3">
              <w:pPr>
                <w:spacing w:line="360" w:lineRule="auto"/>
                <w:ind w:firstLine="539"/>
                <w:rPr>
                  <w:szCs w:val="21"/>
                </w:rPr>
              </w:pPr>
              <w:r w:rsidRPr="00850DF3">
                <w:rPr>
                  <w:rFonts w:hint="eastAsia"/>
                  <w:szCs w:val="21"/>
                </w:rPr>
                <w:t>2015年上半年，公司资产管理业务完成10只集合理财产品的发行和设立工作，包含私募合作产品2只、股票质押回购产品1只、量化对冲产品1只、混合型产品3只及其它产品3只。公司资产管理业务产品无论数量、规模，还是各项经营指标等均得到进一步提升。截至2015年6月30日，公司资产管理业务受托资金规模为2</w:t>
              </w:r>
              <w:r w:rsidR="008B6822">
                <w:rPr>
                  <w:rFonts w:hint="eastAsia"/>
                  <w:szCs w:val="21"/>
                </w:rPr>
                <w:t>,</w:t>
              </w:r>
              <w:r w:rsidRPr="00850DF3">
                <w:rPr>
                  <w:rFonts w:hint="eastAsia"/>
                  <w:szCs w:val="21"/>
                </w:rPr>
                <w:t>826.59亿份，较2014年末1</w:t>
              </w:r>
              <w:r w:rsidR="008B6822">
                <w:rPr>
                  <w:rFonts w:hint="eastAsia"/>
                  <w:szCs w:val="21"/>
                </w:rPr>
                <w:t>,</w:t>
              </w:r>
              <w:r w:rsidRPr="00850DF3">
                <w:rPr>
                  <w:rFonts w:hint="eastAsia"/>
                  <w:szCs w:val="21"/>
                </w:rPr>
                <w:t>772.51亿份增长59.47%。</w:t>
              </w:r>
            </w:p>
            <w:p w:rsidR="00710186" w:rsidRDefault="00710186" w:rsidP="003A0284">
              <w:pPr>
                <w:spacing w:beforeLines="50" w:afterLines="50" w:line="360" w:lineRule="auto"/>
                <w:ind w:firstLine="426"/>
                <w:rPr>
                  <w:rFonts w:asciiTheme="minorEastAsia" w:eastAsiaTheme="minorEastAsia" w:hAnsiTheme="minorEastAsia"/>
                  <w:b/>
                  <w:szCs w:val="21"/>
                </w:rPr>
              </w:pPr>
              <w:r>
                <w:rPr>
                  <w:rFonts w:asciiTheme="minorEastAsia" w:eastAsiaTheme="minorEastAsia" w:hAnsiTheme="minorEastAsia" w:hint="eastAsia"/>
                  <w:b/>
                  <w:szCs w:val="21"/>
                </w:rPr>
                <w:lastRenderedPageBreak/>
                <w:t>（3）证券投资</w:t>
              </w:r>
              <w:r w:rsidRPr="008E4798">
                <w:rPr>
                  <w:rFonts w:asciiTheme="minorEastAsia" w:eastAsiaTheme="minorEastAsia" w:hAnsiTheme="minorEastAsia" w:hint="eastAsia"/>
                  <w:b/>
                  <w:szCs w:val="21"/>
                </w:rPr>
                <w:t>业务</w:t>
              </w:r>
            </w:p>
            <w:p w:rsidR="00710186" w:rsidRPr="00D77F99" w:rsidRDefault="00422DCA" w:rsidP="003A0284">
              <w:pPr>
                <w:spacing w:beforeLines="50" w:afterLines="50" w:line="360" w:lineRule="auto"/>
                <w:ind w:firstLine="539"/>
                <w:rPr>
                  <w:b/>
                  <w:szCs w:val="21"/>
                </w:rPr>
              </w:pPr>
              <w:r w:rsidRPr="00D77F99">
                <w:rPr>
                  <w:b/>
                  <w:szCs w:val="21"/>
                </w:rPr>
                <w:fldChar w:fldCharType="begin"/>
              </w:r>
              <w:r w:rsidR="00710186" w:rsidRPr="00D77F99">
                <w:rPr>
                  <w:rFonts w:hint="eastAsia"/>
                  <w:b/>
                  <w:szCs w:val="21"/>
                </w:rPr>
                <w:instrText>= 1 \* GB3</w:instrText>
              </w:r>
              <w:r w:rsidRPr="00D77F99">
                <w:rPr>
                  <w:b/>
                  <w:szCs w:val="21"/>
                </w:rPr>
                <w:fldChar w:fldCharType="separate"/>
              </w:r>
              <w:r w:rsidR="00710186" w:rsidRPr="00D77F99">
                <w:rPr>
                  <w:rFonts w:hint="eastAsia"/>
                  <w:b/>
                  <w:noProof/>
                  <w:szCs w:val="21"/>
                </w:rPr>
                <w:t>①</w:t>
              </w:r>
              <w:r w:rsidRPr="00D77F99">
                <w:rPr>
                  <w:b/>
                  <w:szCs w:val="21"/>
                </w:rPr>
                <w:fldChar w:fldCharType="end"/>
              </w:r>
              <w:r w:rsidR="00710186" w:rsidRPr="00D77F99">
                <w:rPr>
                  <w:rFonts w:hint="eastAsia"/>
                  <w:b/>
                  <w:szCs w:val="21"/>
                </w:rPr>
                <w:t>权益类投资业务</w:t>
              </w:r>
            </w:p>
            <w:p w:rsidR="00710186" w:rsidRDefault="00710186" w:rsidP="00CB3294">
              <w:pPr>
                <w:spacing w:line="360" w:lineRule="auto"/>
                <w:ind w:firstLineChars="250" w:firstLine="525"/>
                <w:rPr>
                  <w:rFonts w:asciiTheme="minorEastAsia" w:eastAsiaTheme="minorEastAsia" w:hAnsiTheme="minorEastAsia"/>
                  <w:color w:val="000000"/>
                  <w:szCs w:val="21"/>
                </w:rPr>
              </w:pPr>
              <w:r w:rsidRPr="006957C6">
                <w:rPr>
                  <w:rFonts w:asciiTheme="minorEastAsia" w:eastAsiaTheme="minorEastAsia" w:hAnsiTheme="minorEastAsia" w:hint="eastAsia"/>
                  <w:color w:val="000000"/>
                  <w:szCs w:val="21"/>
                </w:rPr>
                <w:t>2015年上半年，证券市场总体呈现上涨态势，6月中下旬出现较大幅度回落，公司权益类自营投资始终把风险控制放在首位，提前调整仓位，通过波段操作，并辅以新股询价配售等多种策略，取得了较好的投资收益；公司还积极开展场外金融衍生品、基金做市、量化和套利、股指期货套期保值、股票期权做市等新型自营投资业务；同时，公司对深圳证券交易所以及中国金融期货交易所将要推出的股票期权与股指期权等做市和自营业务</w:t>
              </w:r>
              <w:r w:rsidR="008B6822">
                <w:rPr>
                  <w:rFonts w:asciiTheme="minorEastAsia" w:eastAsiaTheme="minorEastAsia" w:hAnsiTheme="minorEastAsia" w:hint="eastAsia"/>
                  <w:color w:val="000000"/>
                  <w:szCs w:val="21"/>
                </w:rPr>
                <w:t>做</w:t>
              </w:r>
              <w:r w:rsidRPr="006957C6">
                <w:rPr>
                  <w:rFonts w:asciiTheme="minorEastAsia" w:eastAsiaTheme="minorEastAsia" w:hAnsiTheme="minorEastAsia" w:hint="eastAsia"/>
                  <w:color w:val="000000"/>
                  <w:szCs w:val="21"/>
                </w:rPr>
                <w:t>了充分的准备。</w:t>
              </w:r>
            </w:p>
            <w:p w:rsidR="00710186" w:rsidRPr="00D77F99" w:rsidRDefault="00710186" w:rsidP="003A0284">
              <w:pPr>
                <w:spacing w:beforeLines="50" w:afterLines="50" w:line="360" w:lineRule="auto"/>
                <w:ind w:firstLine="539"/>
                <w:rPr>
                  <w:b/>
                  <w:szCs w:val="21"/>
                </w:rPr>
              </w:pPr>
              <w:r w:rsidRPr="00D77F99">
                <w:rPr>
                  <w:b/>
                  <w:szCs w:val="21"/>
                </w:rPr>
                <w:t>②</w:t>
              </w:r>
              <w:r w:rsidRPr="00D77F99">
                <w:rPr>
                  <w:rFonts w:hint="eastAsia"/>
                  <w:b/>
                  <w:szCs w:val="21"/>
                </w:rPr>
                <w:t>固定收益类投资业务</w:t>
              </w:r>
            </w:p>
            <w:p w:rsidR="00710186" w:rsidRPr="00E9454F" w:rsidRDefault="00710186" w:rsidP="00D77F99">
              <w:pPr>
                <w:spacing w:line="360" w:lineRule="auto"/>
                <w:ind w:firstLine="426"/>
                <w:rPr>
                  <w:rFonts w:cs="Arial"/>
                  <w:szCs w:val="21"/>
                </w:rPr>
              </w:pPr>
              <w:r w:rsidRPr="00E9454F">
                <w:rPr>
                  <w:rFonts w:cs="Arial"/>
                  <w:szCs w:val="21"/>
                </w:rPr>
                <w:t>2015年上半年，经济增长继续放缓，央行连续进行降准降息等措施以促进降低社会融资成本，短期债券收益率及货币市场利率快速下行。但地方政府债供给大幅增加，使得长期债券收益率呈现震荡走势。同时，随着企业偿债能力进一步恶化，信用风险加速暴露，多只债券发生违约。整体而言，在市场流动性宽裕的环境下，2015年上半年债券牛市格局得以延续。</w:t>
              </w:r>
            </w:p>
            <w:p w:rsidR="00710186" w:rsidRDefault="00710186" w:rsidP="00CB3294">
              <w:pPr>
                <w:spacing w:line="360" w:lineRule="auto"/>
                <w:ind w:firstLineChars="250" w:firstLine="525"/>
                <w:rPr>
                  <w:rFonts w:asciiTheme="minorEastAsia" w:eastAsiaTheme="minorEastAsia" w:hAnsiTheme="minorEastAsia"/>
                  <w:color w:val="000000"/>
                  <w:szCs w:val="21"/>
                </w:rPr>
              </w:pPr>
              <w:r w:rsidRPr="00E9454F">
                <w:rPr>
                  <w:rFonts w:cs="Arial"/>
                  <w:szCs w:val="21"/>
                </w:rPr>
                <w:t>2015年</w:t>
              </w:r>
              <w:r>
                <w:rPr>
                  <w:rFonts w:cs="Arial" w:hint="eastAsia"/>
                  <w:szCs w:val="21"/>
                </w:rPr>
                <w:t>上半年</w:t>
              </w:r>
              <w:r w:rsidRPr="00E9454F">
                <w:rPr>
                  <w:rFonts w:cs="Arial"/>
                  <w:szCs w:val="21"/>
                </w:rPr>
                <w:t>，</w:t>
              </w:r>
              <w:r>
                <w:rPr>
                  <w:rFonts w:cs="Arial" w:hint="eastAsia"/>
                  <w:szCs w:val="21"/>
                </w:rPr>
                <w:t>公司</w:t>
              </w:r>
              <w:r w:rsidRPr="00E9454F">
                <w:rPr>
                  <w:rFonts w:cs="Arial"/>
                  <w:szCs w:val="21"/>
                </w:rPr>
                <w:t>债券自营投资业务准确判断市场走势，在宽裕流动性的环境下，增加杠杆规模，大幅提升投资规模，获得较好的投资收益。同时，公司高度重视债券投资中的信用风险管理，不断提高信用债持仓的评级和流动性水平，并加强存续期跟踪管理</w:t>
              </w:r>
              <w:r>
                <w:rPr>
                  <w:rFonts w:cs="Arial" w:hint="eastAsia"/>
                  <w:szCs w:val="21"/>
                </w:rPr>
                <w:t>。</w:t>
              </w:r>
            </w:p>
            <w:p w:rsidR="00710186" w:rsidRDefault="00710186" w:rsidP="00D141D2">
              <w:pPr>
                <w:ind w:firstLine="425"/>
                <w:rPr>
                  <w:rFonts w:asciiTheme="minorEastAsia" w:eastAsiaTheme="minorEastAsia" w:hAnsiTheme="minorEastAsia"/>
                  <w:b/>
                  <w:szCs w:val="21"/>
                </w:rPr>
              </w:pPr>
            </w:p>
            <w:p w:rsidR="00710186" w:rsidRDefault="00710186" w:rsidP="003A0284">
              <w:pPr>
                <w:spacing w:beforeLines="50" w:afterLines="50" w:line="360" w:lineRule="auto"/>
                <w:ind w:firstLine="426"/>
                <w:rPr>
                  <w:rFonts w:asciiTheme="minorEastAsia" w:eastAsiaTheme="minorEastAsia" w:hAnsiTheme="minorEastAsia"/>
                  <w:b/>
                  <w:szCs w:val="21"/>
                </w:rPr>
              </w:pPr>
              <w:r>
                <w:rPr>
                  <w:rFonts w:asciiTheme="minorEastAsia" w:eastAsiaTheme="minorEastAsia" w:hAnsiTheme="minorEastAsia" w:hint="eastAsia"/>
                  <w:b/>
                  <w:szCs w:val="21"/>
                </w:rPr>
                <w:t>（4）投资银行</w:t>
              </w:r>
              <w:r w:rsidRPr="008E4798">
                <w:rPr>
                  <w:rFonts w:asciiTheme="minorEastAsia" w:eastAsiaTheme="minorEastAsia" w:hAnsiTheme="minorEastAsia" w:hint="eastAsia"/>
                  <w:b/>
                  <w:szCs w:val="21"/>
                </w:rPr>
                <w:t>业务</w:t>
              </w:r>
            </w:p>
            <w:p w:rsidR="00710186" w:rsidRPr="00F9770C" w:rsidRDefault="00710186" w:rsidP="00214239">
              <w:pPr>
                <w:spacing w:line="360" w:lineRule="auto"/>
                <w:ind w:firstLine="539"/>
                <w:rPr>
                  <w:rFonts w:asciiTheme="minorEastAsia" w:eastAsiaTheme="minorEastAsia" w:hAnsiTheme="minorEastAsia"/>
                  <w:szCs w:val="21"/>
                </w:rPr>
              </w:pPr>
              <w:r w:rsidRPr="00F9770C">
                <w:rPr>
                  <w:rFonts w:asciiTheme="minorEastAsia" w:eastAsiaTheme="minorEastAsia" w:hAnsiTheme="minorEastAsia" w:hint="eastAsia"/>
                  <w:szCs w:val="21"/>
                </w:rPr>
                <w:t>2015年上半年，公司共完成</w:t>
              </w:r>
              <w:r w:rsidRPr="00F9770C">
                <w:rPr>
                  <w:rFonts w:asciiTheme="minorEastAsia" w:eastAsiaTheme="minorEastAsia" w:hAnsiTheme="minorEastAsia"/>
                  <w:szCs w:val="21"/>
                </w:rPr>
                <w:t>2</w:t>
              </w:r>
              <w:r w:rsidRPr="00F9770C">
                <w:rPr>
                  <w:rFonts w:asciiTheme="minorEastAsia" w:eastAsiaTheme="minorEastAsia" w:hAnsiTheme="minorEastAsia" w:hint="eastAsia"/>
                  <w:szCs w:val="21"/>
                </w:rPr>
                <w:t>1家股权主承销项目，</w:t>
              </w:r>
              <w:r w:rsidR="00A7763B" w:rsidRPr="00F9770C">
                <w:rPr>
                  <w:rFonts w:asciiTheme="minorEastAsia" w:eastAsiaTheme="minorEastAsia" w:hAnsiTheme="minorEastAsia" w:hint="eastAsia"/>
                  <w:szCs w:val="21"/>
                </w:rPr>
                <w:t>项目总金额共计</w:t>
              </w:r>
              <w:r w:rsidRPr="00F9770C">
                <w:rPr>
                  <w:rFonts w:asciiTheme="minorEastAsia" w:eastAsiaTheme="minorEastAsia" w:hAnsiTheme="minorEastAsia"/>
                  <w:szCs w:val="21"/>
                </w:rPr>
                <w:t>19</w:t>
              </w:r>
              <w:r w:rsidRPr="00F9770C">
                <w:rPr>
                  <w:rFonts w:asciiTheme="minorEastAsia" w:eastAsiaTheme="minorEastAsia" w:hAnsiTheme="minorEastAsia" w:hint="eastAsia"/>
                  <w:szCs w:val="21"/>
                </w:rPr>
                <w:t>1.22亿元。其中，9家股权类首发主承销项目，项目总金额41.55亿元。分别为昇兴股份首发项目、浩云科技首发项目、珍宝岛首发项目、航新科技首发项目、惠伦晶体首发项目、石大胜华首发项目、神思电子首发项目、索菱股份首发项目以及韩建河山首发项目。12家增发主承销项目，项目总金额149.67亿元，分别为省广股份增发、飞乐股份增发、辽宁成大增发、金一文化增发、通富微电增发、新五丰增发、圣农发展增发、世联行增发、江钻股份增发、北部湾增发、当代东方增发、星期六增发。累计12个保荐类项目通过审核等待发行，31个保荐项目在会审核。</w:t>
              </w:r>
            </w:p>
            <w:p w:rsidR="00710186" w:rsidRDefault="00710186" w:rsidP="00CB3294">
              <w:pPr>
                <w:spacing w:line="360" w:lineRule="auto"/>
                <w:ind w:firstLineChars="202" w:firstLine="424"/>
                <w:rPr>
                  <w:rFonts w:cs="Arial"/>
                  <w:szCs w:val="21"/>
                </w:rPr>
              </w:pPr>
              <w:r w:rsidRPr="00F9770C">
                <w:rPr>
                  <w:rFonts w:cs="Arial"/>
                  <w:szCs w:val="21"/>
                </w:rPr>
                <w:t>2015年上半年</w:t>
              </w:r>
              <w:r w:rsidRPr="00F9770C">
                <w:rPr>
                  <w:rFonts w:cs="Arial" w:hint="eastAsia"/>
                  <w:szCs w:val="21"/>
                </w:rPr>
                <w:t>，公司的</w:t>
              </w:r>
              <w:r w:rsidRPr="00F9770C">
                <w:rPr>
                  <w:rFonts w:cs="Arial"/>
                  <w:szCs w:val="21"/>
                </w:rPr>
                <w:t>债券承销业务迅猛发展，</w:t>
              </w:r>
              <w:r w:rsidRPr="00F9770C">
                <w:rPr>
                  <w:rFonts w:hint="eastAsia"/>
                  <w:szCs w:val="21"/>
                </w:rPr>
                <w:t>债券类主承销项目共计58家，承销总额375.59亿元，</w:t>
              </w:r>
              <w:r w:rsidRPr="00F9770C">
                <w:rPr>
                  <w:rFonts w:cs="Arial" w:hint="eastAsia"/>
                  <w:szCs w:val="21"/>
                </w:rPr>
                <w:t>承销债券金额已超过去年全年水平（包括自主自办发行）。截至2015年6月30日，公司的</w:t>
              </w:r>
              <w:r w:rsidRPr="00F9770C">
                <w:rPr>
                  <w:rFonts w:cs="Arial"/>
                  <w:szCs w:val="21"/>
                </w:rPr>
                <w:t>债券承销金额全市场</w:t>
              </w:r>
              <w:r w:rsidRPr="00F9770C">
                <w:rPr>
                  <w:rFonts w:cs="Arial" w:hint="eastAsia"/>
                  <w:szCs w:val="21"/>
                </w:rPr>
                <w:t>同行业</w:t>
              </w:r>
              <w:r w:rsidRPr="00F9770C">
                <w:rPr>
                  <w:rFonts w:cs="Arial"/>
                  <w:szCs w:val="21"/>
                </w:rPr>
                <w:t>排名第二，其中资产支持证券承销金额</w:t>
              </w:r>
              <w:r w:rsidRPr="00F9770C">
                <w:rPr>
                  <w:rFonts w:cs="Arial" w:hint="eastAsia"/>
                  <w:szCs w:val="21"/>
                </w:rPr>
                <w:t>达155亿元，行业</w:t>
              </w:r>
              <w:r w:rsidRPr="00F9770C">
                <w:rPr>
                  <w:rFonts w:cs="Arial"/>
                  <w:szCs w:val="21"/>
                </w:rPr>
                <w:t>排名第一，创历史最好水平。</w:t>
              </w:r>
              <w:r w:rsidRPr="00F9770C">
                <w:rPr>
                  <w:rFonts w:cs="Arial" w:hint="eastAsia"/>
                  <w:szCs w:val="21"/>
                </w:rPr>
                <w:t>此外，公司非金融企业债务融资工具产品承销业绩增长强劲，</w:t>
              </w:r>
              <w:r w:rsidRPr="00F9770C">
                <w:rPr>
                  <w:rFonts w:hint="eastAsia"/>
                  <w:color w:val="000000"/>
                  <w:szCs w:val="21"/>
                </w:rPr>
                <w:t>短期融资券</w:t>
              </w:r>
              <w:r w:rsidRPr="00F9770C">
                <w:rPr>
                  <w:rFonts w:cs="Arial" w:hint="eastAsia"/>
                  <w:szCs w:val="21"/>
                </w:rPr>
                <w:t>承销支数及金额均超过2014年全年水平。</w:t>
              </w:r>
            </w:p>
            <w:p w:rsidR="00D062FF" w:rsidRPr="00F9770C" w:rsidRDefault="00D062FF" w:rsidP="00CB3294">
              <w:pPr>
                <w:spacing w:line="360" w:lineRule="auto"/>
                <w:ind w:firstLineChars="202" w:firstLine="424"/>
                <w:rPr>
                  <w:rFonts w:cs="Arial"/>
                  <w:szCs w:val="21"/>
                </w:rPr>
              </w:pPr>
            </w:p>
            <w:p w:rsidR="00710186" w:rsidRPr="00214239" w:rsidRDefault="00F9770C" w:rsidP="00F14077">
              <w:pPr>
                <w:spacing w:line="360" w:lineRule="auto"/>
                <w:ind w:firstLine="539"/>
                <w:jc w:val="center"/>
                <w:rPr>
                  <w:b/>
                  <w:szCs w:val="21"/>
                </w:rPr>
              </w:pPr>
              <w:r>
                <w:rPr>
                  <w:rFonts w:hint="eastAsia"/>
                  <w:b/>
                  <w:szCs w:val="21"/>
                </w:rPr>
                <w:t>公司</w:t>
              </w:r>
              <w:r w:rsidR="00710186" w:rsidRPr="00214239">
                <w:rPr>
                  <w:rFonts w:hint="eastAsia"/>
                  <w:b/>
                  <w:szCs w:val="21"/>
                </w:rPr>
                <w:t>主承销</w:t>
              </w:r>
              <w:r>
                <w:rPr>
                  <w:rFonts w:hint="eastAsia"/>
                  <w:b/>
                  <w:szCs w:val="21"/>
                </w:rPr>
                <w:t>业务</w:t>
              </w:r>
              <w:r w:rsidR="00710186" w:rsidRPr="00214239">
                <w:rPr>
                  <w:rFonts w:hint="eastAsia"/>
                  <w:b/>
                  <w:szCs w:val="21"/>
                </w:rPr>
                <w:t>情况表</w:t>
              </w:r>
            </w:p>
            <w:p w:rsidR="00710186" w:rsidRDefault="00710186" w:rsidP="00F14077">
              <w:pPr>
                <w:spacing w:line="360" w:lineRule="auto"/>
                <w:jc w:val="right"/>
                <w:rPr>
                  <w:szCs w:val="21"/>
                </w:rPr>
              </w:pPr>
              <w:r w:rsidRPr="004C5DB4">
                <w:rPr>
                  <w:rFonts w:hint="eastAsia"/>
                  <w:szCs w:val="21"/>
                </w:rPr>
                <w:t>单位：</w:t>
              </w:r>
              <w:r>
                <w:rPr>
                  <w:rFonts w:hint="eastAsia"/>
                  <w:szCs w:val="21"/>
                </w:rPr>
                <w:t>亿元</w:t>
              </w:r>
            </w:p>
            <w:tbl>
              <w:tblPr>
                <w:tblW w:w="9131" w:type="dxa"/>
                <w:jc w:val="center"/>
                <w:tblInd w:w="-178" w:type="dxa"/>
                <w:tblLook w:val="04A0"/>
              </w:tblPr>
              <w:tblGrid>
                <w:gridCol w:w="1580"/>
                <w:gridCol w:w="1418"/>
                <w:gridCol w:w="1134"/>
                <w:gridCol w:w="1843"/>
                <w:gridCol w:w="1275"/>
                <w:gridCol w:w="1881"/>
              </w:tblGrid>
              <w:tr w:rsidR="00710186" w:rsidRPr="002B7C21" w:rsidTr="0063595C">
                <w:trPr>
                  <w:trHeight w:val="270"/>
                  <w:tblHeader/>
                  <w:jc w:val="center"/>
                </w:trPr>
                <w:tc>
                  <w:tcPr>
                    <w:tcW w:w="29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0186" w:rsidRPr="002B7C21" w:rsidRDefault="00710186" w:rsidP="002B7C21">
                    <w:pPr>
                      <w:jc w:val="center"/>
                      <w:rPr>
                        <w:b/>
                        <w:bCs/>
                        <w:color w:val="000000"/>
                        <w:sz w:val="22"/>
                        <w:szCs w:val="22"/>
                      </w:rPr>
                    </w:pPr>
                    <w:r w:rsidRPr="002B7C21">
                      <w:rPr>
                        <w:rFonts w:hint="eastAsia"/>
                        <w:b/>
                        <w:bCs/>
                        <w:color w:val="000000"/>
                        <w:sz w:val="22"/>
                        <w:szCs w:val="22"/>
                      </w:rPr>
                      <w:lastRenderedPageBreak/>
                      <w:t>项目类型</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710186" w:rsidRPr="002B7C21" w:rsidRDefault="00774B93" w:rsidP="002B7C21">
                    <w:pPr>
                      <w:jc w:val="center"/>
                      <w:rPr>
                        <w:b/>
                        <w:bCs/>
                        <w:color w:val="000000"/>
                        <w:sz w:val="22"/>
                        <w:szCs w:val="22"/>
                      </w:rPr>
                    </w:pPr>
                    <w:r>
                      <w:rPr>
                        <w:rFonts w:hint="eastAsia"/>
                        <w:b/>
                        <w:bCs/>
                        <w:color w:val="000000"/>
                        <w:sz w:val="22"/>
                        <w:szCs w:val="22"/>
                      </w:rPr>
                      <w:t>2015年上半年</w:t>
                    </w:r>
                  </w:p>
                </w:tc>
                <w:tc>
                  <w:tcPr>
                    <w:tcW w:w="3156" w:type="dxa"/>
                    <w:gridSpan w:val="2"/>
                    <w:tcBorders>
                      <w:top w:val="single" w:sz="4" w:space="0" w:color="auto"/>
                      <w:left w:val="nil"/>
                      <w:bottom w:val="single" w:sz="4" w:space="0" w:color="auto"/>
                      <w:right w:val="single" w:sz="4" w:space="0" w:color="auto"/>
                    </w:tcBorders>
                    <w:shd w:val="clear" w:color="auto" w:fill="auto"/>
                    <w:noWrap/>
                    <w:vAlign w:val="center"/>
                    <w:hideMark/>
                  </w:tcPr>
                  <w:p w:rsidR="00710186" w:rsidRPr="002B7C21" w:rsidRDefault="00774B93" w:rsidP="002B7C21">
                    <w:pPr>
                      <w:jc w:val="center"/>
                      <w:rPr>
                        <w:b/>
                        <w:bCs/>
                        <w:color w:val="000000"/>
                        <w:sz w:val="22"/>
                        <w:szCs w:val="22"/>
                      </w:rPr>
                    </w:pPr>
                    <w:r>
                      <w:rPr>
                        <w:rFonts w:hint="eastAsia"/>
                        <w:b/>
                        <w:bCs/>
                        <w:color w:val="000000"/>
                        <w:sz w:val="22"/>
                        <w:szCs w:val="22"/>
                      </w:rPr>
                      <w:t>2014年上半年</w:t>
                    </w:r>
                  </w:p>
                </w:tc>
              </w:tr>
              <w:tr w:rsidR="00710186" w:rsidRPr="002B7C21" w:rsidTr="0063595C">
                <w:trPr>
                  <w:trHeight w:val="270"/>
                  <w:tblHeader/>
                  <w:jc w:val="center"/>
                </w:trPr>
                <w:tc>
                  <w:tcPr>
                    <w:tcW w:w="2998" w:type="dxa"/>
                    <w:gridSpan w:val="2"/>
                    <w:vMerge/>
                    <w:tcBorders>
                      <w:top w:val="single" w:sz="4" w:space="0" w:color="auto"/>
                      <w:left w:val="single" w:sz="4" w:space="0" w:color="auto"/>
                      <w:bottom w:val="single" w:sz="4" w:space="0" w:color="auto"/>
                      <w:right w:val="single" w:sz="4" w:space="0" w:color="auto"/>
                    </w:tcBorders>
                    <w:vAlign w:val="center"/>
                    <w:hideMark/>
                  </w:tcPr>
                  <w:p w:rsidR="00710186" w:rsidRPr="002B7C21" w:rsidRDefault="00710186" w:rsidP="002B7C21">
                    <w:pPr>
                      <w:rPr>
                        <w:b/>
                        <w:bCs/>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jc w:val="center"/>
                      <w:rPr>
                        <w:b/>
                        <w:bCs/>
                        <w:color w:val="000000"/>
                        <w:sz w:val="22"/>
                        <w:szCs w:val="22"/>
                      </w:rPr>
                    </w:pPr>
                    <w:r w:rsidRPr="002B7C21">
                      <w:rPr>
                        <w:rFonts w:hint="eastAsia"/>
                        <w:b/>
                        <w:bCs/>
                        <w:color w:val="000000"/>
                        <w:sz w:val="22"/>
                        <w:szCs w:val="22"/>
                      </w:rPr>
                      <w:t>承销家数</w:t>
                    </w:r>
                  </w:p>
                </w:tc>
                <w:tc>
                  <w:tcPr>
                    <w:tcW w:w="1843"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jc w:val="center"/>
                      <w:rPr>
                        <w:b/>
                        <w:bCs/>
                        <w:color w:val="000000"/>
                        <w:sz w:val="22"/>
                        <w:szCs w:val="22"/>
                      </w:rPr>
                    </w:pPr>
                    <w:r w:rsidRPr="002B7C21">
                      <w:rPr>
                        <w:rFonts w:hint="eastAsia"/>
                        <w:b/>
                        <w:bCs/>
                        <w:color w:val="000000"/>
                        <w:sz w:val="22"/>
                        <w:szCs w:val="22"/>
                      </w:rPr>
                      <w:t>本公司承销金额</w:t>
                    </w:r>
                  </w:p>
                </w:tc>
                <w:tc>
                  <w:tcPr>
                    <w:tcW w:w="1275"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jc w:val="center"/>
                      <w:rPr>
                        <w:b/>
                        <w:bCs/>
                        <w:color w:val="000000"/>
                        <w:sz w:val="22"/>
                        <w:szCs w:val="22"/>
                      </w:rPr>
                    </w:pPr>
                    <w:r w:rsidRPr="002B7C21">
                      <w:rPr>
                        <w:rFonts w:hint="eastAsia"/>
                        <w:b/>
                        <w:bCs/>
                        <w:color w:val="000000"/>
                        <w:sz w:val="22"/>
                        <w:szCs w:val="22"/>
                      </w:rPr>
                      <w:t>承销家数</w:t>
                    </w:r>
                  </w:p>
                </w:tc>
                <w:tc>
                  <w:tcPr>
                    <w:tcW w:w="1881"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jc w:val="center"/>
                      <w:rPr>
                        <w:b/>
                        <w:bCs/>
                        <w:color w:val="000000"/>
                        <w:sz w:val="22"/>
                        <w:szCs w:val="22"/>
                      </w:rPr>
                    </w:pPr>
                    <w:r w:rsidRPr="002B7C21">
                      <w:rPr>
                        <w:rFonts w:hint="eastAsia"/>
                        <w:b/>
                        <w:bCs/>
                        <w:color w:val="000000"/>
                        <w:sz w:val="22"/>
                        <w:szCs w:val="22"/>
                      </w:rPr>
                      <w:t>本公司承销金额</w:t>
                    </w:r>
                  </w:p>
                </w:tc>
              </w:tr>
              <w:tr w:rsidR="00710186" w:rsidRPr="002B7C21" w:rsidTr="0063595C">
                <w:trPr>
                  <w:trHeight w:val="54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710186" w:rsidRPr="002B7C21" w:rsidRDefault="00710186" w:rsidP="002B7C21">
                    <w:pPr>
                      <w:jc w:val="center"/>
                      <w:rPr>
                        <w:color w:val="000000"/>
                        <w:sz w:val="22"/>
                        <w:szCs w:val="22"/>
                      </w:rPr>
                    </w:pPr>
                    <w:r w:rsidRPr="002B7C21">
                      <w:rPr>
                        <w:rFonts w:hint="eastAsia"/>
                        <w:color w:val="000000"/>
                        <w:sz w:val="22"/>
                        <w:szCs w:val="22"/>
                      </w:rPr>
                      <w:t>首次公开发行</w:t>
                    </w:r>
                  </w:p>
                </w:tc>
                <w:tc>
                  <w:tcPr>
                    <w:tcW w:w="1418"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rPr>
                        <w:color w:val="000000"/>
                        <w:sz w:val="22"/>
                        <w:szCs w:val="22"/>
                      </w:rPr>
                    </w:pPr>
                    <w:r w:rsidRPr="002B7C21">
                      <w:rPr>
                        <w:rFonts w:hint="eastAsia"/>
                        <w:color w:val="000000"/>
                        <w:sz w:val="22"/>
                        <w:szCs w:val="22"/>
                      </w:rPr>
                      <w:t>A股</w:t>
                    </w:r>
                  </w:p>
                </w:tc>
                <w:tc>
                  <w:tcPr>
                    <w:tcW w:w="1134"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9</w:t>
                    </w:r>
                  </w:p>
                </w:tc>
                <w:tc>
                  <w:tcPr>
                    <w:tcW w:w="1843"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41.51</w:t>
                    </w:r>
                  </w:p>
                </w:tc>
                <w:tc>
                  <w:tcPr>
                    <w:tcW w:w="1275"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5</w:t>
                    </w:r>
                  </w:p>
                </w:tc>
                <w:tc>
                  <w:tcPr>
                    <w:tcW w:w="1881"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43.50</w:t>
                    </w:r>
                  </w:p>
                </w:tc>
              </w:tr>
              <w:tr w:rsidR="00710186" w:rsidRPr="002B7C21" w:rsidTr="0063595C">
                <w:trPr>
                  <w:trHeight w:val="367"/>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710186" w:rsidRPr="002B7C21" w:rsidRDefault="00710186" w:rsidP="002B7C21">
                    <w:pPr>
                      <w:jc w:val="center"/>
                      <w:rPr>
                        <w:color w:val="000000"/>
                        <w:sz w:val="22"/>
                        <w:szCs w:val="22"/>
                      </w:rPr>
                    </w:pPr>
                    <w:r w:rsidRPr="002B7C21">
                      <w:rPr>
                        <w:rFonts w:hint="eastAsia"/>
                        <w:color w:val="000000"/>
                        <w:sz w:val="22"/>
                        <w:szCs w:val="22"/>
                      </w:rPr>
                      <w:t>增发</w:t>
                    </w:r>
                  </w:p>
                </w:tc>
                <w:tc>
                  <w:tcPr>
                    <w:tcW w:w="1418"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rPr>
                        <w:color w:val="000000"/>
                        <w:sz w:val="22"/>
                        <w:szCs w:val="22"/>
                      </w:rPr>
                    </w:pPr>
                    <w:r w:rsidRPr="002B7C21">
                      <w:rPr>
                        <w:rFonts w:hint="eastAsia"/>
                        <w:color w:val="000000"/>
                        <w:sz w:val="22"/>
                        <w:szCs w:val="22"/>
                      </w:rPr>
                      <w:t>A股</w:t>
                    </w:r>
                  </w:p>
                </w:tc>
                <w:tc>
                  <w:tcPr>
                    <w:tcW w:w="1134"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12</w:t>
                    </w:r>
                  </w:p>
                </w:tc>
                <w:tc>
                  <w:tcPr>
                    <w:tcW w:w="1843"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140.54</w:t>
                    </w:r>
                  </w:p>
                </w:tc>
                <w:tc>
                  <w:tcPr>
                    <w:tcW w:w="1275"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0</w:t>
                    </w:r>
                  </w:p>
                </w:tc>
                <w:tc>
                  <w:tcPr>
                    <w:tcW w:w="1881"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0.00</w:t>
                    </w:r>
                  </w:p>
                </w:tc>
              </w:tr>
              <w:tr w:rsidR="00710186" w:rsidRPr="002B7C21" w:rsidTr="0063595C">
                <w:trPr>
                  <w:trHeight w:val="270"/>
                  <w:jc w:val="center"/>
                </w:trPr>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710186" w:rsidRPr="002B7C21" w:rsidRDefault="00710186" w:rsidP="002B7C21">
                    <w:pPr>
                      <w:jc w:val="center"/>
                      <w:rPr>
                        <w:color w:val="000000"/>
                        <w:sz w:val="22"/>
                        <w:szCs w:val="22"/>
                      </w:rPr>
                    </w:pPr>
                    <w:r w:rsidRPr="002B7C21">
                      <w:rPr>
                        <w:rFonts w:hint="eastAsia"/>
                        <w:color w:val="000000"/>
                        <w:sz w:val="22"/>
                        <w:szCs w:val="22"/>
                      </w:rPr>
                      <w:t>债券发行</w:t>
                    </w:r>
                  </w:p>
                </w:tc>
                <w:tc>
                  <w:tcPr>
                    <w:tcW w:w="1418"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rPr>
                        <w:color w:val="000000"/>
                        <w:sz w:val="22"/>
                        <w:szCs w:val="22"/>
                      </w:rPr>
                    </w:pPr>
                    <w:r w:rsidRPr="002B7C21">
                      <w:rPr>
                        <w:rFonts w:hint="eastAsia"/>
                        <w:color w:val="000000"/>
                        <w:sz w:val="22"/>
                        <w:szCs w:val="22"/>
                      </w:rPr>
                      <w:t>企业债券</w:t>
                    </w:r>
                  </w:p>
                </w:tc>
                <w:tc>
                  <w:tcPr>
                    <w:tcW w:w="1134"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16</w:t>
                    </w:r>
                  </w:p>
                </w:tc>
                <w:tc>
                  <w:tcPr>
                    <w:tcW w:w="1843"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147.10</w:t>
                    </w:r>
                  </w:p>
                </w:tc>
                <w:tc>
                  <w:tcPr>
                    <w:tcW w:w="1275"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19</w:t>
                    </w:r>
                  </w:p>
                </w:tc>
                <w:tc>
                  <w:tcPr>
                    <w:tcW w:w="1881"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125.02</w:t>
                    </w:r>
                  </w:p>
                </w:tc>
              </w:tr>
              <w:tr w:rsidR="00710186" w:rsidRPr="002B7C21" w:rsidTr="0063595C">
                <w:trPr>
                  <w:trHeight w:val="270"/>
                  <w:jc w:val="center"/>
                </w:trPr>
                <w:tc>
                  <w:tcPr>
                    <w:tcW w:w="1580" w:type="dxa"/>
                    <w:vMerge/>
                    <w:tcBorders>
                      <w:top w:val="nil"/>
                      <w:left w:val="single" w:sz="4" w:space="0" w:color="auto"/>
                      <w:bottom w:val="single" w:sz="4" w:space="0" w:color="auto"/>
                      <w:right w:val="single" w:sz="4" w:space="0" w:color="auto"/>
                    </w:tcBorders>
                    <w:vAlign w:val="center"/>
                    <w:hideMark/>
                  </w:tcPr>
                  <w:p w:rsidR="00710186" w:rsidRPr="002B7C21" w:rsidRDefault="00710186" w:rsidP="002B7C21">
                    <w:pPr>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2B7C21">
                    <w:pPr>
                      <w:rPr>
                        <w:color w:val="000000"/>
                        <w:sz w:val="22"/>
                        <w:szCs w:val="22"/>
                      </w:rPr>
                    </w:pPr>
                    <w:r w:rsidRPr="002B7C21">
                      <w:rPr>
                        <w:rFonts w:hint="eastAsia"/>
                        <w:color w:val="000000"/>
                        <w:sz w:val="22"/>
                        <w:szCs w:val="22"/>
                      </w:rPr>
                      <w:t>公司债券</w:t>
                    </w:r>
                  </w:p>
                </w:tc>
                <w:tc>
                  <w:tcPr>
                    <w:tcW w:w="1134"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3</w:t>
                    </w:r>
                  </w:p>
                </w:tc>
                <w:tc>
                  <w:tcPr>
                    <w:tcW w:w="1843"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26.00</w:t>
                    </w:r>
                  </w:p>
                </w:tc>
                <w:tc>
                  <w:tcPr>
                    <w:tcW w:w="1275"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w:t>
                    </w:r>
                  </w:p>
                </w:tc>
                <w:tc>
                  <w:tcPr>
                    <w:tcW w:w="1881"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5.00</w:t>
                    </w:r>
                  </w:p>
                </w:tc>
              </w:tr>
              <w:tr w:rsidR="00710186" w:rsidRPr="002B7C21" w:rsidTr="0063595C">
                <w:trPr>
                  <w:trHeight w:val="305"/>
                  <w:jc w:val="center"/>
                </w:trPr>
                <w:tc>
                  <w:tcPr>
                    <w:tcW w:w="1580" w:type="dxa"/>
                    <w:vMerge/>
                    <w:tcBorders>
                      <w:top w:val="nil"/>
                      <w:left w:val="single" w:sz="4" w:space="0" w:color="auto"/>
                      <w:bottom w:val="single" w:sz="4" w:space="0" w:color="auto"/>
                      <w:right w:val="single" w:sz="4" w:space="0" w:color="auto"/>
                    </w:tcBorders>
                    <w:vAlign w:val="center"/>
                    <w:hideMark/>
                  </w:tcPr>
                  <w:p w:rsidR="00710186" w:rsidRPr="002B7C21" w:rsidRDefault="00710186" w:rsidP="002B7C21">
                    <w:pPr>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63595C">
                    <w:pPr>
                      <w:rPr>
                        <w:color w:val="000000"/>
                        <w:sz w:val="22"/>
                        <w:szCs w:val="22"/>
                      </w:rPr>
                    </w:pPr>
                    <w:r w:rsidRPr="002B7C21">
                      <w:rPr>
                        <w:rFonts w:hint="eastAsia"/>
                        <w:color w:val="000000"/>
                        <w:sz w:val="22"/>
                        <w:szCs w:val="22"/>
                      </w:rPr>
                      <w:t>短期融资券</w:t>
                    </w:r>
                  </w:p>
                </w:tc>
                <w:tc>
                  <w:tcPr>
                    <w:tcW w:w="1134"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3</w:t>
                    </w:r>
                  </w:p>
                </w:tc>
                <w:tc>
                  <w:tcPr>
                    <w:tcW w:w="1843"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35.00</w:t>
                    </w:r>
                  </w:p>
                </w:tc>
                <w:tc>
                  <w:tcPr>
                    <w:tcW w:w="1275"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0</w:t>
                    </w:r>
                  </w:p>
                </w:tc>
                <w:tc>
                  <w:tcPr>
                    <w:tcW w:w="1881"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0.00</w:t>
                    </w:r>
                  </w:p>
                </w:tc>
              </w:tr>
              <w:tr w:rsidR="00710186" w:rsidRPr="002B7C21" w:rsidTr="0063595C">
                <w:trPr>
                  <w:trHeight w:val="1080"/>
                  <w:jc w:val="center"/>
                </w:trPr>
                <w:tc>
                  <w:tcPr>
                    <w:tcW w:w="1580" w:type="dxa"/>
                    <w:vMerge/>
                    <w:tcBorders>
                      <w:top w:val="nil"/>
                      <w:left w:val="single" w:sz="4" w:space="0" w:color="auto"/>
                      <w:bottom w:val="single" w:sz="4" w:space="0" w:color="auto"/>
                      <w:right w:val="single" w:sz="4" w:space="0" w:color="auto"/>
                    </w:tcBorders>
                    <w:vAlign w:val="center"/>
                    <w:hideMark/>
                  </w:tcPr>
                  <w:p w:rsidR="00710186" w:rsidRPr="002B7C21" w:rsidRDefault="00710186" w:rsidP="002B7C21">
                    <w:pPr>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710186" w:rsidRPr="002B7C21" w:rsidRDefault="00710186" w:rsidP="0063595C">
                    <w:pPr>
                      <w:rPr>
                        <w:color w:val="000000"/>
                        <w:sz w:val="22"/>
                        <w:szCs w:val="22"/>
                      </w:rPr>
                    </w:pPr>
                    <w:r w:rsidRPr="002B7C21">
                      <w:rPr>
                        <w:rFonts w:hint="eastAsia"/>
                        <w:color w:val="000000"/>
                        <w:sz w:val="22"/>
                        <w:szCs w:val="22"/>
                      </w:rPr>
                      <w:t>其他债券（PPN\ABS\次</w:t>
                    </w:r>
                    <w:r>
                      <w:rPr>
                        <w:rFonts w:hint="eastAsia"/>
                        <w:color w:val="000000"/>
                        <w:sz w:val="22"/>
                        <w:szCs w:val="22"/>
                      </w:rPr>
                      <w:t>级</w:t>
                    </w:r>
                    <w:r w:rsidRPr="002B7C21">
                      <w:rPr>
                        <w:rFonts w:hint="eastAsia"/>
                        <w:color w:val="000000"/>
                        <w:sz w:val="22"/>
                        <w:szCs w:val="22"/>
                      </w:rPr>
                      <w:t>债）</w:t>
                    </w:r>
                  </w:p>
                </w:tc>
                <w:tc>
                  <w:tcPr>
                    <w:tcW w:w="1134"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36</w:t>
                    </w:r>
                  </w:p>
                </w:tc>
                <w:tc>
                  <w:tcPr>
                    <w:tcW w:w="1843"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167.49</w:t>
                    </w:r>
                  </w:p>
                </w:tc>
                <w:tc>
                  <w:tcPr>
                    <w:tcW w:w="1275"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6</w:t>
                    </w:r>
                  </w:p>
                </w:tc>
                <w:tc>
                  <w:tcPr>
                    <w:tcW w:w="1881"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color w:val="000000"/>
                        <w:sz w:val="22"/>
                        <w:szCs w:val="22"/>
                      </w:rPr>
                    </w:pPr>
                    <w:r w:rsidRPr="002B7C21">
                      <w:rPr>
                        <w:rFonts w:hint="eastAsia"/>
                        <w:color w:val="000000"/>
                        <w:sz w:val="22"/>
                        <w:szCs w:val="22"/>
                      </w:rPr>
                      <w:t>82.61</w:t>
                    </w:r>
                  </w:p>
                </w:tc>
              </w:tr>
              <w:tr w:rsidR="00710186" w:rsidRPr="002B7C21" w:rsidTr="0063595C">
                <w:trPr>
                  <w:trHeight w:val="270"/>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0186" w:rsidRPr="002B7C21" w:rsidRDefault="00710186" w:rsidP="003C79EB">
                    <w:pPr>
                      <w:jc w:val="center"/>
                      <w:rPr>
                        <w:b/>
                        <w:color w:val="000000"/>
                        <w:sz w:val="22"/>
                        <w:szCs w:val="22"/>
                      </w:rPr>
                    </w:pPr>
                    <w:r w:rsidRPr="002B7C21">
                      <w:rPr>
                        <w:rFonts w:hint="eastAsia"/>
                        <w:b/>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b/>
                        <w:color w:val="000000"/>
                        <w:sz w:val="22"/>
                        <w:szCs w:val="22"/>
                      </w:rPr>
                    </w:pPr>
                    <w:r w:rsidRPr="002B7C21">
                      <w:rPr>
                        <w:rFonts w:hint="eastAsia"/>
                        <w:b/>
                        <w:color w:val="000000"/>
                        <w:sz w:val="22"/>
                        <w:szCs w:val="22"/>
                      </w:rPr>
                      <w:t>79</w:t>
                    </w:r>
                  </w:p>
                </w:tc>
                <w:tc>
                  <w:tcPr>
                    <w:tcW w:w="1843"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b/>
                        <w:color w:val="000000"/>
                        <w:sz w:val="22"/>
                        <w:szCs w:val="22"/>
                      </w:rPr>
                    </w:pPr>
                    <w:r w:rsidRPr="002B7C21">
                      <w:rPr>
                        <w:rFonts w:hint="eastAsia"/>
                        <w:b/>
                        <w:color w:val="000000"/>
                        <w:sz w:val="22"/>
                        <w:szCs w:val="22"/>
                      </w:rPr>
                      <w:t xml:space="preserve">557.64 </w:t>
                    </w:r>
                  </w:p>
                </w:tc>
                <w:tc>
                  <w:tcPr>
                    <w:tcW w:w="1275"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b/>
                        <w:color w:val="000000"/>
                        <w:sz w:val="22"/>
                        <w:szCs w:val="22"/>
                      </w:rPr>
                    </w:pPr>
                    <w:r w:rsidRPr="002B7C21">
                      <w:rPr>
                        <w:rFonts w:hint="eastAsia"/>
                        <w:b/>
                        <w:color w:val="000000"/>
                        <w:sz w:val="22"/>
                        <w:szCs w:val="22"/>
                      </w:rPr>
                      <w:t>31</w:t>
                    </w:r>
                  </w:p>
                </w:tc>
                <w:tc>
                  <w:tcPr>
                    <w:tcW w:w="1881" w:type="dxa"/>
                    <w:tcBorders>
                      <w:top w:val="nil"/>
                      <w:left w:val="nil"/>
                      <w:bottom w:val="single" w:sz="4" w:space="0" w:color="auto"/>
                      <w:right w:val="single" w:sz="4" w:space="0" w:color="auto"/>
                    </w:tcBorders>
                    <w:shd w:val="clear" w:color="auto" w:fill="auto"/>
                    <w:noWrap/>
                    <w:vAlign w:val="center"/>
                    <w:hideMark/>
                  </w:tcPr>
                  <w:p w:rsidR="00710186" w:rsidRPr="002B7C21" w:rsidRDefault="00710186" w:rsidP="0063595C">
                    <w:pPr>
                      <w:jc w:val="right"/>
                      <w:rPr>
                        <w:b/>
                        <w:color w:val="000000"/>
                        <w:sz w:val="22"/>
                        <w:szCs w:val="22"/>
                      </w:rPr>
                    </w:pPr>
                    <w:r w:rsidRPr="002B7C21">
                      <w:rPr>
                        <w:rFonts w:hint="eastAsia"/>
                        <w:b/>
                        <w:color w:val="000000"/>
                        <w:sz w:val="22"/>
                        <w:szCs w:val="22"/>
                      </w:rPr>
                      <w:t xml:space="preserve">        256.12 </w:t>
                    </w:r>
                  </w:p>
                </w:tc>
              </w:tr>
            </w:tbl>
            <w:p w:rsidR="00710186" w:rsidRDefault="00710186" w:rsidP="00F14077">
              <w:pPr>
                <w:spacing w:line="360" w:lineRule="auto"/>
                <w:jc w:val="right"/>
                <w:rPr>
                  <w:szCs w:val="21"/>
                </w:rPr>
              </w:pPr>
            </w:p>
            <w:p w:rsidR="00710186" w:rsidRDefault="00710186">
              <w:pPr>
                <w:spacing w:line="360" w:lineRule="auto"/>
                <w:ind w:firstLineChars="200" w:firstLine="420"/>
                <w:rPr>
                  <w:rFonts w:asciiTheme="minorEastAsia" w:eastAsiaTheme="minorEastAsia" w:hAnsiTheme="minorEastAsia"/>
                  <w:szCs w:val="21"/>
                </w:rPr>
              </w:pPr>
              <w:r w:rsidRPr="00214239">
                <w:rPr>
                  <w:rFonts w:asciiTheme="minorEastAsia" w:eastAsiaTheme="minorEastAsia" w:hAnsiTheme="minorEastAsia" w:hint="eastAsia"/>
                  <w:szCs w:val="21"/>
                </w:rPr>
                <w:t>上半年</w:t>
              </w:r>
              <w:r>
                <w:rPr>
                  <w:rFonts w:asciiTheme="minorEastAsia" w:eastAsiaTheme="minorEastAsia" w:hAnsiTheme="minorEastAsia" w:hint="eastAsia"/>
                  <w:szCs w:val="21"/>
                </w:rPr>
                <w:t>公司投资银行业务</w:t>
              </w:r>
              <w:r w:rsidRPr="00214239">
                <w:rPr>
                  <w:rFonts w:asciiTheme="minorEastAsia" w:eastAsiaTheme="minorEastAsia" w:hAnsiTheme="minorEastAsia" w:hint="eastAsia"/>
                  <w:szCs w:val="21"/>
                </w:rPr>
                <w:t>紧跟市场节奏，继续保持在IPO业务方面的推进力度，保持IPO业务的市场份额。同时，注重行业研究，推行客户经理制，加大对再融资业务和并购重组业务的开拓力度，实现了再融资业务和并购重组业务新的突破</w:t>
              </w:r>
              <w:r>
                <w:rPr>
                  <w:rFonts w:asciiTheme="minorEastAsia" w:eastAsiaTheme="minorEastAsia" w:hAnsiTheme="minorEastAsia" w:hint="eastAsia"/>
                  <w:szCs w:val="21"/>
                </w:rPr>
                <w:t>，</w:t>
              </w:r>
              <w:r w:rsidRPr="00214239">
                <w:rPr>
                  <w:rFonts w:asciiTheme="minorEastAsia" w:eastAsiaTheme="minorEastAsia" w:hAnsiTheme="minorEastAsia" w:hint="eastAsia"/>
                  <w:szCs w:val="21"/>
                </w:rPr>
                <w:t>积</w:t>
              </w:r>
              <w:r>
                <w:rPr>
                  <w:rFonts w:asciiTheme="minorEastAsia" w:eastAsiaTheme="minorEastAsia" w:hAnsiTheme="minorEastAsia" w:hint="eastAsia"/>
                  <w:szCs w:val="21"/>
                </w:rPr>
                <w:t>极践</w:t>
              </w:r>
              <w:r w:rsidRPr="00214239">
                <w:rPr>
                  <w:rFonts w:asciiTheme="minorEastAsia" w:eastAsiaTheme="minorEastAsia" w:hAnsiTheme="minorEastAsia" w:hint="eastAsia"/>
                  <w:szCs w:val="21"/>
                </w:rPr>
                <w:t>行招商局集团</w:t>
              </w:r>
              <w:r>
                <w:rPr>
                  <w:rFonts w:asciiTheme="minorEastAsia" w:eastAsiaTheme="minorEastAsia" w:hAnsiTheme="minorEastAsia" w:hint="eastAsia"/>
                  <w:szCs w:val="21"/>
                </w:rPr>
                <w:t>的“产融结合”战略，为招商局集团及其下属的多家企业提供资本运作服务</w:t>
              </w:r>
              <w:r w:rsidRPr="00214239">
                <w:rPr>
                  <w:rFonts w:asciiTheme="minorEastAsia" w:eastAsiaTheme="minorEastAsia" w:hAnsiTheme="minorEastAsia" w:hint="eastAsia"/>
                  <w:szCs w:val="21"/>
                </w:rPr>
                <w:t>。债券业务方面，</w:t>
              </w:r>
              <w:r>
                <w:rPr>
                  <w:rFonts w:asciiTheme="minorEastAsia" w:eastAsiaTheme="minorEastAsia" w:hAnsiTheme="minorEastAsia" w:hint="eastAsia"/>
                  <w:szCs w:val="21"/>
                </w:rPr>
                <w:t>公司</w:t>
              </w:r>
              <w:r w:rsidRPr="00214239">
                <w:rPr>
                  <w:rFonts w:asciiTheme="minorEastAsia" w:eastAsiaTheme="minorEastAsia" w:hAnsiTheme="minorEastAsia" w:hint="eastAsia"/>
                  <w:szCs w:val="21"/>
                </w:rPr>
                <w:t>抓住ABS业务和公司债券业务的政策机遇和市场时机，全力开拓业务，加大项目的储备力度和实施力度，实现了ABS</w:t>
              </w:r>
              <w:r>
                <w:rPr>
                  <w:rFonts w:asciiTheme="minorEastAsia" w:eastAsiaTheme="minorEastAsia" w:hAnsiTheme="minorEastAsia" w:hint="eastAsia"/>
                  <w:szCs w:val="21"/>
                </w:rPr>
                <w:t>行业排名的新突破</w:t>
              </w:r>
              <w:r w:rsidRPr="00214239">
                <w:rPr>
                  <w:rFonts w:asciiTheme="minorEastAsia" w:eastAsiaTheme="minorEastAsia" w:hAnsiTheme="minorEastAsia" w:hint="eastAsia"/>
                  <w:szCs w:val="21"/>
                </w:rPr>
                <w:t>。</w:t>
              </w:r>
            </w:p>
            <w:p w:rsidR="00710186" w:rsidRDefault="00710186" w:rsidP="00D141D2">
              <w:pPr>
                <w:ind w:firstLineChars="200" w:firstLine="420"/>
                <w:rPr>
                  <w:rFonts w:asciiTheme="minorEastAsia" w:eastAsiaTheme="minorEastAsia" w:hAnsiTheme="minorEastAsia"/>
                  <w:szCs w:val="21"/>
                </w:rPr>
              </w:pPr>
            </w:p>
            <w:p w:rsidR="00710186" w:rsidRPr="008E4798" w:rsidRDefault="00710186" w:rsidP="003A0284">
              <w:pPr>
                <w:spacing w:beforeLines="50" w:afterLines="50" w:line="360" w:lineRule="auto"/>
                <w:ind w:firstLine="426"/>
                <w:rPr>
                  <w:rFonts w:asciiTheme="minorEastAsia" w:eastAsiaTheme="minorEastAsia" w:hAnsiTheme="minorEastAsia"/>
                  <w:b/>
                  <w:szCs w:val="21"/>
                </w:rPr>
              </w:pPr>
              <w:r>
                <w:rPr>
                  <w:rFonts w:asciiTheme="minorEastAsia" w:eastAsiaTheme="minorEastAsia" w:hAnsiTheme="minorEastAsia" w:hint="eastAsia"/>
                  <w:b/>
                  <w:szCs w:val="21"/>
                </w:rPr>
                <w:t>（5）场外市场业务</w:t>
              </w:r>
            </w:p>
            <w:p w:rsidR="00710186" w:rsidRPr="00D141D2" w:rsidRDefault="00710186" w:rsidP="00D141D2">
              <w:pPr>
                <w:spacing w:line="360" w:lineRule="auto"/>
                <w:ind w:firstLineChars="200" w:firstLine="420"/>
                <w:rPr>
                  <w:rFonts w:asciiTheme="minorEastAsia" w:hAnsiTheme="minorEastAsia" w:cs="仿宋_GB2312"/>
                  <w:bCs/>
                  <w:szCs w:val="21"/>
                </w:rPr>
              </w:pPr>
              <w:r w:rsidRPr="00D141D2">
                <w:rPr>
                  <w:rFonts w:asciiTheme="minorEastAsia" w:hAnsiTheme="minorEastAsia" w:cs="仿宋_GB2312" w:hint="eastAsia"/>
                  <w:bCs/>
                  <w:szCs w:val="21"/>
                </w:rPr>
                <w:t>2015年以来，新三板市场迅速升温，公司场外市场业务持续保持高速增长，上半年实现营业收入1.77亿元，同比增长964%。其中</w:t>
              </w:r>
              <w:r>
                <w:rPr>
                  <w:rFonts w:asciiTheme="minorEastAsia" w:hAnsiTheme="minorEastAsia" w:cs="仿宋_GB2312" w:hint="eastAsia"/>
                  <w:bCs/>
                  <w:szCs w:val="21"/>
                </w:rPr>
                <w:t>，</w:t>
              </w:r>
              <w:r w:rsidRPr="00D141D2">
                <w:rPr>
                  <w:rFonts w:asciiTheme="minorEastAsia" w:hAnsiTheme="minorEastAsia" w:cs="仿宋_GB2312" w:hint="eastAsia"/>
                  <w:bCs/>
                  <w:szCs w:val="21"/>
                </w:rPr>
                <w:t>挂牌业务（含私募债）实现营业收入3,769.3万元，柜台业务实现营业收入2,465.85万元，新三板定向发行业务实现营业收入409.51万元</w:t>
              </w:r>
              <w:r>
                <w:rPr>
                  <w:rFonts w:asciiTheme="minorEastAsia" w:hAnsiTheme="minorEastAsia" w:cs="仿宋_GB2312" w:hint="eastAsia"/>
                  <w:bCs/>
                  <w:szCs w:val="21"/>
                </w:rPr>
                <w:t>，</w:t>
              </w:r>
              <w:r w:rsidRPr="00D141D2">
                <w:rPr>
                  <w:rFonts w:asciiTheme="minorEastAsia" w:hAnsiTheme="minorEastAsia" w:hint="eastAsia"/>
                  <w:szCs w:val="21"/>
                </w:rPr>
                <w:t>做市业务</w:t>
              </w:r>
              <w:r w:rsidRPr="00D141D2">
                <w:rPr>
                  <w:rFonts w:asciiTheme="minorEastAsia" w:hAnsiTheme="minorEastAsia" w:cs="仿宋_GB2312" w:hint="eastAsia"/>
                  <w:bCs/>
                  <w:szCs w:val="21"/>
                </w:rPr>
                <w:t>实现营业收入1.1亿元。</w:t>
              </w:r>
            </w:p>
            <w:p w:rsidR="0057186E" w:rsidRDefault="00710186">
              <w:pPr>
                <w:spacing w:line="360" w:lineRule="auto"/>
                <w:ind w:firstLineChars="200" w:firstLine="420"/>
                <w:rPr>
                  <w:rFonts w:asciiTheme="minorEastAsia" w:hAnsiTheme="minorEastAsia" w:cs="仿宋_GB2312"/>
                  <w:bCs/>
                  <w:szCs w:val="21"/>
                </w:rPr>
              </w:pPr>
              <w:r>
                <w:rPr>
                  <w:rFonts w:asciiTheme="minorEastAsia" w:hAnsiTheme="minorEastAsia" w:cs="仿宋_GB2312" w:hint="eastAsia"/>
                  <w:bCs/>
                  <w:szCs w:val="21"/>
                </w:rPr>
                <w:t>上半年</w:t>
              </w:r>
              <w:r w:rsidRPr="00D141D2">
                <w:rPr>
                  <w:rFonts w:asciiTheme="minorEastAsia" w:hAnsiTheme="minorEastAsia" w:cs="仿宋_GB2312" w:hint="eastAsia"/>
                  <w:bCs/>
                  <w:szCs w:val="21"/>
                </w:rPr>
                <w:t>，公司新增新三板挂牌</w:t>
              </w:r>
              <w:r>
                <w:rPr>
                  <w:rFonts w:asciiTheme="minorEastAsia" w:hAnsiTheme="minorEastAsia" w:cs="仿宋_GB2312" w:hint="eastAsia"/>
                  <w:bCs/>
                  <w:szCs w:val="21"/>
                </w:rPr>
                <w:t>企业</w:t>
              </w:r>
              <w:r w:rsidRPr="00D141D2">
                <w:rPr>
                  <w:rFonts w:asciiTheme="minorEastAsia" w:hAnsiTheme="minorEastAsia" w:cs="仿宋_GB2312" w:hint="eastAsia"/>
                  <w:bCs/>
                  <w:szCs w:val="21"/>
                </w:rPr>
                <w:t>家数35家，排名行业第5位，比2014年</w:t>
              </w:r>
              <w:r>
                <w:rPr>
                  <w:rFonts w:asciiTheme="minorEastAsia" w:hAnsiTheme="minorEastAsia" w:cs="仿宋_GB2312" w:hint="eastAsia"/>
                  <w:bCs/>
                  <w:szCs w:val="21"/>
                </w:rPr>
                <w:t>度排名</w:t>
              </w:r>
              <w:r w:rsidRPr="00D141D2">
                <w:rPr>
                  <w:rFonts w:asciiTheme="minorEastAsia" w:hAnsiTheme="minorEastAsia" w:cs="仿宋_GB2312" w:hint="eastAsia"/>
                  <w:bCs/>
                  <w:szCs w:val="21"/>
                </w:rPr>
                <w:t>上升3位，项目储备家数超过280家</w:t>
              </w:r>
              <w:r>
                <w:rPr>
                  <w:rFonts w:asciiTheme="minorEastAsia" w:hAnsiTheme="minorEastAsia" w:cs="仿宋_GB2312" w:hint="eastAsia"/>
                  <w:bCs/>
                  <w:szCs w:val="21"/>
                </w:rPr>
                <w:t>，</w:t>
              </w:r>
              <w:r w:rsidRPr="00D141D2">
                <w:rPr>
                  <w:rFonts w:asciiTheme="minorEastAsia" w:hAnsiTheme="minorEastAsia" w:cs="仿宋_GB2312" w:hint="eastAsia"/>
                  <w:bCs/>
                  <w:szCs w:val="21"/>
                </w:rPr>
                <w:t>完成新三板定向发行项目22</w:t>
              </w:r>
              <w:r>
                <w:rPr>
                  <w:rFonts w:asciiTheme="minorEastAsia" w:hAnsiTheme="minorEastAsia" w:cs="仿宋_GB2312" w:hint="eastAsia"/>
                  <w:bCs/>
                  <w:szCs w:val="21"/>
                </w:rPr>
                <w:t>个；</w:t>
              </w:r>
              <w:r w:rsidRPr="00D141D2">
                <w:rPr>
                  <w:rFonts w:asciiTheme="minorEastAsia" w:hAnsiTheme="minorEastAsia" w:cs="仿宋_GB2312" w:hint="eastAsia"/>
                  <w:bCs/>
                  <w:szCs w:val="21"/>
                </w:rPr>
                <w:t>柜台业务方面，共发行各类柜台市场产品205支，其中收益凭证产品163支，发行规模233.5亿元，私募基金及其他理财产品42支，发行规模39.3亿元。</w:t>
              </w:r>
            </w:p>
            <w:p w:rsidR="00710186" w:rsidRPr="00D141D2" w:rsidRDefault="00710186" w:rsidP="00D141D2">
              <w:pPr>
                <w:ind w:firstLineChars="200" w:firstLine="420"/>
                <w:rPr>
                  <w:rFonts w:asciiTheme="minorEastAsia" w:hAnsiTheme="minorEastAsia" w:cs="仿宋_GB2312"/>
                  <w:bCs/>
                  <w:szCs w:val="21"/>
                </w:rPr>
              </w:pPr>
            </w:p>
            <w:p w:rsidR="00710186" w:rsidRDefault="00710186" w:rsidP="003A0284">
              <w:pPr>
                <w:spacing w:beforeLines="50" w:afterLines="50" w:line="360" w:lineRule="auto"/>
                <w:ind w:firstLine="426"/>
                <w:rPr>
                  <w:rFonts w:asciiTheme="minorEastAsia" w:eastAsiaTheme="minorEastAsia" w:hAnsiTheme="minorEastAsia"/>
                  <w:b/>
                  <w:szCs w:val="21"/>
                </w:rPr>
              </w:pPr>
              <w:r w:rsidRPr="005D1477">
                <w:rPr>
                  <w:rFonts w:asciiTheme="minorEastAsia" w:eastAsiaTheme="minorEastAsia" w:hAnsiTheme="minorEastAsia" w:hint="eastAsia"/>
                  <w:b/>
                  <w:szCs w:val="21"/>
                </w:rPr>
                <w:t>（</w:t>
              </w:r>
              <w:r>
                <w:rPr>
                  <w:rFonts w:asciiTheme="minorEastAsia" w:eastAsiaTheme="minorEastAsia" w:hAnsiTheme="minorEastAsia" w:hint="eastAsia"/>
                  <w:b/>
                  <w:szCs w:val="21"/>
                </w:rPr>
                <w:t>6</w:t>
              </w:r>
              <w:r w:rsidRPr="005D1477">
                <w:rPr>
                  <w:rFonts w:asciiTheme="minorEastAsia" w:eastAsiaTheme="minorEastAsia" w:hAnsiTheme="minorEastAsia" w:hint="eastAsia"/>
                  <w:b/>
                  <w:szCs w:val="21"/>
                </w:rPr>
                <w:t>）托管业务</w:t>
              </w:r>
            </w:p>
            <w:p w:rsidR="00710186" w:rsidRPr="00916747" w:rsidRDefault="00710186" w:rsidP="00916747">
              <w:pPr>
                <w:spacing w:line="360" w:lineRule="auto"/>
                <w:ind w:firstLineChars="200" w:firstLine="420"/>
                <w:rPr>
                  <w:szCs w:val="21"/>
                </w:rPr>
              </w:pPr>
              <w:r w:rsidRPr="00916747">
                <w:rPr>
                  <w:rFonts w:hint="eastAsia"/>
                  <w:szCs w:val="21"/>
                </w:rPr>
                <w:t>2015年上半年，公司托管业务</w:t>
              </w:r>
              <w:r>
                <w:rPr>
                  <w:rFonts w:hint="eastAsia"/>
                  <w:szCs w:val="21"/>
                </w:rPr>
                <w:t>在</w:t>
              </w:r>
              <w:r w:rsidRPr="00916747">
                <w:rPr>
                  <w:rFonts w:hint="eastAsia"/>
                  <w:szCs w:val="21"/>
                </w:rPr>
                <w:t>产品数量、规模，各项经营指标等</w:t>
              </w:r>
              <w:r>
                <w:rPr>
                  <w:rFonts w:hint="eastAsia"/>
                  <w:szCs w:val="21"/>
                </w:rPr>
                <w:t>方面</w:t>
              </w:r>
              <w:r w:rsidRPr="00916747">
                <w:rPr>
                  <w:rFonts w:hint="eastAsia"/>
                  <w:szCs w:val="21"/>
                </w:rPr>
                <w:t>均</w:t>
              </w:r>
              <w:r>
                <w:rPr>
                  <w:rFonts w:hint="eastAsia"/>
                  <w:szCs w:val="21"/>
                </w:rPr>
                <w:t>呈现</w:t>
              </w:r>
              <w:r w:rsidRPr="00916747">
                <w:rPr>
                  <w:rFonts w:hint="eastAsia"/>
                  <w:szCs w:val="21"/>
                </w:rPr>
                <w:t>爆发式增长。截至2015年6月30日，公司托管和金融服务外包产品数量已超过3</w:t>
              </w:r>
              <w:r>
                <w:rPr>
                  <w:rFonts w:hint="eastAsia"/>
                  <w:szCs w:val="21"/>
                </w:rPr>
                <w:t>,</w:t>
              </w:r>
              <w:r w:rsidRPr="00916747">
                <w:rPr>
                  <w:rFonts w:hint="eastAsia"/>
                  <w:szCs w:val="21"/>
                </w:rPr>
                <w:t>000只，规模已突破4</w:t>
              </w:r>
              <w:r>
                <w:rPr>
                  <w:rFonts w:hint="eastAsia"/>
                  <w:szCs w:val="21"/>
                </w:rPr>
                <w:t>,</w:t>
              </w:r>
              <w:r w:rsidRPr="00916747">
                <w:rPr>
                  <w:rFonts w:hint="eastAsia"/>
                  <w:szCs w:val="21"/>
                </w:rPr>
                <w:t>600亿元，较2014年年</w:t>
              </w:r>
              <w:r>
                <w:rPr>
                  <w:rFonts w:hint="eastAsia"/>
                  <w:szCs w:val="21"/>
                </w:rPr>
                <w:t>末</w:t>
              </w:r>
              <w:r w:rsidRPr="00916747">
                <w:rPr>
                  <w:rFonts w:hint="eastAsia"/>
                  <w:szCs w:val="21"/>
                </w:rPr>
                <w:t>增长近</w:t>
              </w:r>
              <w:r>
                <w:rPr>
                  <w:rFonts w:hint="eastAsia"/>
                  <w:szCs w:val="21"/>
                </w:rPr>
                <w:t>4倍</w:t>
              </w:r>
              <w:r w:rsidRPr="00916747">
                <w:rPr>
                  <w:rFonts w:hint="eastAsia"/>
                  <w:szCs w:val="21"/>
                </w:rPr>
                <w:t>，行业排名第一。目前，托管业务已涵盖基金专户、证券公司客户资产管理计划、期货公司资产管理计划、公开募集的证券投资基金、非公开募集的证券投资基金等资产类型等。</w:t>
              </w:r>
            </w:p>
            <w:p w:rsidR="00710186" w:rsidRPr="005B02FE" w:rsidRDefault="00710186" w:rsidP="00916747">
              <w:pPr>
                <w:spacing w:line="360" w:lineRule="auto"/>
                <w:ind w:firstLineChars="200" w:firstLine="420"/>
                <w:rPr>
                  <w:rFonts w:asciiTheme="minorEastAsia" w:hAnsiTheme="minorEastAsia"/>
                  <w:sz w:val="28"/>
                  <w:szCs w:val="28"/>
                </w:rPr>
              </w:pPr>
              <w:r w:rsidRPr="00916747">
                <w:rPr>
                  <w:rFonts w:hint="eastAsia"/>
                  <w:szCs w:val="21"/>
                </w:rPr>
                <w:lastRenderedPageBreak/>
                <w:t>2015年上半年，公司托管业务在规模迅速增长的同时，不断加强内部管理，以建设机构客户综合服务平台核心职能为目标，致力于建立完善的托管业务运营流程和体系，积极拓展业务</w:t>
              </w:r>
              <w:r>
                <w:rPr>
                  <w:rFonts w:hint="eastAsia"/>
                  <w:szCs w:val="21"/>
                </w:rPr>
                <w:t>范围</w:t>
              </w:r>
              <w:r w:rsidRPr="00916747">
                <w:rPr>
                  <w:rFonts w:hint="eastAsia"/>
                  <w:szCs w:val="21"/>
                </w:rPr>
                <w:t>。2015年4月4日，公司成为首批获得中国基金业协会备案的私募基金金融外包服务机构。2015年5月，公司首家通过国际审计与鉴证准则理事会的ISAE3402 Type2高标准期间鉴证</w:t>
              </w:r>
              <w:r>
                <w:rPr>
                  <w:rFonts w:asciiTheme="minorEastAsia" w:hAnsiTheme="minorEastAsia" w:hint="eastAsia"/>
                  <w:sz w:val="28"/>
                  <w:szCs w:val="28"/>
                </w:rPr>
                <w:t>。</w:t>
              </w:r>
            </w:p>
            <w:p w:rsidR="00710186" w:rsidRPr="001B199F" w:rsidRDefault="00710186" w:rsidP="00214239">
              <w:pPr>
                <w:rPr>
                  <w:sz w:val="24"/>
                </w:rPr>
              </w:pPr>
            </w:p>
            <w:p w:rsidR="00710186" w:rsidRDefault="00710186" w:rsidP="00CB3294">
              <w:pPr>
                <w:ind w:firstLineChars="202" w:firstLine="424"/>
                <w:rPr>
                  <w:szCs w:val="21"/>
                </w:rPr>
              </w:pPr>
              <w:r w:rsidRPr="000900E9">
                <w:rPr>
                  <w:rFonts w:hint="eastAsia"/>
                  <w:szCs w:val="21"/>
                </w:rPr>
                <w:t>国际业务、期货业务、直投业务详见本报告本节之“子公司分析”部分相关内容</w:t>
              </w:r>
              <w:r>
                <w:rPr>
                  <w:rFonts w:hint="eastAsia"/>
                  <w:szCs w:val="21"/>
                </w:rPr>
                <w:t>。</w:t>
              </w:r>
            </w:p>
            <w:p w:rsidR="00710186" w:rsidRDefault="00710186" w:rsidP="00CB3294">
              <w:pPr>
                <w:ind w:firstLineChars="202" w:firstLine="424"/>
                <w:rPr>
                  <w:szCs w:val="21"/>
                </w:rPr>
              </w:pPr>
            </w:p>
            <w:p w:rsidR="00710186" w:rsidRPr="00493675" w:rsidRDefault="00710186" w:rsidP="003A0284">
              <w:pPr>
                <w:pStyle w:val="a9"/>
                <w:numPr>
                  <w:ilvl w:val="0"/>
                  <w:numId w:val="27"/>
                </w:numPr>
                <w:spacing w:beforeLines="100" w:afterLines="100" w:line="360" w:lineRule="auto"/>
                <w:ind w:firstLineChars="0"/>
                <w:rPr>
                  <w:b/>
                  <w:szCs w:val="21"/>
                </w:rPr>
              </w:pPr>
              <w:r>
                <w:rPr>
                  <w:rFonts w:hint="eastAsia"/>
                  <w:b/>
                  <w:szCs w:val="21"/>
                </w:rPr>
                <w:t>报告期内的业务创新情况</w:t>
              </w:r>
            </w:p>
            <w:p w:rsidR="00710186" w:rsidRPr="00704200" w:rsidRDefault="00710186" w:rsidP="00CB3294">
              <w:pPr>
                <w:spacing w:line="360" w:lineRule="auto"/>
                <w:ind w:firstLineChars="200" w:firstLine="420"/>
                <w:rPr>
                  <w:szCs w:val="21"/>
                </w:rPr>
              </w:pPr>
              <w:r>
                <w:rPr>
                  <w:rFonts w:hint="eastAsia"/>
                  <w:szCs w:val="21"/>
                </w:rPr>
                <w:t>2015</w:t>
              </w:r>
              <w:r w:rsidRPr="00704200">
                <w:rPr>
                  <w:rFonts w:hint="eastAsia"/>
                  <w:szCs w:val="21"/>
                </w:rPr>
                <w:t>上半年，公司紧抓资本市场和证券行业创新发展的机遇，积极争取创新业务资格，大力推进业务和产品创新，取得明显成效。</w:t>
              </w:r>
            </w:p>
            <w:p w:rsidR="00710186" w:rsidRPr="00704200" w:rsidRDefault="00710186" w:rsidP="00CB3294">
              <w:pPr>
                <w:spacing w:line="360" w:lineRule="auto"/>
                <w:ind w:firstLineChars="200" w:firstLine="422"/>
                <w:rPr>
                  <w:szCs w:val="21"/>
                </w:rPr>
              </w:pPr>
              <w:r w:rsidRPr="00704200">
                <w:rPr>
                  <w:rFonts w:hint="eastAsia"/>
                  <w:b/>
                  <w:szCs w:val="21"/>
                </w:rPr>
                <w:t>业务资格获取方面</w:t>
              </w:r>
              <w:r w:rsidRPr="00704200">
                <w:rPr>
                  <w:rFonts w:hint="eastAsia"/>
                  <w:szCs w:val="21"/>
                </w:rPr>
                <w:t>，公司首批获得了上交所股票期权交易参与人资格、上交所股票期权结算参与人资格、上交所股票期权自营交易权限、上证50ETF期权做市业务资格、私募基金外包业务资格；获得欧洲洲际交易所ICE清算会员资格，成为首家获得该项业务资格的大陆券商；成为上海黄金交易所特别会员，获得黄金现货合约自营业务试点资格；</w:t>
              </w:r>
              <w:r w:rsidRPr="00652D4E">
                <w:rPr>
                  <w:rFonts w:hint="eastAsia"/>
                  <w:szCs w:val="21"/>
                </w:rPr>
                <w:t>获得上市公司股权激励行权融资业务试点资格、客户资金消费支付服务业务资格、微信开户试点资格。</w:t>
              </w:r>
            </w:p>
            <w:p w:rsidR="00704CAD" w:rsidRPr="00752A87" w:rsidRDefault="00710186" w:rsidP="00CB3294">
              <w:pPr>
                <w:spacing w:line="360" w:lineRule="auto"/>
                <w:ind w:firstLineChars="200" w:firstLine="422"/>
                <w:rPr>
                  <w:rFonts w:cs="Arial"/>
                  <w:szCs w:val="21"/>
                </w:rPr>
              </w:pPr>
              <w:r w:rsidRPr="00704200">
                <w:rPr>
                  <w:rFonts w:hint="eastAsia"/>
                  <w:b/>
                  <w:szCs w:val="21"/>
                </w:rPr>
                <w:t>业务创新方面</w:t>
              </w:r>
              <w:r w:rsidRPr="00704200">
                <w:rPr>
                  <w:rFonts w:hint="eastAsia"/>
                  <w:szCs w:val="21"/>
                </w:rPr>
                <w:t>，托管与外包业务快速发展，服务的资产规模突</w:t>
              </w:r>
              <w:r w:rsidRPr="00652D4E">
                <w:rPr>
                  <w:rFonts w:hint="eastAsia"/>
                  <w:szCs w:val="21"/>
                </w:rPr>
                <w:t>破4,600亿</w:t>
              </w:r>
              <w:r w:rsidRPr="00704200">
                <w:rPr>
                  <w:rFonts w:hint="eastAsia"/>
                  <w:szCs w:val="21"/>
                </w:rPr>
                <w:t>元，服务的备案私募证券投资基金产品数量保持行业第一；积极开展资产证券化业务创新，完成招元2015年第一期个人住房抵押贷款资产支持证券、招元2015年第二期信贷资产支持证券等多只信贷资产证券化产品的承销；设立公司首只创投基金和首只TMT并购基金；推出指数挂钩型收益凭证产品和具有定期开放赎回功能的固定利率收益凭证产品，以及多只以新三板、量化多空策略、员工持股计划等为主题的集合资产管理计划</w:t>
              </w:r>
              <w:r>
                <w:rPr>
                  <w:rFonts w:hint="eastAsia"/>
                  <w:szCs w:val="21"/>
                </w:rPr>
                <w:t>；</w:t>
              </w:r>
              <w:r w:rsidRPr="00704200">
                <w:rPr>
                  <w:rFonts w:hint="eastAsia"/>
                  <w:szCs w:val="21"/>
                </w:rPr>
                <w:t>上线了单向视频远程开户业务，推出了“招e融”网上股票质押融资业务</w:t>
              </w:r>
              <w:r w:rsidRPr="007A75BD">
                <w:rPr>
                  <w:rFonts w:hint="eastAsia"/>
                  <w:szCs w:val="21"/>
                </w:rPr>
                <w:t>；</w:t>
              </w:r>
              <w:r w:rsidRPr="007A75BD">
                <w:rPr>
                  <w:szCs w:val="21"/>
                </w:rPr>
                <w:t>积极推进大宗商品业务开展并筹备外汇业务，全方位推进FICC综合</w:t>
              </w:r>
              <w:r w:rsidRPr="007A75BD">
                <w:rPr>
                  <w:rFonts w:hint="eastAsia"/>
                  <w:szCs w:val="21"/>
                </w:rPr>
                <w:t>业务平台建设。2015上半年公司创新业务收入占比为13.</w:t>
              </w:r>
              <w:r w:rsidR="004529F8">
                <w:rPr>
                  <w:rFonts w:hint="eastAsia"/>
                  <w:szCs w:val="21"/>
                </w:rPr>
                <w:t>5</w:t>
              </w:r>
              <w:r w:rsidRPr="007A75BD">
                <w:rPr>
                  <w:rFonts w:hint="eastAsia"/>
                  <w:szCs w:val="21"/>
                </w:rPr>
                <w:t>%</w:t>
              </w:r>
              <w:r w:rsidR="005868D7" w:rsidRPr="00FF0B5C">
                <w:rPr>
                  <w:rFonts w:hint="eastAsia"/>
                  <w:szCs w:val="21"/>
                </w:rPr>
                <w:t>（创收达三年以上的不再计入创新业务）</w:t>
              </w:r>
              <w:r w:rsidRPr="007A75BD">
                <w:rPr>
                  <w:rFonts w:hint="eastAsia"/>
                  <w:szCs w:val="21"/>
                </w:rPr>
                <w:t>。</w:t>
              </w:r>
            </w:p>
          </w:sdtContent>
        </w:sdt>
      </w:sdtContent>
    </w:sdt>
    <w:p w:rsidR="00704CAD" w:rsidRDefault="00704CAD">
      <w:pPr>
        <w:rPr>
          <w:szCs w:val="21"/>
        </w:rPr>
      </w:pPr>
    </w:p>
    <w:sdt>
      <w:sdtPr>
        <w:rPr>
          <w:rFonts w:ascii="Calibri" w:hAnsi="Calibri" w:cs="宋体"/>
          <w:b w:val="0"/>
          <w:bCs w:val="0"/>
          <w:kern w:val="0"/>
          <w:sz w:val="24"/>
          <w:szCs w:val="21"/>
        </w:rPr>
        <w:alias w:val="主营业务分地区情况 "/>
        <w:tag w:val="_GBC_1f01412f41c54b909a41db1664f11533"/>
        <w:id w:val="24720262"/>
        <w:lock w:val="sdtLocked"/>
        <w:placeholder>
          <w:docPart w:val="GBC22222222222222222222222222222"/>
        </w:placeholder>
      </w:sdtPr>
      <w:sdtEndPr>
        <w:rPr>
          <w:rFonts w:ascii="宋体" w:hAnsi="宋体" w:hint="eastAsia"/>
          <w:sz w:val="21"/>
          <w:szCs w:val="24"/>
        </w:rPr>
      </w:sdtEndPr>
      <w:sdtContent>
        <w:p w:rsidR="00950CB7" w:rsidRDefault="00950CB7" w:rsidP="00950CB7">
          <w:pPr>
            <w:pStyle w:val="4"/>
            <w:numPr>
              <w:ilvl w:val="0"/>
              <w:numId w:val="9"/>
            </w:numPr>
            <w:ind w:hangingChars="175"/>
            <w:rPr>
              <w:szCs w:val="21"/>
            </w:rPr>
          </w:pPr>
          <w:r>
            <w:rPr>
              <w:szCs w:val="21"/>
            </w:rPr>
            <w:t>主营业务分地区情况</w:t>
          </w:r>
        </w:p>
        <w:p w:rsidR="00950CB7" w:rsidRDefault="00950CB7">
          <w:pPr>
            <w:jc w:val="right"/>
            <w:rPr>
              <w:szCs w:val="21"/>
            </w:rPr>
          </w:pPr>
          <w:r>
            <w:rPr>
              <w:rFonts w:hint="eastAsia"/>
              <w:szCs w:val="21"/>
            </w:rPr>
            <w:t>单位：</w:t>
          </w:r>
          <w:sdt>
            <w:sdtPr>
              <w:rPr>
                <w:rFonts w:hint="eastAsia"/>
                <w:szCs w:val="21"/>
              </w:rPr>
              <w:alias w:val="单位：主营业务分地区情况"/>
              <w:tag w:val="_GBC_1749278d5fa7489f8446ba1e6e41c917"/>
              <w:id w:val="121068454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亿元</w:t>
              </w:r>
            </w:sdtContent>
          </w:sdt>
          <w:r>
            <w:rPr>
              <w:rFonts w:hint="eastAsia"/>
              <w:szCs w:val="21"/>
            </w:rPr>
            <w:t xml:space="preserve">  币种：</w:t>
          </w:r>
          <w:sdt>
            <w:sdtPr>
              <w:rPr>
                <w:rFonts w:hint="eastAsia"/>
                <w:szCs w:val="21"/>
              </w:rPr>
              <w:alias w:val="币种：主营业务分地区情况"/>
              <w:tag w:val="_GBC_223d616f8a83467780e93cf422599071"/>
              <w:id w:val="12987282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3016"/>
            <w:gridCol w:w="3016"/>
            <w:gridCol w:w="3016"/>
          </w:tblGrid>
          <w:tr w:rsidR="00950CB7" w:rsidTr="00820151">
            <w:tc>
              <w:tcPr>
                <w:tcW w:w="3016" w:type="dxa"/>
              </w:tcPr>
              <w:p w:rsidR="00950CB7" w:rsidRPr="00950CB7" w:rsidRDefault="00950CB7">
                <w:pPr>
                  <w:jc w:val="center"/>
                  <w:rPr>
                    <w:b/>
                    <w:szCs w:val="21"/>
                  </w:rPr>
                </w:pPr>
                <w:r w:rsidRPr="00950CB7">
                  <w:rPr>
                    <w:rFonts w:hint="eastAsia"/>
                    <w:b/>
                    <w:szCs w:val="21"/>
                  </w:rPr>
                  <w:t>地区</w:t>
                </w:r>
              </w:p>
            </w:tc>
            <w:tc>
              <w:tcPr>
                <w:tcW w:w="3016" w:type="dxa"/>
              </w:tcPr>
              <w:p w:rsidR="00950CB7" w:rsidRPr="00950CB7" w:rsidRDefault="00950CB7">
                <w:pPr>
                  <w:jc w:val="center"/>
                  <w:rPr>
                    <w:b/>
                    <w:szCs w:val="21"/>
                  </w:rPr>
                </w:pPr>
                <w:r w:rsidRPr="00950CB7">
                  <w:rPr>
                    <w:rFonts w:hint="eastAsia"/>
                    <w:b/>
                    <w:szCs w:val="21"/>
                  </w:rPr>
                  <w:t>营业收入</w:t>
                </w:r>
              </w:p>
            </w:tc>
            <w:tc>
              <w:tcPr>
                <w:tcW w:w="3016" w:type="dxa"/>
              </w:tcPr>
              <w:p w:rsidR="00950CB7" w:rsidRPr="00950CB7" w:rsidRDefault="00950CB7">
                <w:pPr>
                  <w:jc w:val="center"/>
                  <w:rPr>
                    <w:b/>
                    <w:szCs w:val="21"/>
                  </w:rPr>
                </w:pPr>
                <w:r w:rsidRPr="00950CB7">
                  <w:rPr>
                    <w:b/>
                    <w:szCs w:val="21"/>
                  </w:rPr>
                  <w:t>营业收入比上年增减（</w:t>
                </w:r>
                <w:r w:rsidRPr="00950CB7">
                  <w:rPr>
                    <w:rFonts w:hint="eastAsia"/>
                    <w:b/>
                    <w:szCs w:val="21"/>
                  </w:rPr>
                  <w:t>%</w:t>
                </w:r>
                <w:r w:rsidRPr="00950CB7">
                  <w:rPr>
                    <w:b/>
                    <w:szCs w:val="21"/>
                  </w:rPr>
                  <w:t>）</w:t>
                </w:r>
              </w:p>
            </w:tc>
          </w:tr>
          <w:sdt>
            <w:sdtPr>
              <w:rPr>
                <w:rFonts w:hint="eastAsia"/>
                <w:szCs w:val="21"/>
              </w:rPr>
              <w:alias w:val="董事会报告出具的分地区主营业务"/>
              <w:tag w:val="_GBC_294a619a6d6f4f048020c14309042c47"/>
              <w:id w:val="1747087"/>
              <w:lock w:val="sdtLocked"/>
              <w:placeholder>
                <w:docPart w:val="4FF1D41669F8419D90F9CE5D8B5E34FE"/>
              </w:placeholder>
            </w:sdtPr>
            <w:sdtContent>
              <w:tr w:rsidR="00950CB7" w:rsidTr="00820151">
                <w:sdt>
                  <w:sdtPr>
                    <w:rPr>
                      <w:rFonts w:hint="eastAsia"/>
                      <w:szCs w:val="21"/>
                    </w:rPr>
                    <w:alias w:val="董事会报告出具的主营业务分地区名称"/>
                    <w:tag w:val="_GBC_60144df0675a4e998d139fc1dec14e40"/>
                    <w:id w:val="1747088"/>
                    <w:lock w:val="sdtLocked"/>
                  </w:sdtPr>
                  <w:sdtContent>
                    <w:tc>
                      <w:tcPr>
                        <w:tcW w:w="3016" w:type="dxa"/>
                      </w:tcPr>
                      <w:p w:rsidR="00950CB7" w:rsidRDefault="00950CB7" w:rsidP="00950CB7">
                        <w:pPr>
                          <w:jc w:val="center"/>
                          <w:rPr>
                            <w:szCs w:val="21"/>
                          </w:rPr>
                        </w:pPr>
                        <w:r>
                          <w:rPr>
                            <w:rFonts w:hint="eastAsia"/>
                            <w:szCs w:val="21"/>
                          </w:rPr>
                          <w:t>广东地区</w:t>
                        </w:r>
                      </w:p>
                    </w:tc>
                  </w:sdtContent>
                </w:sdt>
                <w:sdt>
                  <w:sdtPr>
                    <w:rPr>
                      <w:rFonts w:hint="eastAsia"/>
                      <w:szCs w:val="21"/>
                    </w:rPr>
                    <w:alias w:val="董事会报告出具的分地区主营业务收入"/>
                    <w:tag w:val="_GBC_f65c93455b6347e6a63569ee472e14e9"/>
                    <w:id w:val="1747094"/>
                    <w:lock w:val="sdtLocked"/>
                  </w:sdtPr>
                  <w:sdtContent>
                    <w:tc>
                      <w:tcPr>
                        <w:tcW w:w="3016" w:type="dxa"/>
                      </w:tcPr>
                      <w:p w:rsidR="00950CB7" w:rsidRDefault="00950CB7">
                        <w:pPr>
                          <w:jc w:val="right"/>
                          <w:rPr>
                            <w:szCs w:val="21"/>
                          </w:rPr>
                        </w:pPr>
                        <w:r>
                          <w:rPr>
                            <w:rFonts w:hint="eastAsia"/>
                            <w:szCs w:val="21"/>
                          </w:rPr>
                          <w:t>86.94</w:t>
                        </w:r>
                      </w:p>
                    </w:tc>
                  </w:sdtContent>
                </w:sdt>
                <w:sdt>
                  <w:sdtPr>
                    <w:rPr>
                      <w:rFonts w:hint="eastAsia"/>
                      <w:szCs w:val="21"/>
                    </w:rPr>
                    <w:alias w:val="董事会报告出具的分地区主营业务收入比上年增减"/>
                    <w:tag w:val="_GBC_670d0895fc474a58a28da491dfb5a77b"/>
                    <w:id w:val="1747102"/>
                    <w:lock w:val="sdtLocked"/>
                  </w:sdtPr>
                  <w:sdtContent>
                    <w:tc>
                      <w:tcPr>
                        <w:tcW w:w="3016" w:type="dxa"/>
                      </w:tcPr>
                      <w:p w:rsidR="00950CB7" w:rsidRDefault="00950CB7">
                        <w:pPr>
                          <w:jc w:val="right"/>
                          <w:rPr>
                            <w:szCs w:val="21"/>
                          </w:rPr>
                        </w:pPr>
                        <w:r>
                          <w:rPr>
                            <w:rFonts w:hint="eastAsia"/>
                            <w:szCs w:val="21"/>
                          </w:rPr>
                          <w:t>333.01</w:t>
                        </w:r>
                      </w:p>
                    </w:tc>
                  </w:sdtContent>
                </w:sdt>
              </w:tr>
            </w:sdtContent>
          </w:sdt>
          <w:sdt>
            <w:sdtPr>
              <w:rPr>
                <w:rFonts w:hint="eastAsia"/>
                <w:szCs w:val="21"/>
              </w:rPr>
              <w:alias w:val="董事会报告出具的分地区主营业务"/>
              <w:tag w:val="_GBC_294a619a6d6f4f048020c14309042c47"/>
              <w:id w:val="2607049"/>
              <w:lock w:val="sdtLocked"/>
              <w:placeholder>
                <w:docPart w:val="4FF1D41669F8419D90F9CE5D8B5E34FE"/>
              </w:placeholder>
            </w:sdtPr>
            <w:sdtContent>
              <w:tr w:rsidR="00950CB7" w:rsidTr="00820151">
                <w:sdt>
                  <w:sdtPr>
                    <w:rPr>
                      <w:rFonts w:hint="eastAsia"/>
                      <w:szCs w:val="21"/>
                    </w:rPr>
                    <w:alias w:val="董事会报告出具的主营业务分地区名称"/>
                    <w:tag w:val="_GBC_60144df0675a4e998d139fc1dec14e40"/>
                    <w:id w:val="2607046"/>
                    <w:lock w:val="sdtLocked"/>
                  </w:sdtPr>
                  <w:sdtContent>
                    <w:tc>
                      <w:tcPr>
                        <w:tcW w:w="3016" w:type="dxa"/>
                      </w:tcPr>
                      <w:p w:rsidR="00950CB7" w:rsidRDefault="00950CB7" w:rsidP="00950CB7">
                        <w:pPr>
                          <w:jc w:val="center"/>
                          <w:rPr>
                            <w:szCs w:val="21"/>
                          </w:rPr>
                        </w:pPr>
                        <w:r>
                          <w:rPr>
                            <w:rFonts w:hint="eastAsia"/>
                            <w:szCs w:val="21"/>
                          </w:rPr>
                          <w:t>上海地区</w:t>
                        </w:r>
                      </w:p>
                    </w:tc>
                  </w:sdtContent>
                </w:sdt>
                <w:sdt>
                  <w:sdtPr>
                    <w:rPr>
                      <w:rFonts w:hint="eastAsia"/>
                      <w:szCs w:val="21"/>
                    </w:rPr>
                    <w:alias w:val="董事会报告出具的分地区主营业务收入"/>
                    <w:tag w:val="_GBC_f65c93455b6347e6a63569ee472e14e9"/>
                    <w:id w:val="2607047"/>
                    <w:lock w:val="sdtLocked"/>
                  </w:sdtPr>
                  <w:sdtContent>
                    <w:tc>
                      <w:tcPr>
                        <w:tcW w:w="3016" w:type="dxa"/>
                      </w:tcPr>
                      <w:p w:rsidR="00950CB7" w:rsidRDefault="00950CB7">
                        <w:pPr>
                          <w:jc w:val="right"/>
                          <w:rPr>
                            <w:szCs w:val="21"/>
                          </w:rPr>
                        </w:pPr>
                        <w:r>
                          <w:rPr>
                            <w:rFonts w:hint="eastAsia"/>
                            <w:szCs w:val="21"/>
                          </w:rPr>
                          <w:t>12.05</w:t>
                        </w:r>
                      </w:p>
                    </w:tc>
                  </w:sdtContent>
                </w:sdt>
                <w:sdt>
                  <w:sdtPr>
                    <w:rPr>
                      <w:rFonts w:hint="eastAsia"/>
                      <w:szCs w:val="21"/>
                    </w:rPr>
                    <w:alias w:val="董事会报告出具的分地区主营业务收入比上年增减"/>
                    <w:tag w:val="_GBC_670d0895fc474a58a28da491dfb5a77b"/>
                    <w:id w:val="2607048"/>
                    <w:lock w:val="sdtLocked"/>
                  </w:sdtPr>
                  <w:sdtContent>
                    <w:tc>
                      <w:tcPr>
                        <w:tcW w:w="3016" w:type="dxa"/>
                      </w:tcPr>
                      <w:p w:rsidR="00950CB7" w:rsidRDefault="00950CB7">
                        <w:pPr>
                          <w:jc w:val="right"/>
                          <w:rPr>
                            <w:szCs w:val="21"/>
                          </w:rPr>
                        </w:pPr>
                        <w:r>
                          <w:rPr>
                            <w:rFonts w:hint="eastAsia"/>
                            <w:szCs w:val="21"/>
                          </w:rPr>
                          <w:t>377.28</w:t>
                        </w:r>
                      </w:p>
                    </w:tc>
                  </w:sdtContent>
                </w:sdt>
              </w:tr>
            </w:sdtContent>
          </w:sdt>
          <w:sdt>
            <w:sdtPr>
              <w:rPr>
                <w:rFonts w:hint="eastAsia"/>
                <w:szCs w:val="21"/>
              </w:rPr>
              <w:alias w:val="董事会报告出具的分地区主营业务"/>
              <w:tag w:val="_GBC_294a619a6d6f4f048020c14309042c47"/>
              <w:id w:val="2607053"/>
              <w:lock w:val="sdtLocked"/>
              <w:placeholder>
                <w:docPart w:val="4FF1D41669F8419D90F9CE5D8B5E34FE"/>
              </w:placeholder>
            </w:sdtPr>
            <w:sdtContent>
              <w:tr w:rsidR="00950CB7" w:rsidTr="00820151">
                <w:sdt>
                  <w:sdtPr>
                    <w:rPr>
                      <w:rFonts w:hint="eastAsia"/>
                      <w:szCs w:val="21"/>
                    </w:rPr>
                    <w:alias w:val="董事会报告出具的主营业务分地区名称"/>
                    <w:tag w:val="_GBC_60144df0675a4e998d139fc1dec14e40"/>
                    <w:id w:val="2607050"/>
                    <w:lock w:val="sdtLocked"/>
                  </w:sdtPr>
                  <w:sdtContent>
                    <w:tc>
                      <w:tcPr>
                        <w:tcW w:w="3016" w:type="dxa"/>
                      </w:tcPr>
                      <w:p w:rsidR="00950CB7" w:rsidRDefault="00950CB7" w:rsidP="00950CB7">
                        <w:pPr>
                          <w:jc w:val="center"/>
                          <w:rPr>
                            <w:szCs w:val="21"/>
                          </w:rPr>
                        </w:pPr>
                        <w:r>
                          <w:rPr>
                            <w:rFonts w:hint="eastAsia"/>
                            <w:szCs w:val="21"/>
                          </w:rPr>
                          <w:t>北京地区</w:t>
                        </w:r>
                      </w:p>
                    </w:tc>
                  </w:sdtContent>
                </w:sdt>
                <w:sdt>
                  <w:sdtPr>
                    <w:rPr>
                      <w:rFonts w:hint="eastAsia"/>
                      <w:szCs w:val="21"/>
                    </w:rPr>
                    <w:alias w:val="董事会报告出具的分地区主营业务收入"/>
                    <w:tag w:val="_GBC_f65c93455b6347e6a63569ee472e14e9"/>
                    <w:id w:val="2607051"/>
                    <w:lock w:val="sdtLocked"/>
                  </w:sdtPr>
                  <w:sdtContent>
                    <w:tc>
                      <w:tcPr>
                        <w:tcW w:w="3016" w:type="dxa"/>
                      </w:tcPr>
                      <w:p w:rsidR="00950CB7" w:rsidRDefault="00950CB7">
                        <w:pPr>
                          <w:jc w:val="right"/>
                          <w:rPr>
                            <w:szCs w:val="21"/>
                          </w:rPr>
                        </w:pPr>
                        <w:r>
                          <w:rPr>
                            <w:rFonts w:hint="eastAsia"/>
                            <w:szCs w:val="21"/>
                          </w:rPr>
                          <w:t>22.63</w:t>
                        </w:r>
                      </w:p>
                    </w:tc>
                  </w:sdtContent>
                </w:sdt>
                <w:sdt>
                  <w:sdtPr>
                    <w:rPr>
                      <w:rFonts w:hint="eastAsia"/>
                      <w:szCs w:val="21"/>
                    </w:rPr>
                    <w:alias w:val="董事会报告出具的分地区主营业务收入比上年增减"/>
                    <w:tag w:val="_GBC_670d0895fc474a58a28da491dfb5a77b"/>
                    <w:id w:val="2607052"/>
                    <w:lock w:val="sdtLocked"/>
                  </w:sdtPr>
                  <w:sdtContent>
                    <w:tc>
                      <w:tcPr>
                        <w:tcW w:w="3016" w:type="dxa"/>
                      </w:tcPr>
                      <w:p w:rsidR="00950CB7" w:rsidRDefault="00950CB7">
                        <w:pPr>
                          <w:jc w:val="right"/>
                          <w:rPr>
                            <w:szCs w:val="21"/>
                          </w:rPr>
                        </w:pPr>
                        <w:r>
                          <w:rPr>
                            <w:rFonts w:hint="eastAsia"/>
                            <w:szCs w:val="21"/>
                          </w:rPr>
                          <w:t>367.70</w:t>
                        </w:r>
                      </w:p>
                    </w:tc>
                  </w:sdtContent>
                </w:sdt>
              </w:tr>
            </w:sdtContent>
          </w:sdt>
          <w:sdt>
            <w:sdtPr>
              <w:rPr>
                <w:rFonts w:hint="eastAsia"/>
                <w:szCs w:val="21"/>
              </w:rPr>
              <w:alias w:val="董事会报告出具的分地区主营业务"/>
              <w:tag w:val="_GBC_294a619a6d6f4f048020c14309042c47"/>
              <w:id w:val="2607057"/>
              <w:lock w:val="sdtLocked"/>
              <w:placeholder>
                <w:docPart w:val="4FF1D41669F8419D90F9CE5D8B5E34FE"/>
              </w:placeholder>
            </w:sdtPr>
            <w:sdtContent>
              <w:tr w:rsidR="00950CB7" w:rsidTr="00820151">
                <w:sdt>
                  <w:sdtPr>
                    <w:rPr>
                      <w:rFonts w:hint="eastAsia"/>
                      <w:szCs w:val="21"/>
                    </w:rPr>
                    <w:alias w:val="董事会报告出具的主营业务分地区名称"/>
                    <w:tag w:val="_GBC_60144df0675a4e998d139fc1dec14e40"/>
                    <w:id w:val="2607054"/>
                    <w:lock w:val="sdtLocked"/>
                  </w:sdtPr>
                  <w:sdtContent>
                    <w:tc>
                      <w:tcPr>
                        <w:tcW w:w="3016" w:type="dxa"/>
                      </w:tcPr>
                      <w:p w:rsidR="00950CB7" w:rsidRDefault="00950CB7" w:rsidP="00950CB7">
                        <w:pPr>
                          <w:jc w:val="center"/>
                          <w:rPr>
                            <w:szCs w:val="21"/>
                          </w:rPr>
                        </w:pPr>
                        <w:r>
                          <w:rPr>
                            <w:rFonts w:hint="eastAsia"/>
                            <w:szCs w:val="21"/>
                          </w:rPr>
                          <w:t>香港地区</w:t>
                        </w:r>
                      </w:p>
                    </w:tc>
                  </w:sdtContent>
                </w:sdt>
                <w:sdt>
                  <w:sdtPr>
                    <w:rPr>
                      <w:rFonts w:hint="eastAsia"/>
                      <w:szCs w:val="21"/>
                    </w:rPr>
                    <w:alias w:val="董事会报告出具的分地区主营业务收入"/>
                    <w:tag w:val="_GBC_f65c93455b6347e6a63569ee472e14e9"/>
                    <w:id w:val="2607055"/>
                    <w:lock w:val="sdtLocked"/>
                  </w:sdtPr>
                  <w:sdtContent>
                    <w:tc>
                      <w:tcPr>
                        <w:tcW w:w="3016" w:type="dxa"/>
                      </w:tcPr>
                      <w:p w:rsidR="00950CB7" w:rsidRDefault="00950CB7">
                        <w:pPr>
                          <w:jc w:val="right"/>
                          <w:rPr>
                            <w:szCs w:val="21"/>
                          </w:rPr>
                        </w:pPr>
                        <w:r>
                          <w:rPr>
                            <w:rFonts w:hint="eastAsia"/>
                            <w:szCs w:val="21"/>
                          </w:rPr>
                          <w:t>6.51</w:t>
                        </w:r>
                      </w:p>
                    </w:tc>
                  </w:sdtContent>
                </w:sdt>
                <w:sdt>
                  <w:sdtPr>
                    <w:rPr>
                      <w:rFonts w:hint="eastAsia"/>
                      <w:szCs w:val="21"/>
                    </w:rPr>
                    <w:alias w:val="董事会报告出具的分地区主营业务收入比上年增减"/>
                    <w:tag w:val="_GBC_670d0895fc474a58a28da491dfb5a77b"/>
                    <w:id w:val="2607056"/>
                    <w:lock w:val="sdtLocked"/>
                  </w:sdtPr>
                  <w:sdtContent>
                    <w:tc>
                      <w:tcPr>
                        <w:tcW w:w="3016" w:type="dxa"/>
                      </w:tcPr>
                      <w:p w:rsidR="00950CB7" w:rsidRDefault="00950CB7">
                        <w:pPr>
                          <w:jc w:val="right"/>
                          <w:rPr>
                            <w:szCs w:val="21"/>
                          </w:rPr>
                        </w:pPr>
                        <w:r>
                          <w:rPr>
                            <w:rFonts w:hint="eastAsia"/>
                            <w:szCs w:val="21"/>
                          </w:rPr>
                          <w:t>184.14</w:t>
                        </w:r>
                      </w:p>
                    </w:tc>
                  </w:sdtContent>
                </w:sdt>
              </w:tr>
            </w:sdtContent>
          </w:sdt>
          <w:sdt>
            <w:sdtPr>
              <w:rPr>
                <w:rFonts w:hint="eastAsia"/>
                <w:szCs w:val="21"/>
              </w:rPr>
              <w:alias w:val="董事会报告出具的分地区主营业务"/>
              <w:tag w:val="_GBC_294a619a6d6f4f048020c14309042c47"/>
              <w:id w:val="2607061"/>
              <w:lock w:val="sdtLocked"/>
              <w:placeholder>
                <w:docPart w:val="4FF1D41669F8419D90F9CE5D8B5E34FE"/>
              </w:placeholder>
            </w:sdtPr>
            <w:sdtContent>
              <w:tr w:rsidR="00950CB7" w:rsidTr="00820151">
                <w:sdt>
                  <w:sdtPr>
                    <w:rPr>
                      <w:rFonts w:hint="eastAsia"/>
                      <w:szCs w:val="21"/>
                    </w:rPr>
                    <w:alias w:val="董事会报告出具的主营业务分地区名称"/>
                    <w:tag w:val="_GBC_60144df0675a4e998d139fc1dec14e40"/>
                    <w:id w:val="2607058"/>
                    <w:lock w:val="sdtLocked"/>
                  </w:sdtPr>
                  <w:sdtContent>
                    <w:tc>
                      <w:tcPr>
                        <w:tcW w:w="3016" w:type="dxa"/>
                      </w:tcPr>
                      <w:p w:rsidR="00950CB7" w:rsidRDefault="00950CB7" w:rsidP="00950CB7">
                        <w:pPr>
                          <w:jc w:val="center"/>
                          <w:rPr>
                            <w:szCs w:val="21"/>
                          </w:rPr>
                        </w:pPr>
                        <w:r>
                          <w:rPr>
                            <w:rFonts w:hint="eastAsia"/>
                            <w:szCs w:val="21"/>
                          </w:rPr>
                          <w:t>其他地区</w:t>
                        </w:r>
                      </w:p>
                    </w:tc>
                  </w:sdtContent>
                </w:sdt>
                <w:sdt>
                  <w:sdtPr>
                    <w:rPr>
                      <w:rFonts w:hint="eastAsia"/>
                      <w:szCs w:val="21"/>
                    </w:rPr>
                    <w:alias w:val="董事会报告出具的分地区主营业务收入"/>
                    <w:tag w:val="_GBC_f65c93455b6347e6a63569ee472e14e9"/>
                    <w:id w:val="2607059"/>
                    <w:lock w:val="sdtLocked"/>
                  </w:sdtPr>
                  <w:sdtContent>
                    <w:tc>
                      <w:tcPr>
                        <w:tcW w:w="3016" w:type="dxa"/>
                      </w:tcPr>
                      <w:p w:rsidR="00950CB7" w:rsidRDefault="00950CB7">
                        <w:pPr>
                          <w:jc w:val="right"/>
                          <w:rPr>
                            <w:szCs w:val="21"/>
                          </w:rPr>
                        </w:pPr>
                        <w:r>
                          <w:rPr>
                            <w:rFonts w:hint="eastAsia"/>
                            <w:szCs w:val="21"/>
                          </w:rPr>
                          <w:t>30.5</w:t>
                        </w:r>
                      </w:p>
                    </w:tc>
                  </w:sdtContent>
                </w:sdt>
                <w:sdt>
                  <w:sdtPr>
                    <w:rPr>
                      <w:rFonts w:hint="eastAsia"/>
                      <w:szCs w:val="21"/>
                    </w:rPr>
                    <w:alias w:val="董事会报告出具的分地区主营业务收入比上年增减"/>
                    <w:tag w:val="_GBC_670d0895fc474a58a28da491dfb5a77b"/>
                    <w:id w:val="2607060"/>
                    <w:lock w:val="sdtLocked"/>
                  </w:sdtPr>
                  <w:sdtContent>
                    <w:tc>
                      <w:tcPr>
                        <w:tcW w:w="3016" w:type="dxa"/>
                      </w:tcPr>
                      <w:p w:rsidR="00950CB7" w:rsidRDefault="00950CB7">
                        <w:pPr>
                          <w:jc w:val="right"/>
                          <w:rPr>
                            <w:szCs w:val="21"/>
                          </w:rPr>
                        </w:pPr>
                        <w:r>
                          <w:rPr>
                            <w:rFonts w:hint="eastAsia"/>
                            <w:szCs w:val="21"/>
                          </w:rPr>
                          <w:t>384.06</w:t>
                        </w:r>
                      </w:p>
                    </w:tc>
                  </w:sdtContent>
                </w:sdt>
              </w:tr>
            </w:sdtContent>
          </w:sdt>
          <w:sdt>
            <w:sdtPr>
              <w:rPr>
                <w:rFonts w:hint="eastAsia"/>
                <w:szCs w:val="21"/>
              </w:rPr>
              <w:alias w:val="董事会报告出具的分地区主营业务"/>
              <w:tag w:val="_GBC_294a619a6d6f4f048020c14309042c47"/>
              <w:id w:val="2607065"/>
              <w:lock w:val="sdtLocked"/>
              <w:placeholder>
                <w:docPart w:val="4FF1D41669F8419D90F9CE5D8B5E34FE"/>
              </w:placeholder>
            </w:sdtPr>
            <w:sdtContent>
              <w:tr w:rsidR="00950CB7" w:rsidTr="00820151">
                <w:sdt>
                  <w:sdtPr>
                    <w:rPr>
                      <w:rFonts w:hint="eastAsia"/>
                      <w:szCs w:val="21"/>
                    </w:rPr>
                    <w:alias w:val="董事会报告出具的主营业务分地区名称"/>
                    <w:tag w:val="_GBC_60144df0675a4e998d139fc1dec14e40"/>
                    <w:id w:val="2607062"/>
                    <w:lock w:val="sdtLocked"/>
                  </w:sdtPr>
                  <w:sdtContent>
                    <w:tc>
                      <w:tcPr>
                        <w:tcW w:w="3016" w:type="dxa"/>
                      </w:tcPr>
                      <w:p w:rsidR="00950CB7" w:rsidRDefault="00950CB7" w:rsidP="00950CB7">
                        <w:pPr>
                          <w:jc w:val="center"/>
                          <w:rPr>
                            <w:szCs w:val="21"/>
                          </w:rPr>
                        </w:pPr>
                        <w:r>
                          <w:rPr>
                            <w:rFonts w:hint="eastAsia"/>
                            <w:szCs w:val="21"/>
                          </w:rPr>
                          <w:t>合计</w:t>
                        </w:r>
                      </w:p>
                    </w:tc>
                  </w:sdtContent>
                </w:sdt>
                <w:sdt>
                  <w:sdtPr>
                    <w:rPr>
                      <w:rFonts w:hint="eastAsia"/>
                      <w:szCs w:val="21"/>
                    </w:rPr>
                    <w:alias w:val="董事会报告出具的分地区主营业务收入"/>
                    <w:tag w:val="_GBC_f65c93455b6347e6a63569ee472e14e9"/>
                    <w:id w:val="2607063"/>
                    <w:lock w:val="sdtLocked"/>
                  </w:sdtPr>
                  <w:sdtContent>
                    <w:tc>
                      <w:tcPr>
                        <w:tcW w:w="3016" w:type="dxa"/>
                      </w:tcPr>
                      <w:p w:rsidR="00950CB7" w:rsidRDefault="00950CB7">
                        <w:pPr>
                          <w:jc w:val="right"/>
                          <w:rPr>
                            <w:szCs w:val="21"/>
                          </w:rPr>
                        </w:pPr>
                        <w:r>
                          <w:rPr>
                            <w:rFonts w:hint="eastAsia"/>
                            <w:szCs w:val="21"/>
                          </w:rPr>
                          <w:t>158.63</w:t>
                        </w:r>
                      </w:p>
                    </w:tc>
                  </w:sdtContent>
                </w:sdt>
                <w:sdt>
                  <w:sdtPr>
                    <w:rPr>
                      <w:rFonts w:hint="eastAsia"/>
                      <w:szCs w:val="21"/>
                    </w:rPr>
                    <w:alias w:val="董事会报告出具的分地区主营业务收入比上年增减"/>
                    <w:tag w:val="_GBC_670d0895fc474a58a28da491dfb5a77b"/>
                    <w:id w:val="2607064"/>
                    <w:lock w:val="sdtLocked"/>
                  </w:sdtPr>
                  <w:sdtContent>
                    <w:tc>
                      <w:tcPr>
                        <w:tcW w:w="3016" w:type="dxa"/>
                      </w:tcPr>
                      <w:p w:rsidR="00950CB7" w:rsidRDefault="00950CB7">
                        <w:pPr>
                          <w:jc w:val="right"/>
                          <w:rPr>
                            <w:szCs w:val="21"/>
                          </w:rPr>
                        </w:pPr>
                        <w:r>
                          <w:rPr>
                            <w:rFonts w:hint="eastAsia"/>
                            <w:szCs w:val="21"/>
                          </w:rPr>
                          <w:t>340.24</w:t>
                        </w:r>
                      </w:p>
                    </w:tc>
                  </w:sdtContent>
                </w:sdt>
              </w:tr>
            </w:sdtContent>
          </w:sdt>
        </w:tbl>
        <w:p w:rsidR="00D0436F" w:rsidRPr="00950CB7" w:rsidRDefault="00422DCA" w:rsidP="00950CB7"/>
      </w:sdtContent>
    </w:sdt>
    <w:sdt>
      <w:sdtPr>
        <w:rPr>
          <w:rFonts w:ascii="宋体" w:hAnsi="宋体" w:cs="宋体"/>
          <w:b w:val="0"/>
          <w:bCs w:val="0"/>
          <w:kern w:val="0"/>
          <w:sz w:val="24"/>
          <w:szCs w:val="21"/>
        </w:rPr>
        <w:tag w:val="_GBC_633cdaa4360f45ea9b77efabd4a8f753"/>
        <w:id w:val="24720264"/>
        <w:lock w:val="sdtLocked"/>
        <w:placeholder>
          <w:docPart w:val="GBC22222222222222222222222222222"/>
        </w:placeholder>
      </w:sdtPr>
      <w:sdtEndPr>
        <w:rPr>
          <w:rFonts w:hint="eastAsia"/>
          <w:sz w:val="21"/>
        </w:rPr>
      </w:sdtEndPr>
      <w:sdtContent>
        <w:p w:rsidR="00704CAD" w:rsidRDefault="00720895" w:rsidP="001C1A59">
          <w:pPr>
            <w:pStyle w:val="3"/>
            <w:numPr>
              <w:ilvl w:val="0"/>
              <w:numId w:val="7"/>
            </w:numPr>
            <w:rPr>
              <w:szCs w:val="21"/>
            </w:rPr>
          </w:pPr>
          <w:r>
            <w:rPr>
              <w:szCs w:val="21"/>
            </w:rPr>
            <w:t>核心竞争力分析</w:t>
          </w:r>
        </w:p>
        <w:sdt>
          <w:sdtPr>
            <w:rPr>
              <w:rFonts w:hint="eastAsia"/>
              <w:szCs w:val="21"/>
            </w:rPr>
            <w:alias w:val="核心竞争力分析"/>
            <w:tag w:val="_GBC_ad7b18474be140dc9df77bf237f9c72f"/>
            <w:id w:val="24720263"/>
            <w:lock w:val="sdtLocked"/>
            <w:placeholder>
              <w:docPart w:val="GBC22222222222222222222222222222"/>
            </w:placeholder>
          </w:sdtPr>
          <w:sdtContent>
            <w:p w:rsidR="005E37C3" w:rsidRPr="005E37C3" w:rsidRDefault="005E37C3" w:rsidP="005E37C3">
              <w:pPr>
                <w:spacing w:line="360" w:lineRule="auto"/>
                <w:ind w:firstLine="482"/>
                <w:rPr>
                  <w:szCs w:val="21"/>
                </w:rPr>
              </w:pPr>
              <w:r>
                <w:rPr>
                  <w:rFonts w:hint="eastAsia"/>
                  <w:b/>
                  <w:bCs/>
                  <w:sz w:val="24"/>
                  <w:szCs w:val="20"/>
                </w:rPr>
                <w:t>1、</w:t>
              </w:r>
              <w:r w:rsidRPr="005E37C3">
                <w:rPr>
                  <w:rFonts w:hint="eastAsia"/>
                  <w:b/>
                  <w:bCs/>
                  <w:szCs w:val="21"/>
                </w:rPr>
                <w:t>持续领先的创新能力</w:t>
              </w:r>
            </w:p>
            <w:p w:rsidR="005E37C3" w:rsidRPr="005E37C3" w:rsidRDefault="00473D18" w:rsidP="005E37C3">
              <w:pPr>
                <w:spacing w:line="360" w:lineRule="auto"/>
                <w:ind w:firstLine="482"/>
                <w:rPr>
                  <w:szCs w:val="21"/>
                </w:rPr>
              </w:pPr>
              <w:r>
                <w:rPr>
                  <w:rFonts w:hint="eastAsia"/>
                  <w:szCs w:val="21"/>
                </w:rPr>
                <w:lastRenderedPageBreak/>
                <w:t>公司</w:t>
              </w:r>
              <w:r w:rsidR="005E37C3" w:rsidRPr="005E37C3">
                <w:rPr>
                  <w:rFonts w:hint="eastAsia"/>
                  <w:szCs w:val="21"/>
                </w:rPr>
                <w:t>是2004年最早获得创新试点资格的证券公司之一。公司长期将创新领先作为重要的战略导向，坚持不懈地以创新求发展。公司凭借领先的综合实力、雄厚的资金实力和优秀的风控能力，在多项业务领域稳居新业务试点的第一梯队。</w:t>
              </w:r>
            </w:p>
            <w:p w:rsidR="005E37C3" w:rsidRPr="005E37C3" w:rsidRDefault="005E37C3" w:rsidP="005E37C3">
              <w:pPr>
                <w:spacing w:line="360" w:lineRule="auto"/>
                <w:ind w:firstLine="482"/>
                <w:rPr>
                  <w:szCs w:val="21"/>
                </w:rPr>
              </w:pPr>
              <w:r>
                <w:rPr>
                  <w:rFonts w:hint="eastAsia"/>
                  <w:b/>
                  <w:bCs/>
                  <w:szCs w:val="21"/>
                </w:rPr>
                <w:t>2、</w:t>
              </w:r>
              <w:r w:rsidRPr="005E37C3">
                <w:rPr>
                  <w:rFonts w:hint="eastAsia"/>
                  <w:b/>
                  <w:bCs/>
                  <w:szCs w:val="21"/>
                </w:rPr>
                <w:t>全功能、全产业链的现代投行服务体系和优秀的海外业务服务能力</w:t>
              </w:r>
            </w:p>
            <w:p w:rsidR="005E37C3" w:rsidRPr="005E37C3" w:rsidRDefault="005E37C3" w:rsidP="005E37C3">
              <w:pPr>
                <w:spacing w:line="360" w:lineRule="auto"/>
                <w:ind w:firstLine="482"/>
                <w:rPr>
                  <w:szCs w:val="21"/>
                </w:rPr>
              </w:pPr>
              <w:r w:rsidRPr="005E37C3">
                <w:rPr>
                  <w:rFonts w:hint="eastAsia"/>
                  <w:szCs w:val="21"/>
                </w:rPr>
                <w:t>近年来，</w:t>
              </w:r>
              <w:r w:rsidR="00D97C82">
                <w:rPr>
                  <w:rFonts w:hint="eastAsia"/>
                  <w:szCs w:val="21"/>
                </w:rPr>
                <w:t>公司</w:t>
              </w:r>
              <w:r w:rsidRPr="005E37C3">
                <w:rPr>
                  <w:rFonts w:hint="eastAsia"/>
                  <w:szCs w:val="21"/>
                </w:rPr>
                <w:t>持续完善和加强业务平台建设。公司业务从以股为主发展到股债并重，从场内市场发展到场外市场，从基础产品发展到衍生产品。围绕服务企业、机构、私人三大类客户，公司构建起了投资银行、固定收益、机构业务、托管与服务外包、场外市场、国际业务、环球商品、直接投资、</w:t>
              </w:r>
              <w:r w:rsidRPr="00652D4E">
                <w:rPr>
                  <w:rFonts w:hint="eastAsia"/>
                  <w:szCs w:val="21"/>
                </w:rPr>
                <w:t>财富管理</w:t>
              </w:r>
              <w:r w:rsidRPr="005E37C3">
                <w:rPr>
                  <w:rFonts w:hint="eastAsia"/>
                  <w:szCs w:val="21"/>
                </w:rPr>
                <w:t>、</w:t>
              </w:r>
              <w:r w:rsidR="00652D4E">
                <w:rPr>
                  <w:rFonts w:hint="eastAsia"/>
                  <w:szCs w:val="21"/>
                </w:rPr>
                <w:t>经纪业务、</w:t>
              </w:r>
              <w:r w:rsidRPr="005E37C3">
                <w:rPr>
                  <w:rFonts w:hint="eastAsia"/>
                  <w:szCs w:val="21"/>
                </w:rPr>
                <w:t>资产管理、期货业务等业务平台，初步建成全功能、全产业链的现代投资银行服务平台。</w:t>
              </w:r>
            </w:p>
            <w:p w:rsidR="005E37C3" w:rsidRPr="005E37C3" w:rsidRDefault="005E37C3" w:rsidP="005E37C3">
              <w:pPr>
                <w:spacing w:line="360" w:lineRule="auto"/>
                <w:ind w:firstLine="482"/>
                <w:rPr>
                  <w:szCs w:val="21"/>
                </w:rPr>
              </w:pPr>
              <w:r w:rsidRPr="005E37C3">
                <w:rPr>
                  <w:rFonts w:hint="eastAsia"/>
                  <w:szCs w:val="21"/>
                </w:rPr>
                <w:t>公司的海外业务发展迅速，目前已拥有能提供一站式多元化多方位服务的全功能境外业务平台。招证</w:t>
              </w:r>
              <w:r w:rsidR="009C3F3A">
                <w:rPr>
                  <w:rFonts w:hint="eastAsia"/>
                  <w:szCs w:val="21"/>
                </w:rPr>
                <w:t>国际</w:t>
              </w:r>
              <w:r w:rsidRPr="005E37C3">
                <w:rPr>
                  <w:rFonts w:hint="eastAsia"/>
                  <w:szCs w:val="21"/>
                </w:rPr>
                <w:t>以其迅猛的发展及优秀的业务能力，在香港资本市场独树一帜并名列前茅。通过境内外双业务平台联动，把握跨境投融资及人民币国际化的发展契机，</w:t>
              </w:r>
              <w:r w:rsidR="009C3F3A">
                <w:rPr>
                  <w:rFonts w:hint="eastAsia"/>
                  <w:szCs w:val="21"/>
                </w:rPr>
                <w:t>公司</w:t>
              </w:r>
              <w:r w:rsidRPr="005E37C3">
                <w:rPr>
                  <w:rFonts w:hint="eastAsia"/>
                  <w:szCs w:val="21"/>
                </w:rPr>
                <w:t>为客户提供了境内外全方位高品质的投行业务服务。</w:t>
              </w:r>
            </w:p>
            <w:p w:rsidR="005E37C3" w:rsidRPr="005E37C3" w:rsidRDefault="005E37C3" w:rsidP="005E37C3">
              <w:pPr>
                <w:spacing w:line="360" w:lineRule="auto"/>
                <w:ind w:firstLine="482"/>
                <w:rPr>
                  <w:szCs w:val="21"/>
                </w:rPr>
              </w:pPr>
              <w:r>
                <w:rPr>
                  <w:rFonts w:hint="eastAsia"/>
                  <w:b/>
                  <w:bCs/>
                  <w:szCs w:val="21"/>
                </w:rPr>
                <w:t>3、</w:t>
              </w:r>
              <w:r w:rsidRPr="005E37C3">
                <w:rPr>
                  <w:rFonts w:hint="eastAsia"/>
                  <w:b/>
                  <w:bCs/>
                  <w:szCs w:val="21"/>
                </w:rPr>
                <w:t>较强的战略管理能力</w:t>
              </w:r>
            </w:p>
            <w:p w:rsidR="005E37C3" w:rsidRPr="005E37C3" w:rsidRDefault="005E37C3" w:rsidP="005E37C3">
              <w:pPr>
                <w:spacing w:line="360" w:lineRule="auto"/>
                <w:ind w:firstLine="482"/>
                <w:rPr>
                  <w:szCs w:val="21"/>
                </w:rPr>
              </w:pPr>
              <w:r w:rsidRPr="005E37C3">
                <w:rPr>
                  <w:rFonts w:hint="eastAsia"/>
                  <w:szCs w:val="21"/>
                </w:rPr>
                <w:t>公司强化战略导向，明确了“以卓越的金融服务创造价值”的企业使命和“打造中国最佳投资银行”的发展愿景，建立并持续完善战略规划、战略执行与激励约束相结合的战略执行运行机制，为公司战略的有效执行落地提供有力保障。</w:t>
              </w:r>
            </w:p>
            <w:p w:rsidR="005E37C3" w:rsidRPr="005E37C3" w:rsidRDefault="005E37C3" w:rsidP="005E37C3">
              <w:pPr>
                <w:spacing w:line="360" w:lineRule="auto"/>
                <w:ind w:firstLine="482"/>
                <w:rPr>
                  <w:szCs w:val="21"/>
                </w:rPr>
              </w:pPr>
              <w:r>
                <w:rPr>
                  <w:rFonts w:hint="eastAsia"/>
                  <w:b/>
                  <w:bCs/>
                  <w:szCs w:val="21"/>
                </w:rPr>
                <w:t>4、</w:t>
              </w:r>
              <w:r w:rsidRPr="005E37C3">
                <w:rPr>
                  <w:rFonts w:hint="eastAsia"/>
                  <w:b/>
                  <w:bCs/>
                  <w:szCs w:val="21"/>
                </w:rPr>
                <w:t>审慎、主动的风险管理和内部控制</w:t>
              </w:r>
            </w:p>
            <w:p w:rsidR="005E37C3" w:rsidRPr="005E37C3" w:rsidRDefault="005E37C3" w:rsidP="005E37C3">
              <w:pPr>
                <w:spacing w:line="360" w:lineRule="auto"/>
                <w:ind w:firstLine="482"/>
                <w:rPr>
                  <w:szCs w:val="21"/>
                </w:rPr>
              </w:pPr>
              <w:r w:rsidRPr="005E37C3">
                <w:rPr>
                  <w:rFonts w:hint="eastAsia"/>
                  <w:szCs w:val="21"/>
                </w:rPr>
                <w:t>多年来，公司在稳健经营理念指导下，不断完善风险管理和内部控制</w:t>
              </w:r>
              <w:r w:rsidR="00CA4F33">
                <w:rPr>
                  <w:rFonts w:hint="eastAsia"/>
                  <w:szCs w:val="21"/>
                </w:rPr>
                <w:t>体系</w:t>
              </w:r>
              <w:r w:rsidRPr="005E37C3">
                <w:rPr>
                  <w:rFonts w:hint="eastAsia"/>
                  <w:szCs w:val="21"/>
                </w:rPr>
                <w:t>，持续引进先进的风险管理理念和方法，在各业务线、各部门建立全员风险管理意识。目前，公司已形成审慎、主动的风险管理意识和文化，风险管理能力持续提升。健全有效、主动和快速反应的风险管理体系和内部控制机制保证了公司业务记录、财务信息和其他信息的可靠、完整、及时，有效防范和化解了各类风险，保障了客户及公司资产的安全、完整，提高了公司经营效率。公司连续</w:t>
              </w:r>
              <w:r w:rsidR="00473D18">
                <w:rPr>
                  <w:rFonts w:hint="eastAsia"/>
                  <w:szCs w:val="21"/>
                </w:rPr>
                <w:t>八</w:t>
              </w:r>
              <w:r w:rsidRPr="005E37C3">
                <w:rPr>
                  <w:rFonts w:hint="eastAsia"/>
                  <w:szCs w:val="21"/>
                </w:rPr>
                <w:t>年获得中国证监会A类AA级评级券商。</w:t>
              </w:r>
            </w:p>
            <w:p w:rsidR="005E37C3" w:rsidRPr="005E37C3" w:rsidRDefault="005E37C3" w:rsidP="005E37C3">
              <w:pPr>
                <w:spacing w:line="360" w:lineRule="auto"/>
                <w:ind w:firstLine="482"/>
                <w:rPr>
                  <w:szCs w:val="21"/>
                </w:rPr>
              </w:pPr>
              <w:r>
                <w:rPr>
                  <w:rFonts w:hint="eastAsia"/>
                  <w:b/>
                  <w:bCs/>
                  <w:szCs w:val="21"/>
                </w:rPr>
                <w:t>5、</w:t>
              </w:r>
              <w:r w:rsidRPr="005E37C3">
                <w:rPr>
                  <w:rFonts w:hint="eastAsia"/>
                  <w:b/>
                  <w:bCs/>
                  <w:szCs w:val="21"/>
                </w:rPr>
                <w:t>有效的公司治理和经验丰富的管理团队</w:t>
              </w:r>
            </w:p>
            <w:p w:rsidR="005E37C3" w:rsidRPr="005E37C3" w:rsidRDefault="005E37C3" w:rsidP="005E37C3">
              <w:pPr>
                <w:spacing w:line="360" w:lineRule="auto"/>
                <w:ind w:firstLine="482"/>
                <w:rPr>
                  <w:szCs w:val="21"/>
                </w:rPr>
              </w:pPr>
              <w:r w:rsidRPr="005E37C3">
                <w:rPr>
                  <w:rFonts w:hint="eastAsia"/>
                  <w:szCs w:val="21"/>
                </w:rPr>
                <w:t>公司按照现代企业制度，建立起完善、规范、合理的法人治理架</w:t>
              </w:r>
              <w:r w:rsidR="00042154" w:rsidRPr="005E37C3">
                <w:rPr>
                  <w:rFonts w:hint="eastAsia"/>
                  <w:szCs w:val="21"/>
                </w:rPr>
                <w:t>构</w:t>
              </w:r>
              <w:r w:rsidR="00042154">
                <w:rPr>
                  <w:rFonts w:hint="eastAsia"/>
                  <w:szCs w:val="21"/>
                </w:rPr>
                <w:t>。公司</w:t>
              </w:r>
              <w:r w:rsidRPr="005E37C3">
                <w:rPr>
                  <w:rFonts w:hint="eastAsia"/>
                  <w:szCs w:val="21"/>
                </w:rPr>
                <w:t>股东大会、董事会、监事会和经营管理层相互分离、相互制衡，分别在各自的职责、权限范围内各司其职、各负其责，确保了公司的规范运作和科学决策。</w:t>
              </w:r>
            </w:p>
            <w:p w:rsidR="00A63C4A" w:rsidRDefault="005E37C3" w:rsidP="005E37C3">
              <w:pPr>
                <w:spacing w:line="360" w:lineRule="auto"/>
                <w:ind w:firstLine="482"/>
                <w:rPr>
                  <w:szCs w:val="21"/>
                </w:rPr>
              </w:pPr>
              <w:r w:rsidRPr="005E37C3">
                <w:rPr>
                  <w:rFonts w:hint="eastAsia"/>
                  <w:szCs w:val="21"/>
                </w:rPr>
                <w:t>公司经营管理层对中国宏观经济形势、中国证券行业发展有深入理解，管理团队在战略管理、业务运营、风险管理等方面拥</w:t>
              </w:r>
              <w:r w:rsidR="00945FB3">
                <w:rPr>
                  <w:rFonts w:hint="eastAsia"/>
                  <w:szCs w:val="21"/>
                </w:rPr>
                <w:t>有丰富经验，具备优秀的团队领导力，能够充分激发员工的战斗力，以</w:t>
              </w:r>
              <w:r w:rsidRPr="005E37C3">
                <w:rPr>
                  <w:rFonts w:hint="eastAsia"/>
                  <w:szCs w:val="21"/>
                </w:rPr>
                <w:t>全功能、国际化、规模领先、能力突出、品牌卓越的金融机构</w:t>
              </w:r>
              <w:r w:rsidR="00945FB3">
                <w:rPr>
                  <w:rFonts w:hint="eastAsia"/>
                  <w:szCs w:val="21"/>
                </w:rPr>
                <w:t>为方向</w:t>
              </w:r>
              <w:r w:rsidRPr="005E37C3">
                <w:rPr>
                  <w:rFonts w:hint="eastAsia"/>
                  <w:szCs w:val="21"/>
                </w:rPr>
                <w:t>，</w:t>
              </w:r>
              <w:r w:rsidR="00945FB3">
                <w:rPr>
                  <w:rFonts w:hint="eastAsia"/>
                  <w:szCs w:val="21"/>
                </w:rPr>
                <w:t>打造</w:t>
              </w:r>
              <w:r w:rsidRPr="005E37C3">
                <w:rPr>
                  <w:rFonts w:hint="eastAsia"/>
                  <w:szCs w:val="21"/>
                </w:rPr>
                <w:t>中国最佳投行。</w:t>
              </w:r>
            </w:p>
            <w:p w:rsidR="00704CAD" w:rsidRDefault="00422DCA" w:rsidP="005E37C3">
              <w:pPr>
                <w:spacing w:line="360" w:lineRule="auto"/>
                <w:ind w:firstLine="482"/>
                <w:rPr>
                  <w:szCs w:val="21"/>
                </w:rPr>
              </w:pPr>
            </w:p>
          </w:sdtContent>
        </w:sdt>
      </w:sdtContent>
    </w:sdt>
    <w:p w:rsidR="00704CAD" w:rsidRDefault="00720895" w:rsidP="001C1A59">
      <w:pPr>
        <w:pStyle w:val="3"/>
        <w:numPr>
          <w:ilvl w:val="0"/>
          <w:numId w:val="7"/>
        </w:numPr>
        <w:rPr>
          <w:szCs w:val="21"/>
        </w:rPr>
      </w:pPr>
      <w:r>
        <w:rPr>
          <w:rFonts w:hint="eastAsia"/>
          <w:szCs w:val="21"/>
        </w:rPr>
        <w:lastRenderedPageBreak/>
        <w:t>投资状况分析</w:t>
      </w:r>
      <w:bookmarkEnd w:id="27"/>
      <w:bookmarkEnd w:id="28"/>
    </w:p>
    <w:p w:rsidR="00704CAD" w:rsidRDefault="00720895" w:rsidP="009950AC">
      <w:pPr>
        <w:pStyle w:val="4"/>
        <w:numPr>
          <w:ilvl w:val="0"/>
          <w:numId w:val="16"/>
        </w:numPr>
        <w:rPr>
          <w:szCs w:val="21"/>
        </w:rPr>
      </w:pPr>
      <w:r>
        <w:rPr>
          <w:szCs w:val="21"/>
        </w:rPr>
        <w:t>对外股权投资总体分析</w:t>
      </w:r>
    </w:p>
    <w:sdt>
      <w:sdtPr>
        <w:rPr>
          <w:szCs w:val="21"/>
        </w:rPr>
        <w:tag w:val="_GBC_868eb7562eb842059d43fd40bdd3a77f"/>
        <w:id w:val="24720266"/>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对外股权投资总体分析"/>
            <w:tag w:val="_GBC_f5959fe0ff324860973487741ac5c4f7"/>
            <w:id w:val="24720265"/>
            <w:lock w:val="sdtLocked"/>
            <w:placeholder>
              <w:docPart w:val="GBC22222222222222222222222222222"/>
            </w:placeholder>
          </w:sdtPr>
          <w:sdtContent>
            <w:p w:rsidR="00704CAD" w:rsidRDefault="00A92A3D">
              <w:pPr>
                <w:rPr>
                  <w:rFonts w:asciiTheme="minorEastAsia" w:eastAsiaTheme="minorEastAsia" w:hAnsiTheme="minorEastAsia"/>
                  <w:szCs w:val="21"/>
                </w:rPr>
              </w:pPr>
              <w:r w:rsidRPr="0010144B">
                <w:rPr>
                  <w:rFonts w:hAnsi="Calibri" w:hint="eastAsia"/>
                  <w:szCs w:val="21"/>
                </w:rPr>
                <w:t>报告期内，公司无新增对外股权投资。</w:t>
              </w:r>
            </w:p>
          </w:sdtContent>
        </w:sdt>
      </w:sdtContent>
    </w:sdt>
    <w:bookmarkStart w:id="29" w:name="_Toc340829728" w:displacedByCustomXml="next"/>
    <w:bookmarkStart w:id="30" w:name="_Toc342559762" w:displacedByCustomXml="next"/>
    <w:sdt>
      <w:sdtPr>
        <w:rPr>
          <w:rFonts w:ascii="宋体" w:hAnsi="宋体" w:cs="宋体"/>
          <w:b w:val="0"/>
          <w:bCs w:val="0"/>
          <w:kern w:val="0"/>
          <w:sz w:val="24"/>
          <w:szCs w:val="21"/>
        </w:rPr>
        <w:tag w:val="_GBC_4743a0a4cfb94702996b3865f11d0c9f"/>
        <w:id w:val="24720377"/>
        <w:lock w:val="sdtLocked"/>
        <w:placeholder>
          <w:docPart w:val="GBC22222222222222222222222222222"/>
        </w:placeholder>
      </w:sdtPr>
      <w:sdtEndPr>
        <w:rPr>
          <w:rFonts w:hint="eastAsia"/>
          <w:sz w:val="21"/>
          <w:szCs w:val="24"/>
        </w:rPr>
      </w:sdtEndPr>
      <w:sdtContent>
        <w:p w:rsidR="00704CAD" w:rsidRDefault="00720895" w:rsidP="009950AC">
          <w:pPr>
            <w:pStyle w:val="5"/>
            <w:numPr>
              <w:ilvl w:val="0"/>
              <w:numId w:val="17"/>
            </w:numPr>
            <w:rPr>
              <w:szCs w:val="21"/>
            </w:rPr>
          </w:pPr>
          <w:r>
            <w:rPr>
              <w:szCs w:val="21"/>
            </w:rPr>
            <w:t>证券投资情况</w:t>
          </w:r>
          <w:bookmarkEnd w:id="30"/>
          <w:bookmarkEnd w:id="29"/>
        </w:p>
        <w:sdt>
          <w:sdtPr>
            <w:alias w:val="是否适用：证券投资情况"/>
            <w:tag w:val="_GBC_520e27cf70ef4e1ab50d331e90c6d707"/>
            <w:id w:val="24720267"/>
            <w:lock w:val="sdtContentLocked"/>
            <w:placeholder>
              <w:docPart w:val="GBC22222222222222222222222222222"/>
            </w:placeholder>
          </w:sdtPr>
          <w:sdtContent>
            <w:p w:rsidR="00704CAD" w:rsidRDefault="00422DCA">
              <w:r>
                <w:fldChar w:fldCharType="begin"/>
              </w:r>
              <w:r w:rsidR="00A92A3D">
                <w:instrText xml:space="preserve"> MACROBUTTON  SnrToggleCheckbox √适用 </w:instrText>
              </w:r>
              <w:r>
                <w:fldChar w:fldCharType="end"/>
              </w:r>
              <w:r>
                <w:fldChar w:fldCharType="begin"/>
              </w:r>
              <w:r w:rsidR="00A92A3D">
                <w:instrText xml:space="preserve"> MACROBUTTON  SnrToggleCheckbox □不适用 </w:instrText>
              </w:r>
              <w:r>
                <w:fldChar w:fldCharType="end"/>
              </w:r>
            </w:p>
          </w:sdtContent>
        </w:sdt>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633"/>
            <w:gridCol w:w="850"/>
            <w:gridCol w:w="992"/>
            <w:gridCol w:w="1701"/>
            <w:gridCol w:w="1276"/>
            <w:gridCol w:w="1843"/>
            <w:gridCol w:w="709"/>
            <w:gridCol w:w="1701"/>
          </w:tblGrid>
          <w:tr w:rsidR="00725F7A" w:rsidTr="00930088">
            <w:trPr>
              <w:tblHeader/>
              <w:jc w:val="center"/>
            </w:trPr>
            <w:tc>
              <w:tcPr>
                <w:tcW w:w="392" w:type="dxa"/>
                <w:shd w:val="clear" w:color="auto" w:fill="auto"/>
                <w:vAlign w:val="center"/>
              </w:tcPr>
              <w:p w:rsidR="00A92A3D" w:rsidRPr="009E0692" w:rsidRDefault="00A92A3D" w:rsidP="00A92A3D">
                <w:pPr>
                  <w:jc w:val="center"/>
                  <w:rPr>
                    <w:b/>
                    <w:szCs w:val="21"/>
                  </w:rPr>
                </w:pPr>
                <w:bookmarkStart w:id="31" w:name="_Toc342559763"/>
                <w:bookmarkStart w:id="32" w:name="_Toc340829729"/>
                <w:r w:rsidRPr="009E0692">
                  <w:rPr>
                    <w:b/>
                    <w:szCs w:val="21"/>
                  </w:rPr>
                  <w:t>序号</w:t>
                </w:r>
              </w:p>
            </w:tc>
            <w:tc>
              <w:tcPr>
                <w:tcW w:w="633" w:type="dxa"/>
                <w:shd w:val="clear" w:color="auto" w:fill="auto"/>
                <w:vAlign w:val="center"/>
              </w:tcPr>
              <w:p w:rsidR="00A92A3D" w:rsidRPr="009E0692" w:rsidRDefault="00A92A3D" w:rsidP="00A92A3D">
                <w:pPr>
                  <w:jc w:val="center"/>
                  <w:rPr>
                    <w:b/>
                    <w:szCs w:val="21"/>
                  </w:rPr>
                </w:pPr>
                <w:r w:rsidRPr="009E0692">
                  <w:rPr>
                    <w:b/>
                    <w:szCs w:val="21"/>
                  </w:rPr>
                  <w:t>证券品种</w:t>
                </w:r>
              </w:p>
            </w:tc>
            <w:tc>
              <w:tcPr>
                <w:tcW w:w="850" w:type="dxa"/>
                <w:shd w:val="clear" w:color="auto" w:fill="auto"/>
                <w:vAlign w:val="center"/>
              </w:tcPr>
              <w:p w:rsidR="00A92A3D" w:rsidRPr="009E0692" w:rsidRDefault="00A92A3D" w:rsidP="00A92A3D">
                <w:pPr>
                  <w:jc w:val="center"/>
                  <w:rPr>
                    <w:b/>
                    <w:szCs w:val="21"/>
                  </w:rPr>
                </w:pPr>
                <w:r w:rsidRPr="009E0692">
                  <w:rPr>
                    <w:b/>
                    <w:szCs w:val="21"/>
                  </w:rPr>
                  <w:t>证券代码</w:t>
                </w:r>
              </w:p>
            </w:tc>
            <w:tc>
              <w:tcPr>
                <w:tcW w:w="992" w:type="dxa"/>
                <w:shd w:val="clear" w:color="auto" w:fill="auto"/>
                <w:vAlign w:val="center"/>
              </w:tcPr>
              <w:p w:rsidR="00A92A3D" w:rsidRPr="009E0692" w:rsidRDefault="00A92A3D" w:rsidP="00A92A3D">
                <w:pPr>
                  <w:jc w:val="center"/>
                  <w:rPr>
                    <w:b/>
                    <w:szCs w:val="21"/>
                  </w:rPr>
                </w:pPr>
                <w:r w:rsidRPr="009E0692">
                  <w:rPr>
                    <w:b/>
                    <w:szCs w:val="21"/>
                  </w:rPr>
                  <w:t>证券简称</w:t>
                </w:r>
              </w:p>
            </w:tc>
            <w:tc>
              <w:tcPr>
                <w:tcW w:w="1701" w:type="dxa"/>
                <w:shd w:val="clear" w:color="auto" w:fill="auto"/>
                <w:vAlign w:val="center"/>
              </w:tcPr>
              <w:p w:rsidR="00A92A3D" w:rsidRPr="009E0692" w:rsidRDefault="00A92A3D" w:rsidP="00A92A3D">
                <w:pPr>
                  <w:jc w:val="center"/>
                  <w:rPr>
                    <w:b/>
                    <w:szCs w:val="21"/>
                  </w:rPr>
                </w:pPr>
                <w:r w:rsidRPr="009E0692">
                  <w:rPr>
                    <w:rFonts w:hint="eastAsia"/>
                    <w:b/>
                    <w:szCs w:val="21"/>
                  </w:rPr>
                  <w:t>最初</w:t>
                </w:r>
                <w:r w:rsidRPr="009E0692">
                  <w:rPr>
                    <w:b/>
                    <w:szCs w:val="21"/>
                  </w:rPr>
                  <w:t>投资</w:t>
                </w:r>
                <w:r w:rsidRPr="009E0692">
                  <w:rPr>
                    <w:rFonts w:hint="eastAsia"/>
                    <w:b/>
                    <w:szCs w:val="21"/>
                  </w:rPr>
                  <w:t>金额（元）</w:t>
                </w:r>
              </w:p>
            </w:tc>
            <w:tc>
              <w:tcPr>
                <w:tcW w:w="1276" w:type="dxa"/>
                <w:shd w:val="clear" w:color="auto" w:fill="auto"/>
                <w:vAlign w:val="center"/>
              </w:tcPr>
              <w:p w:rsidR="00A92A3D" w:rsidRPr="009E0692" w:rsidRDefault="00A92A3D" w:rsidP="00A92A3D">
                <w:pPr>
                  <w:jc w:val="center"/>
                  <w:rPr>
                    <w:b/>
                    <w:szCs w:val="21"/>
                  </w:rPr>
                </w:pPr>
                <w:r w:rsidRPr="009E0692">
                  <w:rPr>
                    <w:b/>
                    <w:szCs w:val="21"/>
                  </w:rPr>
                  <w:t>持</w:t>
                </w:r>
                <w:r w:rsidRPr="009E0692">
                  <w:rPr>
                    <w:rFonts w:hint="eastAsia"/>
                    <w:b/>
                    <w:szCs w:val="21"/>
                  </w:rPr>
                  <w:t>有</w:t>
                </w:r>
                <w:r w:rsidRPr="009E0692">
                  <w:rPr>
                    <w:b/>
                    <w:szCs w:val="21"/>
                  </w:rPr>
                  <w:t>数量</w:t>
                </w:r>
              </w:p>
              <w:p w:rsidR="00A92A3D" w:rsidRPr="009E0692" w:rsidRDefault="00A92A3D" w:rsidP="00A92A3D">
                <w:pPr>
                  <w:jc w:val="center"/>
                  <w:rPr>
                    <w:b/>
                    <w:szCs w:val="21"/>
                  </w:rPr>
                </w:pPr>
                <w:r w:rsidRPr="009E0692">
                  <w:rPr>
                    <w:rFonts w:hint="eastAsia"/>
                    <w:b/>
                    <w:szCs w:val="21"/>
                  </w:rPr>
                  <w:t>（</w:t>
                </w:r>
                <w:r w:rsidRPr="009E0692">
                  <w:rPr>
                    <w:b/>
                    <w:szCs w:val="21"/>
                  </w:rPr>
                  <w:t>股</w:t>
                </w:r>
                <w:r w:rsidRPr="009E0692">
                  <w:rPr>
                    <w:rFonts w:hint="eastAsia"/>
                    <w:b/>
                    <w:szCs w:val="21"/>
                  </w:rPr>
                  <w:t>）</w:t>
                </w:r>
              </w:p>
            </w:tc>
            <w:tc>
              <w:tcPr>
                <w:tcW w:w="1843" w:type="dxa"/>
                <w:shd w:val="clear" w:color="auto" w:fill="auto"/>
                <w:vAlign w:val="center"/>
              </w:tcPr>
              <w:p w:rsidR="00A92A3D" w:rsidRPr="009E0692" w:rsidRDefault="00A92A3D" w:rsidP="00A92A3D">
                <w:pPr>
                  <w:jc w:val="center"/>
                  <w:rPr>
                    <w:b/>
                    <w:szCs w:val="21"/>
                  </w:rPr>
                </w:pPr>
                <w:r w:rsidRPr="009E0692">
                  <w:rPr>
                    <w:b/>
                    <w:szCs w:val="21"/>
                  </w:rPr>
                  <w:t>期末账面</w:t>
                </w:r>
                <w:r w:rsidRPr="009E0692">
                  <w:rPr>
                    <w:rFonts w:hint="eastAsia"/>
                    <w:b/>
                    <w:szCs w:val="21"/>
                  </w:rPr>
                  <w:t>价</w:t>
                </w:r>
                <w:r w:rsidRPr="009E0692">
                  <w:rPr>
                    <w:b/>
                    <w:szCs w:val="21"/>
                  </w:rPr>
                  <w:t>值</w:t>
                </w:r>
              </w:p>
              <w:p w:rsidR="00A92A3D" w:rsidRPr="009E0692" w:rsidRDefault="00A92A3D" w:rsidP="00A92A3D">
                <w:pPr>
                  <w:jc w:val="center"/>
                  <w:rPr>
                    <w:b/>
                    <w:szCs w:val="21"/>
                  </w:rPr>
                </w:pPr>
                <w:r w:rsidRPr="009E0692">
                  <w:rPr>
                    <w:b/>
                    <w:szCs w:val="21"/>
                  </w:rPr>
                  <w:t>（元）</w:t>
                </w:r>
              </w:p>
            </w:tc>
            <w:tc>
              <w:tcPr>
                <w:tcW w:w="709" w:type="dxa"/>
                <w:shd w:val="clear" w:color="auto" w:fill="auto"/>
                <w:vAlign w:val="center"/>
              </w:tcPr>
              <w:p w:rsidR="00A92A3D" w:rsidRPr="009E0692" w:rsidRDefault="00A92A3D" w:rsidP="00A92A3D">
                <w:pPr>
                  <w:jc w:val="center"/>
                  <w:rPr>
                    <w:b/>
                    <w:szCs w:val="21"/>
                  </w:rPr>
                </w:pPr>
                <w:r w:rsidRPr="009E0692">
                  <w:rPr>
                    <w:b/>
                    <w:szCs w:val="21"/>
                  </w:rPr>
                  <w:t>占期末证券总投资比例</w:t>
                </w:r>
              </w:p>
              <w:p w:rsidR="00A92A3D" w:rsidRPr="009E0692" w:rsidRDefault="00A92A3D" w:rsidP="00A92A3D">
                <w:pPr>
                  <w:jc w:val="center"/>
                  <w:rPr>
                    <w:b/>
                    <w:szCs w:val="21"/>
                  </w:rPr>
                </w:pPr>
                <w:r w:rsidRPr="009E0692">
                  <w:rPr>
                    <w:rFonts w:ascii="Times New Roman" w:hAnsi="Times New Roman" w:hint="eastAsia"/>
                    <w:b/>
                    <w:szCs w:val="21"/>
                  </w:rPr>
                  <w:t>（</w:t>
                </w:r>
                <w:r w:rsidRPr="009E0692">
                  <w:rPr>
                    <w:rFonts w:hint="eastAsia"/>
                    <w:b/>
                    <w:szCs w:val="21"/>
                  </w:rPr>
                  <w:t>%</w:t>
                </w:r>
                <w:r w:rsidRPr="009E0692">
                  <w:rPr>
                    <w:rFonts w:ascii="Times New Roman" w:hAnsi="Times New Roman"/>
                    <w:b/>
                    <w:szCs w:val="21"/>
                  </w:rPr>
                  <w:t>）</w:t>
                </w:r>
              </w:p>
            </w:tc>
            <w:tc>
              <w:tcPr>
                <w:tcW w:w="1701" w:type="dxa"/>
                <w:shd w:val="clear" w:color="auto" w:fill="auto"/>
                <w:vAlign w:val="center"/>
              </w:tcPr>
              <w:p w:rsidR="00A92A3D" w:rsidRPr="009E0692" w:rsidRDefault="00A92A3D" w:rsidP="00A92A3D">
                <w:pPr>
                  <w:jc w:val="center"/>
                  <w:rPr>
                    <w:b/>
                    <w:szCs w:val="21"/>
                  </w:rPr>
                </w:pPr>
                <w:r w:rsidRPr="009E0692">
                  <w:rPr>
                    <w:rFonts w:hint="eastAsia"/>
                    <w:b/>
                    <w:szCs w:val="21"/>
                  </w:rPr>
                  <w:t>报告期损益</w:t>
                </w:r>
              </w:p>
              <w:p w:rsidR="00A92A3D" w:rsidRPr="009E0692" w:rsidRDefault="00A92A3D" w:rsidP="00A92A3D">
                <w:pPr>
                  <w:jc w:val="center"/>
                  <w:rPr>
                    <w:b/>
                    <w:szCs w:val="21"/>
                  </w:rPr>
                </w:pPr>
                <w:r w:rsidRPr="009E0692">
                  <w:rPr>
                    <w:b/>
                    <w:szCs w:val="21"/>
                  </w:rPr>
                  <w:t>（元）</w:t>
                </w:r>
              </w:p>
            </w:tc>
          </w:tr>
          <w:sdt>
            <w:sdtPr>
              <w:rPr>
                <w:rFonts w:hint="eastAsia"/>
                <w:szCs w:val="21"/>
              </w:rPr>
              <w:alias w:val="上市公司证券投资情况明细"/>
              <w:tag w:val="_GBC_861873b442a04185abe26def15bfed66"/>
              <w:id w:val="2472027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268"/>
                      <w:lock w:val="sdtLocked"/>
                    </w:sdtPr>
                    <w:sdtContent>
                      <w:p w:rsidR="00A92A3D" w:rsidRDefault="00A92A3D" w:rsidP="00725F7A">
                        <w:pPr>
                          <w:jc w:val="both"/>
                          <w:rPr>
                            <w:szCs w:val="21"/>
                          </w:rPr>
                        </w:pPr>
                        <w:r>
                          <w:rPr>
                            <w:rFonts w:hint="eastAsia"/>
                            <w:szCs w:val="21"/>
                          </w:rPr>
                          <w:t>1</w:t>
                        </w:r>
                      </w:p>
                    </w:sdtContent>
                  </w:sdt>
                </w:tc>
                <w:sdt>
                  <w:sdtPr>
                    <w:rPr>
                      <w:szCs w:val="21"/>
                    </w:rPr>
                    <w:alias w:val="上市公司证券投资情况明细－证券品种"/>
                    <w:tag w:val="_GBC_be4868957d944cc08bd50f2e77950748"/>
                    <w:id w:val="2472026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27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600770</w:t>
                        </w:r>
                      </w:p>
                    </w:tc>
                  </w:sdtContent>
                </w:sdt>
                <w:sdt>
                  <w:sdtPr>
                    <w:rPr>
                      <w:szCs w:val="21"/>
                    </w:rPr>
                    <w:alias w:val="上市公司证券投资情况明细－证券简称"/>
                    <w:tag w:val="_GBC_c757596d0ee0474e88785fbac61fb370"/>
                    <w:id w:val="2472027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综艺股份</w:t>
                        </w:r>
                      </w:p>
                    </w:tc>
                  </w:sdtContent>
                </w:sdt>
                <w:sdt>
                  <w:sdtPr>
                    <w:rPr>
                      <w:kern w:val="21"/>
                      <w:szCs w:val="21"/>
                    </w:rPr>
                    <w:alias w:val="上市公司证券投资情况明细－初始投资金额"/>
                    <w:tag w:val="_GBC_553e635c08c04c19a195d39e89a873f1"/>
                    <w:id w:val="2472027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396,692,069.47</w:t>
                        </w:r>
                      </w:p>
                    </w:tc>
                  </w:sdtContent>
                </w:sdt>
                <w:sdt>
                  <w:sdtPr>
                    <w:rPr>
                      <w:kern w:val="21"/>
                      <w:szCs w:val="21"/>
                    </w:rPr>
                    <w:alias w:val="上市公司证券投资情况明细－持有股份数量"/>
                    <w:tag w:val="_GBC_b202ba551e804f009b4f9c2307ff5763"/>
                    <w:id w:val="2472027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25,507,700</w:t>
                        </w:r>
                      </w:p>
                    </w:tc>
                  </w:sdtContent>
                </w:sdt>
                <w:sdt>
                  <w:sdtPr>
                    <w:rPr>
                      <w:kern w:val="21"/>
                      <w:szCs w:val="21"/>
                    </w:rPr>
                    <w:alias w:val="上市公司证券投资情况明细－账面值"/>
                    <w:tag w:val="_GBC_19260e90342a4719947036e7782fe024"/>
                    <w:id w:val="2472027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498,420,458.00</w:t>
                        </w:r>
                      </w:p>
                    </w:tc>
                  </w:sdtContent>
                </w:sdt>
                <w:sdt>
                  <w:sdtPr>
                    <w:rPr>
                      <w:kern w:val="21"/>
                      <w:szCs w:val="21"/>
                    </w:rPr>
                    <w:alias w:val="上市公司证券投资情况明细－占证券总投资比例"/>
                    <w:tag w:val="_GBC_63bbc49163d348f1989374e488e47d29"/>
                    <w:id w:val="2472027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4.65</w:t>
                        </w:r>
                      </w:p>
                    </w:tc>
                  </w:sdtContent>
                </w:sdt>
                <w:sdt>
                  <w:sdtPr>
                    <w:rPr>
                      <w:kern w:val="21"/>
                      <w:szCs w:val="21"/>
                    </w:rPr>
                    <w:alias w:val="上市公司证券投资情况明细－投资损益"/>
                    <w:tag w:val="_GBC_d1eeb8c066bf4661a80e187e80ac83da"/>
                    <w:id w:val="2472027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211,342,354.52</w:t>
                        </w:r>
                      </w:p>
                    </w:tc>
                  </w:sdtContent>
                </w:sdt>
              </w:tr>
            </w:sdtContent>
          </w:sdt>
          <w:sdt>
            <w:sdtPr>
              <w:rPr>
                <w:rFonts w:hint="eastAsia"/>
                <w:szCs w:val="21"/>
              </w:rPr>
              <w:alias w:val="上市公司证券投资情况明细"/>
              <w:tag w:val="_GBC_861873b442a04185abe26def15bfed66"/>
              <w:id w:val="24720287"/>
              <w:lock w:val="sdtLocked"/>
            </w:sdtPr>
            <w:sdtEndPr>
              <w:rPr>
                <w:rFonts w:hint="default"/>
                <w:kern w:val="21"/>
              </w:rPr>
            </w:sdtEndPr>
            <w:sdtContent>
              <w:tr w:rsidR="00725F7A" w:rsidTr="00930088">
                <w:trPr>
                  <w:trHeight w:val="573"/>
                  <w:jc w:val="center"/>
                </w:trPr>
                <w:tc>
                  <w:tcPr>
                    <w:tcW w:w="392" w:type="dxa"/>
                    <w:shd w:val="clear" w:color="auto" w:fill="auto"/>
                    <w:vAlign w:val="center"/>
                  </w:tcPr>
                  <w:sdt>
                    <w:sdtPr>
                      <w:rPr>
                        <w:rFonts w:hint="eastAsia"/>
                        <w:szCs w:val="21"/>
                      </w:rPr>
                      <w:tag w:val="_GBC_8733ee94803e4a4e900681aa206a6fe7"/>
                      <w:id w:val="24720278"/>
                      <w:lock w:val="sdtLocked"/>
                    </w:sdtPr>
                    <w:sdtContent>
                      <w:p w:rsidR="00A92A3D" w:rsidRDefault="00A92A3D" w:rsidP="00725F7A">
                        <w:pPr>
                          <w:jc w:val="both"/>
                          <w:rPr>
                            <w:szCs w:val="21"/>
                          </w:rPr>
                        </w:pPr>
                        <w:r>
                          <w:rPr>
                            <w:rFonts w:hint="eastAsia"/>
                            <w:szCs w:val="21"/>
                          </w:rPr>
                          <w:t>2</w:t>
                        </w:r>
                      </w:p>
                    </w:sdtContent>
                  </w:sdt>
                </w:tc>
                <w:sdt>
                  <w:sdtPr>
                    <w:rPr>
                      <w:szCs w:val="21"/>
                    </w:rPr>
                    <w:alias w:val="上市公司证券投资情况明细－证券品种"/>
                    <w:tag w:val="_GBC_be4868957d944cc08bd50f2e77950748"/>
                    <w:id w:val="2472027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28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600438</w:t>
                        </w:r>
                      </w:p>
                    </w:tc>
                  </w:sdtContent>
                </w:sdt>
                <w:sdt>
                  <w:sdtPr>
                    <w:rPr>
                      <w:szCs w:val="21"/>
                    </w:rPr>
                    <w:alias w:val="上市公司证券投资情况明细－证券简称"/>
                    <w:tag w:val="_GBC_c757596d0ee0474e88785fbac61fb370"/>
                    <w:id w:val="2472028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通威股份</w:t>
                        </w:r>
                      </w:p>
                    </w:tc>
                  </w:sdtContent>
                </w:sdt>
                <w:sdt>
                  <w:sdtPr>
                    <w:rPr>
                      <w:kern w:val="21"/>
                      <w:szCs w:val="21"/>
                    </w:rPr>
                    <w:alias w:val="上市公司证券投资情况明细－初始投资金额"/>
                    <w:tag w:val="_GBC_553e635c08c04c19a195d39e89a873f1"/>
                    <w:id w:val="2472028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362,863,068.29</w:t>
                        </w:r>
                      </w:p>
                    </w:tc>
                  </w:sdtContent>
                </w:sdt>
                <w:sdt>
                  <w:sdtPr>
                    <w:rPr>
                      <w:kern w:val="21"/>
                      <w:szCs w:val="21"/>
                    </w:rPr>
                    <w:alias w:val="上市公司证券投资情况明细－持有股份数量"/>
                    <w:tag w:val="_GBC_b202ba551e804f009b4f9c2307ff5763"/>
                    <w:id w:val="2472028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32,560,000</w:t>
                        </w:r>
                      </w:p>
                    </w:tc>
                  </w:sdtContent>
                </w:sdt>
                <w:sdt>
                  <w:sdtPr>
                    <w:rPr>
                      <w:kern w:val="21"/>
                      <w:szCs w:val="21"/>
                    </w:rPr>
                    <w:alias w:val="上市公司证券投资情况明细－账面值"/>
                    <w:tag w:val="_GBC_19260e90342a4719947036e7782fe024"/>
                    <w:id w:val="2472028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512,168,800.00</w:t>
                        </w:r>
                      </w:p>
                    </w:tc>
                  </w:sdtContent>
                </w:sdt>
                <w:sdt>
                  <w:sdtPr>
                    <w:rPr>
                      <w:kern w:val="21"/>
                      <w:szCs w:val="21"/>
                    </w:rPr>
                    <w:alias w:val="上市公司证券投资情况明细－占证券总投资比例"/>
                    <w:tag w:val="_GBC_63bbc49163d348f1989374e488e47d29"/>
                    <w:id w:val="2472028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4.78</w:t>
                        </w:r>
                      </w:p>
                    </w:tc>
                  </w:sdtContent>
                </w:sdt>
                <w:sdt>
                  <w:sdtPr>
                    <w:rPr>
                      <w:kern w:val="21"/>
                      <w:szCs w:val="21"/>
                    </w:rPr>
                    <w:alias w:val="上市公司证券投资情况明细－投资损益"/>
                    <w:tag w:val="_GBC_d1eeb8c066bf4661a80e187e80ac83da"/>
                    <w:id w:val="2472028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158,938,199.90</w:t>
                        </w:r>
                      </w:p>
                    </w:tc>
                  </w:sdtContent>
                </w:sdt>
              </w:tr>
            </w:sdtContent>
          </w:sdt>
          <w:sdt>
            <w:sdtPr>
              <w:rPr>
                <w:rFonts w:hint="eastAsia"/>
                <w:szCs w:val="21"/>
              </w:rPr>
              <w:alias w:val="上市公司证券投资情况明细"/>
              <w:tag w:val="_GBC_861873b442a04185abe26def15bfed66"/>
              <w:id w:val="2472029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288"/>
                      <w:lock w:val="sdtLocked"/>
                    </w:sdtPr>
                    <w:sdtContent>
                      <w:p w:rsidR="00A92A3D" w:rsidRDefault="00A92A3D" w:rsidP="00725F7A">
                        <w:pPr>
                          <w:jc w:val="both"/>
                          <w:rPr>
                            <w:szCs w:val="21"/>
                          </w:rPr>
                        </w:pPr>
                        <w:r>
                          <w:rPr>
                            <w:rFonts w:hint="eastAsia"/>
                            <w:szCs w:val="21"/>
                          </w:rPr>
                          <w:t>3</w:t>
                        </w:r>
                      </w:p>
                    </w:sdtContent>
                  </w:sdt>
                </w:tc>
                <w:sdt>
                  <w:sdtPr>
                    <w:rPr>
                      <w:szCs w:val="21"/>
                    </w:rPr>
                    <w:alias w:val="上市公司证券投资情况明细－证券品种"/>
                    <w:tag w:val="_GBC_be4868957d944cc08bd50f2e77950748"/>
                    <w:id w:val="2472028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29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002697</w:t>
                        </w:r>
                      </w:p>
                    </w:tc>
                  </w:sdtContent>
                </w:sdt>
                <w:sdt>
                  <w:sdtPr>
                    <w:rPr>
                      <w:szCs w:val="21"/>
                    </w:rPr>
                    <w:alias w:val="上市公司证券投资情况明细－证券简称"/>
                    <w:tag w:val="_GBC_c757596d0ee0474e88785fbac61fb370"/>
                    <w:id w:val="2472029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红旗连锁</w:t>
                        </w:r>
                      </w:p>
                    </w:tc>
                  </w:sdtContent>
                </w:sdt>
                <w:sdt>
                  <w:sdtPr>
                    <w:rPr>
                      <w:kern w:val="21"/>
                      <w:szCs w:val="21"/>
                    </w:rPr>
                    <w:alias w:val="上市公司证券投资情况明细－初始投资金额"/>
                    <w:tag w:val="_GBC_553e635c08c04c19a195d39e89a873f1"/>
                    <w:id w:val="2472029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293,131,418.90</w:t>
                        </w:r>
                      </w:p>
                    </w:tc>
                  </w:sdtContent>
                </w:sdt>
                <w:sdt>
                  <w:sdtPr>
                    <w:rPr>
                      <w:kern w:val="21"/>
                      <w:szCs w:val="21"/>
                    </w:rPr>
                    <w:alias w:val="上市公司证券投资情况明细－持有股份数量"/>
                    <w:tag w:val="_GBC_b202ba551e804f009b4f9c2307ff5763"/>
                    <w:id w:val="2472029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25,000,000</w:t>
                        </w:r>
                      </w:p>
                    </w:tc>
                  </w:sdtContent>
                </w:sdt>
                <w:sdt>
                  <w:sdtPr>
                    <w:rPr>
                      <w:kern w:val="21"/>
                      <w:szCs w:val="21"/>
                    </w:rPr>
                    <w:alias w:val="上市公司证券投资情况明细－账面值"/>
                    <w:tag w:val="_GBC_19260e90342a4719947036e7782fe024"/>
                    <w:id w:val="2472029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324,500,000.00</w:t>
                        </w:r>
                      </w:p>
                    </w:tc>
                  </w:sdtContent>
                </w:sdt>
                <w:sdt>
                  <w:sdtPr>
                    <w:rPr>
                      <w:kern w:val="21"/>
                      <w:szCs w:val="21"/>
                    </w:rPr>
                    <w:alias w:val="上市公司证券投资情况明细－占证券总投资比例"/>
                    <w:tag w:val="_GBC_63bbc49163d348f1989374e488e47d29"/>
                    <w:id w:val="2472029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3.03</w:t>
                        </w:r>
                      </w:p>
                    </w:tc>
                  </w:sdtContent>
                </w:sdt>
                <w:sdt>
                  <w:sdtPr>
                    <w:rPr>
                      <w:kern w:val="21"/>
                      <w:szCs w:val="21"/>
                    </w:rPr>
                    <w:alias w:val="上市公司证券投资情况明细－投资损益"/>
                    <w:tag w:val="_GBC_d1eeb8c066bf4661a80e187e80ac83da"/>
                    <w:id w:val="2472029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50,316,476.21</w:t>
                        </w:r>
                      </w:p>
                    </w:tc>
                  </w:sdtContent>
                </w:sdt>
              </w:tr>
            </w:sdtContent>
          </w:sdt>
          <w:sdt>
            <w:sdtPr>
              <w:rPr>
                <w:rFonts w:hint="eastAsia"/>
                <w:szCs w:val="21"/>
              </w:rPr>
              <w:alias w:val="上市公司证券投资情况明细"/>
              <w:tag w:val="_GBC_861873b442a04185abe26def15bfed66"/>
              <w:id w:val="2472030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298"/>
                      <w:lock w:val="sdtLocked"/>
                    </w:sdtPr>
                    <w:sdtContent>
                      <w:p w:rsidR="00A92A3D" w:rsidRDefault="00A92A3D" w:rsidP="00725F7A">
                        <w:pPr>
                          <w:jc w:val="both"/>
                          <w:rPr>
                            <w:szCs w:val="21"/>
                          </w:rPr>
                        </w:pPr>
                        <w:r>
                          <w:rPr>
                            <w:rFonts w:hint="eastAsia"/>
                            <w:szCs w:val="21"/>
                          </w:rPr>
                          <w:t>4</w:t>
                        </w:r>
                      </w:p>
                    </w:sdtContent>
                  </w:sdt>
                </w:tc>
                <w:sdt>
                  <w:sdtPr>
                    <w:rPr>
                      <w:szCs w:val="21"/>
                    </w:rPr>
                    <w:alias w:val="上市公司证券投资情况明细－证券品种"/>
                    <w:tag w:val="_GBC_be4868957d944cc08bd50f2e77950748"/>
                    <w:id w:val="2472029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30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601318</w:t>
                        </w:r>
                      </w:p>
                    </w:tc>
                  </w:sdtContent>
                </w:sdt>
                <w:sdt>
                  <w:sdtPr>
                    <w:rPr>
                      <w:szCs w:val="21"/>
                    </w:rPr>
                    <w:alias w:val="上市公司证券投资情况明细－证券简称"/>
                    <w:tag w:val="_GBC_c757596d0ee0474e88785fbac61fb370"/>
                    <w:id w:val="2472030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中国平安</w:t>
                        </w:r>
                      </w:p>
                    </w:tc>
                  </w:sdtContent>
                </w:sdt>
                <w:sdt>
                  <w:sdtPr>
                    <w:rPr>
                      <w:kern w:val="21"/>
                      <w:szCs w:val="21"/>
                    </w:rPr>
                    <w:alias w:val="上市公司证券投资情况明细－初始投资金额"/>
                    <w:tag w:val="_GBC_553e635c08c04c19a195d39e89a873f1"/>
                    <w:id w:val="2472030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223,672,586.48</w:t>
                        </w:r>
                      </w:p>
                    </w:tc>
                  </w:sdtContent>
                </w:sdt>
                <w:sdt>
                  <w:sdtPr>
                    <w:rPr>
                      <w:kern w:val="21"/>
                      <w:szCs w:val="21"/>
                    </w:rPr>
                    <w:alias w:val="上市公司证券投资情况明细－持有股份数量"/>
                    <w:tag w:val="_GBC_b202ba551e804f009b4f9c2307ff5763"/>
                    <w:id w:val="2472030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3,693,420</w:t>
                        </w:r>
                      </w:p>
                    </w:tc>
                  </w:sdtContent>
                </w:sdt>
                <w:sdt>
                  <w:sdtPr>
                    <w:rPr>
                      <w:kern w:val="21"/>
                      <w:szCs w:val="21"/>
                    </w:rPr>
                    <w:alias w:val="上市公司证券投资情况明细－账面值"/>
                    <w:tag w:val="_GBC_19260e90342a4719947036e7782fe024"/>
                    <w:id w:val="2472030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302,638,834.80</w:t>
                        </w:r>
                      </w:p>
                    </w:tc>
                  </w:sdtContent>
                </w:sdt>
                <w:sdt>
                  <w:sdtPr>
                    <w:rPr>
                      <w:kern w:val="21"/>
                      <w:szCs w:val="21"/>
                    </w:rPr>
                    <w:alias w:val="上市公司证券投资情况明细－占证券总投资比例"/>
                    <w:tag w:val="_GBC_63bbc49163d348f1989374e488e47d29"/>
                    <w:id w:val="2472030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2.82</w:t>
                        </w:r>
                      </w:p>
                    </w:tc>
                  </w:sdtContent>
                </w:sdt>
                <w:sdt>
                  <w:sdtPr>
                    <w:rPr>
                      <w:kern w:val="21"/>
                      <w:szCs w:val="21"/>
                    </w:rPr>
                    <w:alias w:val="上市公司证券投资情况明细－投资损益"/>
                    <w:tag w:val="_GBC_d1eeb8c066bf4661a80e187e80ac83da"/>
                    <w:id w:val="2472030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22,806,643.20</w:t>
                        </w:r>
                      </w:p>
                    </w:tc>
                  </w:sdtContent>
                </w:sdt>
              </w:tr>
            </w:sdtContent>
          </w:sdt>
          <w:sdt>
            <w:sdtPr>
              <w:rPr>
                <w:rFonts w:hint="eastAsia"/>
                <w:szCs w:val="21"/>
              </w:rPr>
              <w:alias w:val="上市公司证券投资情况明细"/>
              <w:tag w:val="_GBC_861873b442a04185abe26def15bfed66"/>
              <w:id w:val="2472031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308"/>
                      <w:lock w:val="sdtLocked"/>
                    </w:sdtPr>
                    <w:sdtContent>
                      <w:p w:rsidR="00A92A3D" w:rsidRDefault="00A92A3D" w:rsidP="00725F7A">
                        <w:pPr>
                          <w:jc w:val="both"/>
                          <w:rPr>
                            <w:szCs w:val="21"/>
                          </w:rPr>
                        </w:pPr>
                        <w:r>
                          <w:rPr>
                            <w:rFonts w:hint="eastAsia"/>
                            <w:szCs w:val="21"/>
                          </w:rPr>
                          <w:t>5</w:t>
                        </w:r>
                      </w:p>
                    </w:sdtContent>
                  </w:sdt>
                </w:tc>
                <w:sdt>
                  <w:sdtPr>
                    <w:rPr>
                      <w:szCs w:val="21"/>
                    </w:rPr>
                    <w:alias w:val="上市公司证券投资情况明细－证券品种"/>
                    <w:tag w:val="_GBC_be4868957d944cc08bd50f2e77950748"/>
                    <w:id w:val="2472030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31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600839</w:t>
                        </w:r>
                      </w:p>
                    </w:tc>
                  </w:sdtContent>
                </w:sdt>
                <w:sdt>
                  <w:sdtPr>
                    <w:rPr>
                      <w:szCs w:val="21"/>
                    </w:rPr>
                    <w:alias w:val="上市公司证券投资情况明细－证券简称"/>
                    <w:tag w:val="_GBC_c757596d0ee0474e88785fbac61fb370"/>
                    <w:id w:val="2472031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四川长虹</w:t>
                        </w:r>
                      </w:p>
                    </w:tc>
                  </w:sdtContent>
                </w:sdt>
                <w:sdt>
                  <w:sdtPr>
                    <w:rPr>
                      <w:kern w:val="21"/>
                      <w:szCs w:val="21"/>
                    </w:rPr>
                    <w:alias w:val="上市公司证券投资情况明细－初始投资金额"/>
                    <w:tag w:val="_GBC_553e635c08c04c19a195d39e89a873f1"/>
                    <w:id w:val="2472031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222,640,161.73</w:t>
                        </w:r>
                      </w:p>
                    </w:tc>
                  </w:sdtContent>
                </w:sdt>
                <w:sdt>
                  <w:sdtPr>
                    <w:rPr>
                      <w:kern w:val="21"/>
                      <w:szCs w:val="21"/>
                    </w:rPr>
                    <w:alias w:val="上市公司证券投资情况明细－持有股份数量"/>
                    <w:tag w:val="_GBC_b202ba551e804f009b4f9c2307ff5763"/>
                    <w:id w:val="2472031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29,212,802</w:t>
                        </w:r>
                      </w:p>
                    </w:tc>
                  </w:sdtContent>
                </w:sdt>
                <w:sdt>
                  <w:sdtPr>
                    <w:rPr>
                      <w:kern w:val="21"/>
                      <w:szCs w:val="21"/>
                    </w:rPr>
                    <w:alias w:val="上市公司证券投资情况明细－账面值"/>
                    <w:tag w:val="_GBC_19260e90342a4719947036e7782fe024"/>
                    <w:id w:val="2472031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287,453,971.68</w:t>
                        </w:r>
                      </w:p>
                    </w:tc>
                  </w:sdtContent>
                </w:sdt>
                <w:sdt>
                  <w:sdtPr>
                    <w:rPr>
                      <w:kern w:val="21"/>
                      <w:szCs w:val="21"/>
                    </w:rPr>
                    <w:alias w:val="上市公司证券投资情况明细－占证券总投资比例"/>
                    <w:tag w:val="_GBC_63bbc49163d348f1989374e488e47d29"/>
                    <w:id w:val="2472031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2.68</w:t>
                        </w:r>
                      </w:p>
                    </w:tc>
                  </w:sdtContent>
                </w:sdt>
                <w:sdt>
                  <w:sdtPr>
                    <w:rPr>
                      <w:kern w:val="21"/>
                      <w:szCs w:val="21"/>
                    </w:rPr>
                    <w:alias w:val="上市公司证券投资情况明细－投资损益"/>
                    <w:tag w:val="_GBC_d1eeb8c066bf4661a80e187e80ac83da"/>
                    <w:id w:val="2472031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188,306,047.59</w:t>
                        </w:r>
                      </w:p>
                    </w:tc>
                  </w:sdtContent>
                </w:sdt>
              </w:tr>
            </w:sdtContent>
          </w:sdt>
          <w:sdt>
            <w:sdtPr>
              <w:rPr>
                <w:rFonts w:hint="eastAsia"/>
                <w:szCs w:val="21"/>
              </w:rPr>
              <w:alias w:val="上市公司证券投资情况明细"/>
              <w:tag w:val="_GBC_861873b442a04185abe26def15bfed66"/>
              <w:id w:val="2472032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318"/>
                      <w:lock w:val="sdtLocked"/>
                    </w:sdtPr>
                    <w:sdtContent>
                      <w:p w:rsidR="00A92A3D" w:rsidRDefault="00A92A3D" w:rsidP="00725F7A">
                        <w:pPr>
                          <w:jc w:val="both"/>
                          <w:rPr>
                            <w:szCs w:val="21"/>
                          </w:rPr>
                        </w:pPr>
                        <w:r>
                          <w:rPr>
                            <w:rFonts w:hint="eastAsia"/>
                            <w:szCs w:val="21"/>
                          </w:rPr>
                          <w:t>6</w:t>
                        </w:r>
                      </w:p>
                    </w:sdtContent>
                  </w:sdt>
                </w:tc>
                <w:sdt>
                  <w:sdtPr>
                    <w:rPr>
                      <w:szCs w:val="21"/>
                    </w:rPr>
                    <w:alias w:val="上市公司证券投资情况明细－证券品种"/>
                    <w:tag w:val="_GBC_be4868957d944cc08bd50f2e77950748"/>
                    <w:id w:val="2472031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32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600036</w:t>
                        </w:r>
                      </w:p>
                    </w:tc>
                  </w:sdtContent>
                </w:sdt>
                <w:sdt>
                  <w:sdtPr>
                    <w:rPr>
                      <w:szCs w:val="21"/>
                    </w:rPr>
                    <w:alias w:val="上市公司证券投资情况明细－证券简称"/>
                    <w:tag w:val="_GBC_c757596d0ee0474e88785fbac61fb370"/>
                    <w:id w:val="2472032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招商银行</w:t>
                        </w:r>
                      </w:p>
                    </w:tc>
                  </w:sdtContent>
                </w:sdt>
                <w:sdt>
                  <w:sdtPr>
                    <w:rPr>
                      <w:kern w:val="21"/>
                      <w:szCs w:val="21"/>
                    </w:rPr>
                    <w:alias w:val="上市公司证券投资情况明细－初始投资金额"/>
                    <w:tag w:val="_GBC_553e635c08c04c19a195d39e89a873f1"/>
                    <w:id w:val="2472032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172,795,460.12</w:t>
                        </w:r>
                      </w:p>
                    </w:tc>
                  </w:sdtContent>
                </w:sdt>
                <w:sdt>
                  <w:sdtPr>
                    <w:rPr>
                      <w:kern w:val="21"/>
                      <w:szCs w:val="21"/>
                    </w:rPr>
                    <w:alias w:val="上市公司证券投资情况明细－持有股份数量"/>
                    <w:tag w:val="_GBC_b202ba551e804f009b4f9c2307ff5763"/>
                    <w:id w:val="2472032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12,482,344</w:t>
                        </w:r>
                      </w:p>
                    </w:tc>
                  </w:sdtContent>
                </w:sdt>
                <w:sdt>
                  <w:sdtPr>
                    <w:rPr>
                      <w:kern w:val="21"/>
                      <w:szCs w:val="21"/>
                    </w:rPr>
                    <w:alias w:val="上市公司证券投资情况明细－账面值"/>
                    <w:tag w:val="_GBC_19260e90342a4719947036e7782fe024"/>
                    <w:id w:val="2472032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233,669,479.68</w:t>
                        </w:r>
                      </w:p>
                    </w:tc>
                  </w:sdtContent>
                </w:sdt>
                <w:sdt>
                  <w:sdtPr>
                    <w:rPr>
                      <w:kern w:val="21"/>
                      <w:szCs w:val="21"/>
                    </w:rPr>
                    <w:alias w:val="上市公司证券投资情况明细－占证券总投资比例"/>
                    <w:tag w:val="_GBC_63bbc49163d348f1989374e488e47d29"/>
                    <w:id w:val="2472032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2.18</w:t>
                        </w:r>
                      </w:p>
                    </w:tc>
                  </w:sdtContent>
                </w:sdt>
                <w:sdt>
                  <w:sdtPr>
                    <w:rPr>
                      <w:kern w:val="21"/>
                      <w:szCs w:val="21"/>
                    </w:rPr>
                    <w:alias w:val="上市公司证券投资情况明细－投资损益"/>
                    <w:tag w:val="_GBC_d1eeb8c066bf4661a80e187e80ac83da"/>
                    <w:id w:val="2472032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30,711,763.83</w:t>
                        </w:r>
                      </w:p>
                    </w:tc>
                  </w:sdtContent>
                </w:sdt>
              </w:tr>
            </w:sdtContent>
          </w:sdt>
          <w:sdt>
            <w:sdtPr>
              <w:rPr>
                <w:rFonts w:hint="eastAsia"/>
                <w:szCs w:val="21"/>
              </w:rPr>
              <w:alias w:val="上市公司证券投资情况明细"/>
              <w:tag w:val="_GBC_861873b442a04185abe26def15bfed66"/>
              <w:id w:val="2472033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328"/>
                      <w:lock w:val="sdtLocked"/>
                    </w:sdtPr>
                    <w:sdtContent>
                      <w:p w:rsidR="00A92A3D" w:rsidRDefault="00A92A3D" w:rsidP="00725F7A">
                        <w:pPr>
                          <w:jc w:val="both"/>
                          <w:rPr>
                            <w:szCs w:val="21"/>
                          </w:rPr>
                        </w:pPr>
                        <w:r>
                          <w:rPr>
                            <w:rFonts w:hint="eastAsia"/>
                            <w:szCs w:val="21"/>
                          </w:rPr>
                          <w:t>7</w:t>
                        </w:r>
                      </w:p>
                    </w:sdtContent>
                  </w:sdt>
                </w:tc>
                <w:sdt>
                  <w:sdtPr>
                    <w:rPr>
                      <w:szCs w:val="21"/>
                    </w:rPr>
                    <w:alias w:val="上市公司证券投资情况明细－证券品种"/>
                    <w:tag w:val="_GBC_be4868957d944cc08bd50f2e77950748"/>
                    <w:id w:val="2472032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可转债</w:t>
                        </w:r>
                      </w:p>
                    </w:tc>
                  </w:sdtContent>
                </w:sdt>
                <w:sdt>
                  <w:sdtPr>
                    <w:rPr>
                      <w:szCs w:val="21"/>
                    </w:rPr>
                    <w:alias w:val="上市公司证券投资情况明细－证券代码"/>
                    <w:tag w:val="_GBC_85e3e1e9dfb747beb2599d2c8cbf928c"/>
                    <w:id w:val="2472033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Chinese Food and Beverage Group   Limited</w:t>
                        </w:r>
                      </w:p>
                    </w:tc>
                  </w:sdtContent>
                </w:sdt>
                <w:sdt>
                  <w:sdtPr>
                    <w:rPr>
                      <w:szCs w:val="21"/>
                    </w:rPr>
                    <w:alias w:val="上市公司证券投资情况明细－证券简称"/>
                    <w:tag w:val="_GBC_c757596d0ee0474e88785fbac61fb370"/>
                    <w:id w:val="2472033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Chinese Food and Beverage Group   Limited</w:t>
                        </w:r>
                      </w:p>
                    </w:tc>
                  </w:sdtContent>
                </w:sdt>
                <w:sdt>
                  <w:sdtPr>
                    <w:rPr>
                      <w:kern w:val="21"/>
                      <w:szCs w:val="21"/>
                    </w:rPr>
                    <w:alias w:val="上市公司证券投资情况明细－初始投资金额"/>
                    <w:tag w:val="_GBC_553e635c08c04c19a195d39e89a873f1"/>
                    <w:id w:val="2472033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152,861,895.15</w:t>
                        </w:r>
                      </w:p>
                    </w:tc>
                  </w:sdtContent>
                </w:sdt>
                <w:sdt>
                  <w:sdtPr>
                    <w:rPr>
                      <w:kern w:val="21"/>
                      <w:szCs w:val="21"/>
                    </w:rPr>
                    <w:alias w:val="上市公司证券投资情况明细－持有股份数量"/>
                    <w:tag w:val="_GBC_b202ba551e804f009b4f9c2307ff5763"/>
                    <w:id w:val="2472033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25,000</w:t>
                        </w:r>
                      </w:p>
                    </w:tc>
                  </w:sdtContent>
                </w:sdt>
                <w:sdt>
                  <w:sdtPr>
                    <w:rPr>
                      <w:kern w:val="21"/>
                      <w:szCs w:val="21"/>
                    </w:rPr>
                    <w:alias w:val="上市公司证券投资情况明细－账面值"/>
                    <w:tag w:val="_GBC_19260e90342a4719947036e7782fe024"/>
                    <w:id w:val="2472033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171,815,584.47</w:t>
                        </w:r>
                      </w:p>
                    </w:tc>
                  </w:sdtContent>
                </w:sdt>
                <w:sdt>
                  <w:sdtPr>
                    <w:rPr>
                      <w:kern w:val="21"/>
                      <w:szCs w:val="21"/>
                    </w:rPr>
                    <w:alias w:val="上市公司证券投资情况明细－占证券总投资比例"/>
                    <w:tag w:val="_GBC_63bbc49163d348f1989374e488e47d29"/>
                    <w:id w:val="2472033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1.60</w:t>
                        </w:r>
                      </w:p>
                    </w:tc>
                  </w:sdtContent>
                </w:sdt>
                <w:sdt>
                  <w:sdtPr>
                    <w:rPr>
                      <w:kern w:val="21"/>
                      <w:szCs w:val="21"/>
                    </w:rPr>
                    <w:alias w:val="上市公司证券投资情况明细－投资损益"/>
                    <w:tag w:val="_GBC_d1eeb8c066bf4661a80e187e80ac83da"/>
                    <w:id w:val="2472033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19,809,707.63</w:t>
                        </w:r>
                      </w:p>
                    </w:tc>
                  </w:sdtContent>
                </w:sdt>
              </w:tr>
            </w:sdtContent>
          </w:sdt>
          <w:sdt>
            <w:sdtPr>
              <w:rPr>
                <w:rFonts w:hint="eastAsia"/>
                <w:szCs w:val="21"/>
              </w:rPr>
              <w:alias w:val="上市公司证券投资情况明细"/>
              <w:tag w:val="_GBC_861873b442a04185abe26def15bfed66"/>
              <w:id w:val="2472034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338"/>
                      <w:lock w:val="sdtLocked"/>
                    </w:sdtPr>
                    <w:sdtContent>
                      <w:p w:rsidR="00A92A3D" w:rsidRDefault="00A92A3D" w:rsidP="00725F7A">
                        <w:pPr>
                          <w:jc w:val="both"/>
                          <w:rPr>
                            <w:szCs w:val="21"/>
                          </w:rPr>
                        </w:pPr>
                        <w:r>
                          <w:rPr>
                            <w:rFonts w:hint="eastAsia"/>
                            <w:szCs w:val="21"/>
                          </w:rPr>
                          <w:t>8</w:t>
                        </w:r>
                      </w:p>
                    </w:sdtContent>
                  </w:sdt>
                </w:tc>
                <w:sdt>
                  <w:sdtPr>
                    <w:rPr>
                      <w:szCs w:val="21"/>
                    </w:rPr>
                    <w:alias w:val="上市公司证券投资情况明细－证券品种"/>
                    <w:tag w:val="_GBC_be4868957d944cc08bd50f2e77950748"/>
                    <w:id w:val="2472033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34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600804</w:t>
                        </w:r>
                      </w:p>
                    </w:tc>
                  </w:sdtContent>
                </w:sdt>
                <w:sdt>
                  <w:sdtPr>
                    <w:rPr>
                      <w:szCs w:val="21"/>
                    </w:rPr>
                    <w:alias w:val="上市公司证券投资情况明细－证券简称"/>
                    <w:tag w:val="_GBC_c757596d0ee0474e88785fbac61fb370"/>
                    <w:id w:val="2472034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鹏博士</w:t>
                        </w:r>
                      </w:p>
                    </w:tc>
                  </w:sdtContent>
                </w:sdt>
                <w:sdt>
                  <w:sdtPr>
                    <w:rPr>
                      <w:kern w:val="21"/>
                      <w:szCs w:val="21"/>
                    </w:rPr>
                    <w:alias w:val="上市公司证券投资情况明细－初始投资金额"/>
                    <w:tag w:val="_GBC_553e635c08c04c19a195d39e89a873f1"/>
                    <w:id w:val="2472034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147,308,689.71</w:t>
                        </w:r>
                      </w:p>
                    </w:tc>
                  </w:sdtContent>
                </w:sdt>
                <w:sdt>
                  <w:sdtPr>
                    <w:rPr>
                      <w:kern w:val="21"/>
                      <w:szCs w:val="21"/>
                    </w:rPr>
                    <w:alias w:val="上市公司证券投资情况明细－持有股份数量"/>
                    <w:tag w:val="_GBC_b202ba551e804f009b4f9c2307ff5763"/>
                    <w:id w:val="2472034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4,815,605</w:t>
                        </w:r>
                      </w:p>
                    </w:tc>
                  </w:sdtContent>
                </w:sdt>
                <w:sdt>
                  <w:sdtPr>
                    <w:rPr>
                      <w:kern w:val="21"/>
                      <w:szCs w:val="21"/>
                    </w:rPr>
                    <w:alias w:val="上市公司证券投资情况明细－账面值"/>
                    <w:tag w:val="_GBC_19260e90342a4719947036e7782fe024"/>
                    <w:id w:val="2472034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143,793,965.30</w:t>
                        </w:r>
                      </w:p>
                    </w:tc>
                  </w:sdtContent>
                </w:sdt>
                <w:sdt>
                  <w:sdtPr>
                    <w:rPr>
                      <w:kern w:val="21"/>
                      <w:szCs w:val="21"/>
                    </w:rPr>
                    <w:alias w:val="上市公司证券投资情况明细－占证券总投资比例"/>
                    <w:tag w:val="_GBC_63bbc49163d348f1989374e488e47d29"/>
                    <w:id w:val="2472034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1.34</w:t>
                        </w:r>
                      </w:p>
                    </w:tc>
                  </w:sdtContent>
                </w:sdt>
                <w:sdt>
                  <w:sdtPr>
                    <w:rPr>
                      <w:kern w:val="21"/>
                      <w:szCs w:val="21"/>
                    </w:rPr>
                    <w:alias w:val="上市公司证券投资情况明细－投资损益"/>
                    <w:tag w:val="_GBC_d1eeb8c066bf4661a80e187e80ac83da"/>
                    <w:id w:val="2472034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-4,030,384.88</w:t>
                        </w:r>
                      </w:p>
                    </w:tc>
                  </w:sdtContent>
                </w:sdt>
              </w:tr>
            </w:sdtContent>
          </w:sdt>
          <w:sdt>
            <w:sdtPr>
              <w:rPr>
                <w:rFonts w:hint="eastAsia"/>
                <w:szCs w:val="21"/>
              </w:rPr>
              <w:alias w:val="上市公司证券投资情况明细"/>
              <w:tag w:val="_GBC_861873b442a04185abe26def15bfed66"/>
              <w:id w:val="2472035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348"/>
                      <w:lock w:val="sdtLocked"/>
                    </w:sdtPr>
                    <w:sdtContent>
                      <w:p w:rsidR="00A92A3D" w:rsidRDefault="00A92A3D" w:rsidP="00725F7A">
                        <w:pPr>
                          <w:jc w:val="both"/>
                          <w:rPr>
                            <w:szCs w:val="21"/>
                          </w:rPr>
                        </w:pPr>
                        <w:r>
                          <w:rPr>
                            <w:rFonts w:hint="eastAsia"/>
                            <w:szCs w:val="21"/>
                          </w:rPr>
                          <w:t>9</w:t>
                        </w:r>
                      </w:p>
                    </w:sdtContent>
                  </w:sdt>
                </w:tc>
                <w:sdt>
                  <w:sdtPr>
                    <w:rPr>
                      <w:szCs w:val="21"/>
                    </w:rPr>
                    <w:alias w:val="上市公司证券投资情况明细－证券品种"/>
                    <w:tag w:val="_GBC_be4868957d944cc08bd50f2e77950748"/>
                    <w:id w:val="2472034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35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002214</w:t>
                        </w:r>
                      </w:p>
                    </w:tc>
                  </w:sdtContent>
                </w:sdt>
                <w:sdt>
                  <w:sdtPr>
                    <w:rPr>
                      <w:szCs w:val="21"/>
                    </w:rPr>
                    <w:alias w:val="上市公司证券投资情况明细－证券简称"/>
                    <w:tag w:val="_GBC_c757596d0ee0474e88785fbac61fb370"/>
                    <w:id w:val="2472035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大立科技</w:t>
                        </w:r>
                      </w:p>
                    </w:tc>
                  </w:sdtContent>
                </w:sdt>
                <w:sdt>
                  <w:sdtPr>
                    <w:rPr>
                      <w:kern w:val="21"/>
                      <w:szCs w:val="21"/>
                    </w:rPr>
                    <w:alias w:val="上市公司证券投资情况明细－初始投资金额"/>
                    <w:tag w:val="_GBC_553e635c08c04c19a195d39e89a873f1"/>
                    <w:id w:val="2472035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147,244,929.18</w:t>
                        </w:r>
                      </w:p>
                    </w:tc>
                  </w:sdtContent>
                </w:sdt>
                <w:sdt>
                  <w:sdtPr>
                    <w:rPr>
                      <w:kern w:val="21"/>
                      <w:szCs w:val="21"/>
                    </w:rPr>
                    <w:alias w:val="上市公司证券投资情况明细－持有股份数量"/>
                    <w:tag w:val="_GBC_b202ba551e804f009b4f9c2307ff5763"/>
                    <w:id w:val="2472035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10,999,912</w:t>
                        </w:r>
                      </w:p>
                    </w:tc>
                  </w:sdtContent>
                </w:sdt>
                <w:sdt>
                  <w:sdtPr>
                    <w:rPr>
                      <w:kern w:val="21"/>
                      <w:szCs w:val="21"/>
                    </w:rPr>
                    <w:alias w:val="上市公司证券投资情况明细－账面值"/>
                    <w:tag w:val="_GBC_19260e90342a4719947036e7782fe024"/>
                    <w:id w:val="2472035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229,898,160.80</w:t>
                        </w:r>
                      </w:p>
                    </w:tc>
                  </w:sdtContent>
                </w:sdt>
                <w:sdt>
                  <w:sdtPr>
                    <w:rPr>
                      <w:kern w:val="21"/>
                      <w:szCs w:val="21"/>
                    </w:rPr>
                    <w:alias w:val="上市公司证券投资情况明细－占证券总投资比例"/>
                    <w:tag w:val="_GBC_63bbc49163d348f1989374e488e47d29"/>
                    <w:id w:val="2472035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2.15</w:t>
                        </w:r>
                      </w:p>
                    </w:tc>
                  </w:sdtContent>
                </w:sdt>
                <w:sdt>
                  <w:sdtPr>
                    <w:rPr>
                      <w:kern w:val="21"/>
                      <w:szCs w:val="21"/>
                    </w:rPr>
                    <w:alias w:val="上市公司证券投资情况明细－投资损益"/>
                    <w:tag w:val="_GBC_d1eeb8c066bf4661a80e187e80ac83da"/>
                    <w:id w:val="2472035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114,030,498.32</w:t>
                        </w:r>
                      </w:p>
                    </w:tc>
                  </w:sdtContent>
                </w:sdt>
              </w:tr>
            </w:sdtContent>
          </w:sdt>
          <w:sdt>
            <w:sdtPr>
              <w:rPr>
                <w:rFonts w:hint="eastAsia"/>
                <w:szCs w:val="21"/>
              </w:rPr>
              <w:alias w:val="上市公司证券投资情况明细"/>
              <w:tag w:val="_GBC_861873b442a04185abe26def15bfed66"/>
              <w:id w:val="24720367"/>
              <w:lock w:val="sdtLocked"/>
            </w:sdtPr>
            <w:sdtEndPr>
              <w:rPr>
                <w:rFonts w:hint="default"/>
                <w:kern w:val="21"/>
              </w:rPr>
            </w:sdtEndPr>
            <w:sdtContent>
              <w:tr w:rsidR="00725F7A" w:rsidTr="00930088">
                <w:trPr>
                  <w:jc w:val="center"/>
                </w:trPr>
                <w:tc>
                  <w:tcPr>
                    <w:tcW w:w="392" w:type="dxa"/>
                    <w:shd w:val="clear" w:color="auto" w:fill="auto"/>
                    <w:vAlign w:val="center"/>
                  </w:tcPr>
                  <w:sdt>
                    <w:sdtPr>
                      <w:rPr>
                        <w:rFonts w:hint="eastAsia"/>
                        <w:szCs w:val="21"/>
                      </w:rPr>
                      <w:tag w:val="_GBC_8733ee94803e4a4e900681aa206a6fe7"/>
                      <w:id w:val="24720358"/>
                      <w:lock w:val="sdtLocked"/>
                    </w:sdtPr>
                    <w:sdtEndPr>
                      <w:rPr>
                        <w:spacing w:val="-20"/>
                      </w:rPr>
                    </w:sdtEndPr>
                    <w:sdtContent>
                      <w:p w:rsidR="00A92A3D" w:rsidRDefault="00A92A3D" w:rsidP="00725F7A">
                        <w:pPr>
                          <w:jc w:val="both"/>
                          <w:rPr>
                            <w:szCs w:val="21"/>
                          </w:rPr>
                        </w:pPr>
                        <w:r w:rsidRPr="00725F7A">
                          <w:rPr>
                            <w:rFonts w:hint="eastAsia"/>
                            <w:spacing w:val="-20"/>
                            <w:szCs w:val="21"/>
                          </w:rPr>
                          <w:t>10</w:t>
                        </w:r>
                      </w:p>
                    </w:sdtContent>
                  </w:sdt>
                </w:tc>
                <w:sdt>
                  <w:sdtPr>
                    <w:rPr>
                      <w:szCs w:val="21"/>
                    </w:rPr>
                    <w:alias w:val="上市公司证券投资情况明细－证券品种"/>
                    <w:tag w:val="_GBC_be4868957d944cc08bd50f2e77950748"/>
                    <w:id w:val="24720359"/>
                    <w:lock w:val="sdtLocked"/>
                  </w:sdtPr>
                  <w:sdtContent>
                    <w:tc>
                      <w:tcPr>
                        <w:tcW w:w="633" w:type="dxa"/>
                        <w:shd w:val="clear" w:color="auto" w:fill="auto"/>
                        <w:tcMar>
                          <w:left w:w="57" w:type="dxa"/>
                          <w:right w:w="57" w:type="dxa"/>
                        </w:tcMar>
                        <w:vAlign w:val="center"/>
                      </w:tcPr>
                      <w:p w:rsidR="00A92A3D" w:rsidRDefault="00A92A3D" w:rsidP="00725F7A">
                        <w:pPr>
                          <w:jc w:val="both"/>
                          <w:rPr>
                            <w:szCs w:val="21"/>
                          </w:rPr>
                        </w:pPr>
                        <w:r>
                          <w:rPr>
                            <w:szCs w:val="21"/>
                          </w:rPr>
                          <w:t>股票</w:t>
                        </w:r>
                      </w:p>
                    </w:tc>
                  </w:sdtContent>
                </w:sdt>
                <w:sdt>
                  <w:sdtPr>
                    <w:rPr>
                      <w:szCs w:val="21"/>
                    </w:rPr>
                    <w:alias w:val="上市公司证券投资情况明细－证券代码"/>
                    <w:tag w:val="_GBC_85e3e1e9dfb747beb2599d2c8cbf928c"/>
                    <w:id w:val="24720360"/>
                    <w:lock w:val="sdtLocked"/>
                  </w:sdtPr>
                  <w:sdtContent>
                    <w:tc>
                      <w:tcPr>
                        <w:tcW w:w="850" w:type="dxa"/>
                        <w:shd w:val="clear" w:color="auto" w:fill="auto"/>
                        <w:tcMar>
                          <w:left w:w="57" w:type="dxa"/>
                          <w:right w:w="57" w:type="dxa"/>
                        </w:tcMar>
                        <w:vAlign w:val="center"/>
                      </w:tcPr>
                      <w:p w:rsidR="00A92A3D" w:rsidRDefault="00A92A3D" w:rsidP="00725F7A">
                        <w:pPr>
                          <w:jc w:val="both"/>
                          <w:rPr>
                            <w:szCs w:val="21"/>
                          </w:rPr>
                        </w:pPr>
                        <w:r>
                          <w:rPr>
                            <w:szCs w:val="21"/>
                          </w:rPr>
                          <w:t>600016</w:t>
                        </w:r>
                      </w:p>
                    </w:tc>
                  </w:sdtContent>
                </w:sdt>
                <w:sdt>
                  <w:sdtPr>
                    <w:rPr>
                      <w:szCs w:val="21"/>
                    </w:rPr>
                    <w:alias w:val="上市公司证券投资情况明细－证券简称"/>
                    <w:tag w:val="_GBC_c757596d0ee0474e88785fbac61fb370"/>
                    <w:id w:val="24720361"/>
                    <w:lock w:val="sdtLocked"/>
                  </w:sdtPr>
                  <w:sdtContent>
                    <w:tc>
                      <w:tcPr>
                        <w:tcW w:w="992" w:type="dxa"/>
                        <w:shd w:val="clear" w:color="auto" w:fill="auto"/>
                        <w:tcMar>
                          <w:left w:w="57" w:type="dxa"/>
                          <w:right w:w="57" w:type="dxa"/>
                        </w:tcMar>
                        <w:vAlign w:val="center"/>
                      </w:tcPr>
                      <w:p w:rsidR="00A92A3D" w:rsidRDefault="00A92A3D" w:rsidP="00725F7A">
                        <w:pPr>
                          <w:jc w:val="both"/>
                          <w:rPr>
                            <w:szCs w:val="21"/>
                          </w:rPr>
                        </w:pPr>
                        <w:r>
                          <w:rPr>
                            <w:szCs w:val="21"/>
                          </w:rPr>
                          <w:t>民生银行</w:t>
                        </w:r>
                      </w:p>
                    </w:tc>
                  </w:sdtContent>
                </w:sdt>
                <w:sdt>
                  <w:sdtPr>
                    <w:rPr>
                      <w:kern w:val="21"/>
                      <w:szCs w:val="21"/>
                    </w:rPr>
                    <w:alias w:val="上市公司证券投资情况明细－初始投资金额"/>
                    <w:tag w:val="_GBC_553e635c08c04c19a195d39e89a873f1"/>
                    <w:id w:val="24720362"/>
                    <w:lock w:val="sdtLocked"/>
                  </w:sdtPr>
                  <w:sdtContent>
                    <w:tc>
                      <w:tcPr>
                        <w:tcW w:w="1701" w:type="dxa"/>
                        <w:shd w:val="clear" w:color="auto" w:fill="auto"/>
                        <w:tcMar>
                          <w:left w:w="6" w:type="dxa"/>
                          <w:right w:w="6" w:type="dxa"/>
                        </w:tcMar>
                        <w:vAlign w:val="center"/>
                      </w:tcPr>
                      <w:p w:rsidR="00A92A3D" w:rsidRPr="00930088" w:rsidRDefault="00A92A3D" w:rsidP="00725F7A">
                        <w:pPr>
                          <w:jc w:val="right"/>
                          <w:rPr>
                            <w:kern w:val="21"/>
                            <w:szCs w:val="21"/>
                          </w:rPr>
                        </w:pPr>
                        <w:r w:rsidRPr="00930088">
                          <w:rPr>
                            <w:kern w:val="21"/>
                            <w:szCs w:val="21"/>
                          </w:rPr>
                          <w:t>146,945,637.14</w:t>
                        </w:r>
                      </w:p>
                    </w:tc>
                  </w:sdtContent>
                </w:sdt>
                <w:sdt>
                  <w:sdtPr>
                    <w:rPr>
                      <w:kern w:val="21"/>
                      <w:szCs w:val="21"/>
                    </w:rPr>
                    <w:alias w:val="上市公司证券投资情况明细－持有股份数量"/>
                    <w:tag w:val="_GBC_b202ba551e804f009b4f9c2307ff5763"/>
                    <w:id w:val="24720363"/>
                    <w:lock w:val="sdtLocked"/>
                  </w:sdtPr>
                  <w:sdtContent>
                    <w:tc>
                      <w:tcPr>
                        <w:tcW w:w="1276"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17,678,501</w:t>
                        </w:r>
                      </w:p>
                    </w:tc>
                  </w:sdtContent>
                </w:sdt>
                <w:sdt>
                  <w:sdtPr>
                    <w:rPr>
                      <w:kern w:val="21"/>
                      <w:szCs w:val="21"/>
                    </w:rPr>
                    <w:alias w:val="上市公司证券投资情况明细－账面值"/>
                    <w:tag w:val="_GBC_19260e90342a4719947036e7782fe024"/>
                    <w:id w:val="24720364"/>
                    <w:lock w:val="sdtLocked"/>
                  </w:sdtPr>
                  <w:sdtContent>
                    <w:tc>
                      <w:tcPr>
                        <w:tcW w:w="1843" w:type="dxa"/>
                        <w:shd w:val="clear" w:color="auto" w:fill="auto"/>
                        <w:tcMar>
                          <w:left w:w="57" w:type="dxa"/>
                          <w:right w:w="57" w:type="dxa"/>
                        </w:tcMar>
                        <w:vAlign w:val="center"/>
                      </w:tcPr>
                      <w:p w:rsidR="00A92A3D" w:rsidRPr="00930088" w:rsidRDefault="00A92A3D" w:rsidP="00CB3294">
                        <w:pPr>
                          <w:ind w:leftChars="50" w:left="105"/>
                          <w:jc w:val="right"/>
                          <w:rPr>
                            <w:kern w:val="21"/>
                            <w:szCs w:val="21"/>
                          </w:rPr>
                        </w:pPr>
                        <w:r w:rsidRPr="00930088">
                          <w:rPr>
                            <w:kern w:val="21"/>
                            <w:szCs w:val="21"/>
                          </w:rPr>
                          <w:t>175,724,299.94</w:t>
                        </w:r>
                      </w:p>
                    </w:tc>
                  </w:sdtContent>
                </w:sdt>
                <w:sdt>
                  <w:sdtPr>
                    <w:rPr>
                      <w:kern w:val="21"/>
                      <w:szCs w:val="21"/>
                    </w:rPr>
                    <w:alias w:val="上市公司证券投资情况明细－占证券总投资比例"/>
                    <w:tag w:val="_GBC_63bbc49163d348f1989374e488e47d29"/>
                    <w:id w:val="24720365"/>
                    <w:lock w:val="sdtLocked"/>
                  </w:sdtPr>
                  <w:sdtContent>
                    <w:tc>
                      <w:tcPr>
                        <w:tcW w:w="709"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1.64</w:t>
                        </w:r>
                      </w:p>
                    </w:tc>
                  </w:sdtContent>
                </w:sdt>
                <w:sdt>
                  <w:sdtPr>
                    <w:rPr>
                      <w:kern w:val="21"/>
                      <w:szCs w:val="21"/>
                    </w:rPr>
                    <w:alias w:val="上市公司证券投资情况明细－投资损益"/>
                    <w:tag w:val="_GBC_d1eeb8c066bf4661a80e187e80ac83da"/>
                    <w:id w:val="24720366"/>
                    <w:lock w:val="sdtLocked"/>
                  </w:sdtPr>
                  <w:sdtContent>
                    <w:tc>
                      <w:tcPr>
                        <w:tcW w:w="1701" w:type="dxa"/>
                        <w:shd w:val="clear" w:color="auto" w:fill="auto"/>
                        <w:tcMar>
                          <w:left w:w="57" w:type="dxa"/>
                          <w:right w:w="57" w:type="dxa"/>
                        </w:tcMar>
                        <w:vAlign w:val="center"/>
                      </w:tcPr>
                      <w:p w:rsidR="00A92A3D" w:rsidRPr="00930088" w:rsidRDefault="00A92A3D" w:rsidP="00725F7A">
                        <w:pPr>
                          <w:jc w:val="right"/>
                          <w:rPr>
                            <w:kern w:val="21"/>
                            <w:szCs w:val="21"/>
                          </w:rPr>
                        </w:pPr>
                        <w:r w:rsidRPr="00930088">
                          <w:rPr>
                            <w:kern w:val="21"/>
                            <w:szCs w:val="21"/>
                          </w:rPr>
                          <w:t>-11,028,866.83</w:t>
                        </w:r>
                      </w:p>
                    </w:tc>
                  </w:sdtContent>
                </w:sdt>
              </w:tr>
            </w:sdtContent>
          </w:sdt>
          <w:tr w:rsidR="00725F7A" w:rsidTr="00930088">
            <w:trPr>
              <w:jc w:val="center"/>
            </w:trPr>
            <w:tc>
              <w:tcPr>
                <w:tcW w:w="2867" w:type="dxa"/>
                <w:gridSpan w:val="4"/>
                <w:shd w:val="clear" w:color="auto" w:fill="auto"/>
              </w:tcPr>
              <w:p w:rsidR="00A92A3D" w:rsidRDefault="00A92A3D" w:rsidP="00A92A3D">
                <w:pPr>
                  <w:rPr>
                    <w:szCs w:val="21"/>
                  </w:rPr>
                </w:pPr>
                <w:r>
                  <w:rPr>
                    <w:szCs w:val="21"/>
                  </w:rPr>
                  <w:t>期末持有的其他证券投资</w:t>
                </w:r>
              </w:p>
            </w:tc>
            <w:sdt>
              <w:sdtPr>
                <w:rPr>
                  <w:szCs w:val="21"/>
                </w:rPr>
                <w:alias w:val="公司持有的除前十只股票以外的其他证券投资的初始投资成本合计"/>
                <w:tag w:val="_GBC_86fa925d2b8d478c9eee8db6d3dbf273"/>
                <w:id w:val="24720368"/>
                <w:lock w:val="sdtLocked"/>
              </w:sdtPr>
              <w:sdtContent>
                <w:tc>
                  <w:tcPr>
                    <w:tcW w:w="1701" w:type="dxa"/>
                    <w:shd w:val="clear" w:color="auto" w:fill="auto"/>
                    <w:tcMar>
                      <w:left w:w="6" w:type="dxa"/>
                      <w:right w:w="6" w:type="dxa"/>
                    </w:tcMar>
                    <w:vAlign w:val="center"/>
                  </w:tcPr>
                  <w:p w:rsidR="00A92A3D" w:rsidRPr="00930088" w:rsidRDefault="001C3A6E" w:rsidP="000740C7">
                    <w:pPr>
                      <w:jc w:val="right"/>
                      <w:rPr>
                        <w:color w:val="008000"/>
                        <w:szCs w:val="21"/>
                      </w:rPr>
                    </w:pPr>
                    <w:r w:rsidRPr="00930088">
                      <w:rPr>
                        <w:szCs w:val="21"/>
                      </w:rPr>
                      <w:t>5,923,267,639.43</w:t>
                    </w:r>
                  </w:p>
                </w:tc>
              </w:sdtContent>
            </w:sdt>
            <w:tc>
              <w:tcPr>
                <w:tcW w:w="1276" w:type="dxa"/>
                <w:shd w:val="clear" w:color="auto" w:fill="auto"/>
                <w:tcMar>
                  <w:left w:w="6" w:type="dxa"/>
                  <w:right w:w="6" w:type="dxa"/>
                </w:tcMar>
                <w:vAlign w:val="center"/>
              </w:tcPr>
              <w:p w:rsidR="00A92A3D" w:rsidRPr="00930088" w:rsidRDefault="00A92A3D" w:rsidP="000740C7">
                <w:pPr>
                  <w:jc w:val="right"/>
                  <w:rPr>
                    <w:szCs w:val="21"/>
                  </w:rPr>
                </w:pPr>
                <w:r w:rsidRPr="00930088">
                  <w:rPr>
                    <w:szCs w:val="21"/>
                  </w:rPr>
                  <w:t>/</w:t>
                </w:r>
              </w:p>
            </w:tc>
            <w:sdt>
              <w:sdtPr>
                <w:rPr>
                  <w:szCs w:val="21"/>
                </w:rPr>
                <w:alias w:val="公司持有的除前十只股票以外的其他证券投资的账面价值合计"/>
                <w:tag w:val="_GBC_d1b63a5a110b4619add84540e3d4ce02"/>
                <w:id w:val="24720369"/>
                <w:lock w:val="sdtLocked"/>
              </w:sdtPr>
              <w:sdtContent>
                <w:tc>
                  <w:tcPr>
                    <w:tcW w:w="1843" w:type="dxa"/>
                    <w:shd w:val="clear" w:color="auto" w:fill="auto"/>
                    <w:tcMar>
                      <w:left w:w="6" w:type="dxa"/>
                      <w:right w:w="6" w:type="dxa"/>
                    </w:tcMar>
                    <w:vAlign w:val="center"/>
                  </w:tcPr>
                  <w:p w:rsidR="00A92A3D" w:rsidRPr="00930088" w:rsidRDefault="001C3A6E" w:rsidP="000740C7">
                    <w:pPr>
                      <w:jc w:val="right"/>
                      <w:rPr>
                        <w:color w:val="008000"/>
                        <w:szCs w:val="21"/>
                      </w:rPr>
                    </w:pPr>
                    <w:r w:rsidRPr="00930088">
                      <w:rPr>
                        <w:szCs w:val="21"/>
                      </w:rPr>
                      <w:t>7,836,333,362.47</w:t>
                    </w:r>
                  </w:p>
                </w:tc>
              </w:sdtContent>
            </w:sdt>
            <w:sdt>
              <w:sdtPr>
                <w:rPr>
                  <w:szCs w:val="21"/>
                </w:rPr>
                <w:alias w:val="公司持有的除前十只股票以外的其他证券投资占证券总投资比例合计"/>
                <w:tag w:val="_GBC_67826754f8ec47ea980516144e59a697"/>
                <w:id w:val="24720370"/>
                <w:lock w:val="sdtLocked"/>
              </w:sdtPr>
              <w:sdtContent>
                <w:tc>
                  <w:tcPr>
                    <w:tcW w:w="709" w:type="dxa"/>
                    <w:shd w:val="clear" w:color="auto" w:fill="auto"/>
                    <w:tcMar>
                      <w:left w:w="6" w:type="dxa"/>
                      <w:right w:w="6" w:type="dxa"/>
                    </w:tcMar>
                    <w:vAlign w:val="center"/>
                  </w:tcPr>
                  <w:p w:rsidR="00A92A3D" w:rsidRPr="00930088" w:rsidRDefault="001C3A6E" w:rsidP="000740C7">
                    <w:pPr>
                      <w:jc w:val="right"/>
                      <w:rPr>
                        <w:color w:val="008000"/>
                        <w:szCs w:val="21"/>
                      </w:rPr>
                    </w:pPr>
                    <w:r w:rsidRPr="00930088">
                      <w:rPr>
                        <w:szCs w:val="21"/>
                      </w:rPr>
                      <w:t>73.13</w:t>
                    </w:r>
                  </w:p>
                </w:tc>
              </w:sdtContent>
            </w:sdt>
            <w:sdt>
              <w:sdtPr>
                <w:rPr>
                  <w:szCs w:val="21"/>
                </w:rPr>
                <w:alias w:val="公司持有的除前十只股票以外的其他证券投资的损益"/>
                <w:tag w:val="_GBC_29c134480dc44d368124813c61e6e7b4"/>
                <w:id w:val="24720371"/>
                <w:lock w:val="sdtLocked"/>
              </w:sdtPr>
              <w:sdtContent>
                <w:tc>
                  <w:tcPr>
                    <w:tcW w:w="1701" w:type="dxa"/>
                    <w:shd w:val="clear" w:color="auto" w:fill="auto"/>
                    <w:tcMar>
                      <w:left w:w="6" w:type="dxa"/>
                      <w:right w:w="6" w:type="dxa"/>
                    </w:tcMar>
                    <w:vAlign w:val="center"/>
                  </w:tcPr>
                  <w:p w:rsidR="00A92A3D" w:rsidRPr="00930088" w:rsidRDefault="001C3A6E" w:rsidP="000740C7">
                    <w:pPr>
                      <w:jc w:val="right"/>
                      <w:rPr>
                        <w:color w:val="008000"/>
                        <w:szCs w:val="21"/>
                      </w:rPr>
                    </w:pPr>
                    <w:r w:rsidRPr="00930088">
                      <w:rPr>
                        <w:szCs w:val="21"/>
                      </w:rPr>
                      <w:t>1,991,297,171.78</w:t>
                    </w:r>
                  </w:p>
                </w:tc>
              </w:sdtContent>
            </w:sdt>
          </w:tr>
          <w:tr w:rsidR="00725F7A" w:rsidTr="00930088">
            <w:trPr>
              <w:jc w:val="center"/>
            </w:trPr>
            <w:tc>
              <w:tcPr>
                <w:tcW w:w="2867" w:type="dxa"/>
                <w:gridSpan w:val="4"/>
                <w:shd w:val="clear" w:color="auto" w:fill="auto"/>
              </w:tcPr>
              <w:p w:rsidR="00A92A3D" w:rsidRDefault="00A92A3D" w:rsidP="00A92A3D">
                <w:pPr>
                  <w:rPr>
                    <w:szCs w:val="21"/>
                  </w:rPr>
                </w:pPr>
                <w:r>
                  <w:rPr>
                    <w:rFonts w:hint="eastAsia"/>
                    <w:color w:val="000000"/>
                    <w:szCs w:val="21"/>
                  </w:rPr>
                  <w:t>报告期已出售证券投资损益</w:t>
                </w:r>
              </w:p>
            </w:tc>
            <w:tc>
              <w:tcPr>
                <w:tcW w:w="1701" w:type="dxa"/>
                <w:shd w:val="clear" w:color="auto" w:fill="auto"/>
                <w:tcMar>
                  <w:left w:w="6" w:type="dxa"/>
                  <w:right w:w="6" w:type="dxa"/>
                </w:tcMar>
                <w:vAlign w:val="center"/>
              </w:tcPr>
              <w:p w:rsidR="00A92A3D" w:rsidRPr="00930088" w:rsidRDefault="00A92A3D" w:rsidP="000740C7">
                <w:pPr>
                  <w:jc w:val="right"/>
                  <w:rPr>
                    <w:szCs w:val="21"/>
                  </w:rPr>
                </w:pPr>
                <w:r w:rsidRPr="00930088">
                  <w:rPr>
                    <w:szCs w:val="21"/>
                  </w:rPr>
                  <w:t>/</w:t>
                </w:r>
              </w:p>
            </w:tc>
            <w:tc>
              <w:tcPr>
                <w:tcW w:w="1276" w:type="dxa"/>
                <w:shd w:val="clear" w:color="auto" w:fill="auto"/>
                <w:tcMar>
                  <w:left w:w="6" w:type="dxa"/>
                  <w:right w:w="6" w:type="dxa"/>
                </w:tcMar>
                <w:vAlign w:val="center"/>
              </w:tcPr>
              <w:p w:rsidR="00A92A3D" w:rsidRPr="00930088" w:rsidRDefault="00A92A3D" w:rsidP="000740C7">
                <w:pPr>
                  <w:jc w:val="right"/>
                  <w:rPr>
                    <w:szCs w:val="21"/>
                  </w:rPr>
                </w:pPr>
                <w:r w:rsidRPr="00930088">
                  <w:rPr>
                    <w:szCs w:val="21"/>
                  </w:rPr>
                  <w:t>/</w:t>
                </w:r>
              </w:p>
            </w:tc>
            <w:tc>
              <w:tcPr>
                <w:tcW w:w="1843" w:type="dxa"/>
                <w:shd w:val="clear" w:color="auto" w:fill="auto"/>
                <w:tcMar>
                  <w:left w:w="6" w:type="dxa"/>
                  <w:right w:w="6" w:type="dxa"/>
                </w:tcMar>
                <w:vAlign w:val="center"/>
              </w:tcPr>
              <w:p w:rsidR="00A92A3D" w:rsidRPr="00930088" w:rsidRDefault="00A92A3D" w:rsidP="000740C7">
                <w:pPr>
                  <w:jc w:val="right"/>
                  <w:rPr>
                    <w:szCs w:val="21"/>
                  </w:rPr>
                </w:pPr>
                <w:r w:rsidRPr="00930088">
                  <w:rPr>
                    <w:szCs w:val="21"/>
                  </w:rPr>
                  <w:t>/</w:t>
                </w:r>
              </w:p>
            </w:tc>
            <w:tc>
              <w:tcPr>
                <w:tcW w:w="709" w:type="dxa"/>
                <w:tcBorders>
                  <w:bottom w:val="single" w:sz="4" w:space="0" w:color="auto"/>
                </w:tcBorders>
                <w:shd w:val="clear" w:color="auto" w:fill="auto"/>
                <w:tcMar>
                  <w:left w:w="6" w:type="dxa"/>
                  <w:right w:w="6" w:type="dxa"/>
                </w:tcMar>
                <w:vAlign w:val="center"/>
              </w:tcPr>
              <w:p w:rsidR="00A92A3D" w:rsidRPr="00930088" w:rsidRDefault="00A92A3D" w:rsidP="000740C7">
                <w:pPr>
                  <w:jc w:val="right"/>
                  <w:rPr>
                    <w:szCs w:val="21"/>
                  </w:rPr>
                </w:pPr>
                <w:r w:rsidRPr="00930088">
                  <w:rPr>
                    <w:szCs w:val="21"/>
                  </w:rPr>
                  <w:t>/</w:t>
                </w:r>
              </w:p>
            </w:tc>
            <w:sdt>
              <w:sdtPr>
                <w:rPr>
                  <w:szCs w:val="21"/>
                </w:rPr>
                <w:alias w:val="已出售证券投资损益"/>
                <w:tag w:val="_GBC_337b6887658f49e482f76410b0eda508"/>
                <w:id w:val="24720372"/>
                <w:lock w:val="sdtLocked"/>
              </w:sdtPr>
              <w:sdtContent>
                <w:tc>
                  <w:tcPr>
                    <w:tcW w:w="1701" w:type="dxa"/>
                    <w:shd w:val="clear" w:color="auto" w:fill="auto"/>
                    <w:tcMar>
                      <w:left w:w="6" w:type="dxa"/>
                      <w:right w:w="6" w:type="dxa"/>
                    </w:tcMar>
                    <w:vAlign w:val="center"/>
                  </w:tcPr>
                  <w:p w:rsidR="00A92A3D" w:rsidRPr="00930088" w:rsidRDefault="001C3A6E" w:rsidP="000740C7">
                    <w:pPr>
                      <w:jc w:val="right"/>
                      <w:rPr>
                        <w:color w:val="008000"/>
                        <w:szCs w:val="21"/>
                      </w:rPr>
                    </w:pPr>
                    <w:r w:rsidRPr="00930088">
                      <w:rPr>
                        <w:szCs w:val="21"/>
                      </w:rPr>
                      <w:t>275,737,037.94</w:t>
                    </w:r>
                  </w:p>
                </w:tc>
              </w:sdtContent>
            </w:sdt>
          </w:tr>
          <w:tr w:rsidR="00725F7A" w:rsidTr="00930088">
            <w:trPr>
              <w:jc w:val="center"/>
            </w:trPr>
            <w:tc>
              <w:tcPr>
                <w:tcW w:w="2867" w:type="dxa"/>
                <w:gridSpan w:val="4"/>
                <w:shd w:val="clear" w:color="auto" w:fill="auto"/>
                <w:vAlign w:val="center"/>
              </w:tcPr>
              <w:p w:rsidR="00A92A3D" w:rsidRDefault="00A92A3D" w:rsidP="00A92A3D">
                <w:pPr>
                  <w:jc w:val="center"/>
                  <w:rPr>
                    <w:szCs w:val="21"/>
                  </w:rPr>
                </w:pPr>
                <w:r>
                  <w:rPr>
                    <w:szCs w:val="21"/>
                  </w:rPr>
                  <w:t>合计</w:t>
                </w:r>
              </w:p>
            </w:tc>
            <w:sdt>
              <w:sdtPr>
                <w:rPr>
                  <w:szCs w:val="21"/>
                </w:rPr>
                <w:alias w:val="证券投资初始投资金额合计"/>
                <w:tag w:val="_GBC_4d3517549c654bf4b4cb83087687e780"/>
                <w:id w:val="24720373"/>
                <w:lock w:val="sdtLocked"/>
              </w:sdtPr>
              <w:sdtContent>
                <w:tc>
                  <w:tcPr>
                    <w:tcW w:w="1701" w:type="dxa"/>
                    <w:shd w:val="clear" w:color="auto" w:fill="auto"/>
                    <w:tcMar>
                      <w:left w:w="6" w:type="dxa"/>
                      <w:right w:w="6" w:type="dxa"/>
                    </w:tcMar>
                  </w:tcPr>
                  <w:p w:rsidR="00A92A3D" w:rsidRPr="00930088" w:rsidRDefault="001C3A6E" w:rsidP="00A92A3D">
                    <w:pPr>
                      <w:jc w:val="right"/>
                      <w:rPr>
                        <w:color w:val="008000"/>
                        <w:szCs w:val="21"/>
                      </w:rPr>
                    </w:pPr>
                    <w:r w:rsidRPr="00930088">
                      <w:rPr>
                        <w:szCs w:val="21"/>
                      </w:rPr>
                      <w:t>8,189,423,555.60</w:t>
                    </w:r>
                  </w:p>
                </w:tc>
              </w:sdtContent>
            </w:sdt>
            <w:tc>
              <w:tcPr>
                <w:tcW w:w="1276" w:type="dxa"/>
                <w:shd w:val="clear" w:color="auto" w:fill="auto"/>
                <w:tcMar>
                  <w:left w:w="6" w:type="dxa"/>
                  <w:right w:w="6" w:type="dxa"/>
                </w:tcMar>
              </w:tcPr>
              <w:p w:rsidR="00A92A3D" w:rsidRPr="00930088" w:rsidRDefault="00A92A3D" w:rsidP="00A92A3D">
                <w:pPr>
                  <w:jc w:val="center"/>
                  <w:rPr>
                    <w:szCs w:val="21"/>
                  </w:rPr>
                </w:pPr>
                <w:r w:rsidRPr="00930088">
                  <w:rPr>
                    <w:szCs w:val="21"/>
                  </w:rPr>
                  <w:t>/</w:t>
                </w:r>
              </w:p>
            </w:tc>
            <w:sdt>
              <w:sdtPr>
                <w:rPr>
                  <w:szCs w:val="21"/>
                </w:rPr>
                <w:alias w:val="证券投资账面价值合计"/>
                <w:tag w:val="_GBC_69db21cdaf6446e686e8d550590d3eef"/>
                <w:id w:val="24720374"/>
                <w:lock w:val="sdtLocked"/>
              </w:sdtPr>
              <w:sdtContent>
                <w:tc>
                  <w:tcPr>
                    <w:tcW w:w="1843" w:type="dxa"/>
                    <w:shd w:val="clear" w:color="auto" w:fill="auto"/>
                    <w:tcMar>
                      <w:left w:w="6" w:type="dxa"/>
                      <w:right w:w="6" w:type="dxa"/>
                    </w:tcMar>
                  </w:tcPr>
                  <w:p w:rsidR="00A92A3D" w:rsidRPr="00930088" w:rsidRDefault="001C3A6E" w:rsidP="00A92A3D">
                    <w:pPr>
                      <w:jc w:val="right"/>
                      <w:rPr>
                        <w:color w:val="008000"/>
                        <w:szCs w:val="21"/>
                      </w:rPr>
                    </w:pPr>
                    <w:r w:rsidRPr="00930088">
                      <w:rPr>
                        <w:szCs w:val="21"/>
                      </w:rPr>
                      <w:t>10,716,416,917.14</w:t>
                    </w:r>
                  </w:p>
                </w:tc>
              </w:sdtContent>
            </w:sdt>
            <w:tc>
              <w:tcPr>
                <w:tcW w:w="709" w:type="dxa"/>
                <w:shd w:val="clear" w:color="auto" w:fill="auto"/>
                <w:tcMar>
                  <w:left w:w="6" w:type="dxa"/>
                  <w:right w:w="6" w:type="dxa"/>
                </w:tcMar>
              </w:tcPr>
              <w:p w:rsidR="00A92A3D" w:rsidRPr="00930088" w:rsidRDefault="00A92A3D" w:rsidP="0037192A">
                <w:pPr>
                  <w:jc w:val="center"/>
                  <w:rPr>
                    <w:szCs w:val="21"/>
                  </w:rPr>
                </w:pPr>
                <w:r w:rsidRPr="00930088">
                  <w:rPr>
                    <w:rFonts w:hint="eastAsia"/>
                    <w:color w:val="000000"/>
                    <w:szCs w:val="21"/>
                  </w:rPr>
                  <w:t>100</w:t>
                </w:r>
              </w:p>
            </w:tc>
            <w:sdt>
              <w:sdtPr>
                <w:rPr>
                  <w:szCs w:val="21"/>
                </w:rPr>
                <w:alias w:val="证券投资损益合计"/>
                <w:tag w:val="_GBC_6032de4f1a3b41a4b4ccef0a7cb2cb84"/>
                <w:id w:val="24720375"/>
                <w:lock w:val="sdtLocked"/>
              </w:sdtPr>
              <w:sdtContent>
                <w:tc>
                  <w:tcPr>
                    <w:tcW w:w="1701" w:type="dxa"/>
                    <w:shd w:val="clear" w:color="auto" w:fill="auto"/>
                    <w:tcMar>
                      <w:left w:w="6" w:type="dxa"/>
                      <w:right w:w="6" w:type="dxa"/>
                    </w:tcMar>
                  </w:tcPr>
                  <w:p w:rsidR="00A92A3D" w:rsidRPr="00930088" w:rsidRDefault="001C3A6E" w:rsidP="00A92A3D">
                    <w:pPr>
                      <w:jc w:val="right"/>
                      <w:rPr>
                        <w:color w:val="008000"/>
                        <w:szCs w:val="21"/>
                      </w:rPr>
                    </w:pPr>
                    <w:r w:rsidRPr="00930088">
                      <w:rPr>
                        <w:szCs w:val="21"/>
                      </w:rPr>
                      <w:t>3,048,236,649.21</w:t>
                    </w:r>
                  </w:p>
                </w:tc>
              </w:sdtContent>
            </w:sdt>
          </w:tr>
        </w:tbl>
        <w:p w:rsidR="00704CAD" w:rsidRDefault="00720895">
          <w:pPr>
            <w:rPr>
              <w:szCs w:val="21"/>
            </w:rPr>
          </w:pPr>
          <w:r>
            <w:rPr>
              <w:szCs w:val="21"/>
            </w:rPr>
            <w:t>证券投资情况的说明</w:t>
          </w:r>
        </w:p>
        <w:sdt>
          <w:sdtPr>
            <w:rPr>
              <w:rFonts w:hint="eastAsia"/>
            </w:rPr>
            <w:alias w:val="证券投资情况的说明"/>
            <w:tag w:val="_GBC_943f824432ea4e3fb4cfa3ee95906a71"/>
            <w:id w:val="24720376"/>
            <w:lock w:val="sdtLocked"/>
            <w:placeholder>
              <w:docPart w:val="GBC22222222222222222222222222222"/>
            </w:placeholder>
          </w:sdtPr>
          <w:sdtContent>
            <w:p w:rsidR="00A543B7" w:rsidRDefault="00A543B7" w:rsidP="00A504A0">
              <w:pPr>
                <w:autoSpaceDE w:val="0"/>
                <w:autoSpaceDN w:val="0"/>
                <w:adjustRightInd w:val="0"/>
                <w:rPr>
                  <w:rFonts w:hAnsi="Calibri"/>
                  <w:szCs w:val="21"/>
                </w:rPr>
              </w:pPr>
              <w:r>
                <w:rPr>
                  <w:rFonts w:hAnsi="Calibri" w:hint="eastAsia"/>
                  <w:szCs w:val="21"/>
                </w:rPr>
                <w:t>1、本表中证券投资数据为交易性金融资产中的股票投资</w:t>
              </w:r>
              <w:r w:rsidR="004B7281" w:rsidRPr="00197868">
                <w:rPr>
                  <w:rFonts w:hAnsi="Calibri"/>
                  <w:szCs w:val="21"/>
                </w:rPr>
                <w:t>（不含权益互换业务）</w:t>
              </w:r>
              <w:r>
                <w:rPr>
                  <w:rFonts w:hAnsi="Calibri" w:hint="eastAsia"/>
                  <w:szCs w:val="21"/>
                </w:rPr>
                <w:t>和权证、可转债投资；</w:t>
              </w:r>
            </w:p>
            <w:p w:rsidR="005F4D93" w:rsidRDefault="00A543B7" w:rsidP="00A504A0">
              <w:pPr>
                <w:rPr>
                  <w:rFonts w:hAnsi="Calibri"/>
                  <w:szCs w:val="21"/>
                </w:rPr>
              </w:pPr>
              <w:r>
                <w:rPr>
                  <w:rFonts w:hAnsi="Calibri" w:hint="eastAsia"/>
                  <w:szCs w:val="21"/>
                </w:rPr>
                <w:t>2、本表报告期损益，指该证券在报告期形成的投资收益及公允价值变动损益</w:t>
              </w:r>
              <w:r w:rsidR="00197868">
                <w:rPr>
                  <w:rFonts w:hAnsi="Calibri" w:hint="eastAsia"/>
                  <w:szCs w:val="21"/>
                </w:rPr>
                <w:t>；</w:t>
              </w:r>
            </w:p>
            <w:p w:rsidR="00704CAD" w:rsidRDefault="00422DCA" w:rsidP="00DF0018">
              <w:pPr>
                <w:spacing w:line="360" w:lineRule="exact"/>
                <w:rPr>
                  <w:szCs w:val="21"/>
                </w:rPr>
              </w:pPr>
            </w:p>
          </w:sdtContent>
        </w:sdt>
      </w:sdtContent>
    </w:sdt>
    <w:sdt>
      <w:sdtPr>
        <w:rPr>
          <w:rFonts w:ascii="宋体" w:hAnsi="宋体" w:cs="宋体" w:hint="eastAsia"/>
          <w:b w:val="0"/>
          <w:bCs w:val="0"/>
          <w:kern w:val="0"/>
          <w:sz w:val="24"/>
          <w:szCs w:val="21"/>
        </w:rPr>
        <w:tag w:val="_GBC_468d502bfe9f4715bb044736993638f3"/>
        <w:id w:val="24720506"/>
        <w:lock w:val="sdtLocked"/>
        <w:placeholder>
          <w:docPart w:val="GBC22222222222222222222222222222"/>
        </w:placeholder>
      </w:sdtPr>
      <w:sdtEndPr>
        <w:rPr>
          <w:sz w:val="21"/>
          <w:szCs w:val="24"/>
        </w:rPr>
      </w:sdtEndPr>
      <w:sdtContent>
        <w:bookmarkEnd w:id="32" w:displacedByCustomXml="prev"/>
        <w:bookmarkEnd w:id="31" w:displacedByCustomXml="prev"/>
        <w:p w:rsidR="00704CAD" w:rsidRDefault="00720895" w:rsidP="009950AC">
          <w:pPr>
            <w:pStyle w:val="5"/>
            <w:numPr>
              <w:ilvl w:val="0"/>
              <w:numId w:val="17"/>
            </w:numPr>
            <w:rPr>
              <w:bCs w:val="0"/>
              <w:szCs w:val="21"/>
            </w:rPr>
          </w:pPr>
          <w:r>
            <w:rPr>
              <w:rFonts w:hint="eastAsia"/>
              <w:bCs w:val="0"/>
              <w:szCs w:val="21"/>
            </w:rPr>
            <w:t>持有其他上市公司股权情况</w:t>
          </w:r>
        </w:p>
        <w:sdt>
          <w:sdtPr>
            <w:alias w:val="是否适用：持有其他上市公司股权情况"/>
            <w:tag w:val="_GBC_35d335ba8e4a4e3aaa686244c321aa3a"/>
            <w:id w:val="24720378"/>
            <w:lock w:val="sdtContentLocked"/>
            <w:placeholder>
              <w:docPart w:val="GBC22222222222222222222222222222"/>
            </w:placeholder>
          </w:sdtPr>
          <w:sdtContent>
            <w:p w:rsidR="00704CAD" w:rsidRDefault="00422DCA">
              <w:r>
                <w:fldChar w:fldCharType="begin"/>
              </w:r>
              <w:r w:rsidR="00710BAF">
                <w:instrText xml:space="preserve"> MACROBUTTON  SnrToggleCheckbox √适用 </w:instrText>
              </w:r>
              <w:r>
                <w:fldChar w:fldCharType="end"/>
              </w:r>
              <w:r>
                <w:fldChar w:fldCharType="begin"/>
              </w:r>
              <w:r w:rsidR="00710BAF">
                <w:instrText xml:space="preserve"> MACROBUTTON  SnrToggleCheckbox □不适用 </w:instrText>
              </w:r>
              <w:r>
                <w:fldChar w:fldCharType="end"/>
              </w:r>
            </w:p>
          </w:sdtContent>
        </w:sdt>
        <w:p w:rsidR="00704CAD" w:rsidRDefault="00720895">
          <w:pPr>
            <w:ind w:right="210"/>
            <w:jc w:val="right"/>
            <w:rPr>
              <w:szCs w:val="21"/>
            </w:rPr>
          </w:pPr>
          <w:r>
            <w:rPr>
              <w:rFonts w:hint="eastAsia"/>
              <w:szCs w:val="21"/>
            </w:rPr>
            <w:t>单位：</w:t>
          </w:r>
          <w:sdt>
            <w:sdtPr>
              <w:rPr>
                <w:rFonts w:hint="eastAsia"/>
                <w:szCs w:val="21"/>
              </w:rPr>
              <w:alias w:val="单位：持有其他上市公司股权情况"/>
              <w:tag w:val="_GBC_0eac0ca446f64dc4a40793fc4dc82b93"/>
              <w:id w:val="247203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W w:w="5951" w:type="pct"/>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
            <w:gridCol w:w="530"/>
            <w:gridCol w:w="1557"/>
            <w:gridCol w:w="707"/>
            <w:gridCol w:w="709"/>
            <w:gridCol w:w="1734"/>
            <w:gridCol w:w="1555"/>
            <w:gridCol w:w="1700"/>
            <w:gridCol w:w="825"/>
            <w:gridCol w:w="726"/>
          </w:tblGrid>
          <w:tr w:rsidR="00DF0018" w:rsidRPr="00710BAF" w:rsidTr="00DF0018">
            <w:trPr>
              <w:tblHeader/>
              <w:jc w:val="center"/>
            </w:trPr>
            <w:tc>
              <w:tcPr>
                <w:tcW w:w="338" w:type="pct"/>
                <w:shd w:val="clear" w:color="auto" w:fill="auto"/>
                <w:vAlign w:val="center"/>
              </w:tcPr>
              <w:p w:rsidR="00710BAF" w:rsidRPr="00710BAF" w:rsidRDefault="00710BAF" w:rsidP="00710BAF">
                <w:pPr>
                  <w:jc w:val="center"/>
                  <w:rPr>
                    <w:b/>
                    <w:szCs w:val="21"/>
                  </w:rPr>
                </w:pPr>
                <w:r w:rsidRPr="00710BAF">
                  <w:rPr>
                    <w:b/>
                    <w:szCs w:val="21"/>
                  </w:rPr>
                  <w:t>证券</w:t>
                </w:r>
              </w:p>
              <w:p w:rsidR="00710BAF" w:rsidRPr="00710BAF" w:rsidRDefault="00710BAF" w:rsidP="00710BAF">
                <w:pPr>
                  <w:jc w:val="center"/>
                  <w:rPr>
                    <w:b/>
                    <w:szCs w:val="21"/>
                  </w:rPr>
                </w:pPr>
                <w:r w:rsidRPr="00710BAF">
                  <w:rPr>
                    <w:b/>
                    <w:szCs w:val="21"/>
                  </w:rPr>
                  <w:t>代码</w:t>
                </w:r>
              </w:p>
            </w:tc>
            <w:tc>
              <w:tcPr>
                <w:tcW w:w="246" w:type="pct"/>
                <w:shd w:val="clear" w:color="auto" w:fill="auto"/>
                <w:tcMar>
                  <w:left w:w="11" w:type="dxa"/>
                  <w:right w:w="11" w:type="dxa"/>
                </w:tcMar>
                <w:vAlign w:val="center"/>
              </w:tcPr>
              <w:p w:rsidR="00710BAF" w:rsidRPr="00710BAF" w:rsidRDefault="00710BAF" w:rsidP="00DF0018">
                <w:pPr>
                  <w:jc w:val="center"/>
                  <w:rPr>
                    <w:b/>
                    <w:szCs w:val="21"/>
                  </w:rPr>
                </w:pPr>
                <w:r w:rsidRPr="00710BAF">
                  <w:rPr>
                    <w:b/>
                    <w:szCs w:val="21"/>
                  </w:rPr>
                  <w:t>证券</w:t>
                </w:r>
              </w:p>
              <w:p w:rsidR="00710BAF" w:rsidRPr="00710BAF" w:rsidRDefault="00710BAF" w:rsidP="00DF0018">
                <w:pPr>
                  <w:jc w:val="center"/>
                  <w:rPr>
                    <w:b/>
                    <w:szCs w:val="21"/>
                  </w:rPr>
                </w:pPr>
                <w:r w:rsidRPr="00710BAF">
                  <w:rPr>
                    <w:b/>
                    <w:szCs w:val="21"/>
                  </w:rPr>
                  <w:t>简称</w:t>
                </w:r>
              </w:p>
            </w:tc>
            <w:tc>
              <w:tcPr>
                <w:tcW w:w="723" w:type="pct"/>
                <w:shd w:val="clear" w:color="auto" w:fill="auto"/>
                <w:vAlign w:val="center"/>
              </w:tcPr>
              <w:p w:rsidR="00710BAF" w:rsidRPr="00710BAF" w:rsidRDefault="00710BAF" w:rsidP="00710BAF">
                <w:pPr>
                  <w:jc w:val="center"/>
                  <w:rPr>
                    <w:b/>
                    <w:szCs w:val="21"/>
                  </w:rPr>
                </w:pPr>
                <w:r w:rsidRPr="00710BAF">
                  <w:rPr>
                    <w:rFonts w:hint="eastAsia"/>
                    <w:b/>
                    <w:szCs w:val="21"/>
                  </w:rPr>
                  <w:t>最初投资成本</w:t>
                </w:r>
              </w:p>
            </w:tc>
            <w:tc>
              <w:tcPr>
                <w:tcW w:w="328" w:type="pct"/>
                <w:vAlign w:val="center"/>
              </w:tcPr>
              <w:p w:rsidR="00710BAF" w:rsidRPr="00710BAF" w:rsidRDefault="00710BAF" w:rsidP="00710BAF">
                <w:pPr>
                  <w:jc w:val="center"/>
                  <w:rPr>
                    <w:b/>
                    <w:szCs w:val="21"/>
                  </w:rPr>
                </w:pPr>
                <w:r w:rsidRPr="00710BAF">
                  <w:rPr>
                    <w:rFonts w:hint="eastAsia"/>
                    <w:b/>
                  </w:rPr>
                  <w:t>期初</w:t>
                </w:r>
                <w:r w:rsidRPr="00710BAF">
                  <w:rPr>
                    <w:b/>
                  </w:rPr>
                  <w:t>持股比例</w:t>
                </w:r>
                <w:r w:rsidRPr="00710BAF">
                  <w:rPr>
                    <w:rFonts w:hint="eastAsia"/>
                    <w:b/>
                    <w:szCs w:val="21"/>
                  </w:rPr>
                  <w:t>（%）</w:t>
                </w:r>
              </w:p>
            </w:tc>
            <w:tc>
              <w:tcPr>
                <w:tcW w:w="329" w:type="pct"/>
                <w:shd w:val="clear" w:color="auto" w:fill="auto"/>
                <w:vAlign w:val="center"/>
              </w:tcPr>
              <w:p w:rsidR="00710BAF" w:rsidRPr="00710BAF" w:rsidRDefault="00710BAF" w:rsidP="00710BAF">
                <w:pPr>
                  <w:jc w:val="center"/>
                  <w:rPr>
                    <w:b/>
                    <w:szCs w:val="21"/>
                  </w:rPr>
                </w:pPr>
                <w:r w:rsidRPr="00710BAF">
                  <w:rPr>
                    <w:b/>
                  </w:rPr>
                  <w:t>期末持股比例</w:t>
                </w:r>
                <w:r w:rsidRPr="00710BAF">
                  <w:rPr>
                    <w:rFonts w:hint="eastAsia"/>
                    <w:b/>
                    <w:szCs w:val="21"/>
                  </w:rPr>
                  <w:t>（%）</w:t>
                </w:r>
              </w:p>
            </w:tc>
            <w:tc>
              <w:tcPr>
                <w:tcW w:w="805" w:type="pct"/>
                <w:shd w:val="clear" w:color="auto" w:fill="auto"/>
                <w:vAlign w:val="center"/>
              </w:tcPr>
              <w:p w:rsidR="00710BAF" w:rsidRPr="00710BAF" w:rsidRDefault="00710BAF" w:rsidP="00710BAF">
                <w:pPr>
                  <w:jc w:val="center"/>
                  <w:rPr>
                    <w:b/>
                    <w:szCs w:val="21"/>
                  </w:rPr>
                </w:pPr>
                <w:r w:rsidRPr="00710BAF">
                  <w:rPr>
                    <w:b/>
                    <w:szCs w:val="21"/>
                  </w:rPr>
                  <w:t>期末账面值</w:t>
                </w:r>
              </w:p>
            </w:tc>
            <w:tc>
              <w:tcPr>
                <w:tcW w:w="722" w:type="pct"/>
                <w:shd w:val="clear" w:color="auto" w:fill="auto"/>
                <w:vAlign w:val="center"/>
              </w:tcPr>
              <w:p w:rsidR="00710BAF" w:rsidRPr="00710BAF" w:rsidRDefault="00710BAF" w:rsidP="00710BAF">
                <w:pPr>
                  <w:jc w:val="center"/>
                  <w:rPr>
                    <w:b/>
                    <w:szCs w:val="21"/>
                  </w:rPr>
                </w:pPr>
                <w:r w:rsidRPr="00710BAF">
                  <w:rPr>
                    <w:rFonts w:hint="eastAsia"/>
                    <w:b/>
                    <w:szCs w:val="21"/>
                  </w:rPr>
                  <w:t>报告期损益</w:t>
                </w:r>
              </w:p>
            </w:tc>
            <w:tc>
              <w:tcPr>
                <w:tcW w:w="789" w:type="pct"/>
                <w:shd w:val="clear" w:color="auto" w:fill="auto"/>
                <w:vAlign w:val="center"/>
              </w:tcPr>
              <w:p w:rsidR="00710BAF" w:rsidRPr="00710BAF" w:rsidRDefault="00710BAF" w:rsidP="00710BAF">
                <w:pPr>
                  <w:jc w:val="center"/>
                  <w:rPr>
                    <w:b/>
                    <w:szCs w:val="21"/>
                  </w:rPr>
                </w:pPr>
                <w:r w:rsidRPr="00710BAF">
                  <w:rPr>
                    <w:rFonts w:hint="eastAsia"/>
                    <w:b/>
                    <w:szCs w:val="21"/>
                  </w:rPr>
                  <w:t>报告期所有者权益变动</w:t>
                </w:r>
              </w:p>
            </w:tc>
            <w:tc>
              <w:tcPr>
                <w:tcW w:w="383" w:type="pct"/>
                <w:shd w:val="clear" w:color="auto" w:fill="auto"/>
                <w:vAlign w:val="center"/>
              </w:tcPr>
              <w:p w:rsidR="00710BAF" w:rsidRPr="00710BAF" w:rsidRDefault="00710BAF" w:rsidP="00710BAF">
                <w:pPr>
                  <w:jc w:val="center"/>
                  <w:rPr>
                    <w:b/>
                    <w:szCs w:val="21"/>
                  </w:rPr>
                </w:pPr>
                <w:r w:rsidRPr="00710BAF">
                  <w:rPr>
                    <w:rFonts w:hint="eastAsia"/>
                    <w:b/>
                    <w:szCs w:val="21"/>
                  </w:rPr>
                  <w:t>会计核算科目</w:t>
                </w:r>
              </w:p>
            </w:tc>
            <w:tc>
              <w:tcPr>
                <w:tcW w:w="337" w:type="pct"/>
                <w:shd w:val="clear" w:color="auto" w:fill="auto"/>
                <w:vAlign w:val="center"/>
              </w:tcPr>
              <w:p w:rsidR="00710BAF" w:rsidRPr="00710BAF" w:rsidRDefault="00710BAF" w:rsidP="00710BAF">
                <w:pPr>
                  <w:jc w:val="center"/>
                  <w:rPr>
                    <w:b/>
                    <w:szCs w:val="21"/>
                  </w:rPr>
                </w:pPr>
                <w:r w:rsidRPr="00710BAF">
                  <w:rPr>
                    <w:b/>
                    <w:szCs w:val="21"/>
                  </w:rPr>
                  <w:t>股份</w:t>
                </w:r>
              </w:p>
              <w:p w:rsidR="00710BAF" w:rsidRPr="00710BAF" w:rsidRDefault="00710BAF" w:rsidP="00710BAF">
                <w:pPr>
                  <w:jc w:val="center"/>
                  <w:rPr>
                    <w:b/>
                    <w:szCs w:val="21"/>
                  </w:rPr>
                </w:pPr>
                <w:r w:rsidRPr="00710BAF">
                  <w:rPr>
                    <w:b/>
                    <w:szCs w:val="21"/>
                  </w:rPr>
                  <w:t>来源</w:t>
                </w:r>
              </w:p>
            </w:tc>
          </w:tr>
          <w:sdt>
            <w:sdtPr>
              <w:rPr>
                <w:szCs w:val="21"/>
              </w:rPr>
              <w:alias w:val="上市公司持有其他上市公司股权情况明细"/>
              <w:tag w:val="_GBC_8197e2cfc20e4b329a9d6e15f1641f3e"/>
              <w:id w:val="24720390"/>
              <w:lock w:val="sdtLocked"/>
            </w:sdtPr>
            <w:sdtContent>
              <w:tr w:rsidR="00DF0018" w:rsidTr="00930088">
                <w:trPr>
                  <w:jc w:val="center"/>
                </w:trPr>
                <w:sdt>
                  <w:sdtPr>
                    <w:rPr>
                      <w:szCs w:val="21"/>
                    </w:rPr>
                    <w:alias w:val="上市公司持有其他上市公司股权情况明细－证券代码"/>
                    <w:tag w:val="_GBC_eaa78cfb0e294c1788d053782cbf03f3"/>
                    <w:id w:val="24720380"/>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300348</w:t>
                        </w:r>
                      </w:p>
                    </w:tc>
                  </w:sdtContent>
                </w:sdt>
                <w:sdt>
                  <w:sdtPr>
                    <w:rPr>
                      <w:szCs w:val="21"/>
                    </w:rPr>
                    <w:alias w:val="上市公司持有其他上市公司股权情况明细－证券简称"/>
                    <w:tag w:val="_GBC_94ded5135bd04d2fac6c7d41f7931a6e"/>
                    <w:id w:val="24720381"/>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长亮科技</w:t>
                        </w:r>
                      </w:p>
                    </w:tc>
                  </w:sdtContent>
                </w:sdt>
                <w:sdt>
                  <w:sdtPr>
                    <w:rPr>
                      <w:kern w:val="10"/>
                      <w:szCs w:val="21"/>
                    </w:rPr>
                    <w:alias w:val="上市公司持有其他上市公司股权情况明细－初始投资金额"/>
                    <w:tag w:val="_GBC_984473af5a874d5d890742d1a261b908"/>
                    <w:id w:val="24720382"/>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19,545,500.00</w:t>
                        </w:r>
                      </w:p>
                    </w:tc>
                  </w:sdtContent>
                </w:sdt>
                <w:sdt>
                  <w:sdtPr>
                    <w:rPr>
                      <w:kern w:val="10"/>
                      <w:szCs w:val="21"/>
                    </w:rPr>
                    <w:alias w:val="上市公司持有其他上市公司股权情况明细－占该公司股权比例"/>
                    <w:tag w:val="_GBC_1db6aee91abe492e8df9cc4d2e409495"/>
                    <w:id w:val="24720383"/>
                    <w:lock w:val="sdtLocked"/>
                  </w:sdtPr>
                  <w:sdtContent>
                    <w:tc>
                      <w:tcPr>
                        <w:tcW w:w="328" w:type="pct"/>
                        <w:tcMar>
                          <w:left w:w="28" w:type="dxa"/>
                          <w:right w:w="28" w:type="dxa"/>
                        </w:tcMar>
                        <w:vAlign w:val="center"/>
                      </w:tcPr>
                      <w:p w:rsidR="00710BAF" w:rsidRPr="00B673F6" w:rsidRDefault="00710BAF" w:rsidP="00681E24">
                        <w:pPr>
                          <w:jc w:val="right"/>
                          <w:rPr>
                            <w:kern w:val="10"/>
                            <w:szCs w:val="21"/>
                          </w:rPr>
                        </w:pPr>
                        <w:r w:rsidRPr="00B673F6">
                          <w:rPr>
                            <w:kern w:val="10"/>
                            <w:szCs w:val="21"/>
                          </w:rPr>
                          <w:t>3.89</w:t>
                        </w:r>
                      </w:p>
                    </w:tc>
                  </w:sdtContent>
                </w:sdt>
                <w:sdt>
                  <w:sdtPr>
                    <w:rPr>
                      <w:kern w:val="10"/>
                      <w:szCs w:val="21"/>
                    </w:rPr>
                    <w:alias w:val="上市公司持有其他上市公司股权情况明细－占该公司股权比例"/>
                    <w:tag w:val="_GBC_2743972d43204182b564ef01f6369aba"/>
                    <w:id w:val="24720384"/>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3.88</w:t>
                        </w:r>
                      </w:p>
                    </w:tc>
                  </w:sdtContent>
                </w:sdt>
                <w:sdt>
                  <w:sdtPr>
                    <w:rPr>
                      <w:kern w:val="10"/>
                      <w:szCs w:val="21"/>
                    </w:rPr>
                    <w:alias w:val="上市公司持有其他上市公司股权情况明细－账面值"/>
                    <w:tag w:val="_GBC_51044e8000d34d0aa66e583e607d289f"/>
                    <w:id w:val="24720385"/>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450,648,281.01</w:t>
                        </w:r>
                      </w:p>
                    </w:tc>
                  </w:sdtContent>
                </w:sdt>
                <w:sdt>
                  <w:sdtPr>
                    <w:rPr>
                      <w:kern w:val="10"/>
                      <w:szCs w:val="21"/>
                    </w:rPr>
                    <w:alias w:val="上市公司持有其他上市公司股权情况明细－投资损益"/>
                    <w:tag w:val="_GBC_0e3adffafa954f9fa88d84df96a4a4ac"/>
                    <w:id w:val="24720386"/>
                    <w:lock w:val="sdtLocked"/>
                  </w:sdtPr>
                  <w:sdtContent>
                    <w:tc>
                      <w:tcPr>
                        <w:tcW w:w="722"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328,875.00</w:t>
                        </w:r>
                      </w:p>
                    </w:tc>
                  </w:sdtContent>
                </w:sdt>
                <w:sdt>
                  <w:sdtPr>
                    <w:rPr>
                      <w:kern w:val="10"/>
                      <w:szCs w:val="21"/>
                    </w:rPr>
                    <w:alias w:val="上市公司持有其他上市公司股权情况明细－所有者权益变动"/>
                    <w:tag w:val="_GBC_5d496fda0a064cd6ab5e24e97da52b32"/>
                    <w:id w:val="24720387"/>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315,142,468.50</w:t>
                        </w:r>
                      </w:p>
                    </w:tc>
                  </w:sdtContent>
                </w:sdt>
                <w:sdt>
                  <w:sdtPr>
                    <w:rPr>
                      <w:szCs w:val="21"/>
                    </w:rPr>
                    <w:alias w:val="上市公司持有其他上市公司股权情况明细－会计核算科目"/>
                    <w:tag w:val="_GBC_fd722b43294f43ec820886beee8ef7c3"/>
                    <w:id w:val="24720388"/>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389"/>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直接股权投资项上市由长期股权投资转入</w:t>
                        </w:r>
                      </w:p>
                    </w:tc>
                  </w:sdtContent>
                </w:sdt>
              </w:tr>
            </w:sdtContent>
          </w:sdt>
          <w:sdt>
            <w:sdtPr>
              <w:rPr>
                <w:szCs w:val="21"/>
              </w:rPr>
              <w:alias w:val="上市公司持有其他上市公司股权情况明细"/>
              <w:tag w:val="_GBC_8197e2cfc20e4b329a9d6e15f1641f3e"/>
              <w:id w:val="24720401"/>
              <w:lock w:val="sdtLocked"/>
            </w:sdtPr>
            <w:sdtContent>
              <w:tr w:rsidR="00DF0018" w:rsidTr="00930088">
                <w:trPr>
                  <w:jc w:val="center"/>
                </w:trPr>
                <w:sdt>
                  <w:sdtPr>
                    <w:rPr>
                      <w:szCs w:val="21"/>
                    </w:rPr>
                    <w:alias w:val="上市公司持有其他上市公司股权情况明细－证券代码"/>
                    <w:tag w:val="_GBC_eaa78cfb0e294c1788d053782cbf03f3"/>
                    <w:id w:val="24720391"/>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002716</w:t>
                        </w:r>
                      </w:p>
                    </w:tc>
                  </w:sdtContent>
                </w:sdt>
                <w:sdt>
                  <w:sdtPr>
                    <w:rPr>
                      <w:szCs w:val="21"/>
                    </w:rPr>
                    <w:alias w:val="上市公司持有其他上市公司股权情况明细－证券简称"/>
                    <w:tag w:val="_GBC_94ded5135bd04d2fac6c7d41f7931a6e"/>
                    <w:id w:val="24720392"/>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金贵银业</w:t>
                        </w:r>
                      </w:p>
                    </w:tc>
                  </w:sdtContent>
                </w:sdt>
                <w:sdt>
                  <w:sdtPr>
                    <w:rPr>
                      <w:kern w:val="10"/>
                      <w:szCs w:val="21"/>
                    </w:rPr>
                    <w:alias w:val="上市公司持有其他上市公司股权情况明细－初始投资金额"/>
                    <w:tag w:val="_GBC_984473af5a874d5d890742d1a261b908"/>
                    <w:id w:val="24720393"/>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38,115,500.00</w:t>
                        </w:r>
                      </w:p>
                    </w:tc>
                  </w:sdtContent>
                </w:sdt>
                <w:sdt>
                  <w:sdtPr>
                    <w:rPr>
                      <w:kern w:val="10"/>
                      <w:szCs w:val="21"/>
                    </w:rPr>
                    <w:alias w:val="上市公司持有其他上市公司股权情况明细－占该公司股权比例"/>
                    <w:tag w:val="_GBC_1db6aee91abe492e8df9cc4d2e409495"/>
                    <w:id w:val="24720394"/>
                    <w:lock w:val="sdtLocked"/>
                  </w:sdtPr>
                  <w:sdtContent>
                    <w:tc>
                      <w:tcPr>
                        <w:tcW w:w="328" w:type="pct"/>
                        <w:tcMar>
                          <w:left w:w="28" w:type="dxa"/>
                          <w:right w:w="28" w:type="dxa"/>
                        </w:tcMar>
                        <w:vAlign w:val="center"/>
                      </w:tcPr>
                      <w:p w:rsidR="00710BAF" w:rsidRPr="00B673F6" w:rsidRDefault="00710BAF" w:rsidP="00681E24">
                        <w:pPr>
                          <w:jc w:val="right"/>
                          <w:rPr>
                            <w:kern w:val="10"/>
                            <w:szCs w:val="21"/>
                          </w:rPr>
                        </w:pPr>
                        <w:r w:rsidRPr="00B673F6">
                          <w:rPr>
                            <w:kern w:val="10"/>
                            <w:szCs w:val="21"/>
                          </w:rPr>
                          <w:t>3.33</w:t>
                        </w:r>
                      </w:p>
                    </w:tc>
                  </w:sdtContent>
                </w:sdt>
                <w:sdt>
                  <w:sdtPr>
                    <w:rPr>
                      <w:kern w:val="10"/>
                      <w:szCs w:val="21"/>
                    </w:rPr>
                    <w:alias w:val="上市公司持有其他上市公司股权情况明细－占该公司股权比例"/>
                    <w:tag w:val="_GBC_2743972d43204182b564ef01f6369aba"/>
                    <w:id w:val="24720395"/>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3.33</w:t>
                        </w:r>
                      </w:p>
                    </w:tc>
                  </w:sdtContent>
                </w:sdt>
                <w:sdt>
                  <w:sdtPr>
                    <w:rPr>
                      <w:kern w:val="10"/>
                      <w:szCs w:val="21"/>
                    </w:rPr>
                    <w:alias w:val="上市公司持有其他上市公司股权情况明细－账面值"/>
                    <w:tag w:val="_GBC_51044e8000d34d0aa66e583e607d289f"/>
                    <w:id w:val="24720396"/>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219,221,383.10</w:t>
                        </w:r>
                      </w:p>
                    </w:tc>
                  </w:sdtContent>
                </w:sdt>
                <w:sdt>
                  <w:sdtPr>
                    <w:rPr>
                      <w:kern w:val="10"/>
                      <w:szCs w:val="21"/>
                    </w:rPr>
                    <w:alias w:val="上市公司持有其他上市公司股权情况明细－投资损益"/>
                    <w:tag w:val="_GBC_0e3adffafa954f9fa88d84df96a4a4ac"/>
                    <w:id w:val="24720397"/>
                    <w:lock w:val="sdtLocked"/>
                  </w:sdtPr>
                  <w:sdtContent>
                    <w:tc>
                      <w:tcPr>
                        <w:tcW w:w="722"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762,310.00</w:t>
                        </w:r>
                      </w:p>
                    </w:tc>
                  </w:sdtContent>
                </w:sdt>
                <w:sdt>
                  <w:sdtPr>
                    <w:rPr>
                      <w:kern w:val="10"/>
                      <w:szCs w:val="21"/>
                    </w:rPr>
                    <w:alias w:val="上市公司持有其他上市公司股权情况明细－所有者权益变动"/>
                    <w:tag w:val="_GBC_5d496fda0a064cd6ab5e24e97da52b32"/>
                    <w:id w:val="24720398"/>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91,418,085.39</w:t>
                        </w:r>
                      </w:p>
                    </w:tc>
                  </w:sdtContent>
                </w:sdt>
                <w:sdt>
                  <w:sdtPr>
                    <w:rPr>
                      <w:szCs w:val="21"/>
                    </w:rPr>
                    <w:alias w:val="上市公司持有其他上市公司股权情况明细－会计核算科目"/>
                    <w:tag w:val="_GBC_fd722b43294f43ec820886beee8ef7c3"/>
                    <w:id w:val="24720399"/>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00"/>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直接股权投资项上市由长期股权投资转入</w:t>
                        </w:r>
                      </w:p>
                    </w:tc>
                  </w:sdtContent>
                </w:sdt>
              </w:tr>
            </w:sdtContent>
          </w:sdt>
          <w:sdt>
            <w:sdtPr>
              <w:rPr>
                <w:szCs w:val="21"/>
              </w:rPr>
              <w:alias w:val="上市公司持有其他上市公司股权情况明细"/>
              <w:tag w:val="_GBC_8197e2cfc20e4b329a9d6e15f1641f3e"/>
              <w:id w:val="24720412"/>
              <w:lock w:val="sdtLocked"/>
            </w:sdtPr>
            <w:sdtContent>
              <w:tr w:rsidR="00DF0018" w:rsidTr="00930088">
                <w:trPr>
                  <w:jc w:val="center"/>
                </w:trPr>
                <w:sdt>
                  <w:sdtPr>
                    <w:rPr>
                      <w:szCs w:val="21"/>
                    </w:rPr>
                    <w:alias w:val="上市公司持有其他上市公司股权情况明细－证券代码"/>
                    <w:tag w:val="_GBC_eaa78cfb0e294c1788d053782cbf03f3"/>
                    <w:id w:val="24720402"/>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002073</w:t>
                        </w:r>
                      </w:p>
                    </w:tc>
                  </w:sdtContent>
                </w:sdt>
                <w:sdt>
                  <w:sdtPr>
                    <w:rPr>
                      <w:szCs w:val="21"/>
                    </w:rPr>
                    <w:alias w:val="上市公司持有其他上市公司股权情况明细－证券简称"/>
                    <w:tag w:val="_GBC_94ded5135bd04d2fac6c7d41f7931a6e"/>
                    <w:id w:val="24720403"/>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软控股份</w:t>
                        </w:r>
                      </w:p>
                    </w:tc>
                  </w:sdtContent>
                </w:sdt>
                <w:sdt>
                  <w:sdtPr>
                    <w:rPr>
                      <w:kern w:val="10"/>
                      <w:szCs w:val="21"/>
                    </w:rPr>
                    <w:alias w:val="上市公司持有其他上市公司股权情况明细－初始投资金额"/>
                    <w:tag w:val="_GBC_984473af5a874d5d890742d1a261b908"/>
                    <w:id w:val="24720404"/>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205,247,936.83</w:t>
                        </w:r>
                      </w:p>
                    </w:tc>
                  </w:sdtContent>
                </w:sdt>
                <w:sdt>
                  <w:sdtPr>
                    <w:rPr>
                      <w:kern w:val="10"/>
                      <w:szCs w:val="21"/>
                    </w:rPr>
                    <w:alias w:val="上市公司持有其他上市公司股权情况明细－占该公司股权比例"/>
                    <w:tag w:val="_GBC_1db6aee91abe492e8df9cc4d2e409495"/>
                    <w:id w:val="24720405"/>
                    <w:lock w:val="sdtLocked"/>
                  </w:sdtPr>
                  <w:sdtContent>
                    <w:tc>
                      <w:tcPr>
                        <w:tcW w:w="328" w:type="pct"/>
                        <w:tcMar>
                          <w:left w:w="28" w:type="dxa"/>
                          <w:right w:w="28" w:type="dxa"/>
                        </w:tcMar>
                        <w:vAlign w:val="center"/>
                      </w:tcPr>
                      <w:p w:rsidR="00710BAF" w:rsidRPr="00B673F6" w:rsidRDefault="00710BAF" w:rsidP="00681E24">
                        <w:pPr>
                          <w:jc w:val="right"/>
                          <w:rPr>
                            <w:kern w:val="10"/>
                            <w:szCs w:val="21"/>
                          </w:rPr>
                        </w:pPr>
                        <w:r w:rsidRPr="00B673F6">
                          <w:rPr>
                            <w:kern w:val="10"/>
                            <w:szCs w:val="21"/>
                          </w:rPr>
                          <w:t>1.68</w:t>
                        </w:r>
                      </w:p>
                    </w:tc>
                  </w:sdtContent>
                </w:sdt>
                <w:sdt>
                  <w:sdtPr>
                    <w:rPr>
                      <w:kern w:val="10"/>
                      <w:szCs w:val="21"/>
                    </w:rPr>
                    <w:alias w:val="上市公司持有其他上市公司股权情况明细－占该公司股权比例"/>
                    <w:tag w:val="_GBC_2743972d43204182b564ef01f6369aba"/>
                    <w:id w:val="24720406"/>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1.24</w:t>
                        </w:r>
                      </w:p>
                    </w:tc>
                  </w:sdtContent>
                </w:sdt>
                <w:sdt>
                  <w:sdtPr>
                    <w:rPr>
                      <w:kern w:val="10"/>
                      <w:szCs w:val="21"/>
                    </w:rPr>
                    <w:alias w:val="上市公司持有其他上市公司股权情况明细－账面值"/>
                    <w:tag w:val="_GBC_51044e8000d34d0aa66e583e607d289f"/>
                    <w:id w:val="24720407"/>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212,024,574.30</w:t>
                        </w:r>
                      </w:p>
                    </w:tc>
                  </w:sdtContent>
                </w:sdt>
                <w:sdt>
                  <w:sdtPr>
                    <w:rPr>
                      <w:kern w:val="10"/>
                      <w:szCs w:val="21"/>
                    </w:rPr>
                    <w:alias w:val="上市公司持有其他上市公司股权情况明细－投资损益"/>
                    <w:tag w:val="_GBC_0e3adffafa954f9fa88d84df96a4a4ac"/>
                    <w:id w:val="24720408"/>
                    <w:lock w:val="sdtLocked"/>
                  </w:sdtPr>
                  <w:sdtContent>
                    <w:tc>
                      <w:tcPr>
                        <w:tcW w:w="722"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54,717,350.66</w:t>
                        </w:r>
                      </w:p>
                    </w:tc>
                  </w:sdtContent>
                </w:sdt>
                <w:sdt>
                  <w:sdtPr>
                    <w:rPr>
                      <w:kern w:val="10"/>
                      <w:szCs w:val="21"/>
                    </w:rPr>
                    <w:alias w:val="上市公司持有其他上市公司股权情况明细－所有者权益变动"/>
                    <w:tag w:val="_GBC_5d496fda0a064cd6ab5e24e97da52b32"/>
                    <w:id w:val="24720409"/>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9,934,827.93</w:t>
                        </w:r>
                      </w:p>
                    </w:tc>
                  </w:sdtContent>
                </w:sdt>
                <w:sdt>
                  <w:sdtPr>
                    <w:rPr>
                      <w:szCs w:val="21"/>
                    </w:rPr>
                    <w:alias w:val="上市公司持有其他上市公司股权情况明细－会计核算科目"/>
                    <w:tag w:val="_GBC_fd722b43294f43ec820886beee8ef7c3"/>
                    <w:id w:val="24720410"/>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11"/>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423"/>
              <w:lock w:val="sdtLocked"/>
            </w:sdtPr>
            <w:sdtContent>
              <w:tr w:rsidR="00DF0018" w:rsidTr="00930088">
                <w:trPr>
                  <w:jc w:val="center"/>
                </w:trPr>
                <w:sdt>
                  <w:sdtPr>
                    <w:rPr>
                      <w:szCs w:val="21"/>
                    </w:rPr>
                    <w:alias w:val="上市公司持有其他上市公司股权情况明细－证券代码"/>
                    <w:tag w:val="_GBC_eaa78cfb0e294c1788d053782cbf03f3"/>
                    <w:id w:val="24720413"/>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002214</w:t>
                        </w:r>
                      </w:p>
                    </w:tc>
                  </w:sdtContent>
                </w:sdt>
                <w:sdt>
                  <w:sdtPr>
                    <w:rPr>
                      <w:szCs w:val="21"/>
                    </w:rPr>
                    <w:alias w:val="上市公司持有其他上市公司股权情况明细－证券简称"/>
                    <w:tag w:val="_GBC_94ded5135bd04d2fac6c7d41f7931a6e"/>
                    <w:id w:val="24720414"/>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大立科技</w:t>
                        </w:r>
                      </w:p>
                    </w:tc>
                  </w:sdtContent>
                </w:sdt>
                <w:sdt>
                  <w:sdtPr>
                    <w:rPr>
                      <w:kern w:val="10"/>
                      <w:szCs w:val="21"/>
                    </w:rPr>
                    <w:alias w:val="上市公司持有其他上市公司股权情况明细－初始投资金额"/>
                    <w:tag w:val="_GBC_984473af5a874d5d890742d1a261b908"/>
                    <w:id w:val="24720415"/>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28,500,000.00</w:t>
                        </w:r>
                      </w:p>
                    </w:tc>
                  </w:sdtContent>
                </w:sdt>
                <w:sdt>
                  <w:sdtPr>
                    <w:rPr>
                      <w:kern w:val="10"/>
                      <w:szCs w:val="21"/>
                    </w:rPr>
                    <w:alias w:val="上市公司持有其他上市公司股权情况明细－占该公司股权比例"/>
                    <w:tag w:val="_GBC_1db6aee91abe492e8df9cc4d2e409495"/>
                    <w:id w:val="24720416"/>
                    <w:lock w:val="sdtLocked"/>
                  </w:sdtPr>
                  <w:sdtContent>
                    <w:tc>
                      <w:tcPr>
                        <w:tcW w:w="328" w:type="pct"/>
                        <w:tcMar>
                          <w:left w:w="28" w:type="dxa"/>
                          <w:right w:w="28" w:type="dxa"/>
                        </w:tcMar>
                        <w:vAlign w:val="center"/>
                      </w:tcPr>
                      <w:p w:rsidR="00710BAF" w:rsidRPr="00B673F6" w:rsidRDefault="00710BAF" w:rsidP="00681E24">
                        <w:pPr>
                          <w:jc w:val="right"/>
                          <w:rPr>
                            <w:kern w:val="10"/>
                            <w:szCs w:val="21"/>
                          </w:rPr>
                        </w:pPr>
                        <w:r w:rsidRPr="00B673F6">
                          <w:rPr>
                            <w:kern w:val="10"/>
                            <w:szCs w:val="21"/>
                          </w:rPr>
                          <w:t>1.44</w:t>
                        </w:r>
                      </w:p>
                    </w:tc>
                  </w:sdtContent>
                </w:sdt>
                <w:sdt>
                  <w:sdtPr>
                    <w:rPr>
                      <w:kern w:val="10"/>
                      <w:szCs w:val="21"/>
                    </w:rPr>
                    <w:alias w:val="上市公司持有其他上市公司股权情况明细－占该公司股权比例"/>
                    <w:tag w:val="_GBC_2743972d43204182b564ef01f6369aba"/>
                    <w:id w:val="24720417"/>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0.08</w:t>
                        </w:r>
                      </w:p>
                    </w:tc>
                  </w:sdtContent>
                </w:sdt>
                <w:sdt>
                  <w:sdtPr>
                    <w:rPr>
                      <w:kern w:val="10"/>
                      <w:szCs w:val="21"/>
                    </w:rPr>
                    <w:alias w:val="上市公司持有其他上市公司股权情况明细－账面值"/>
                    <w:tag w:val="_GBC_51044e8000d34d0aa66e583e607d289f"/>
                    <w:id w:val="24720418"/>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79,420,000.00</w:t>
                        </w:r>
                      </w:p>
                    </w:tc>
                  </w:sdtContent>
                </w:sdt>
                <w:sdt>
                  <w:sdtPr>
                    <w:rPr>
                      <w:kern w:val="10"/>
                      <w:szCs w:val="21"/>
                    </w:rPr>
                    <w:alias w:val="上市公司持有其他上市公司股权情况明细－投资损益"/>
                    <w:tag w:val="_GBC_0e3adffafa954f9fa88d84df96a4a4ac"/>
                    <w:id w:val="24720419"/>
                    <w:lock w:val="sdtLocked"/>
                  </w:sdtPr>
                  <w:sdtContent>
                    <w:tc>
                      <w:tcPr>
                        <w:tcW w:w="722"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28,515,004.17</w:t>
                        </w:r>
                      </w:p>
                    </w:tc>
                  </w:sdtContent>
                </w:sdt>
                <w:sdt>
                  <w:sdtPr>
                    <w:rPr>
                      <w:kern w:val="10"/>
                      <w:szCs w:val="21"/>
                    </w:rPr>
                    <w:alias w:val="上市公司持有其他上市公司股权情况明细－所有者权益变动"/>
                    <w:tag w:val="_GBC_5d496fda0a064cd6ab5e24e97da52b32"/>
                    <w:id w:val="24720420"/>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36,505,692.77</w:t>
                        </w:r>
                      </w:p>
                    </w:tc>
                  </w:sdtContent>
                </w:sdt>
                <w:sdt>
                  <w:sdtPr>
                    <w:rPr>
                      <w:szCs w:val="21"/>
                    </w:rPr>
                    <w:alias w:val="上市公司持有其他上市公司股权情况明细－会计核算科目"/>
                    <w:tag w:val="_GBC_fd722b43294f43ec820886beee8ef7c3"/>
                    <w:id w:val="24720421"/>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22"/>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434"/>
              <w:lock w:val="sdtLocked"/>
            </w:sdtPr>
            <w:sdtContent>
              <w:tr w:rsidR="00DF0018" w:rsidTr="00930088">
                <w:trPr>
                  <w:jc w:val="center"/>
                </w:trPr>
                <w:sdt>
                  <w:sdtPr>
                    <w:rPr>
                      <w:szCs w:val="21"/>
                    </w:rPr>
                    <w:alias w:val="上市公司持有其他上市公司股权情况明细－证券代码"/>
                    <w:tag w:val="_GBC_eaa78cfb0e294c1788d053782cbf03f3"/>
                    <w:id w:val="24720424"/>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000906</w:t>
                        </w:r>
                      </w:p>
                    </w:tc>
                  </w:sdtContent>
                </w:sdt>
                <w:sdt>
                  <w:sdtPr>
                    <w:rPr>
                      <w:szCs w:val="21"/>
                    </w:rPr>
                    <w:alias w:val="上市公司持有其他上市公司股权情况明细－证券简称"/>
                    <w:tag w:val="_GBC_94ded5135bd04d2fac6c7d41f7931a6e"/>
                    <w:id w:val="24720425"/>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物产中拓</w:t>
                        </w:r>
                      </w:p>
                    </w:tc>
                  </w:sdtContent>
                </w:sdt>
                <w:sdt>
                  <w:sdtPr>
                    <w:rPr>
                      <w:kern w:val="10"/>
                      <w:szCs w:val="21"/>
                    </w:rPr>
                    <w:alias w:val="上市公司持有其他上市公司股权情况明细－初始投资金额"/>
                    <w:tag w:val="_GBC_984473af5a874d5d890742d1a261b908"/>
                    <w:id w:val="24720426"/>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78,188,212.10</w:t>
                        </w:r>
                      </w:p>
                    </w:tc>
                  </w:sdtContent>
                </w:sdt>
                <w:sdt>
                  <w:sdtPr>
                    <w:rPr>
                      <w:kern w:val="10"/>
                      <w:szCs w:val="21"/>
                    </w:rPr>
                    <w:alias w:val="上市公司持有其他上市公司股权情况明细－占该公司股权比例"/>
                    <w:tag w:val="_GBC_1db6aee91abe492e8df9cc4d2e409495"/>
                    <w:id w:val="24720427"/>
                    <w:lock w:val="sdtLocked"/>
                  </w:sdtPr>
                  <w:sdtContent>
                    <w:tc>
                      <w:tcPr>
                        <w:tcW w:w="328" w:type="pct"/>
                        <w:tcMar>
                          <w:left w:w="28" w:type="dxa"/>
                          <w:right w:w="28"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占该公司股权比例"/>
                    <w:tag w:val="_GBC_2743972d43204182b564ef01f6369aba"/>
                    <w:id w:val="24720428"/>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0.91</w:t>
                        </w:r>
                      </w:p>
                    </w:tc>
                  </w:sdtContent>
                </w:sdt>
                <w:sdt>
                  <w:sdtPr>
                    <w:rPr>
                      <w:kern w:val="10"/>
                      <w:szCs w:val="21"/>
                    </w:rPr>
                    <w:alias w:val="上市公司持有其他上市公司股权情况明细－账面值"/>
                    <w:tag w:val="_GBC_51044e8000d34d0aa66e583e607d289f"/>
                    <w:id w:val="24720429"/>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58,377,937.24</w:t>
                        </w:r>
                      </w:p>
                    </w:tc>
                  </w:sdtContent>
                </w:sdt>
                <w:sdt>
                  <w:sdtPr>
                    <w:rPr>
                      <w:kern w:val="10"/>
                      <w:szCs w:val="21"/>
                    </w:rPr>
                    <w:alias w:val="上市公司持有其他上市公司股权情况明细－投资损益"/>
                    <w:tag w:val="_GBC_0e3adffafa954f9fa88d84df96a4a4ac"/>
                    <w:id w:val="24720430"/>
                    <w:lock w:val="sdtLocked"/>
                  </w:sdtPr>
                  <w:sdtContent>
                    <w:tc>
                      <w:tcPr>
                        <w:tcW w:w="722" w:type="pct"/>
                        <w:shd w:val="clear" w:color="auto" w:fill="auto"/>
                        <w:tcMar>
                          <w:left w:w="6" w:type="dxa"/>
                          <w:right w:w="6"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所有者权益变动"/>
                    <w:tag w:val="_GBC_5d496fda0a064cd6ab5e24e97da52b32"/>
                    <w:id w:val="24720431"/>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-19,810,274.86</w:t>
                        </w:r>
                      </w:p>
                    </w:tc>
                  </w:sdtContent>
                </w:sdt>
                <w:sdt>
                  <w:sdtPr>
                    <w:rPr>
                      <w:szCs w:val="21"/>
                    </w:rPr>
                    <w:alias w:val="上市公司持有其他上市公司股权情况明细－会计核算科目"/>
                    <w:tag w:val="_GBC_fd722b43294f43ec820886beee8ef7c3"/>
                    <w:id w:val="24720432"/>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33"/>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445"/>
              <w:lock w:val="sdtLocked"/>
            </w:sdtPr>
            <w:sdtContent>
              <w:tr w:rsidR="00DF0018" w:rsidTr="00930088">
                <w:trPr>
                  <w:jc w:val="center"/>
                </w:trPr>
                <w:sdt>
                  <w:sdtPr>
                    <w:rPr>
                      <w:szCs w:val="21"/>
                    </w:rPr>
                    <w:alias w:val="上市公司持有其他上市公司股权情况明细－证券代码"/>
                    <w:tag w:val="_GBC_eaa78cfb0e294c1788d053782cbf03f3"/>
                    <w:id w:val="24720435"/>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600970</w:t>
                        </w:r>
                      </w:p>
                    </w:tc>
                  </w:sdtContent>
                </w:sdt>
                <w:sdt>
                  <w:sdtPr>
                    <w:rPr>
                      <w:szCs w:val="21"/>
                    </w:rPr>
                    <w:alias w:val="上市公司持有其他上市公司股权情况明细－证券简称"/>
                    <w:tag w:val="_GBC_94ded5135bd04d2fac6c7d41f7931a6e"/>
                    <w:id w:val="24720436"/>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中材国际</w:t>
                        </w:r>
                      </w:p>
                    </w:tc>
                  </w:sdtContent>
                </w:sdt>
                <w:sdt>
                  <w:sdtPr>
                    <w:rPr>
                      <w:kern w:val="10"/>
                      <w:szCs w:val="21"/>
                    </w:rPr>
                    <w:alias w:val="上市公司持有其他上市公司股权情况明细－初始投资金额"/>
                    <w:tag w:val="_GBC_984473af5a874d5d890742d1a261b908"/>
                    <w:id w:val="24720437"/>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52,595,075.62</w:t>
                        </w:r>
                      </w:p>
                    </w:tc>
                  </w:sdtContent>
                </w:sdt>
                <w:sdt>
                  <w:sdtPr>
                    <w:rPr>
                      <w:kern w:val="10"/>
                      <w:szCs w:val="21"/>
                    </w:rPr>
                    <w:alias w:val="上市公司持有其他上市公司股权情况明细－占该公司股权比例"/>
                    <w:tag w:val="_GBC_1db6aee91abe492e8df9cc4d2e409495"/>
                    <w:id w:val="24720438"/>
                    <w:lock w:val="sdtLocked"/>
                  </w:sdtPr>
                  <w:sdtContent>
                    <w:tc>
                      <w:tcPr>
                        <w:tcW w:w="328" w:type="pct"/>
                        <w:tcMar>
                          <w:left w:w="28" w:type="dxa"/>
                          <w:right w:w="28"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占该公司股权比例"/>
                    <w:tag w:val="_GBC_2743972d43204182b564ef01f6369aba"/>
                    <w:id w:val="24720439"/>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0.27</w:t>
                        </w:r>
                      </w:p>
                    </w:tc>
                  </w:sdtContent>
                </w:sdt>
                <w:sdt>
                  <w:sdtPr>
                    <w:rPr>
                      <w:kern w:val="10"/>
                      <w:szCs w:val="21"/>
                    </w:rPr>
                    <w:alias w:val="上市公司持有其他上市公司股权情况明细－账面值"/>
                    <w:tag w:val="_GBC_51044e8000d34d0aa66e583e607d289f"/>
                    <w:id w:val="24720440"/>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43,399,470.00</w:t>
                        </w:r>
                      </w:p>
                    </w:tc>
                  </w:sdtContent>
                </w:sdt>
                <w:sdt>
                  <w:sdtPr>
                    <w:rPr>
                      <w:kern w:val="10"/>
                      <w:szCs w:val="21"/>
                    </w:rPr>
                    <w:alias w:val="上市公司持有其他上市公司股权情况明细－投资损益"/>
                    <w:tag w:val="_GBC_0e3adffafa954f9fa88d84df96a4a4ac"/>
                    <w:id w:val="24720441"/>
                    <w:lock w:val="sdtLocked"/>
                  </w:sdtPr>
                  <w:sdtContent>
                    <w:tc>
                      <w:tcPr>
                        <w:tcW w:w="722" w:type="pct"/>
                        <w:shd w:val="clear" w:color="auto" w:fill="auto"/>
                        <w:tcMar>
                          <w:left w:w="6" w:type="dxa"/>
                          <w:right w:w="6"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所有者权益变动"/>
                    <w:tag w:val="_GBC_5d496fda0a064cd6ab5e24e97da52b32"/>
                    <w:id w:val="24720442"/>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-9,195,605.62</w:t>
                        </w:r>
                      </w:p>
                    </w:tc>
                  </w:sdtContent>
                </w:sdt>
                <w:sdt>
                  <w:sdtPr>
                    <w:rPr>
                      <w:szCs w:val="21"/>
                    </w:rPr>
                    <w:alias w:val="上市公司持有其他上市公司股权情况明细－会计核算科目"/>
                    <w:tag w:val="_GBC_fd722b43294f43ec820886beee8ef7c3"/>
                    <w:id w:val="24720443"/>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44"/>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456"/>
              <w:lock w:val="sdtLocked"/>
            </w:sdtPr>
            <w:sdtContent>
              <w:tr w:rsidR="00DF0018" w:rsidTr="00930088">
                <w:trPr>
                  <w:jc w:val="center"/>
                </w:trPr>
                <w:sdt>
                  <w:sdtPr>
                    <w:rPr>
                      <w:szCs w:val="21"/>
                    </w:rPr>
                    <w:alias w:val="上市公司持有其他上市公司股权情况明细－证券代码"/>
                    <w:tag w:val="_GBC_eaa78cfb0e294c1788d053782cbf03f3"/>
                    <w:id w:val="24720446"/>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002118</w:t>
                        </w:r>
                      </w:p>
                    </w:tc>
                  </w:sdtContent>
                </w:sdt>
                <w:sdt>
                  <w:sdtPr>
                    <w:rPr>
                      <w:szCs w:val="21"/>
                    </w:rPr>
                    <w:alias w:val="上市公司持有其他上市公司股权情况明细－证券简称"/>
                    <w:tag w:val="_GBC_94ded5135bd04d2fac6c7d41f7931a6e"/>
                    <w:id w:val="24720447"/>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紫鑫药业</w:t>
                        </w:r>
                      </w:p>
                    </w:tc>
                  </w:sdtContent>
                </w:sdt>
                <w:sdt>
                  <w:sdtPr>
                    <w:rPr>
                      <w:kern w:val="10"/>
                      <w:szCs w:val="21"/>
                    </w:rPr>
                    <w:alias w:val="上市公司持有其他上市公司股权情况明细－初始投资金额"/>
                    <w:tag w:val="_GBC_984473af5a874d5d890742d1a261b908"/>
                    <w:id w:val="24720448"/>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45,828,962.29</w:t>
                        </w:r>
                      </w:p>
                    </w:tc>
                  </w:sdtContent>
                </w:sdt>
                <w:sdt>
                  <w:sdtPr>
                    <w:rPr>
                      <w:kern w:val="10"/>
                      <w:szCs w:val="21"/>
                    </w:rPr>
                    <w:alias w:val="上市公司持有其他上市公司股权情况明细－占该公司股权比例"/>
                    <w:tag w:val="_GBC_1db6aee91abe492e8df9cc4d2e409495"/>
                    <w:id w:val="24720449"/>
                    <w:lock w:val="sdtLocked"/>
                  </w:sdtPr>
                  <w:sdtContent>
                    <w:tc>
                      <w:tcPr>
                        <w:tcW w:w="328" w:type="pct"/>
                        <w:tcMar>
                          <w:left w:w="28" w:type="dxa"/>
                          <w:right w:w="28"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占该公司股权比例"/>
                    <w:tag w:val="_GBC_2743972d43204182b564ef01f6369aba"/>
                    <w:id w:val="24720450"/>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0.45</w:t>
                        </w:r>
                      </w:p>
                    </w:tc>
                  </w:sdtContent>
                </w:sdt>
                <w:sdt>
                  <w:sdtPr>
                    <w:rPr>
                      <w:kern w:val="10"/>
                      <w:szCs w:val="21"/>
                    </w:rPr>
                    <w:alias w:val="上市公司持有其他上市公司股权情况明细－账面值"/>
                    <w:tag w:val="_GBC_51044e8000d34d0aa66e583e607d289f"/>
                    <w:id w:val="24720451"/>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39,789,688.60</w:t>
                        </w:r>
                      </w:p>
                    </w:tc>
                  </w:sdtContent>
                </w:sdt>
                <w:sdt>
                  <w:sdtPr>
                    <w:rPr>
                      <w:kern w:val="10"/>
                      <w:szCs w:val="21"/>
                    </w:rPr>
                    <w:alias w:val="上市公司持有其他上市公司股权情况明细－投资损益"/>
                    <w:tag w:val="_GBC_0e3adffafa954f9fa88d84df96a4a4ac"/>
                    <w:id w:val="24720452"/>
                    <w:lock w:val="sdtLocked"/>
                  </w:sdtPr>
                  <w:sdtContent>
                    <w:tc>
                      <w:tcPr>
                        <w:tcW w:w="722" w:type="pct"/>
                        <w:shd w:val="clear" w:color="auto" w:fill="auto"/>
                        <w:tcMar>
                          <w:left w:w="6" w:type="dxa"/>
                          <w:right w:w="6"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所有者权益变动"/>
                    <w:tag w:val="_GBC_5d496fda0a064cd6ab5e24e97da52b32"/>
                    <w:id w:val="24720453"/>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-6,039,273.69</w:t>
                        </w:r>
                      </w:p>
                    </w:tc>
                  </w:sdtContent>
                </w:sdt>
                <w:sdt>
                  <w:sdtPr>
                    <w:rPr>
                      <w:szCs w:val="21"/>
                    </w:rPr>
                    <w:alias w:val="上市公司持有其他上市公司股权情况明细－会计核算科目"/>
                    <w:tag w:val="_GBC_fd722b43294f43ec820886beee8ef7c3"/>
                    <w:id w:val="24720454"/>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55"/>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467"/>
              <w:lock w:val="sdtLocked"/>
            </w:sdtPr>
            <w:sdtContent>
              <w:tr w:rsidR="00DF0018" w:rsidTr="00930088">
                <w:trPr>
                  <w:jc w:val="center"/>
                </w:trPr>
                <w:sdt>
                  <w:sdtPr>
                    <w:rPr>
                      <w:szCs w:val="21"/>
                    </w:rPr>
                    <w:alias w:val="上市公司持有其他上市公司股权情况明细－证券代码"/>
                    <w:tag w:val="_GBC_eaa78cfb0e294c1788d053782cbf03f3"/>
                    <w:id w:val="24720457"/>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002453</w:t>
                        </w:r>
                      </w:p>
                    </w:tc>
                  </w:sdtContent>
                </w:sdt>
                <w:sdt>
                  <w:sdtPr>
                    <w:rPr>
                      <w:szCs w:val="21"/>
                    </w:rPr>
                    <w:alias w:val="上市公司持有其他上市公司股权情况明细－证券简称"/>
                    <w:tag w:val="_GBC_94ded5135bd04d2fac6c7d41f7931a6e"/>
                    <w:id w:val="24720458"/>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天马精化</w:t>
                        </w:r>
                      </w:p>
                    </w:tc>
                  </w:sdtContent>
                </w:sdt>
                <w:sdt>
                  <w:sdtPr>
                    <w:rPr>
                      <w:kern w:val="10"/>
                      <w:szCs w:val="21"/>
                    </w:rPr>
                    <w:alias w:val="上市公司持有其他上市公司股权情况明细－初始投资金额"/>
                    <w:tag w:val="_GBC_984473af5a874d5d890742d1a261b908"/>
                    <w:id w:val="24720459"/>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44,427,074.82</w:t>
                        </w:r>
                      </w:p>
                    </w:tc>
                  </w:sdtContent>
                </w:sdt>
                <w:sdt>
                  <w:sdtPr>
                    <w:rPr>
                      <w:kern w:val="10"/>
                      <w:szCs w:val="21"/>
                    </w:rPr>
                    <w:alias w:val="上市公司持有其他上市公司股权情况明细－占该公司股权比例"/>
                    <w:tag w:val="_GBC_1db6aee91abe492e8df9cc4d2e409495"/>
                    <w:id w:val="24720460"/>
                    <w:lock w:val="sdtLocked"/>
                  </w:sdtPr>
                  <w:sdtContent>
                    <w:tc>
                      <w:tcPr>
                        <w:tcW w:w="328" w:type="pct"/>
                        <w:tcMar>
                          <w:left w:w="28" w:type="dxa"/>
                          <w:right w:w="28"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占该公司股权比例"/>
                    <w:tag w:val="_GBC_2743972d43204182b564ef01f6369aba"/>
                    <w:id w:val="24720461"/>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0.61</w:t>
                        </w:r>
                      </w:p>
                    </w:tc>
                  </w:sdtContent>
                </w:sdt>
                <w:sdt>
                  <w:sdtPr>
                    <w:rPr>
                      <w:kern w:val="10"/>
                      <w:szCs w:val="21"/>
                    </w:rPr>
                    <w:alias w:val="上市公司持有其他上市公司股权情况明细－账面值"/>
                    <w:tag w:val="_GBC_51044e8000d34d0aa66e583e607d289f"/>
                    <w:id w:val="24720462"/>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39,723,887.70</w:t>
                        </w:r>
                      </w:p>
                    </w:tc>
                  </w:sdtContent>
                </w:sdt>
                <w:sdt>
                  <w:sdtPr>
                    <w:rPr>
                      <w:kern w:val="10"/>
                      <w:szCs w:val="21"/>
                    </w:rPr>
                    <w:alias w:val="上市公司持有其他上市公司股权情况明细－投资损益"/>
                    <w:tag w:val="_GBC_0e3adffafa954f9fa88d84df96a4a4ac"/>
                    <w:id w:val="24720463"/>
                    <w:lock w:val="sdtLocked"/>
                  </w:sdtPr>
                  <w:sdtContent>
                    <w:tc>
                      <w:tcPr>
                        <w:tcW w:w="722" w:type="pct"/>
                        <w:shd w:val="clear" w:color="auto" w:fill="auto"/>
                        <w:tcMar>
                          <w:left w:w="6" w:type="dxa"/>
                          <w:right w:w="6"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所有者权益变动"/>
                    <w:tag w:val="_GBC_5d496fda0a064cd6ab5e24e97da52b32"/>
                    <w:id w:val="24720464"/>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-4,703,187.12</w:t>
                        </w:r>
                      </w:p>
                    </w:tc>
                  </w:sdtContent>
                </w:sdt>
                <w:sdt>
                  <w:sdtPr>
                    <w:rPr>
                      <w:szCs w:val="21"/>
                    </w:rPr>
                    <w:alias w:val="上市公司持有其他上市公司股权情况明细－会计核算科目"/>
                    <w:tag w:val="_GBC_fd722b43294f43ec820886beee8ef7c3"/>
                    <w:id w:val="24720465"/>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66"/>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478"/>
              <w:lock w:val="sdtLocked"/>
            </w:sdtPr>
            <w:sdtContent>
              <w:tr w:rsidR="00DF0018" w:rsidTr="00930088">
                <w:trPr>
                  <w:jc w:val="center"/>
                </w:trPr>
                <w:sdt>
                  <w:sdtPr>
                    <w:rPr>
                      <w:szCs w:val="21"/>
                    </w:rPr>
                    <w:alias w:val="上市公司持有其他上市公司股权情况明细－证券代码"/>
                    <w:tag w:val="_GBC_eaa78cfb0e294c1788d053782cbf03f3"/>
                    <w:id w:val="24720468"/>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600379</w:t>
                        </w:r>
                      </w:p>
                    </w:tc>
                  </w:sdtContent>
                </w:sdt>
                <w:sdt>
                  <w:sdtPr>
                    <w:rPr>
                      <w:szCs w:val="21"/>
                    </w:rPr>
                    <w:alias w:val="上市公司持有其他上市公司股权情况明细－证券简称"/>
                    <w:tag w:val="_GBC_94ded5135bd04d2fac6c7d41f7931a6e"/>
                    <w:id w:val="24720469"/>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宝光股份</w:t>
                        </w:r>
                      </w:p>
                    </w:tc>
                  </w:sdtContent>
                </w:sdt>
                <w:sdt>
                  <w:sdtPr>
                    <w:rPr>
                      <w:kern w:val="10"/>
                      <w:szCs w:val="21"/>
                    </w:rPr>
                    <w:alias w:val="上市公司持有其他上市公司股权情况明细－初始投资金额"/>
                    <w:tag w:val="_GBC_984473af5a874d5d890742d1a261b908"/>
                    <w:id w:val="24720470"/>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42,491,205.13</w:t>
                        </w:r>
                      </w:p>
                    </w:tc>
                  </w:sdtContent>
                </w:sdt>
                <w:sdt>
                  <w:sdtPr>
                    <w:rPr>
                      <w:kern w:val="10"/>
                      <w:szCs w:val="21"/>
                    </w:rPr>
                    <w:alias w:val="上市公司持有其他上市公司股权情况明细－占该公司股权比例"/>
                    <w:tag w:val="_GBC_1db6aee91abe492e8df9cc4d2e409495"/>
                    <w:id w:val="24720471"/>
                    <w:lock w:val="sdtLocked"/>
                  </w:sdtPr>
                  <w:sdtContent>
                    <w:tc>
                      <w:tcPr>
                        <w:tcW w:w="328" w:type="pct"/>
                        <w:tcMar>
                          <w:left w:w="28" w:type="dxa"/>
                          <w:right w:w="28"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占该公司股权比例"/>
                    <w:tag w:val="_GBC_2743972d43204182b564ef01f6369aba"/>
                    <w:id w:val="24720472"/>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0.85</w:t>
                        </w:r>
                      </w:p>
                    </w:tc>
                  </w:sdtContent>
                </w:sdt>
                <w:sdt>
                  <w:sdtPr>
                    <w:rPr>
                      <w:kern w:val="10"/>
                      <w:szCs w:val="21"/>
                    </w:rPr>
                    <w:alias w:val="上市公司持有其他上市公司股权情况明细－账面值"/>
                    <w:tag w:val="_GBC_51044e8000d34d0aa66e583e607d289f"/>
                    <w:id w:val="24720473"/>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39,317,581.82</w:t>
                        </w:r>
                      </w:p>
                    </w:tc>
                  </w:sdtContent>
                </w:sdt>
                <w:sdt>
                  <w:sdtPr>
                    <w:rPr>
                      <w:kern w:val="10"/>
                      <w:szCs w:val="21"/>
                    </w:rPr>
                    <w:alias w:val="上市公司持有其他上市公司股权情况明细－投资损益"/>
                    <w:tag w:val="_GBC_0e3adffafa954f9fa88d84df96a4a4ac"/>
                    <w:id w:val="24720474"/>
                    <w:lock w:val="sdtLocked"/>
                  </w:sdtPr>
                  <w:sdtContent>
                    <w:tc>
                      <w:tcPr>
                        <w:tcW w:w="722" w:type="pct"/>
                        <w:shd w:val="clear" w:color="auto" w:fill="auto"/>
                        <w:tcMar>
                          <w:left w:w="6" w:type="dxa"/>
                          <w:right w:w="6"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所有者权益变动"/>
                    <w:tag w:val="_GBC_5d496fda0a064cd6ab5e24e97da52b32"/>
                    <w:id w:val="24720475"/>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-3,173,623.31</w:t>
                        </w:r>
                      </w:p>
                    </w:tc>
                  </w:sdtContent>
                </w:sdt>
                <w:sdt>
                  <w:sdtPr>
                    <w:rPr>
                      <w:szCs w:val="21"/>
                    </w:rPr>
                    <w:alias w:val="上市公司持有其他上市公司股权情况明细－会计核算科目"/>
                    <w:tag w:val="_GBC_fd722b43294f43ec820886beee8ef7c3"/>
                    <w:id w:val="24720476"/>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77"/>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489"/>
              <w:lock w:val="sdtLocked"/>
            </w:sdtPr>
            <w:sdtContent>
              <w:tr w:rsidR="00DF0018" w:rsidTr="00930088">
                <w:trPr>
                  <w:jc w:val="center"/>
                </w:trPr>
                <w:sdt>
                  <w:sdtPr>
                    <w:rPr>
                      <w:szCs w:val="21"/>
                    </w:rPr>
                    <w:alias w:val="上市公司持有其他上市公司股权情况明细－证券代码"/>
                    <w:tag w:val="_GBC_eaa78cfb0e294c1788d053782cbf03f3"/>
                    <w:id w:val="24720479"/>
                    <w:lock w:val="sdtLocked"/>
                  </w:sdtPr>
                  <w:sdtContent>
                    <w:tc>
                      <w:tcPr>
                        <w:tcW w:w="338" w:type="pct"/>
                        <w:shd w:val="clear" w:color="auto" w:fill="auto"/>
                        <w:tcMar>
                          <w:left w:w="6" w:type="dxa"/>
                          <w:right w:w="6" w:type="dxa"/>
                        </w:tcMar>
                        <w:vAlign w:val="center"/>
                      </w:tcPr>
                      <w:p w:rsidR="00710BAF" w:rsidRPr="00DF0018" w:rsidRDefault="00710BAF" w:rsidP="00710BAF">
                        <w:pPr>
                          <w:jc w:val="both"/>
                          <w:rPr>
                            <w:szCs w:val="21"/>
                          </w:rPr>
                        </w:pPr>
                        <w:r w:rsidRPr="00DF0018">
                          <w:rPr>
                            <w:szCs w:val="21"/>
                          </w:rPr>
                          <w:t>000910</w:t>
                        </w:r>
                      </w:p>
                    </w:tc>
                  </w:sdtContent>
                </w:sdt>
                <w:sdt>
                  <w:sdtPr>
                    <w:rPr>
                      <w:szCs w:val="21"/>
                    </w:rPr>
                    <w:alias w:val="上市公司持有其他上市公司股权情况明细－证券简称"/>
                    <w:tag w:val="_GBC_94ded5135bd04d2fac6c7d41f7931a6e"/>
                    <w:id w:val="24720480"/>
                    <w:lock w:val="sdtLocked"/>
                  </w:sdtPr>
                  <w:sdtContent>
                    <w:tc>
                      <w:tcPr>
                        <w:tcW w:w="246" w:type="pct"/>
                        <w:shd w:val="clear" w:color="auto" w:fill="auto"/>
                        <w:tcMar>
                          <w:left w:w="11" w:type="dxa"/>
                          <w:right w:w="11" w:type="dxa"/>
                        </w:tcMar>
                        <w:vAlign w:val="center"/>
                      </w:tcPr>
                      <w:p w:rsidR="00710BAF" w:rsidRPr="00DF0018" w:rsidRDefault="00710BAF" w:rsidP="00DF0018">
                        <w:pPr>
                          <w:jc w:val="center"/>
                          <w:rPr>
                            <w:szCs w:val="21"/>
                          </w:rPr>
                        </w:pPr>
                        <w:r w:rsidRPr="00DF0018">
                          <w:rPr>
                            <w:szCs w:val="21"/>
                          </w:rPr>
                          <w:t>大亚科技</w:t>
                        </w:r>
                      </w:p>
                    </w:tc>
                  </w:sdtContent>
                </w:sdt>
                <w:sdt>
                  <w:sdtPr>
                    <w:rPr>
                      <w:kern w:val="10"/>
                      <w:szCs w:val="21"/>
                    </w:rPr>
                    <w:alias w:val="上市公司持有其他上市公司股权情况明细－初始投资金额"/>
                    <w:tag w:val="_GBC_984473af5a874d5d890742d1a261b908"/>
                    <w:id w:val="24720481"/>
                    <w:lock w:val="sdtLocked"/>
                  </w:sdtPr>
                  <w:sdtContent>
                    <w:tc>
                      <w:tcPr>
                        <w:tcW w:w="723"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42,733,933.25</w:t>
                        </w:r>
                      </w:p>
                    </w:tc>
                  </w:sdtContent>
                </w:sdt>
                <w:sdt>
                  <w:sdtPr>
                    <w:rPr>
                      <w:kern w:val="10"/>
                      <w:szCs w:val="21"/>
                    </w:rPr>
                    <w:alias w:val="上市公司持有其他上市公司股权情况明细－占该公司股权比例"/>
                    <w:tag w:val="_GBC_1db6aee91abe492e8df9cc4d2e409495"/>
                    <w:id w:val="24720482"/>
                    <w:lock w:val="sdtLocked"/>
                  </w:sdtPr>
                  <w:sdtContent>
                    <w:tc>
                      <w:tcPr>
                        <w:tcW w:w="328" w:type="pct"/>
                        <w:tcMar>
                          <w:left w:w="28" w:type="dxa"/>
                          <w:right w:w="28"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占该公司股权比例"/>
                    <w:tag w:val="_GBC_2743972d43204182b564ef01f6369aba"/>
                    <w:id w:val="24720483"/>
                    <w:lock w:val="sdtLocked"/>
                  </w:sdtPr>
                  <w:sdtContent>
                    <w:tc>
                      <w:tcPr>
                        <w:tcW w:w="32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0.44</w:t>
                        </w:r>
                      </w:p>
                    </w:tc>
                  </w:sdtContent>
                </w:sdt>
                <w:sdt>
                  <w:sdtPr>
                    <w:rPr>
                      <w:kern w:val="10"/>
                      <w:szCs w:val="21"/>
                    </w:rPr>
                    <w:alias w:val="上市公司持有其他上市公司股权情况明细－账面值"/>
                    <w:tag w:val="_GBC_51044e8000d34d0aa66e583e607d289f"/>
                    <w:id w:val="24720484"/>
                    <w:lock w:val="sdtLocked"/>
                  </w:sdtPr>
                  <w:sdtContent>
                    <w:tc>
                      <w:tcPr>
                        <w:tcW w:w="805"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39,146,000.00</w:t>
                        </w:r>
                      </w:p>
                    </w:tc>
                  </w:sdtContent>
                </w:sdt>
                <w:sdt>
                  <w:sdtPr>
                    <w:rPr>
                      <w:kern w:val="10"/>
                      <w:szCs w:val="21"/>
                    </w:rPr>
                    <w:alias w:val="上市公司持有其他上市公司股权情况明细－投资损益"/>
                    <w:tag w:val="_GBC_0e3adffafa954f9fa88d84df96a4a4ac"/>
                    <w:id w:val="24720485"/>
                    <w:lock w:val="sdtLocked"/>
                  </w:sdtPr>
                  <w:sdtContent>
                    <w:tc>
                      <w:tcPr>
                        <w:tcW w:w="722" w:type="pct"/>
                        <w:shd w:val="clear" w:color="auto" w:fill="auto"/>
                        <w:tcMar>
                          <w:left w:w="6" w:type="dxa"/>
                          <w:right w:w="6" w:type="dxa"/>
                        </w:tcMar>
                        <w:vAlign w:val="center"/>
                      </w:tcPr>
                      <w:p w:rsidR="00710BAF" w:rsidRPr="00B673F6" w:rsidRDefault="00325630" w:rsidP="008F0FC5">
                        <w:pPr>
                          <w:jc w:val="right"/>
                          <w:rPr>
                            <w:kern w:val="10"/>
                            <w:szCs w:val="21"/>
                          </w:rPr>
                        </w:pPr>
                        <w:r>
                          <w:rPr>
                            <w:rFonts w:hint="eastAsia"/>
                            <w:szCs w:val="21"/>
                          </w:rPr>
                          <w:t>—</w:t>
                        </w:r>
                      </w:p>
                    </w:tc>
                  </w:sdtContent>
                </w:sdt>
                <w:sdt>
                  <w:sdtPr>
                    <w:rPr>
                      <w:kern w:val="10"/>
                      <w:szCs w:val="21"/>
                    </w:rPr>
                    <w:alias w:val="上市公司持有其他上市公司股权情况明细－所有者权益变动"/>
                    <w:tag w:val="_GBC_5d496fda0a064cd6ab5e24e97da52b32"/>
                    <w:id w:val="24720486"/>
                    <w:lock w:val="sdtLocked"/>
                  </w:sdtPr>
                  <w:sdtContent>
                    <w:tc>
                      <w:tcPr>
                        <w:tcW w:w="789" w:type="pct"/>
                        <w:shd w:val="clear" w:color="auto" w:fill="auto"/>
                        <w:tcMar>
                          <w:left w:w="6" w:type="dxa"/>
                          <w:right w:w="6" w:type="dxa"/>
                        </w:tcMar>
                        <w:vAlign w:val="center"/>
                      </w:tcPr>
                      <w:p w:rsidR="00710BAF" w:rsidRPr="00B673F6" w:rsidRDefault="00710BAF" w:rsidP="00681E24">
                        <w:pPr>
                          <w:jc w:val="right"/>
                          <w:rPr>
                            <w:kern w:val="10"/>
                            <w:szCs w:val="21"/>
                          </w:rPr>
                        </w:pPr>
                        <w:r w:rsidRPr="00B673F6">
                          <w:rPr>
                            <w:kern w:val="10"/>
                            <w:szCs w:val="21"/>
                          </w:rPr>
                          <w:t>-3,587,933.25</w:t>
                        </w:r>
                      </w:p>
                    </w:tc>
                  </w:sdtContent>
                </w:sdt>
                <w:sdt>
                  <w:sdtPr>
                    <w:rPr>
                      <w:szCs w:val="21"/>
                    </w:rPr>
                    <w:alias w:val="上市公司持有其他上市公司股权情况明细－会计核算科目"/>
                    <w:tag w:val="_GBC_fd722b43294f43ec820886beee8ef7c3"/>
                    <w:id w:val="24720487"/>
                    <w:lock w:val="sdtLocked"/>
                  </w:sdtPr>
                  <w:sdtContent>
                    <w:tc>
                      <w:tcPr>
                        <w:tcW w:w="383" w:type="pct"/>
                        <w:shd w:val="clear" w:color="auto" w:fill="auto"/>
                        <w:tcMar>
                          <w:left w:w="28" w:type="dxa"/>
                          <w:right w:w="28" w:type="dxa"/>
                        </w:tcMar>
                        <w:vAlign w:val="center"/>
                      </w:tcPr>
                      <w:p w:rsidR="00710BAF" w:rsidRPr="00DF0018" w:rsidRDefault="00710BAF" w:rsidP="00DF0018">
                        <w:pPr>
                          <w:jc w:val="center"/>
                          <w:rPr>
                            <w:szCs w:val="21"/>
                          </w:rPr>
                        </w:pPr>
                        <w:r w:rsidRPr="00DF0018">
                          <w:rPr>
                            <w:szCs w:val="21"/>
                          </w:rPr>
                          <w:t>可供出售金融资产</w:t>
                        </w:r>
                      </w:p>
                    </w:tc>
                  </w:sdtContent>
                </w:sdt>
                <w:sdt>
                  <w:sdtPr>
                    <w:rPr>
                      <w:szCs w:val="21"/>
                    </w:rPr>
                    <w:alias w:val="上市公司持有其他上市公司股权情况明细－股份来源"/>
                    <w:tag w:val="_GBC_9ffefba13a264f6cb28d1a31e0fc5a7e"/>
                    <w:id w:val="24720488"/>
                    <w:lock w:val="sdtLocked"/>
                  </w:sdtPr>
                  <w:sdtContent>
                    <w:tc>
                      <w:tcPr>
                        <w:tcW w:w="337" w:type="pct"/>
                        <w:shd w:val="clear" w:color="auto" w:fill="auto"/>
                        <w:tcMar>
                          <w:left w:w="6" w:type="dxa"/>
                          <w:right w:w="6" w:type="dxa"/>
                        </w:tcMar>
                        <w:vAlign w:val="center"/>
                      </w:tcPr>
                      <w:p w:rsidR="00710BAF" w:rsidRPr="00DF0018" w:rsidRDefault="00710BAF" w:rsidP="00DF0018">
                        <w:pPr>
                          <w:jc w:val="center"/>
                          <w:rPr>
                            <w:szCs w:val="21"/>
                          </w:rPr>
                        </w:pPr>
                        <w:r w:rsidRPr="00DF0018">
                          <w:rPr>
                            <w:szCs w:val="21"/>
                          </w:rPr>
                          <w:t>购买</w:t>
                        </w:r>
                      </w:p>
                    </w:tc>
                  </w:sdtContent>
                </w:sdt>
              </w:tr>
            </w:sdtContent>
          </w:sdt>
          <w:sdt>
            <w:sdtPr>
              <w:rPr>
                <w:szCs w:val="21"/>
              </w:rPr>
              <w:alias w:val="上市公司持有其他上市公司股权情况明细"/>
              <w:tag w:val="_GBC_8197e2cfc20e4b329a9d6e15f1641f3e"/>
              <w:id w:val="24720500"/>
              <w:lock w:val="sdtLocked"/>
            </w:sdtPr>
            <w:sdtContent>
              <w:tr w:rsidR="00DF0018" w:rsidTr="00930088">
                <w:trPr>
                  <w:jc w:val="center"/>
                </w:trPr>
                <w:sdt>
                  <w:sdtPr>
                    <w:rPr>
                      <w:szCs w:val="21"/>
                    </w:rPr>
                    <w:alias w:val="上市公司持有其他上市公司股权情况明细－证券代码"/>
                    <w:tag w:val="_GBC_eaa78cfb0e294c1788d053782cbf03f3"/>
                    <w:id w:val="24720490"/>
                    <w:lock w:val="sdtLocked"/>
                  </w:sdtPr>
                  <w:sdtContent>
                    <w:tc>
                      <w:tcPr>
                        <w:tcW w:w="338" w:type="pct"/>
                        <w:shd w:val="clear" w:color="auto" w:fill="auto"/>
                        <w:tcMar>
                          <w:left w:w="6" w:type="dxa"/>
                          <w:right w:w="6" w:type="dxa"/>
                        </w:tcMar>
                      </w:tcPr>
                      <w:p w:rsidR="00710BAF" w:rsidRPr="00DF0018" w:rsidRDefault="00710BAF" w:rsidP="00681E24">
                        <w:pPr>
                          <w:rPr>
                            <w:szCs w:val="21"/>
                          </w:rPr>
                        </w:pPr>
                        <w:r w:rsidRPr="00DF0018">
                          <w:rPr>
                            <w:rFonts w:hint="eastAsia"/>
                            <w:szCs w:val="21"/>
                          </w:rPr>
                          <w:t> </w:t>
                        </w:r>
                      </w:p>
                    </w:tc>
                  </w:sdtContent>
                </w:sdt>
                <w:sdt>
                  <w:sdtPr>
                    <w:rPr>
                      <w:szCs w:val="21"/>
                    </w:rPr>
                    <w:alias w:val="上市公司持有其他上市公司股权情况明细－证券简称"/>
                    <w:tag w:val="_GBC_94ded5135bd04d2fac6c7d41f7931a6e"/>
                    <w:id w:val="24720491"/>
                    <w:lock w:val="sdtLocked"/>
                  </w:sdtPr>
                  <w:sdtContent>
                    <w:tc>
                      <w:tcPr>
                        <w:tcW w:w="246" w:type="pct"/>
                        <w:shd w:val="clear" w:color="auto" w:fill="auto"/>
                        <w:tcMar>
                          <w:left w:w="11" w:type="dxa"/>
                          <w:right w:w="11" w:type="dxa"/>
                        </w:tcMar>
                        <w:vAlign w:val="center"/>
                      </w:tcPr>
                      <w:p w:rsidR="00710BAF" w:rsidRPr="00DF0018" w:rsidRDefault="00681E24" w:rsidP="00DF0018">
                        <w:pPr>
                          <w:jc w:val="center"/>
                          <w:rPr>
                            <w:szCs w:val="21"/>
                          </w:rPr>
                        </w:pPr>
                        <w:r w:rsidRPr="00DF0018">
                          <w:rPr>
                            <w:rFonts w:hint="eastAsia"/>
                            <w:szCs w:val="21"/>
                          </w:rPr>
                          <w:t>其他</w:t>
                        </w:r>
                      </w:p>
                    </w:tc>
                  </w:sdtContent>
                </w:sdt>
                <w:sdt>
                  <w:sdtPr>
                    <w:rPr>
                      <w:szCs w:val="21"/>
                    </w:rPr>
                    <w:alias w:val="上市公司持有其他上市公司股权情况明细－初始投资金额"/>
                    <w:tag w:val="_GBC_984473af5a874d5d890742d1a261b908"/>
                    <w:id w:val="24720492"/>
                    <w:lock w:val="sdtLocked"/>
                  </w:sdtPr>
                  <w:sdtContent>
                    <w:tc>
                      <w:tcPr>
                        <w:tcW w:w="723" w:type="pct"/>
                        <w:shd w:val="clear" w:color="auto" w:fill="auto"/>
                        <w:tcMar>
                          <w:left w:w="6" w:type="dxa"/>
                          <w:right w:w="6" w:type="dxa"/>
                        </w:tcMar>
                        <w:vAlign w:val="center"/>
                      </w:tcPr>
                      <w:p w:rsidR="00710BAF" w:rsidRDefault="00681E24" w:rsidP="00681E24">
                        <w:pPr>
                          <w:jc w:val="right"/>
                          <w:rPr>
                            <w:szCs w:val="21"/>
                          </w:rPr>
                        </w:pPr>
                        <w:r>
                          <w:rPr>
                            <w:szCs w:val="21"/>
                          </w:rPr>
                          <w:t>190,251,633.09</w:t>
                        </w:r>
                      </w:p>
                    </w:tc>
                  </w:sdtContent>
                </w:sdt>
                <w:sdt>
                  <w:sdtPr>
                    <w:rPr>
                      <w:szCs w:val="21"/>
                    </w:rPr>
                    <w:alias w:val="上市公司持有其他上市公司股权情况明细－占该公司股权比例"/>
                    <w:tag w:val="_GBC_1db6aee91abe492e8df9cc4d2e409495"/>
                    <w:id w:val="24720493"/>
                    <w:lock w:val="sdtLocked"/>
                  </w:sdtPr>
                  <w:sdtContent>
                    <w:tc>
                      <w:tcPr>
                        <w:tcW w:w="328" w:type="pct"/>
                        <w:tcMar>
                          <w:left w:w="28" w:type="dxa"/>
                          <w:right w:w="28" w:type="dxa"/>
                        </w:tcMar>
                        <w:vAlign w:val="center"/>
                      </w:tcPr>
                      <w:p w:rsidR="00710BAF" w:rsidRDefault="00681E24" w:rsidP="00681E24">
                        <w:pPr>
                          <w:jc w:val="right"/>
                          <w:rPr>
                            <w:szCs w:val="21"/>
                          </w:rPr>
                        </w:pPr>
                        <w:r>
                          <w:rPr>
                            <w:szCs w:val="21"/>
                          </w:rPr>
                          <w:t>/</w:t>
                        </w:r>
                      </w:p>
                    </w:tc>
                  </w:sdtContent>
                </w:sdt>
                <w:sdt>
                  <w:sdtPr>
                    <w:rPr>
                      <w:szCs w:val="21"/>
                    </w:rPr>
                    <w:alias w:val="上市公司持有其他上市公司股权情况明细－占该公司股权比例"/>
                    <w:tag w:val="_GBC_2743972d43204182b564ef01f6369aba"/>
                    <w:id w:val="24720494"/>
                    <w:lock w:val="sdtLocked"/>
                  </w:sdtPr>
                  <w:sdtContent>
                    <w:tc>
                      <w:tcPr>
                        <w:tcW w:w="329" w:type="pct"/>
                        <w:shd w:val="clear" w:color="auto" w:fill="auto"/>
                        <w:tcMar>
                          <w:left w:w="6" w:type="dxa"/>
                          <w:right w:w="6" w:type="dxa"/>
                        </w:tcMar>
                        <w:vAlign w:val="center"/>
                      </w:tcPr>
                      <w:p w:rsidR="00710BAF" w:rsidRDefault="00681E24" w:rsidP="00681E24">
                        <w:pPr>
                          <w:jc w:val="right"/>
                          <w:rPr>
                            <w:szCs w:val="21"/>
                          </w:rPr>
                        </w:pPr>
                        <w:r>
                          <w:rPr>
                            <w:szCs w:val="21"/>
                          </w:rPr>
                          <w:t>/</w:t>
                        </w:r>
                      </w:p>
                    </w:tc>
                  </w:sdtContent>
                </w:sdt>
                <w:sdt>
                  <w:sdtPr>
                    <w:rPr>
                      <w:szCs w:val="21"/>
                    </w:rPr>
                    <w:alias w:val="上市公司持有其他上市公司股权情况明细－账面值"/>
                    <w:tag w:val="_GBC_51044e8000d34d0aa66e583e607d289f"/>
                    <w:id w:val="24720495"/>
                    <w:lock w:val="sdtLocked"/>
                  </w:sdtPr>
                  <w:sdtContent>
                    <w:tc>
                      <w:tcPr>
                        <w:tcW w:w="805" w:type="pct"/>
                        <w:shd w:val="clear" w:color="auto" w:fill="auto"/>
                        <w:tcMar>
                          <w:left w:w="6" w:type="dxa"/>
                          <w:right w:w="6" w:type="dxa"/>
                        </w:tcMar>
                        <w:vAlign w:val="center"/>
                      </w:tcPr>
                      <w:p w:rsidR="00710BAF" w:rsidRDefault="00681E24" w:rsidP="00681E24">
                        <w:pPr>
                          <w:jc w:val="right"/>
                          <w:rPr>
                            <w:szCs w:val="21"/>
                          </w:rPr>
                        </w:pPr>
                        <w:r>
                          <w:rPr>
                            <w:szCs w:val="21"/>
                          </w:rPr>
                          <w:t>235,868,923.93</w:t>
                        </w:r>
                      </w:p>
                    </w:tc>
                  </w:sdtContent>
                </w:sdt>
                <w:sdt>
                  <w:sdtPr>
                    <w:rPr>
                      <w:szCs w:val="21"/>
                    </w:rPr>
                    <w:alias w:val="上市公司持有其他上市公司股权情况明细－投资损益"/>
                    <w:tag w:val="_GBC_0e3adffafa954f9fa88d84df96a4a4ac"/>
                    <w:id w:val="24720496"/>
                    <w:lock w:val="sdtLocked"/>
                  </w:sdtPr>
                  <w:sdtContent>
                    <w:tc>
                      <w:tcPr>
                        <w:tcW w:w="722" w:type="pct"/>
                        <w:shd w:val="clear" w:color="auto" w:fill="auto"/>
                        <w:tcMar>
                          <w:left w:w="6" w:type="dxa"/>
                          <w:right w:w="6" w:type="dxa"/>
                        </w:tcMar>
                        <w:vAlign w:val="center"/>
                      </w:tcPr>
                      <w:p w:rsidR="00710BAF" w:rsidRDefault="00681E24" w:rsidP="00681E24">
                        <w:pPr>
                          <w:jc w:val="right"/>
                          <w:rPr>
                            <w:szCs w:val="21"/>
                          </w:rPr>
                        </w:pPr>
                        <w:r>
                          <w:rPr>
                            <w:szCs w:val="21"/>
                          </w:rPr>
                          <w:t>247,617,765.96</w:t>
                        </w:r>
                      </w:p>
                    </w:tc>
                  </w:sdtContent>
                </w:sdt>
                <w:sdt>
                  <w:sdtPr>
                    <w:rPr>
                      <w:szCs w:val="21"/>
                    </w:rPr>
                    <w:alias w:val="上市公司持有其他上市公司股权情况明细－所有者权益变动"/>
                    <w:tag w:val="_GBC_5d496fda0a064cd6ab5e24e97da52b32"/>
                    <w:id w:val="24720497"/>
                    <w:lock w:val="sdtLocked"/>
                  </w:sdtPr>
                  <w:sdtContent>
                    <w:tc>
                      <w:tcPr>
                        <w:tcW w:w="789" w:type="pct"/>
                        <w:shd w:val="clear" w:color="auto" w:fill="auto"/>
                        <w:tcMar>
                          <w:left w:w="6" w:type="dxa"/>
                          <w:right w:w="6" w:type="dxa"/>
                        </w:tcMar>
                        <w:vAlign w:val="center"/>
                      </w:tcPr>
                      <w:p w:rsidR="00710BAF" w:rsidRDefault="00681E24" w:rsidP="00681E24">
                        <w:pPr>
                          <w:jc w:val="right"/>
                          <w:rPr>
                            <w:szCs w:val="21"/>
                          </w:rPr>
                        </w:pPr>
                        <w:r>
                          <w:rPr>
                            <w:szCs w:val="21"/>
                          </w:rPr>
                          <w:t>22,626,152.14</w:t>
                        </w:r>
                      </w:p>
                    </w:tc>
                  </w:sdtContent>
                </w:sdt>
                <w:sdt>
                  <w:sdtPr>
                    <w:rPr>
                      <w:szCs w:val="21"/>
                    </w:rPr>
                    <w:alias w:val="上市公司持有其他上市公司股权情况明细－会计核算科目"/>
                    <w:tag w:val="_GBC_fd722b43294f43ec820886beee8ef7c3"/>
                    <w:id w:val="24720498"/>
                    <w:lock w:val="sdtLocked"/>
                  </w:sdtPr>
                  <w:sdtContent>
                    <w:tc>
                      <w:tcPr>
                        <w:tcW w:w="383" w:type="pct"/>
                        <w:shd w:val="clear" w:color="auto" w:fill="auto"/>
                        <w:tcMar>
                          <w:left w:w="28" w:type="dxa"/>
                          <w:right w:w="28" w:type="dxa"/>
                        </w:tcMar>
                      </w:tcPr>
                      <w:p w:rsidR="00710BAF" w:rsidRPr="00DF0018" w:rsidRDefault="00681E24" w:rsidP="00DF0018">
                        <w:pPr>
                          <w:jc w:val="center"/>
                          <w:rPr>
                            <w:szCs w:val="21"/>
                          </w:rPr>
                        </w:pPr>
                        <w:r w:rsidRPr="00DF0018">
                          <w:rPr>
                            <w:rFonts w:hint="eastAsia"/>
                            <w:szCs w:val="21"/>
                          </w:rPr>
                          <w:t>可供出售金融资产</w:t>
                        </w:r>
                      </w:p>
                    </w:tc>
                  </w:sdtContent>
                </w:sdt>
                <w:sdt>
                  <w:sdtPr>
                    <w:rPr>
                      <w:szCs w:val="21"/>
                    </w:rPr>
                    <w:alias w:val="上市公司持有其他上市公司股权情况明细－股份来源"/>
                    <w:tag w:val="_GBC_9ffefba13a264f6cb28d1a31e0fc5a7e"/>
                    <w:id w:val="24720499"/>
                    <w:lock w:val="sdtLocked"/>
                  </w:sdtPr>
                  <w:sdtContent>
                    <w:tc>
                      <w:tcPr>
                        <w:tcW w:w="337" w:type="pct"/>
                        <w:shd w:val="clear" w:color="auto" w:fill="auto"/>
                        <w:tcMar>
                          <w:left w:w="6" w:type="dxa"/>
                          <w:right w:w="6" w:type="dxa"/>
                        </w:tcMar>
                        <w:vAlign w:val="center"/>
                      </w:tcPr>
                      <w:p w:rsidR="00710BAF" w:rsidRPr="00DF0018" w:rsidRDefault="00681E24" w:rsidP="007F6F7F">
                        <w:pPr>
                          <w:jc w:val="center"/>
                          <w:rPr>
                            <w:szCs w:val="21"/>
                          </w:rPr>
                        </w:pPr>
                        <w:r w:rsidRPr="00DF0018">
                          <w:rPr>
                            <w:rFonts w:hint="eastAsia"/>
                            <w:szCs w:val="21"/>
                          </w:rPr>
                          <w:t>购买</w:t>
                        </w:r>
                      </w:p>
                    </w:tc>
                  </w:sdtContent>
                </w:sdt>
              </w:tr>
            </w:sdtContent>
          </w:sdt>
          <w:tr w:rsidR="00DF0018" w:rsidTr="00930088">
            <w:trPr>
              <w:jc w:val="center"/>
            </w:trPr>
            <w:tc>
              <w:tcPr>
                <w:tcW w:w="584" w:type="pct"/>
                <w:gridSpan w:val="2"/>
                <w:shd w:val="clear" w:color="auto" w:fill="auto"/>
                <w:tcMar>
                  <w:left w:w="6" w:type="dxa"/>
                  <w:right w:w="6" w:type="dxa"/>
                </w:tcMar>
                <w:vAlign w:val="center"/>
              </w:tcPr>
              <w:p w:rsidR="00710BAF" w:rsidRDefault="00710BAF" w:rsidP="00E60BDC">
                <w:pPr>
                  <w:jc w:val="center"/>
                  <w:rPr>
                    <w:szCs w:val="21"/>
                  </w:rPr>
                </w:pPr>
                <w:r>
                  <w:rPr>
                    <w:rFonts w:hint="eastAsia"/>
                    <w:szCs w:val="21"/>
                  </w:rPr>
                  <w:t>合计</w:t>
                </w:r>
              </w:p>
            </w:tc>
            <w:sdt>
              <w:sdtPr>
                <w:rPr>
                  <w:szCs w:val="21"/>
                </w:rPr>
                <w:alias w:val="持有其他上市公司股权的初始投资金额合计"/>
                <w:tag w:val="_GBC_beda7fe0097d4c299c3455a5342af1d5"/>
                <w:id w:val="24720501"/>
                <w:lock w:val="sdtLocked"/>
              </w:sdtPr>
              <w:sdtContent>
                <w:tc>
                  <w:tcPr>
                    <w:tcW w:w="723" w:type="pct"/>
                    <w:shd w:val="clear" w:color="auto" w:fill="auto"/>
                    <w:tcMar>
                      <w:left w:w="6" w:type="dxa"/>
                      <w:right w:w="6" w:type="dxa"/>
                    </w:tcMar>
                    <w:vAlign w:val="center"/>
                  </w:tcPr>
                  <w:p w:rsidR="00710BAF" w:rsidRDefault="00710BAF" w:rsidP="00681E24">
                    <w:pPr>
                      <w:jc w:val="right"/>
                      <w:rPr>
                        <w:szCs w:val="21"/>
                      </w:rPr>
                    </w:pPr>
                    <w:r>
                      <w:rPr>
                        <w:szCs w:val="21"/>
                      </w:rPr>
                      <w:t>787,925,033.13</w:t>
                    </w:r>
                  </w:p>
                </w:tc>
              </w:sdtContent>
            </w:sdt>
            <w:tc>
              <w:tcPr>
                <w:tcW w:w="328" w:type="pct"/>
                <w:shd w:val="clear" w:color="auto" w:fill="auto"/>
                <w:tcMar>
                  <w:left w:w="28" w:type="dxa"/>
                  <w:right w:w="28" w:type="dxa"/>
                </w:tcMar>
                <w:vAlign w:val="center"/>
              </w:tcPr>
              <w:p w:rsidR="00710BAF" w:rsidRDefault="00710BAF" w:rsidP="00681E24">
                <w:pPr>
                  <w:jc w:val="right"/>
                  <w:rPr>
                    <w:szCs w:val="21"/>
                  </w:rPr>
                </w:pPr>
                <w:r>
                  <w:rPr>
                    <w:rFonts w:hint="eastAsia"/>
                    <w:szCs w:val="21"/>
                  </w:rPr>
                  <w:t>/</w:t>
                </w:r>
              </w:p>
            </w:tc>
            <w:tc>
              <w:tcPr>
                <w:tcW w:w="329" w:type="pct"/>
                <w:shd w:val="clear" w:color="auto" w:fill="auto"/>
                <w:tcMar>
                  <w:left w:w="6" w:type="dxa"/>
                  <w:right w:w="6" w:type="dxa"/>
                </w:tcMar>
                <w:vAlign w:val="center"/>
              </w:tcPr>
              <w:p w:rsidR="00710BAF" w:rsidRDefault="00710BAF" w:rsidP="00681E24">
                <w:pPr>
                  <w:jc w:val="right"/>
                  <w:rPr>
                    <w:color w:val="008000"/>
                    <w:szCs w:val="21"/>
                  </w:rPr>
                </w:pPr>
                <w:r>
                  <w:rPr>
                    <w:szCs w:val="21"/>
                  </w:rPr>
                  <w:t>/</w:t>
                </w:r>
              </w:p>
            </w:tc>
            <w:sdt>
              <w:sdtPr>
                <w:rPr>
                  <w:szCs w:val="21"/>
                </w:rPr>
                <w:alias w:val="持有其他上市公司股权账面价值合计"/>
                <w:tag w:val="_GBC_315d6807b96f47e49174b9280deb89dd"/>
                <w:id w:val="24720502"/>
                <w:lock w:val="sdtLocked"/>
              </w:sdtPr>
              <w:sdtContent>
                <w:tc>
                  <w:tcPr>
                    <w:tcW w:w="805" w:type="pct"/>
                    <w:tcMar>
                      <w:left w:w="6" w:type="dxa"/>
                      <w:right w:w="6" w:type="dxa"/>
                    </w:tcMar>
                    <w:vAlign w:val="center"/>
                  </w:tcPr>
                  <w:p w:rsidR="00710BAF" w:rsidRDefault="00710BAF" w:rsidP="00681E24">
                    <w:pPr>
                      <w:jc w:val="right"/>
                      <w:rPr>
                        <w:szCs w:val="21"/>
                      </w:rPr>
                    </w:pPr>
                    <w:r>
                      <w:rPr>
                        <w:szCs w:val="21"/>
                      </w:rPr>
                      <w:t>1,456,937,727.70</w:t>
                    </w:r>
                  </w:p>
                </w:tc>
              </w:sdtContent>
            </w:sdt>
            <w:sdt>
              <w:sdtPr>
                <w:rPr>
                  <w:szCs w:val="21"/>
                </w:rPr>
                <w:alias w:val="持有其他上市公司股权损益合计"/>
                <w:tag w:val="_GBC_66bb98186c5b4f7584bfed59276dbc9c"/>
                <w:id w:val="24720503"/>
                <w:lock w:val="sdtLocked"/>
              </w:sdtPr>
              <w:sdtContent>
                <w:tc>
                  <w:tcPr>
                    <w:tcW w:w="722" w:type="pct"/>
                    <w:shd w:val="clear" w:color="auto" w:fill="auto"/>
                    <w:tcMar>
                      <w:left w:w="6" w:type="dxa"/>
                      <w:right w:w="6" w:type="dxa"/>
                    </w:tcMar>
                    <w:vAlign w:val="center"/>
                  </w:tcPr>
                  <w:p w:rsidR="00710BAF" w:rsidRDefault="00710BAF" w:rsidP="00681E24">
                    <w:pPr>
                      <w:jc w:val="right"/>
                      <w:rPr>
                        <w:color w:val="008000"/>
                        <w:szCs w:val="21"/>
                      </w:rPr>
                    </w:pPr>
                    <w:r>
                      <w:rPr>
                        <w:szCs w:val="21"/>
                      </w:rPr>
                      <w:t>331,941,305.79</w:t>
                    </w:r>
                  </w:p>
                </w:tc>
              </w:sdtContent>
            </w:sdt>
            <w:sdt>
              <w:sdtPr>
                <w:rPr>
                  <w:szCs w:val="21"/>
                </w:rPr>
                <w:alias w:val="持有其他上市公司股权所有者权益变动合计"/>
                <w:tag w:val="_GBC_fefaf5f031e9410989dc5dcfa42093eb"/>
                <w:id w:val="24720504"/>
                <w:lock w:val="sdtLocked"/>
              </w:sdtPr>
              <w:sdtContent>
                <w:tc>
                  <w:tcPr>
                    <w:tcW w:w="789" w:type="pct"/>
                    <w:shd w:val="clear" w:color="auto" w:fill="auto"/>
                    <w:tcMar>
                      <w:left w:w="6" w:type="dxa"/>
                      <w:right w:w="6" w:type="dxa"/>
                    </w:tcMar>
                    <w:vAlign w:val="center"/>
                  </w:tcPr>
                  <w:p w:rsidR="00710BAF" w:rsidRDefault="00710BAF" w:rsidP="00681E24">
                    <w:pPr>
                      <w:jc w:val="right"/>
                      <w:rPr>
                        <w:szCs w:val="21"/>
                      </w:rPr>
                    </w:pPr>
                    <w:r>
                      <w:rPr>
                        <w:szCs w:val="21"/>
                      </w:rPr>
                      <w:t>429,117,328.88</w:t>
                    </w:r>
                  </w:p>
                </w:tc>
              </w:sdtContent>
            </w:sdt>
            <w:tc>
              <w:tcPr>
                <w:tcW w:w="383" w:type="pct"/>
                <w:shd w:val="clear" w:color="auto" w:fill="auto"/>
                <w:tcMar>
                  <w:left w:w="28" w:type="dxa"/>
                  <w:right w:w="28" w:type="dxa"/>
                </w:tcMar>
              </w:tcPr>
              <w:p w:rsidR="00710BAF" w:rsidRDefault="00710BAF" w:rsidP="00146D65">
                <w:pPr>
                  <w:jc w:val="center"/>
                  <w:rPr>
                    <w:szCs w:val="21"/>
                  </w:rPr>
                </w:pPr>
                <w:r>
                  <w:rPr>
                    <w:szCs w:val="21"/>
                  </w:rPr>
                  <w:t>/</w:t>
                </w:r>
              </w:p>
            </w:tc>
            <w:tc>
              <w:tcPr>
                <w:tcW w:w="337" w:type="pct"/>
                <w:shd w:val="clear" w:color="auto" w:fill="auto"/>
                <w:tcMar>
                  <w:left w:w="6" w:type="dxa"/>
                  <w:right w:w="6" w:type="dxa"/>
                </w:tcMar>
              </w:tcPr>
              <w:p w:rsidR="00710BAF" w:rsidRDefault="00710BAF" w:rsidP="00146D65">
                <w:pPr>
                  <w:jc w:val="center"/>
                  <w:rPr>
                    <w:szCs w:val="21"/>
                  </w:rPr>
                </w:pPr>
                <w:r>
                  <w:rPr>
                    <w:szCs w:val="21"/>
                  </w:rPr>
                  <w:t>/</w:t>
                </w:r>
              </w:p>
            </w:tc>
          </w:tr>
        </w:tbl>
        <w:p w:rsidR="00704CAD" w:rsidRDefault="00720895">
          <w:pPr>
            <w:rPr>
              <w:szCs w:val="21"/>
            </w:rPr>
          </w:pPr>
          <w:r>
            <w:rPr>
              <w:szCs w:val="21"/>
            </w:rPr>
            <w:t>持有其他上市公司股权情况的说明</w:t>
          </w:r>
        </w:p>
        <w:sdt>
          <w:sdtPr>
            <w:rPr>
              <w:rFonts w:hint="eastAsia"/>
            </w:rPr>
            <w:alias w:val="持有其他上市公司股权情况的说明"/>
            <w:tag w:val="_GBC_ddf14968c4d84f829115f5ad98e347de"/>
            <w:id w:val="24720505"/>
            <w:lock w:val="sdtLocked"/>
            <w:placeholder>
              <w:docPart w:val="GBC22222222222222222222222222222"/>
            </w:placeholder>
          </w:sdtPr>
          <w:sdtContent>
            <w:p w:rsidR="00681E24" w:rsidRDefault="00681E24" w:rsidP="00681E24">
              <w:pPr>
                <w:autoSpaceDE w:val="0"/>
                <w:autoSpaceDN w:val="0"/>
                <w:adjustRightInd w:val="0"/>
                <w:spacing w:line="360" w:lineRule="exact"/>
                <w:rPr>
                  <w:rFonts w:hAnsi="Calibri"/>
                  <w:szCs w:val="21"/>
                </w:rPr>
              </w:pPr>
              <w:r>
                <w:rPr>
                  <w:rFonts w:hAnsi="Calibri"/>
                  <w:szCs w:val="21"/>
                </w:rPr>
                <w:t>1</w:t>
              </w:r>
              <w:r>
                <w:rPr>
                  <w:rFonts w:hAnsi="Calibri" w:hint="eastAsia"/>
                  <w:szCs w:val="21"/>
                </w:rPr>
                <w:t>、本表报告期损益指：该项投资对公司本报告期合并净利润的影响。</w:t>
              </w:r>
            </w:p>
            <w:p w:rsidR="00704CAD" w:rsidRPr="00495AF5" w:rsidRDefault="00681E24" w:rsidP="00495AF5">
              <w:pPr>
                <w:spacing w:line="360" w:lineRule="exact"/>
                <w:rPr>
                  <w:color w:val="FF00FF"/>
                  <w:szCs w:val="21"/>
                </w:rPr>
              </w:pPr>
              <w:r>
                <w:rPr>
                  <w:rFonts w:hAnsi="Calibri"/>
                  <w:szCs w:val="21"/>
                </w:rPr>
                <w:t>2</w:t>
              </w:r>
              <w:r>
                <w:rPr>
                  <w:rFonts w:hAnsi="Calibri" w:hint="eastAsia"/>
                  <w:szCs w:val="21"/>
                </w:rPr>
                <w:t>、本表报告期所有者权益变动金额不含报告期损益金额及递延所得税的影响。</w:t>
              </w:r>
            </w:p>
          </w:sdtContent>
        </w:sdt>
      </w:sdtContent>
    </w:sdt>
    <w:sdt>
      <w:sdtPr>
        <w:rPr>
          <w:rFonts w:ascii="宋体" w:hAnsi="宋体" w:cs="宋体"/>
          <w:b w:val="0"/>
          <w:bCs w:val="0"/>
          <w:kern w:val="0"/>
          <w:sz w:val="24"/>
          <w:szCs w:val="21"/>
        </w:rPr>
        <w:tag w:val="_GBC_4a6b626a64a34759bfcd442af2a839d4"/>
        <w:id w:val="24720533"/>
        <w:lock w:val="sdtLocked"/>
        <w:placeholder>
          <w:docPart w:val="GBC22222222222222222222222222222"/>
        </w:placeholder>
      </w:sdtPr>
      <w:sdtEndPr>
        <w:rPr>
          <w:rFonts w:hint="eastAsia"/>
          <w:sz w:val="21"/>
          <w:szCs w:val="24"/>
        </w:rPr>
      </w:sdtEndPr>
      <w:sdtContent>
        <w:p w:rsidR="00704CAD" w:rsidRDefault="00720895" w:rsidP="009950AC">
          <w:pPr>
            <w:pStyle w:val="5"/>
            <w:numPr>
              <w:ilvl w:val="0"/>
              <w:numId w:val="17"/>
            </w:numPr>
            <w:rPr>
              <w:szCs w:val="21"/>
            </w:rPr>
          </w:pPr>
          <w:r>
            <w:rPr>
              <w:rFonts w:hint="eastAsia"/>
              <w:szCs w:val="21"/>
            </w:rPr>
            <w:t>持有金融企业股权情况</w:t>
          </w:r>
        </w:p>
        <w:sdt>
          <w:sdtPr>
            <w:alias w:val="是否适用：持有金融企业股权情况"/>
            <w:tag w:val="_GBC_9b397f5c3c5d489db8f890d19265bc44"/>
            <w:id w:val="24720507"/>
            <w:lock w:val="sdtContentLocked"/>
            <w:placeholder>
              <w:docPart w:val="GBC22222222222222222222222222222"/>
            </w:placeholder>
          </w:sdtPr>
          <w:sdtContent>
            <w:p w:rsidR="00704CAD" w:rsidRDefault="00422DCA">
              <w:r>
                <w:fldChar w:fldCharType="begin"/>
              </w:r>
              <w:r w:rsidR="00C85C15">
                <w:instrText xml:space="preserve"> MACROBUTTON  SnrToggleCheckbox √适用 </w:instrText>
              </w:r>
              <w:r>
                <w:fldChar w:fldCharType="end"/>
              </w:r>
              <w:r>
                <w:fldChar w:fldCharType="begin"/>
              </w:r>
              <w:r w:rsidR="00C85C15">
                <w:instrText xml:space="preserve"> MACROBUTTON  SnrToggleCheckbox □不适用 </w:instrText>
              </w:r>
              <w:r>
                <w:fldChar w:fldCharType="end"/>
              </w:r>
            </w:p>
          </w:sdtContent>
        </w:sdt>
        <w:tbl>
          <w:tblPr>
            <w:tblStyle w:val="a6"/>
            <w:tblW w:w="5905" w:type="pct"/>
            <w:tblInd w:w="-794" w:type="dxa"/>
            <w:tblCellMar>
              <w:left w:w="57" w:type="dxa"/>
              <w:right w:w="57" w:type="dxa"/>
            </w:tblCellMar>
            <w:tblLook w:val="04A0"/>
          </w:tblPr>
          <w:tblGrid>
            <w:gridCol w:w="1343"/>
            <w:gridCol w:w="1692"/>
            <w:gridCol w:w="725"/>
            <w:gridCol w:w="725"/>
            <w:gridCol w:w="1693"/>
            <w:gridCol w:w="1482"/>
            <w:gridCol w:w="1272"/>
            <w:gridCol w:w="949"/>
            <w:gridCol w:w="685"/>
          </w:tblGrid>
          <w:tr w:rsidR="0058588E" w:rsidRPr="00495AF5" w:rsidTr="0058588E">
            <w:trPr>
              <w:tblHeader/>
            </w:trPr>
            <w:tc>
              <w:tcPr>
                <w:tcW w:w="636" w:type="pct"/>
                <w:vAlign w:val="center"/>
              </w:tcPr>
              <w:p w:rsidR="0058588E" w:rsidRDefault="002B5E47" w:rsidP="00146D65">
                <w:pPr>
                  <w:jc w:val="center"/>
                  <w:rPr>
                    <w:b/>
                    <w:szCs w:val="21"/>
                  </w:rPr>
                </w:pPr>
                <w:r w:rsidRPr="00495AF5">
                  <w:rPr>
                    <w:b/>
                    <w:szCs w:val="21"/>
                  </w:rPr>
                  <w:t>所持对象</w:t>
                </w:r>
              </w:p>
              <w:p w:rsidR="002B5E47" w:rsidRPr="00495AF5" w:rsidRDefault="002B5E47" w:rsidP="00146D65">
                <w:pPr>
                  <w:jc w:val="center"/>
                  <w:rPr>
                    <w:b/>
                    <w:szCs w:val="21"/>
                  </w:rPr>
                </w:pPr>
                <w:r w:rsidRPr="00495AF5">
                  <w:rPr>
                    <w:b/>
                    <w:szCs w:val="21"/>
                  </w:rPr>
                  <w:t>名称</w:t>
                </w:r>
              </w:p>
            </w:tc>
            <w:tc>
              <w:tcPr>
                <w:tcW w:w="801" w:type="pct"/>
                <w:vAlign w:val="center"/>
              </w:tcPr>
              <w:p w:rsidR="002B5E47" w:rsidRPr="00495AF5" w:rsidRDefault="002B5E47" w:rsidP="00146D65">
                <w:pPr>
                  <w:jc w:val="center"/>
                  <w:rPr>
                    <w:b/>
                    <w:szCs w:val="21"/>
                  </w:rPr>
                </w:pPr>
                <w:r w:rsidRPr="00495AF5">
                  <w:rPr>
                    <w:b/>
                    <w:szCs w:val="21"/>
                  </w:rPr>
                  <w:t>最初投资金额（元）</w:t>
                </w:r>
              </w:p>
            </w:tc>
            <w:tc>
              <w:tcPr>
                <w:tcW w:w="343" w:type="pct"/>
              </w:tcPr>
              <w:p w:rsidR="002B5E47" w:rsidRPr="00495AF5" w:rsidRDefault="002B5E47" w:rsidP="00146D65">
                <w:pPr>
                  <w:jc w:val="center"/>
                  <w:rPr>
                    <w:b/>
                  </w:rPr>
                </w:pPr>
                <w:r w:rsidRPr="00495AF5">
                  <w:rPr>
                    <w:b/>
                  </w:rPr>
                  <w:t>期初持股比例</w:t>
                </w:r>
              </w:p>
              <w:p w:rsidR="002B5E47" w:rsidRPr="00495AF5" w:rsidRDefault="002B5E47" w:rsidP="00146D65">
                <w:pPr>
                  <w:jc w:val="center"/>
                  <w:rPr>
                    <w:b/>
                    <w:szCs w:val="21"/>
                  </w:rPr>
                </w:pPr>
                <w:r w:rsidRPr="00495AF5">
                  <w:rPr>
                    <w:b/>
                  </w:rPr>
                  <w:t>（%）</w:t>
                </w:r>
              </w:p>
            </w:tc>
            <w:tc>
              <w:tcPr>
                <w:tcW w:w="343" w:type="pct"/>
                <w:vAlign w:val="center"/>
              </w:tcPr>
              <w:p w:rsidR="002B5E47" w:rsidRPr="00495AF5" w:rsidRDefault="002B5E47" w:rsidP="00146D65">
                <w:pPr>
                  <w:jc w:val="center"/>
                  <w:rPr>
                    <w:b/>
                  </w:rPr>
                </w:pPr>
                <w:r w:rsidRPr="00495AF5">
                  <w:rPr>
                    <w:b/>
                  </w:rPr>
                  <w:t>期末持股比例</w:t>
                </w:r>
              </w:p>
              <w:p w:rsidR="002B5E47" w:rsidRPr="00495AF5" w:rsidRDefault="002B5E47" w:rsidP="00146D65">
                <w:pPr>
                  <w:jc w:val="center"/>
                  <w:rPr>
                    <w:b/>
                    <w:szCs w:val="21"/>
                  </w:rPr>
                </w:pPr>
                <w:r w:rsidRPr="00495AF5">
                  <w:rPr>
                    <w:b/>
                  </w:rPr>
                  <w:t>（%）</w:t>
                </w:r>
              </w:p>
            </w:tc>
            <w:tc>
              <w:tcPr>
                <w:tcW w:w="801" w:type="pct"/>
                <w:vAlign w:val="center"/>
              </w:tcPr>
              <w:p w:rsidR="002B5E47" w:rsidRPr="00495AF5" w:rsidRDefault="002B5E47" w:rsidP="00146D65">
                <w:pPr>
                  <w:jc w:val="center"/>
                  <w:rPr>
                    <w:b/>
                    <w:szCs w:val="21"/>
                  </w:rPr>
                </w:pPr>
                <w:r w:rsidRPr="00495AF5">
                  <w:rPr>
                    <w:b/>
                    <w:szCs w:val="21"/>
                  </w:rPr>
                  <w:t>期末账面价值（元）</w:t>
                </w:r>
              </w:p>
            </w:tc>
            <w:tc>
              <w:tcPr>
                <w:tcW w:w="701" w:type="pct"/>
                <w:vAlign w:val="center"/>
              </w:tcPr>
              <w:p w:rsidR="002B5E47" w:rsidRPr="00495AF5" w:rsidRDefault="002B5E47" w:rsidP="00146D65">
                <w:pPr>
                  <w:jc w:val="center"/>
                  <w:rPr>
                    <w:b/>
                    <w:szCs w:val="21"/>
                  </w:rPr>
                </w:pPr>
                <w:r w:rsidRPr="00495AF5">
                  <w:rPr>
                    <w:b/>
                    <w:szCs w:val="21"/>
                  </w:rPr>
                  <w:t>报告期损益（元）</w:t>
                </w:r>
              </w:p>
            </w:tc>
            <w:tc>
              <w:tcPr>
                <w:tcW w:w="602" w:type="pct"/>
                <w:vAlign w:val="center"/>
              </w:tcPr>
              <w:p w:rsidR="002B5E47" w:rsidRPr="00495AF5" w:rsidRDefault="002B5E47" w:rsidP="00146D65">
                <w:pPr>
                  <w:jc w:val="center"/>
                  <w:rPr>
                    <w:b/>
                    <w:szCs w:val="21"/>
                  </w:rPr>
                </w:pPr>
                <w:r w:rsidRPr="00495AF5">
                  <w:rPr>
                    <w:b/>
                    <w:szCs w:val="21"/>
                  </w:rPr>
                  <w:t>报告期所有者权益变动（元）</w:t>
                </w:r>
              </w:p>
            </w:tc>
            <w:tc>
              <w:tcPr>
                <w:tcW w:w="449" w:type="pct"/>
                <w:vAlign w:val="center"/>
              </w:tcPr>
              <w:p w:rsidR="002B5E47" w:rsidRPr="00495AF5" w:rsidRDefault="002B5E47" w:rsidP="00146D65">
                <w:pPr>
                  <w:jc w:val="center"/>
                  <w:rPr>
                    <w:b/>
                    <w:szCs w:val="21"/>
                  </w:rPr>
                </w:pPr>
                <w:r w:rsidRPr="00495AF5">
                  <w:rPr>
                    <w:b/>
                    <w:szCs w:val="21"/>
                  </w:rPr>
                  <w:t>会计核算科目</w:t>
                </w:r>
              </w:p>
            </w:tc>
            <w:tc>
              <w:tcPr>
                <w:tcW w:w="326" w:type="pct"/>
                <w:vAlign w:val="center"/>
              </w:tcPr>
              <w:p w:rsidR="002B5E47" w:rsidRPr="00495AF5" w:rsidRDefault="002B5E47" w:rsidP="00146D65">
                <w:pPr>
                  <w:jc w:val="center"/>
                  <w:rPr>
                    <w:b/>
                    <w:szCs w:val="21"/>
                  </w:rPr>
                </w:pPr>
                <w:r w:rsidRPr="00495AF5">
                  <w:rPr>
                    <w:b/>
                    <w:szCs w:val="21"/>
                  </w:rPr>
                  <w:t>股份</w:t>
                </w:r>
              </w:p>
              <w:p w:rsidR="002B5E47" w:rsidRPr="00495AF5" w:rsidRDefault="002B5E47" w:rsidP="00146D65">
                <w:pPr>
                  <w:jc w:val="center"/>
                  <w:rPr>
                    <w:b/>
                    <w:szCs w:val="21"/>
                  </w:rPr>
                </w:pPr>
                <w:r w:rsidRPr="00495AF5">
                  <w:rPr>
                    <w:b/>
                    <w:szCs w:val="21"/>
                  </w:rPr>
                  <w:t>来源</w:t>
                </w:r>
              </w:p>
            </w:tc>
          </w:tr>
          <w:sdt>
            <w:sdtPr>
              <w:rPr>
                <w:rFonts w:asciiTheme="minorHAnsi" w:eastAsiaTheme="minorEastAsia" w:hAnsiTheme="minorHAnsi" w:cstheme="minorBidi" w:hint="eastAsia"/>
                <w:kern w:val="2"/>
                <w:szCs w:val="21"/>
              </w:rPr>
              <w:alias w:val="公司持有非上市金融企业和拟上市公司股权的情况明细"/>
              <w:tag w:val="_GBC_e2a87fd0d56d4a779448753fea1c29da"/>
              <w:id w:val="24720517"/>
              <w:lock w:val="sdtLocked"/>
            </w:sdtPr>
            <w:sdtContent>
              <w:tr w:rsidR="0058588E" w:rsidTr="0058588E">
                <w:sdt>
                  <w:sdtPr>
                    <w:rPr>
                      <w:rFonts w:asciiTheme="minorHAnsi" w:eastAsiaTheme="minorEastAsia" w:hAnsiTheme="minorHAnsi" w:cstheme="minorBidi" w:hint="eastAsia"/>
                      <w:kern w:val="2"/>
                      <w:szCs w:val="21"/>
                    </w:rPr>
                    <w:alias w:val="公司持有非上市金融企业和拟上市公司股权的情况明细－持有对象名称"/>
                    <w:tag w:val="_GBC_4adec868f01e471eaf2a2e367915a01b"/>
                    <w:id w:val="24720508"/>
                    <w:lock w:val="sdtLocked"/>
                  </w:sdtPr>
                  <w:sdtEndPr>
                    <w:rPr>
                      <w:rFonts w:ascii="Times New Roman" w:eastAsia="宋体" w:hAnsi="Times New Roman" w:cs="Times New Roman"/>
                      <w:kern w:val="0"/>
                    </w:rPr>
                  </w:sdtEndPr>
                  <w:sdtContent>
                    <w:tc>
                      <w:tcPr>
                        <w:tcW w:w="636" w:type="pct"/>
                        <w:vAlign w:val="center"/>
                      </w:tcPr>
                      <w:p w:rsidR="002B5E47" w:rsidRDefault="002B5E47" w:rsidP="00495AF5">
                        <w:pPr>
                          <w:jc w:val="center"/>
                          <w:rPr>
                            <w:szCs w:val="21"/>
                          </w:rPr>
                        </w:pPr>
                        <w:r>
                          <w:rPr>
                            <w:rFonts w:asciiTheme="minorHAnsi" w:eastAsiaTheme="minorEastAsia" w:hAnsiTheme="minorHAnsi" w:cstheme="minorBidi" w:hint="eastAsia"/>
                            <w:kern w:val="2"/>
                            <w:szCs w:val="21"/>
                          </w:rPr>
                          <w:t>博时基金管理有限公司</w:t>
                        </w:r>
                      </w:p>
                    </w:tc>
                  </w:sdtContent>
                </w:sdt>
                <w:sdt>
                  <w:sdtPr>
                    <w:rPr>
                      <w:rFonts w:hint="eastAsia"/>
                      <w:szCs w:val="21"/>
                    </w:rPr>
                    <w:alias w:val="公司持有非上市金融企业和拟上市公司股权的情况明细－初始投资金额"/>
                    <w:tag w:val="_GBC_5404b2f2b1994779b6253d997e315eb3"/>
                    <w:id w:val="24720509"/>
                    <w:lock w:val="sdtLocked"/>
                  </w:sdtPr>
                  <w:sdtContent>
                    <w:tc>
                      <w:tcPr>
                        <w:tcW w:w="801" w:type="pct"/>
                        <w:tcMar>
                          <w:left w:w="6" w:type="dxa"/>
                          <w:right w:w="6" w:type="dxa"/>
                        </w:tcMar>
                        <w:vAlign w:val="center"/>
                      </w:tcPr>
                      <w:p w:rsidR="002B5E47" w:rsidRDefault="002B5E47" w:rsidP="00495AF5">
                        <w:pPr>
                          <w:jc w:val="right"/>
                          <w:rPr>
                            <w:szCs w:val="21"/>
                          </w:rPr>
                        </w:pPr>
                        <w:r>
                          <w:rPr>
                            <w:rFonts w:hint="eastAsia"/>
                            <w:szCs w:val="21"/>
                          </w:rPr>
                          <w:t>3,693,190,410.96</w:t>
                        </w:r>
                      </w:p>
                    </w:tc>
                  </w:sdtContent>
                </w:sdt>
                <w:sdt>
                  <w:sdtPr>
                    <w:rPr>
                      <w:rFonts w:hint="eastAsia"/>
                      <w:szCs w:val="21"/>
                    </w:rPr>
                    <w:alias w:val="公司持有非上市金融企业和拟上市公司股权的情况明细－占该公司股权比例"/>
                    <w:tag w:val="_GBC_14c7330015434c55b4e5d6236670e58a"/>
                    <w:id w:val="24720510"/>
                    <w:lock w:val="sdtLocked"/>
                  </w:sdtPr>
                  <w:sdtContent>
                    <w:tc>
                      <w:tcPr>
                        <w:tcW w:w="343" w:type="pct"/>
                        <w:tcMar>
                          <w:left w:w="6" w:type="dxa"/>
                          <w:right w:w="6" w:type="dxa"/>
                        </w:tcMar>
                        <w:vAlign w:val="center"/>
                      </w:tcPr>
                      <w:p w:rsidR="002B5E47" w:rsidRDefault="002B5E47" w:rsidP="00D361AF">
                        <w:pPr>
                          <w:jc w:val="right"/>
                          <w:rPr>
                            <w:szCs w:val="21"/>
                          </w:rPr>
                        </w:pPr>
                        <w:r>
                          <w:rPr>
                            <w:rFonts w:hint="eastAsia"/>
                            <w:szCs w:val="21"/>
                          </w:rPr>
                          <w:t>49.00</w:t>
                        </w:r>
                      </w:p>
                    </w:tc>
                  </w:sdtContent>
                </w:sdt>
                <w:sdt>
                  <w:sdtPr>
                    <w:rPr>
                      <w:rFonts w:hint="eastAsia"/>
                      <w:szCs w:val="21"/>
                    </w:rPr>
                    <w:alias w:val="公司持有非上市金融企业和拟上市公司股权的情况明细－占该公司股权比例"/>
                    <w:tag w:val="_GBC_e813c499def3455eabe7a23068bd1e0a"/>
                    <w:id w:val="24720511"/>
                    <w:lock w:val="sdtLocked"/>
                  </w:sdtPr>
                  <w:sdtContent>
                    <w:tc>
                      <w:tcPr>
                        <w:tcW w:w="343" w:type="pct"/>
                        <w:tcMar>
                          <w:left w:w="6" w:type="dxa"/>
                          <w:right w:w="6" w:type="dxa"/>
                        </w:tcMar>
                        <w:vAlign w:val="center"/>
                      </w:tcPr>
                      <w:p w:rsidR="002B5E47" w:rsidRDefault="002B5E47" w:rsidP="00495AF5">
                        <w:pPr>
                          <w:jc w:val="right"/>
                          <w:rPr>
                            <w:szCs w:val="21"/>
                          </w:rPr>
                        </w:pPr>
                        <w:r>
                          <w:rPr>
                            <w:rFonts w:hint="eastAsia"/>
                            <w:szCs w:val="21"/>
                          </w:rPr>
                          <w:t>49.00</w:t>
                        </w:r>
                      </w:p>
                    </w:tc>
                  </w:sdtContent>
                </w:sdt>
                <w:sdt>
                  <w:sdtPr>
                    <w:rPr>
                      <w:rFonts w:hint="eastAsia"/>
                      <w:szCs w:val="21"/>
                    </w:rPr>
                    <w:alias w:val="公司持有非上市金融企业和拟上市公司股权的情况明细－账面价值"/>
                    <w:tag w:val="_GBC_81bb2ea615814a5ba232b7aad922af4d"/>
                    <w:id w:val="24720512"/>
                    <w:lock w:val="sdtLocked"/>
                  </w:sdtPr>
                  <w:sdtContent>
                    <w:tc>
                      <w:tcPr>
                        <w:tcW w:w="801" w:type="pct"/>
                        <w:tcMar>
                          <w:left w:w="6" w:type="dxa"/>
                          <w:right w:w="6" w:type="dxa"/>
                        </w:tcMar>
                        <w:vAlign w:val="center"/>
                      </w:tcPr>
                      <w:p w:rsidR="002B5E47" w:rsidRDefault="002B5E47" w:rsidP="00495AF5">
                        <w:pPr>
                          <w:jc w:val="right"/>
                          <w:rPr>
                            <w:szCs w:val="21"/>
                          </w:rPr>
                        </w:pPr>
                        <w:r>
                          <w:rPr>
                            <w:rFonts w:hint="eastAsia"/>
                            <w:szCs w:val="21"/>
                          </w:rPr>
                          <w:t>3,852,488,617.99</w:t>
                        </w:r>
                      </w:p>
                    </w:tc>
                  </w:sdtContent>
                </w:sdt>
                <w:sdt>
                  <w:sdtPr>
                    <w:rPr>
                      <w:rFonts w:hint="eastAsia"/>
                      <w:szCs w:val="21"/>
                    </w:rPr>
                    <w:alias w:val="公司持有非上市金融企业和拟上市公司股权的情况明细－报告期损益"/>
                    <w:tag w:val="_GBC_7e2e871557494d369ed50bb945744cdb"/>
                    <w:id w:val="24720513"/>
                    <w:lock w:val="sdtLocked"/>
                  </w:sdtPr>
                  <w:sdtContent>
                    <w:tc>
                      <w:tcPr>
                        <w:tcW w:w="701" w:type="pct"/>
                        <w:tcMar>
                          <w:left w:w="6" w:type="dxa"/>
                          <w:right w:w="6" w:type="dxa"/>
                        </w:tcMar>
                        <w:vAlign w:val="center"/>
                      </w:tcPr>
                      <w:p w:rsidR="002B5E47" w:rsidRDefault="002B5E47" w:rsidP="00495AF5">
                        <w:pPr>
                          <w:jc w:val="right"/>
                          <w:rPr>
                            <w:szCs w:val="21"/>
                          </w:rPr>
                        </w:pPr>
                        <w:r>
                          <w:rPr>
                            <w:rFonts w:hint="eastAsia"/>
                            <w:szCs w:val="21"/>
                          </w:rPr>
                          <w:t>169,899,940.77</w:t>
                        </w:r>
                      </w:p>
                    </w:tc>
                  </w:sdtContent>
                </w:sdt>
                <w:sdt>
                  <w:sdtPr>
                    <w:rPr>
                      <w:rFonts w:hint="eastAsia"/>
                      <w:szCs w:val="21"/>
                    </w:rPr>
                    <w:alias w:val="公司持有非上市金融企业和拟上市公司股权的情况明细－所有者权益变动"/>
                    <w:tag w:val="_GBC_9e85abe4d3c4456a857d291a162bb700"/>
                    <w:id w:val="24720514"/>
                    <w:lock w:val="sdtLocked"/>
                  </w:sdtPr>
                  <w:sdtContent>
                    <w:tc>
                      <w:tcPr>
                        <w:tcW w:w="602" w:type="pct"/>
                        <w:tcMar>
                          <w:left w:w="6" w:type="dxa"/>
                          <w:right w:w="6" w:type="dxa"/>
                        </w:tcMar>
                        <w:vAlign w:val="center"/>
                      </w:tcPr>
                      <w:p w:rsidR="002B5E47" w:rsidRDefault="002B5E47" w:rsidP="00495AF5">
                        <w:pPr>
                          <w:jc w:val="right"/>
                          <w:rPr>
                            <w:szCs w:val="21"/>
                          </w:rPr>
                        </w:pPr>
                        <w:r>
                          <w:rPr>
                            <w:rFonts w:hint="eastAsia"/>
                            <w:szCs w:val="21"/>
                          </w:rPr>
                          <w:t>2,747,829.35</w:t>
                        </w:r>
                      </w:p>
                    </w:tc>
                  </w:sdtContent>
                </w:sdt>
                <w:sdt>
                  <w:sdtPr>
                    <w:rPr>
                      <w:rFonts w:hint="eastAsia"/>
                      <w:szCs w:val="21"/>
                    </w:rPr>
                    <w:alias w:val="公司持有非上市金融企业和拟上市公司股权的情况明细－会计核算科目"/>
                    <w:tag w:val="_GBC_415f16282aef44c78fe158cb10693e69"/>
                    <w:id w:val="24720515"/>
                    <w:lock w:val="sdtLocked"/>
                  </w:sdtPr>
                  <w:sdtContent>
                    <w:tc>
                      <w:tcPr>
                        <w:tcW w:w="449" w:type="pct"/>
                        <w:vAlign w:val="center"/>
                      </w:tcPr>
                      <w:p w:rsidR="002B5E47" w:rsidRDefault="002B5E47" w:rsidP="00495AF5">
                        <w:pPr>
                          <w:jc w:val="center"/>
                          <w:rPr>
                            <w:szCs w:val="21"/>
                          </w:rPr>
                        </w:pPr>
                        <w:r>
                          <w:rPr>
                            <w:rFonts w:hint="eastAsia"/>
                            <w:szCs w:val="21"/>
                          </w:rPr>
                          <w:t>长期股权投资</w:t>
                        </w:r>
                      </w:p>
                    </w:tc>
                  </w:sdtContent>
                </w:sdt>
                <w:sdt>
                  <w:sdtPr>
                    <w:rPr>
                      <w:rFonts w:hint="eastAsia"/>
                      <w:szCs w:val="21"/>
                    </w:rPr>
                    <w:alias w:val="公司持有非上市金融企业和拟上市公司股权的情况明细－股份来源"/>
                    <w:tag w:val="_GBC_bb69ccf37165485ead67ea6dafa84add"/>
                    <w:id w:val="24720516"/>
                    <w:lock w:val="sdtLocked"/>
                  </w:sdtPr>
                  <w:sdtContent>
                    <w:tc>
                      <w:tcPr>
                        <w:tcW w:w="326" w:type="pct"/>
                        <w:vAlign w:val="center"/>
                      </w:tcPr>
                      <w:p w:rsidR="002B5E47" w:rsidRDefault="002B5E47" w:rsidP="00495AF5">
                        <w:pPr>
                          <w:jc w:val="center"/>
                          <w:rPr>
                            <w:szCs w:val="21"/>
                          </w:rPr>
                        </w:pPr>
                        <w:r>
                          <w:rPr>
                            <w:rFonts w:hint="eastAsia"/>
                            <w:szCs w:val="21"/>
                          </w:rPr>
                          <w:t>购买</w:t>
                        </w:r>
                      </w:p>
                    </w:tc>
                  </w:sdtContent>
                </w:sdt>
              </w:tr>
            </w:sdtContent>
          </w:sdt>
          <w:sdt>
            <w:sdtPr>
              <w:rPr>
                <w:rFonts w:asciiTheme="minorHAnsi" w:eastAsiaTheme="minorEastAsia" w:hAnsiTheme="minorHAnsi" w:cstheme="minorBidi" w:hint="eastAsia"/>
                <w:kern w:val="2"/>
                <w:szCs w:val="21"/>
              </w:rPr>
              <w:alias w:val="公司持有非上市金融企业和拟上市公司股权的情况明细"/>
              <w:tag w:val="_GBC_e2a87fd0d56d4a779448753fea1c29da"/>
              <w:id w:val="24720527"/>
              <w:lock w:val="sdtLocked"/>
            </w:sdtPr>
            <w:sdtContent>
              <w:tr w:rsidR="0058588E" w:rsidTr="0058588E">
                <w:sdt>
                  <w:sdtPr>
                    <w:rPr>
                      <w:rFonts w:asciiTheme="minorHAnsi" w:eastAsiaTheme="minorEastAsia" w:hAnsiTheme="minorHAnsi" w:cstheme="minorBidi" w:hint="eastAsia"/>
                      <w:kern w:val="2"/>
                      <w:szCs w:val="21"/>
                    </w:rPr>
                    <w:alias w:val="公司持有非上市金融企业和拟上市公司股权的情况明细－持有对象名称"/>
                    <w:tag w:val="_GBC_4adec868f01e471eaf2a2e367915a01b"/>
                    <w:id w:val="24720518"/>
                    <w:lock w:val="sdtLocked"/>
                  </w:sdtPr>
                  <w:sdtEndPr>
                    <w:rPr>
                      <w:rFonts w:ascii="Times New Roman" w:eastAsia="宋体" w:hAnsi="Times New Roman" w:cs="Times New Roman"/>
                      <w:kern w:val="0"/>
                    </w:rPr>
                  </w:sdtEndPr>
                  <w:sdtContent>
                    <w:tc>
                      <w:tcPr>
                        <w:tcW w:w="636" w:type="pct"/>
                        <w:vAlign w:val="center"/>
                      </w:tcPr>
                      <w:p w:rsidR="002B5E47" w:rsidRDefault="002B5E47" w:rsidP="00495AF5">
                        <w:pPr>
                          <w:jc w:val="center"/>
                          <w:rPr>
                            <w:szCs w:val="21"/>
                          </w:rPr>
                        </w:pPr>
                        <w:r>
                          <w:rPr>
                            <w:rFonts w:asciiTheme="minorHAnsi" w:eastAsiaTheme="minorEastAsia" w:hAnsiTheme="minorHAnsi" w:cstheme="minorBidi" w:hint="eastAsia"/>
                            <w:kern w:val="2"/>
                            <w:szCs w:val="21"/>
                          </w:rPr>
                          <w:t>招商基金管理有限公司</w:t>
                        </w:r>
                      </w:p>
                    </w:tc>
                  </w:sdtContent>
                </w:sdt>
                <w:sdt>
                  <w:sdtPr>
                    <w:rPr>
                      <w:rFonts w:hint="eastAsia"/>
                      <w:szCs w:val="21"/>
                    </w:rPr>
                    <w:alias w:val="公司持有非上市金融企业和拟上市公司股权的情况明细－初始投资金额"/>
                    <w:tag w:val="_GBC_5404b2f2b1994779b6253d997e315eb3"/>
                    <w:id w:val="24720519"/>
                    <w:lock w:val="sdtLocked"/>
                  </w:sdtPr>
                  <w:sdtContent>
                    <w:tc>
                      <w:tcPr>
                        <w:tcW w:w="801" w:type="pct"/>
                        <w:tcMar>
                          <w:left w:w="6" w:type="dxa"/>
                          <w:right w:w="6" w:type="dxa"/>
                        </w:tcMar>
                        <w:vAlign w:val="center"/>
                      </w:tcPr>
                      <w:p w:rsidR="002B5E47" w:rsidRDefault="002B5E47" w:rsidP="00495AF5">
                        <w:pPr>
                          <w:jc w:val="right"/>
                          <w:rPr>
                            <w:szCs w:val="21"/>
                          </w:rPr>
                        </w:pPr>
                        <w:r>
                          <w:rPr>
                            <w:rFonts w:hint="eastAsia"/>
                            <w:szCs w:val="21"/>
                          </w:rPr>
                          <w:t>355,844,499.41</w:t>
                        </w:r>
                      </w:p>
                    </w:tc>
                  </w:sdtContent>
                </w:sdt>
                <w:sdt>
                  <w:sdtPr>
                    <w:rPr>
                      <w:rFonts w:hint="eastAsia"/>
                      <w:szCs w:val="21"/>
                    </w:rPr>
                    <w:alias w:val="公司持有非上市金融企业和拟上市公司股权的情况明细－占该公司股权比例"/>
                    <w:tag w:val="_GBC_14c7330015434c55b4e5d6236670e58a"/>
                    <w:id w:val="24720520"/>
                    <w:lock w:val="sdtLocked"/>
                  </w:sdtPr>
                  <w:sdtContent>
                    <w:tc>
                      <w:tcPr>
                        <w:tcW w:w="343" w:type="pct"/>
                        <w:tcMar>
                          <w:left w:w="6" w:type="dxa"/>
                          <w:right w:w="6" w:type="dxa"/>
                        </w:tcMar>
                        <w:vAlign w:val="center"/>
                      </w:tcPr>
                      <w:p w:rsidR="002B5E47" w:rsidRDefault="002B5E47" w:rsidP="00D361AF">
                        <w:pPr>
                          <w:jc w:val="right"/>
                          <w:rPr>
                            <w:szCs w:val="21"/>
                          </w:rPr>
                        </w:pPr>
                        <w:r>
                          <w:rPr>
                            <w:rFonts w:hint="eastAsia"/>
                            <w:szCs w:val="21"/>
                          </w:rPr>
                          <w:t>45.00</w:t>
                        </w:r>
                      </w:p>
                    </w:tc>
                  </w:sdtContent>
                </w:sdt>
                <w:sdt>
                  <w:sdtPr>
                    <w:rPr>
                      <w:rFonts w:hint="eastAsia"/>
                      <w:szCs w:val="21"/>
                    </w:rPr>
                    <w:alias w:val="公司持有非上市金融企业和拟上市公司股权的情况明细－占该公司股权比例"/>
                    <w:tag w:val="_GBC_e813c499def3455eabe7a23068bd1e0a"/>
                    <w:id w:val="24720521"/>
                    <w:lock w:val="sdtLocked"/>
                  </w:sdtPr>
                  <w:sdtContent>
                    <w:tc>
                      <w:tcPr>
                        <w:tcW w:w="343" w:type="pct"/>
                        <w:tcMar>
                          <w:left w:w="6" w:type="dxa"/>
                          <w:right w:w="6" w:type="dxa"/>
                        </w:tcMar>
                        <w:vAlign w:val="center"/>
                      </w:tcPr>
                      <w:p w:rsidR="002B5E47" w:rsidRDefault="002B5E47" w:rsidP="00495AF5">
                        <w:pPr>
                          <w:jc w:val="right"/>
                          <w:rPr>
                            <w:szCs w:val="21"/>
                          </w:rPr>
                        </w:pPr>
                        <w:r>
                          <w:rPr>
                            <w:rFonts w:hint="eastAsia"/>
                            <w:szCs w:val="21"/>
                          </w:rPr>
                          <w:t>45.00</w:t>
                        </w:r>
                      </w:p>
                    </w:tc>
                  </w:sdtContent>
                </w:sdt>
                <w:sdt>
                  <w:sdtPr>
                    <w:rPr>
                      <w:rFonts w:hint="eastAsia"/>
                      <w:szCs w:val="21"/>
                    </w:rPr>
                    <w:alias w:val="公司持有非上市金融企业和拟上市公司股权的情况明细－账面价值"/>
                    <w:tag w:val="_GBC_81bb2ea615814a5ba232b7aad922af4d"/>
                    <w:id w:val="24720522"/>
                    <w:lock w:val="sdtLocked"/>
                  </w:sdtPr>
                  <w:sdtContent>
                    <w:tc>
                      <w:tcPr>
                        <w:tcW w:w="801" w:type="pct"/>
                        <w:tcMar>
                          <w:left w:w="6" w:type="dxa"/>
                          <w:right w:w="6" w:type="dxa"/>
                        </w:tcMar>
                        <w:vAlign w:val="center"/>
                      </w:tcPr>
                      <w:p w:rsidR="002B5E47" w:rsidRDefault="002B5E47" w:rsidP="00495AF5">
                        <w:pPr>
                          <w:jc w:val="right"/>
                          <w:rPr>
                            <w:szCs w:val="21"/>
                          </w:rPr>
                        </w:pPr>
                        <w:r>
                          <w:rPr>
                            <w:rFonts w:hint="eastAsia"/>
                            <w:szCs w:val="21"/>
                          </w:rPr>
                          <w:t>733,759,613.28</w:t>
                        </w:r>
                      </w:p>
                    </w:tc>
                  </w:sdtContent>
                </w:sdt>
                <w:sdt>
                  <w:sdtPr>
                    <w:rPr>
                      <w:rFonts w:hint="eastAsia"/>
                      <w:szCs w:val="21"/>
                    </w:rPr>
                    <w:alias w:val="公司持有非上市金融企业和拟上市公司股权的情况明细－报告期损益"/>
                    <w:tag w:val="_GBC_7e2e871557494d369ed50bb945744cdb"/>
                    <w:id w:val="24720523"/>
                    <w:lock w:val="sdtLocked"/>
                  </w:sdtPr>
                  <w:sdtContent>
                    <w:tc>
                      <w:tcPr>
                        <w:tcW w:w="701" w:type="pct"/>
                        <w:tcMar>
                          <w:left w:w="6" w:type="dxa"/>
                          <w:right w:w="6" w:type="dxa"/>
                        </w:tcMar>
                        <w:vAlign w:val="center"/>
                      </w:tcPr>
                      <w:p w:rsidR="002B5E47" w:rsidRDefault="002B5E47" w:rsidP="00495AF5">
                        <w:pPr>
                          <w:jc w:val="right"/>
                          <w:rPr>
                            <w:szCs w:val="21"/>
                          </w:rPr>
                        </w:pPr>
                        <w:r>
                          <w:rPr>
                            <w:rFonts w:hint="eastAsia"/>
                            <w:szCs w:val="21"/>
                          </w:rPr>
                          <w:t>133,529,719.51</w:t>
                        </w:r>
                      </w:p>
                    </w:tc>
                  </w:sdtContent>
                </w:sdt>
                <w:sdt>
                  <w:sdtPr>
                    <w:rPr>
                      <w:rFonts w:hint="eastAsia"/>
                      <w:szCs w:val="21"/>
                    </w:rPr>
                    <w:alias w:val="公司持有非上市金融企业和拟上市公司股权的情况明细－所有者权益变动"/>
                    <w:tag w:val="_GBC_9e85abe4d3c4456a857d291a162bb700"/>
                    <w:id w:val="24720524"/>
                    <w:lock w:val="sdtLocked"/>
                  </w:sdtPr>
                  <w:sdtContent>
                    <w:tc>
                      <w:tcPr>
                        <w:tcW w:w="602" w:type="pct"/>
                        <w:tcMar>
                          <w:left w:w="6" w:type="dxa"/>
                          <w:right w:w="6" w:type="dxa"/>
                        </w:tcMar>
                        <w:vAlign w:val="center"/>
                      </w:tcPr>
                      <w:p w:rsidR="002B5E47" w:rsidRDefault="002B5E47" w:rsidP="00495AF5">
                        <w:pPr>
                          <w:jc w:val="right"/>
                          <w:rPr>
                            <w:szCs w:val="21"/>
                          </w:rPr>
                        </w:pPr>
                        <w:r>
                          <w:rPr>
                            <w:rFonts w:hint="eastAsia"/>
                            <w:szCs w:val="21"/>
                          </w:rPr>
                          <w:t>918,397.53</w:t>
                        </w:r>
                      </w:p>
                    </w:tc>
                  </w:sdtContent>
                </w:sdt>
                <w:sdt>
                  <w:sdtPr>
                    <w:rPr>
                      <w:rFonts w:hint="eastAsia"/>
                      <w:szCs w:val="21"/>
                    </w:rPr>
                    <w:alias w:val="公司持有非上市金融企业和拟上市公司股权的情况明细－会计核算科目"/>
                    <w:tag w:val="_GBC_415f16282aef44c78fe158cb10693e69"/>
                    <w:id w:val="24720525"/>
                    <w:lock w:val="sdtLocked"/>
                  </w:sdtPr>
                  <w:sdtContent>
                    <w:tc>
                      <w:tcPr>
                        <w:tcW w:w="449" w:type="pct"/>
                        <w:vAlign w:val="center"/>
                      </w:tcPr>
                      <w:p w:rsidR="002B5E47" w:rsidRDefault="002B5E47" w:rsidP="00495AF5">
                        <w:pPr>
                          <w:jc w:val="center"/>
                          <w:rPr>
                            <w:szCs w:val="21"/>
                          </w:rPr>
                        </w:pPr>
                        <w:r>
                          <w:rPr>
                            <w:rFonts w:hint="eastAsia"/>
                            <w:szCs w:val="21"/>
                          </w:rPr>
                          <w:t>长期股权投资</w:t>
                        </w:r>
                      </w:p>
                    </w:tc>
                  </w:sdtContent>
                </w:sdt>
                <w:sdt>
                  <w:sdtPr>
                    <w:rPr>
                      <w:rFonts w:hint="eastAsia"/>
                      <w:szCs w:val="21"/>
                    </w:rPr>
                    <w:alias w:val="公司持有非上市金融企业和拟上市公司股权的情况明细－股份来源"/>
                    <w:tag w:val="_GBC_bb69ccf37165485ead67ea6dafa84add"/>
                    <w:id w:val="24720526"/>
                    <w:lock w:val="sdtLocked"/>
                  </w:sdtPr>
                  <w:sdtContent>
                    <w:tc>
                      <w:tcPr>
                        <w:tcW w:w="326" w:type="pct"/>
                        <w:vAlign w:val="center"/>
                      </w:tcPr>
                      <w:p w:rsidR="002B5E47" w:rsidRDefault="002B5E47" w:rsidP="00495AF5">
                        <w:pPr>
                          <w:jc w:val="center"/>
                          <w:rPr>
                            <w:szCs w:val="21"/>
                          </w:rPr>
                        </w:pPr>
                        <w:r>
                          <w:rPr>
                            <w:rFonts w:hint="eastAsia"/>
                            <w:szCs w:val="21"/>
                          </w:rPr>
                          <w:t>发起设立及购买</w:t>
                        </w:r>
                      </w:p>
                    </w:tc>
                  </w:sdtContent>
                </w:sdt>
              </w:tr>
            </w:sdtContent>
          </w:sdt>
          <w:tr w:rsidR="0058588E" w:rsidTr="0058588E">
            <w:tc>
              <w:tcPr>
                <w:tcW w:w="636" w:type="pct"/>
                <w:vAlign w:val="center"/>
              </w:tcPr>
              <w:p w:rsidR="002B5E47" w:rsidRDefault="002B5E47" w:rsidP="00495AF5">
                <w:pPr>
                  <w:jc w:val="center"/>
                  <w:rPr>
                    <w:szCs w:val="21"/>
                  </w:rPr>
                </w:pPr>
                <w:r>
                  <w:rPr>
                    <w:szCs w:val="21"/>
                  </w:rPr>
                  <w:t>合计</w:t>
                </w:r>
              </w:p>
            </w:tc>
            <w:sdt>
              <w:sdtPr>
                <w:rPr>
                  <w:rFonts w:hint="eastAsia"/>
                  <w:szCs w:val="21"/>
                </w:rPr>
                <w:alias w:val="公司持有非上市金融企业和拟上市公司股权的初始投资金额合计"/>
                <w:tag w:val="_GBC_c430a9aa4b964e3995f87dddda0ed6de"/>
                <w:id w:val="24720528"/>
                <w:lock w:val="sdtLocked"/>
              </w:sdtPr>
              <w:sdtContent>
                <w:tc>
                  <w:tcPr>
                    <w:tcW w:w="801" w:type="pct"/>
                    <w:tcMar>
                      <w:left w:w="6" w:type="dxa"/>
                      <w:right w:w="6" w:type="dxa"/>
                    </w:tcMar>
                    <w:vAlign w:val="center"/>
                  </w:tcPr>
                  <w:p w:rsidR="002B5E47" w:rsidRDefault="002B5E47" w:rsidP="00495AF5">
                    <w:pPr>
                      <w:jc w:val="right"/>
                      <w:rPr>
                        <w:szCs w:val="21"/>
                      </w:rPr>
                    </w:pPr>
                    <w:r>
                      <w:rPr>
                        <w:szCs w:val="21"/>
                      </w:rPr>
                      <w:t>4,049,034,910.37</w:t>
                    </w:r>
                  </w:p>
                </w:tc>
              </w:sdtContent>
            </w:sdt>
            <w:tc>
              <w:tcPr>
                <w:tcW w:w="343" w:type="pct"/>
                <w:tcMar>
                  <w:left w:w="6" w:type="dxa"/>
                  <w:right w:w="6" w:type="dxa"/>
                </w:tcMar>
                <w:vAlign w:val="center"/>
              </w:tcPr>
              <w:p w:rsidR="002B5E47" w:rsidRDefault="002B5E47" w:rsidP="00495AF5">
                <w:pPr>
                  <w:jc w:val="right"/>
                  <w:rPr>
                    <w:rFonts w:asciiTheme="minorHAnsi" w:hAnsiTheme="minorHAnsi"/>
                    <w:szCs w:val="21"/>
                  </w:rPr>
                </w:pPr>
                <w:r>
                  <w:rPr>
                    <w:rFonts w:asciiTheme="minorHAnsi" w:hAnsiTheme="minorHAnsi" w:hint="eastAsia"/>
                    <w:szCs w:val="21"/>
                  </w:rPr>
                  <w:t>/</w:t>
                </w:r>
              </w:p>
            </w:tc>
            <w:tc>
              <w:tcPr>
                <w:tcW w:w="343" w:type="pct"/>
                <w:tcMar>
                  <w:left w:w="6" w:type="dxa"/>
                  <w:right w:w="6" w:type="dxa"/>
                </w:tcMar>
                <w:vAlign w:val="center"/>
              </w:tcPr>
              <w:p w:rsidR="002B5E47" w:rsidRDefault="002B5E47" w:rsidP="00495AF5">
                <w:pPr>
                  <w:jc w:val="right"/>
                  <w:rPr>
                    <w:rFonts w:asciiTheme="minorHAnsi" w:hAnsiTheme="minorHAnsi"/>
                    <w:szCs w:val="21"/>
                  </w:rPr>
                </w:pPr>
                <w:r>
                  <w:rPr>
                    <w:rFonts w:asciiTheme="minorHAnsi" w:hAnsiTheme="minorHAnsi"/>
                    <w:szCs w:val="21"/>
                  </w:rPr>
                  <w:t>/</w:t>
                </w:r>
              </w:p>
            </w:tc>
            <w:sdt>
              <w:sdtPr>
                <w:rPr>
                  <w:rFonts w:hint="eastAsia"/>
                  <w:szCs w:val="21"/>
                </w:rPr>
                <w:alias w:val="公司持有非上市金融企业和拟上市公司股权的账面价值合计"/>
                <w:tag w:val="_GBC_23f5e8abad734aad96687e90317968d3"/>
                <w:id w:val="24720529"/>
                <w:lock w:val="sdtLocked"/>
              </w:sdtPr>
              <w:sdtContent>
                <w:tc>
                  <w:tcPr>
                    <w:tcW w:w="801" w:type="pct"/>
                    <w:tcMar>
                      <w:left w:w="6" w:type="dxa"/>
                      <w:right w:w="6" w:type="dxa"/>
                    </w:tcMar>
                    <w:vAlign w:val="center"/>
                  </w:tcPr>
                  <w:p w:rsidR="002B5E47" w:rsidRDefault="002B5E47" w:rsidP="00495AF5">
                    <w:pPr>
                      <w:jc w:val="right"/>
                      <w:rPr>
                        <w:szCs w:val="21"/>
                      </w:rPr>
                    </w:pPr>
                    <w:r>
                      <w:rPr>
                        <w:szCs w:val="21"/>
                      </w:rPr>
                      <w:t>4,586,248,231.27</w:t>
                    </w:r>
                  </w:p>
                </w:tc>
              </w:sdtContent>
            </w:sdt>
            <w:sdt>
              <w:sdtPr>
                <w:rPr>
                  <w:rFonts w:hint="eastAsia"/>
                  <w:szCs w:val="21"/>
                </w:rPr>
                <w:alias w:val="公司持有非上市金融企业和拟上市公司股权的报告期损益合计"/>
                <w:tag w:val="_GBC_e32412f41bf74c45a556f9d5ec4b384d"/>
                <w:id w:val="24720530"/>
                <w:lock w:val="sdtLocked"/>
              </w:sdtPr>
              <w:sdtContent>
                <w:tc>
                  <w:tcPr>
                    <w:tcW w:w="701" w:type="pct"/>
                    <w:tcMar>
                      <w:left w:w="6" w:type="dxa"/>
                      <w:right w:w="6" w:type="dxa"/>
                    </w:tcMar>
                    <w:vAlign w:val="center"/>
                  </w:tcPr>
                  <w:p w:rsidR="002B5E47" w:rsidRDefault="002B5E47" w:rsidP="00495AF5">
                    <w:pPr>
                      <w:jc w:val="right"/>
                      <w:rPr>
                        <w:szCs w:val="21"/>
                      </w:rPr>
                    </w:pPr>
                    <w:r>
                      <w:rPr>
                        <w:szCs w:val="21"/>
                      </w:rPr>
                      <w:t>303,429,660.28</w:t>
                    </w:r>
                  </w:p>
                </w:tc>
              </w:sdtContent>
            </w:sdt>
            <w:sdt>
              <w:sdtPr>
                <w:rPr>
                  <w:rFonts w:hint="eastAsia"/>
                  <w:szCs w:val="21"/>
                </w:rPr>
                <w:alias w:val="公司持有非上市金融企业和拟上市公司股权的所有者权益变动合计"/>
                <w:tag w:val="_GBC_c160950bc620437ca270ad02d079dff4"/>
                <w:id w:val="24720531"/>
                <w:lock w:val="sdtLocked"/>
              </w:sdtPr>
              <w:sdtContent>
                <w:tc>
                  <w:tcPr>
                    <w:tcW w:w="602" w:type="pct"/>
                    <w:tcMar>
                      <w:left w:w="6" w:type="dxa"/>
                      <w:right w:w="6" w:type="dxa"/>
                    </w:tcMar>
                    <w:vAlign w:val="center"/>
                  </w:tcPr>
                  <w:p w:rsidR="002B5E47" w:rsidRDefault="002B5E47" w:rsidP="00495AF5">
                    <w:pPr>
                      <w:jc w:val="right"/>
                      <w:rPr>
                        <w:szCs w:val="21"/>
                      </w:rPr>
                    </w:pPr>
                    <w:r>
                      <w:rPr>
                        <w:szCs w:val="21"/>
                      </w:rPr>
                      <w:t>3,666,226.88</w:t>
                    </w:r>
                  </w:p>
                </w:tc>
              </w:sdtContent>
            </w:sdt>
            <w:tc>
              <w:tcPr>
                <w:tcW w:w="449" w:type="pct"/>
              </w:tcPr>
              <w:p w:rsidR="002B5E47" w:rsidRDefault="002B5E47" w:rsidP="00146D65">
                <w:pPr>
                  <w:jc w:val="center"/>
                  <w:rPr>
                    <w:rFonts w:ascii="Calibri" w:hAnsi="Calibri"/>
                    <w:szCs w:val="21"/>
                  </w:rPr>
                </w:pPr>
                <w:r>
                  <w:rPr>
                    <w:rFonts w:ascii="Calibri" w:hAnsi="Calibri"/>
                    <w:szCs w:val="21"/>
                  </w:rPr>
                  <w:t>/</w:t>
                </w:r>
              </w:p>
            </w:tc>
            <w:tc>
              <w:tcPr>
                <w:tcW w:w="326" w:type="pct"/>
              </w:tcPr>
              <w:p w:rsidR="002B5E47" w:rsidRDefault="002B5E47" w:rsidP="00146D65">
                <w:pPr>
                  <w:jc w:val="center"/>
                  <w:rPr>
                    <w:rFonts w:ascii="Calibri" w:hAnsi="Calibri"/>
                    <w:szCs w:val="21"/>
                  </w:rPr>
                </w:pPr>
                <w:r>
                  <w:rPr>
                    <w:rFonts w:ascii="Calibri" w:hAnsi="Calibri"/>
                    <w:szCs w:val="21"/>
                  </w:rPr>
                  <w:t>/</w:t>
                </w:r>
              </w:p>
            </w:tc>
          </w:tr>
        </w:tbl>
        <w:p w:rsidR="00704CAD" w:rsidRDefault="00720895">
          <w:pPr>
            <w:rPr>
              <w:szCs w:val="21"/>
            </w:rPr>
          </w:pPr>
          <w:r>
            <w:rPr>
              <w:rFonts w:hint="eastAsia"/>
              <w:szCs w:val="21"/>
            </w:rPr>
            <w:t>持有金融企业股权情况的说明</w:t>
          </w:r>
        </w:p>
        <w:p w:rsidR="00495AF5" w:rsidRDefault="00422DCA" w:rsidP="00495AF5">
          <w:pPr>
            <w:autoSpaceDE w:val="0"/>
            <w:autoSpaceDN w:val="0"/>
            <w:adjustRightInd w:val="0"/>
            <w:spacing w:line="360" w:lineRule="exact"/>
            <w:rPr>
              <w:rFonts w:hAnsi="Calibri"/>
              <w:szCs w:val="21"/>
            </w:rPr>
          </w:pPr>
          <w:sdt>
            <w:sdtPr>
              <w:rPr>
                <w:rFonts w:hint="eastAsia"/>
              </w:rPr>
              <w:alias w:val="持有非上市金融企业、拟上市公司股权情况的说明"/>
              <w:tag w:val="_GBC_5b3a01587a964b7d8f444824790b11c6"/>
              <w:id w:val="24720532"/>
              <w:lock w:val="sdtLocked"/>
              <w:placeholder>
                <w:docPart w:val="GBC22222222222222222222222222222"/>
              </w:placeholder>
            </w:sdtPr>
            <w:sdtContent>
              <w:r w:rsidR="00495AF5">
                <w:rPr>
                  <w:rFonts w:hAnsi="Calibri"/>
                  <w:szCs w:val="21"/>
                </w:rPr>
                <w:t>1</w:t>
              </w:r>
              <w:r w:rsidR="00495AF5">
                <w:rPr>
                  <w:rFonts w:hAnsi="Calibri" w:hint="eastAsia"/>
                  <w:szCs w:val="21"/>
                </w:rPr>
                <w:t>、本表期末账面价值为扣除已计提减值准备的期末金额。</w:t>
              </w:r>
            </w:sdtContent>
          </w:sdt>
        </w:p>
        <w:p w:rsidR="00495AF5" w:rsidRDefault="00495AF5" w:rsidP="00495AF5">
          <w:pPr>
            <w:autoSpaceDE w:val="0"/>
            <w:autoSpaceDN w:val="0"/>
            <w:adjustRightInd w:val="0"/>
            <w:spacing w:line="360" w:lineRule="exact"/>
            <w:rPr>
              <w:rFonts w:hAnsi="Calibri"/>
              <w:szCs w:val="21"/>
            </w:rPr>
          </w:pPr>
          <w:r>
            <w:rPr>
              <w:rFonts w:hAnsi="Calibri"/>
              <w:szCs w:val="21"/>
            </w:rPr>
            <w:t>2</w:t>
          </w:r>
          <w:r>
            <w:rPr>
              <w:rFonts w:hAnsi="Calibri" w:hint="eastAsia"/>
              <w:szCs w:val="21"/>
            </w:rPr>
            <w:t>、本表报告期损益指：该项投资对公司本报告期合并净利润的影响。</w:t>
          </w:r>
        </w:p>
        <w:p w:rsidR="009473AC" w:rsidRDefault="00495AF5" w:rsidP="009E0692">
          <w:pPr>
            <w:spacing w:line="360" w:lineRule="exact"/>
            <w:rPr>
              <w:rFonts w:hAnsi="Calibri"/>
              <w:szCs w:val="21"/>
            </w:rPr>
          </w:pPr>
          <w:r>
            <w:rPr>
              <w:rFonts w:hAnsi="Calibri"/>
              <w:szCs w:val="21"/>
            </w:rPr>
            <w:t>3</w:t>
          </w:r>
          <w:r>
            <w:rPr>
              <w:rFonts w:hAnsi="Calibri" w:hint="eastAsia"/>
              <w:szCs w:val="21"/>
            </w:rPr>
            <w:t>、本表报告期所有者权益变动金额不含报告期损益影响。</w:t>
          </w:r>
        </w:p>
        <w:p w:rsidR="00704CAD" w:rsidRPr="009E0692" w:rsidRDefault="00422DCA" w:rsidP="009E0692">
          <w:pPr>
            <w:spacing w:line="360" w:lineRule="exact"/>
            <w:rPr>
              <w:rFonts w:hAnsi="Calibri"/>
              <w:szCs w:val="21"/>
            </w:rPr>
          </w:pPr>
        </w:p>
      </w:sdtContent>
    </w:sdt>
    <w:p w:rsidR="00704CAD" w:rsidRDefault="00720895" w:rsidP="009950AC">
      <w:pPr>
        <w:pStyle w:val="4"/>
        <w:numPr>
          <w:ilvl w:val="0"/>
          <w:numId w:val="16"/>
        </w:numPr>
        <w:rPr>
          <w:szCs w:val="21"/>
        </w:rPr>
      </w:pPr>
      <w:bookmarkStart w:id="33" w:name="_Toc342559770"/>
      <w:bookmarkStart w:id="34" w:name="_Toc342565911"/>
      <w:r>
        <w:rPr>
          <w:rFonts w:hint="eastAsia"/>
          <w:szCs w:val="21"/>
        </w:rPr>
        <w:t>募集资金使用情况</w:t>
      </w:r>
      <w:bookmarkEnd w:id="33"/>
      <w:bookmarkEnd w:id="34"/>
    </w:p>
    <w:bookmarkStart w:id="35" w:name="_Toc342559771" w:displacedByCustomXml="next"/>
    <w:bookmarkStart w:id="36" w:name="OLE_LINK1" w:displacedByCustomXml="next"/>
    <w:sdt>
      <w:sdtPr>
        <w:rPr>
          <w:rFonts w:ascii="宋体" w:hAnsi="宋体" w:cs="宋体" w:hint="eastAsia"/>
          <w:b w:val="0"/>
          <w:bCs w:val="0"/>
          <w:kern w:val="0"/>
          <w:szCs w:val="21"/>
        </w:rPr>
        <w:tag w:val="_GBC_f386573f04474e83a902db205d0f987e"/>
        <w:id w:val="24720535"/>
        <w:lock w:val="sdtLocked"/>
        <w:placeholder>
          <w:docPart w:val="GBC22222222222222222222222222222"/>
        </w:placeholder>
      </w:sdtPr>
      <w:sdtEndPr>
        <w:rPr>
          <w:color w:val="FF0000"/>
        </w:rPr>
      </w:sdtEndPr>
      <w:sdtContent>
        <w:p w:rsidR="00704CAD" w:rsidRDefault="00720895" w:rsidP="009950AC">
          <w:pPr>
            <w:pStyle w:val="5"/>
            <w:numPr>
              <w:ilvl w:val="0"/>
              <w:numId w:val="18"/>
            </w:numPr>
            <w:rPr>
              <w:szCs w:val="21"/>
            </w:rPr>
          </w:pPr>
          <w:r>
            <w:rPr>
              <w:rFonts w:hint="eastAsia"/>
              <w:szCs w:val="21"/>
            </w:rPr>
            <w:t>募集资金总体使用情况</w:t>
          </w:r>
          <w:bookmarkEnd w:id="36"/>
          <w:bookmarkEnd w:id="35"/>
        </w:p>
        <w:sdt>
          <w:sdtPr>
            <w:rPr>
              <w:rFonts w:hint="eastAsia"/>
              <w:szCs w:val="21"/>
            </w:rPr>
            <w:alias w:val="是否适用：募集资金总体使用情况"/>
            <w:tag w:val="_GBC_53df6ed8fe1b4591817fbbc07a436d29"/>
            <w:id w:val="24720534"/>
            <w:lock w:val="sdtLocked"/>
            <w:placeholder>
              <w:docPart w:val="GBC22222222222222222222222222222"/>
            </w:placeholder>
          </w:sdtPr>
          <w:sdtContent>
            <w:p w:rsidR="00704CAD" w:rsidRDefault="00422DCA" w:rsidP="00495AF5">
              <w:pPr>
                <w:rPr>
                  <w:color w:val="FF0000"/>
                  <w:szCs w:val="21"/>
                </w:rPr>
              </w:pPr>
              <w:r>
                <w:rPr>
                  <w:szCs w:val="21"/>
                </w:rPr>
                <w:fldChar w:fldCharType="begin"/>
              </w:r>
              <w:r w:rsidR="00495AF5">
                <w:rPr>
                  <w:szCs w:val="21"/>
                </w:rPr>
                <w:instrText>MACROBUTTON  SnrToggleCheckbox □适用</w:instrText>
              </w:r>
              <w:r>
                <w:rPr>
                  <w:szCs w:val="21"/>
                </w:rPr>
                <w:fldChar w:fldCharType="end"/>
              </w:r>
              <w:r>
                <w:rPr>
                  <w:szCs w:val="21"/>
                </w:rPr>
                <w:fldChar w:fldCharType="begin"/>
              </w:r>
              <w:r w:rsidR="00495AF5">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tag w:val="_GBC_955dc61b2cc941cf8fa8f930ed55494a"/>
        <w:id w:val="24720537"/>
        <w:lock w:val="sdtLocked"/>
        <w:placeholder>
          <w:docPart w:val="GBC22222222222222222222222222222"/>
        </w:placeholder>
      </w:sdtPr>
      <w:sdtEndPr>
        <w:rPr>
          <w:sz w:val="21"/>
        </w:rPr>
      </w:sdtEndPr>
      <w:sdtContent>
        <w:p w:rsidR="00704CAD" w:rsidRDefault="00720895" w:rsidP="009950AC">
          <w:pPr>
            <w:pStyle w:val="5"/>
            <w:numPr>
              <w:ilvl w:val="0"/>
              <w:numId w:val="18"/>
            </w:numPr>
            <w:rPr>
              <w:szCs w:val="21"/>
            </w:rPr>
          </w:pPr>
          <w:r>
            <w:rPr>
              <w:rFonts w:hint="eastAsia"/>
              <w:szCs w:val="21"/>
            </w:rPr>
            <w:t>募集资金承诺项目情况</w:t>
          </w:r>
        </w:p>
        <w:sdt>
          <w:sdtPr>
            <w:rPr>
              <w:szCs w:val="21"/>
            </w:rPr>
            <w:alias w:val="是否适用：募集资金承诺项目情况"/>
            <w:tag w:val="_GBC_a2fd725b182743d98a57cfa06afa6ec7"/>
            <w:id w:val="24720536"/>
            <w:lock w:val="sdtLocked"/>
            <w:placeholder>
              <w:docPart w:val="GBC22222222222222222222222222222"/>
            </w:placeholder>
          </w:sdtPr>
          <w:sdtContent>
            <w:p w:rsidR="00704CAD" w:rsidRDefault="00422DCA" w:rsidP="00495AF5">
              <w:pPr>
                <w:rPr>
                  <w:szCs w:val="21"/>
                </w:rPr>
              </w:pPr>
              <w:r>
                <w:rPr>
                  <w:szCs w:val="21"/>
                </w:rPr>
                <w:fldChar w:fldCharType="begin"/>
              </w:r>
              <w:r w:rsidR="00495AF5">
                <w:rPr>
                  <w:szCs w:val="21"/>
                </w:rPr>
                <w:instrText xml:space="preserve"> MACROBUTTON  SnrToggleCheckbox □适用 </w:instrText>
              </w:r>
              <w:r>
                <w:rPr>
                  <w:szCs w:val="21"/>
                </w:rPr>
                <w:fldChar w:fldCharType="end"/>
              </w:r>
              <w:r>
                <w:rPr>
                  <w:szCs w:val="21"/>
                </w:rPr>
                <w:fldChar w:fldCharType="begin"/>
              </w:r>
              <w:r w:rsidR="00495AF5">
                <w:rPr>
                  <w:szCs w:val="21"/>
                </w:rPr>
                <w:instrText xml:space="preserve"> MACROBUTTON  SnrToggleCheckbox √不适用 </w:instrText>
              </w:r>
              <w:r>
                <w:rPr>
                  <w:szCs w:val="21"/>
                </w:rPr>
                <w:fldChar w:fldCharType="end"/>
              </w:r>
            </w:p>
          </w:sdtContent>
        </w:sdt>
      </w:sdtContent>
    </w:sdt>
    <w:bookmarkStart w:id="37" w:name="_Toc342565934" w:displacedByCustomXml="prev"/>
    <w:sdt>
      <w:sdtPr>
        <w:rPr>
          <w:rFonts w:ascii="宋体" w:hAnsi="宋体" w:cs="宋体"/>
          <w:b w:val="0"/>
          <w:bCs w:val="0"/>
          <w:kern w:val="0"/>
          <w:sz w:val="24"/>
          <w:szCs w:val="21"/>
        </w:rPr>
        <w:tag w:val="_GBC_fa464cdf47994520abd49a9938193544"/>
        <w:id w:val="24720539"/>
        <w:lock w:val="sdtLocked"/>
        <w:placeholder>
          <w:docPart w:val="GBC22222222222222222222222222222"/>
        </w:placeholder>
      </w:sdtPr>
      <w:sdtEndPr>
        <w:rPr>
          <w:rFonts w:hint="eastAsia"/>
          <w:sz w:val="21"/>
        </w:rPr>
      </w:sdtEndPr>
      <w:sdtContent>
        <w:p w:rsidR="00704CAD" w:rsidRDefault="00720895" w:rsidP="009950AC">
          <w:pPr>
            <w:pStyle w:val="5"/>
            <w:numPr>
              <w:ilvl w:val="0"/>
              <w:numId w:val="18"/>
            </w:numPr>
            <w:rPr>
              <w:szCs w:val="21"/>
            </w:rPr>
          </w:pPr>
          <w:r>
            <w:rPr>
              <w:szCs w:val="21"/>
            </w:rPr>
            <w:t>募集资金变更项目情况</w:t>
          </w:r>
        </w:p>
        <w:sdt>
          <w:sdtPr>
            <w:rPr>
              <w:szCs w:val="21"/>
            </w:rPr>
            <w:alias w:val="是否适用：募集资金变更项目情况"/>
            <w:tag w:val="_GBC_003439ec1f4a476bb5d6dd72f48a32cf"/>
            <w:id w:val="24720538"/>
            <w:lock w:val="sdtLocked"/>
            <w:placeholder>
              <w:docPart w:val="GBC22222222222222222222222222222"/>
            </w:placeholder>
          </w:sdtPr>
          <w:sdtContent>
            <w:p w:rsidR="009E0692" w:rsidRDefault="00422DCA" w:rsidP="00495AF5">
              <w:pPr>
                <w:rPr>
                  <w:szCs w:val="21"/>
                </w:rPr>
              </w:pPr>
              <w:r>
                <w:rPr>
                  <w:szCs w:val="21"/>
                </w:rPr>
                <w:fldChar w:fldCharType="begin"/>
              </w:r>
              <w:r w:rsidR="00495AF5">
                <w:rPr>
                  <w:szCs w:val="21"/>
                </w:rPr>
                <w:instrText xml:space="preserve"> MACROBUTTON  SnrToggleCheckbox □适用 </w:instrText>
              </w:r>
              <w:r>
                <w:rPr>
                  <w:szCs w:val="21"/>
                </w:rPr>
                <w:fldChar w:fldCharType="end"/>
              </w:r>
              <w:r>
                <w:rPr>
                  <w:szCs w:val="21"/>
                </w:rPr>
                <w:fldChar w:fldCharType="begin"/>
              </w:r>
              <w:r w:rsidR="00495AF5">
                <w:rPr>
                  <w:szCs w:val="21"/>
                </w:rPr>
                <w:instrText xml:space="preserve"> MACROBUTTON  SnrToggleCheckbox √不适用 </w:instrText>
              </w:r>
              <w:r>
                <w:rPr>
                  <w:szCs w:val="21"/>
                </w:rPr>
                <w:fldChar w:fldCharType="end"/>
              </w:r>
            </w:p>
            <w:p w:rsidR="00704CAD" w:rsidRDefault="00422DCA" w:rsidP="00495AF5">
              <w:pPr>
                <w:rPr>
                  <w:szCs w:val="21"/>
                </w:rPr>
              </w:pPr>
            </w:p>
          </w:sdtContent>
        </w:sdt>
      </w:sdtContent>
    </w:sdt>
    <w:sdt>
      <w:sdtPr>
        <w:rPr>
          <w:rFonts w:ascii="Calibri" w:hAnsi="Calibri" w:cs="宋体"/>
          <w:b w:val="0"/>
          <w:bCs w:val="0"/>
          <w:kern w:val="0"/>
          <w:sz w:val="24"/>
          <w:szCs w:val="21"/>
        </w:rPr>
        <w:tag w:val="_GBC_cd34cefd27e44d0b9a85bc829f1e09c6"/>
        <w:id w:val="24720541"/>
        <w:lock w:val="sdtLocked"/>
        <w:placeholder>
          <w:docPart w:val="GBC22222222222222222222222222222"/>
        </w:placeholder>
      </w:sdtPr>
      <w:sdtEndPr>
        <w:rPr>
          <w:rFonts w:ascii="宋体" w:hAnsi="宋体" w:hint="eastAsia"/>
          <w:sz w:val="21"/>
        </w:rPr>
      </w:sdtEndPr>
      <w:sdtContent>
        <w:p w:rsidR="00704CAD" w:rsidRDefault="00720895" w:rsidP="009950AC">
          <w:pPr>
            <w:pStyle w:val="4"/>
            <w:numPr>
              <w:ilvl w:val="0"/>
              <w:numId w:val="16"/>
            </w:numPr>
            <w:rPr>
              <w:szCs w:val="21"/>
            </w:rPr>
          </w:pPr>
          <w:r>
            <w:rPr>
              <w:szCs w:val="21"/>
            </w:rPr>
            <w:t>主要子公司、参股公司分析</w:t>
          </w:r>
        </w:p>
        <w:sdt>
          <w:sdtPr>
            <w:rPr>
              <w:rFonts w:hint="eastAsia"/>
              <w:szCs w:val="21"/>
            </w:rPr>
            <w:alias w:val="主要子公司、参股公司分析"/>
            <w:tag w:val="_GBC_de9fb5b578cd4523896ee9e541723896"/>
            <w:id w:val="24720540"/>
            <w:lock w:val="sdtLocked"/>
            <w:placeholder>
              <w:docPart w:val="GBC22222222222222222222222222222"/>
            </w:placeholder>
          </w:sdtPr>
          <w:sdtContent>
            <w:p w:rsidR="00753BA3" w:rsidRPr="00DC5B3C" w:rsidRDefault="00753BA3" w:rsidP="003A0284">
              <w:pPr>
                <w:spacing w:beforeLines="50" w:afterLines="50" w:line="360" w:lineRule="auto"/>
                <w:ind w:firstLineChars="202" w:firstLine="424"/>
                <w:jc w:val="both"/>
                <w:rPr>
                  <w:b/>
                  <w:szCs w:val="21"/>
                </w:rPr>
              </w:pPr>
              <w:r w:rsidRPr="00DC5B3C">
                <w:rPr>
                  <w:rFonts w:hint="eastAsia"/>
                  <w:b/>
                  <w:szCs w:val="21"/>
                </w:rPr>
                <w:t>（1）子公司分析</w:t>
              </w:r>
            </w:p>
            <w:p w:rsidR="00753BA3" w:rsidRPr="00DF17CA" w:rsidRDefault="00422DCA" w:rsidP="003A0284">
              <w:pPr>
                <w:spacing w:beforeLines="50" w:afterLines="50" w:line="360" w:lineRule="auto"/>
                <w:ind w:firstLineChars="268" w:firstLine="565"/>
                <w:rPr>
                  <w:rFonts w:cs="Calibri"/>
                  <w:b/>
                  <w:szCs w:val="21"/>
                </w:rPr>
              </w:pPr>
              <w:r w:rsidRPr="00DF17CA">
                <w:rPr>
                  <w:rFonts w:cs="Calibri"/>
                  <w:b/>
                  <w:szCs w:val="21"/>
                </w:rPr>
                <w:fldChar w:fldCharType="begin"/>
              </w:r>
              <w:r w:rsidR="00753BA3" w:rsidRPr="00DF17CA">
                <w:rPr>
                  <w:rFonts w:cs="Calibri" w:hint="eastAsia"/>
                  <w:b/>
                  <w:szCs w:val="21"/>
                </w:rPr>
                <w:instrText>= 1 \* GB3</w:instrText>
              </w:r>
              <w:r w:rsidRPr="00DF17CA">
                <w:rPr>
                  <w:rFonts w:cs="Calibri"/>
                  <w:b/>
                  <w:szCs w:val="21"/>
                </w:rPr>
                <w:fldChar w:fldCharType="separate"/>
              </w:r>
              <w:r w:rsidR="00753BA3" w:rsidRPr="00DF17CA">
                <w:rPr>
                  <w:rFonts w:cs="Calibri" w:hint="eastAsia"/>
                  <w:b/>
                  <w:szCs w:val="21"/>
                </w:rPr>
                <w:t>①</w:t>
              </w:r>
              <w:r w:rsidRPr="00DF17CA">
                <w:rPr>
                  <w:rFonts w:cs="Calibri"/>
                  <w:b/>
                  <w:szCs w:val="21"/>
                </w:rPr>
                <w:fldChar w:fldCharType="end"/>
              </w:r>
              <w:r w:rsidR="00753BA3" w:rsidRPr="00DF17CA">
                <w:rPr>
                  <w:rFonts w:cs="Calibri" w:hint="eastAsia"/>
                  <w:b/>
                  <w:szCs w:val="21"/>
                </w:rPr>
                <w:t>招商证券国际有限公司</w:t>
              </w:r>
            </w:p>
            <w:p w:rsidR="009A4E40" w:rsidRPr="00DF17CA" w:rsidRDefault="00731C4F" w:rsidP="00CB3294">
              <w:pPr>
                <w:spacing w:line="360" w:lineRule="auto"/>
                <w:ind w:firstLineChars="196" w:firstLine="412"/>
                <w:rPr>
                  <w:szCs w:val="21"/>
                </w:rPr>
              </w:pPr>
              <w:r w:rsidRPr="00DF17CA">
                <w:rPr>
                  <w:rFonts w:hint="eastAsia"/>
                  <w:szCs w:val="21"/>
                </w:rPr>
                <w:t>实收资本</w:t>
              </w:r>
              <w:r w:rsidRPr="00DF17CA">
                <w:rPr>
                  <w:szCs w:val="21"/>
                </w:rPr>
                <w:t>18.04</w:t>
              </w:r>
              <w:r w:rsidRPr="00DF17CA">
                <w:rPr>
                  <w:rFonts w:hint="eastAsia"/>
                  <w:szCs w:val="21"/>
                </w:rPr>
                <w:t>亿港元，为本公司全资子公司。招证国际的主营业务是通过设立不同子公司分别经营经纪业务、投资银行、固定收益、资产管理、杠杆与结构融资、私募投资、环球商品及期货等全方位投资银行服务。</w:t>
              </w:r>
            </w:p>
            <w:p w:rsidR="004E0D79" w:rsidRPr="00DF17CA" w:rsidRDefault="004E0D79" w:rsidP="00CB3294">
              <w:pPr>
                <w:spacing w:line="360" w:lineRule="auto"/>
                <w:ind w:firstLineChars="196" w:firstLine="412"/>
                <w:rPr>
                  <w:rFonts w:cs="仿宋_GB2312"/>
                  <w:szCs w:val="21"/>
                </w:rPr>
              </w:pPr>
              <w:r w:rsidRPr="00DF17CA">
                <w:rPr>
                  <w:rFonts w:hint="eastAsia"/>
                  <w:szCs w:val="21"/>
                </w:rPr>
                <w:t>2015年上半年，</w:t>
              </w:r>
              <w:r w:rsidR="00731C4F" w:rsidRPr="00DF17CA">
                <w:rPr>
                  <w:rFonts w:hint="eastAsia"/>
                  <w:szCs w:val="21"/>
                </w:rPr>
                <w:t>招证国际实现营业收入</w:t>
              </w:r>
              <w:r w:rsidR="00731C4F" w:rsidRPr="00DF17CA">
                <w:rPr>
                  <w:szCs w:val="21"/>
                </w:rPr>
                <w:t>82,498.40</w:t>
              </w:r>
              <w:r w:rsidR="00731C4F" w:rsidRPr="00DF17CA">
                <w:rPr>
                  <w:rFonts w:hint="eastAsia"/>
                  <w:szCs w:val="21"/>
                </w:rPr>
                <w:t xml:space="preserve">万港元；净利润 </w:t>
              </w:r>
              <w:r w:rsidR="00731C4F" w:rsidRPr="00DF17CA">
                <w:rPr>
                  <w:szCs w:val="21"/>
                </w:rPr>
                <w:t>33,622.63</w:t>
              </w:r>
              <w:r w:rsidR="00731C4F" w:rsidRPr="00DF17CA">
                <w:rPr>
                  <w:rFonts w:hint="eastAsia"/>
                  <w:szCs w:val="21"/>
                </w:rPr>
                <w:t>万港元。</w:t>
              </w:r>
              <w:r w:rsidRPr="00DF17CA">
                <w:rPr>
                  <w:rFonts w:hint="eastAsia"/>
                  <w:szCs w:val="21"/>
                </w:rPr>
                <w:t>招证国际</w:t>
              </w:r>
              <w:r w:rsidRPr="00DF17CA">
                <w:rPr>
                  <w:rFonts w:cs="仿宋_GB2312" w:hint="eastAsia"/>
                  <w:szCs w:val="21"/>
                </w:rPr>
                <w:t>投资银行业务IPO新股发行承销金额历史性地取得全市场第1的优异成绩，IPO募资金额达到146.3亿美元，投资银行业务（含股权融资和债务融资）总募资金额突破200亿美元；正式取得欧洲洲际交易所清算会员资格，被美国《机构投资者》杂志评选为“中国最佳环球商品投资银行”。</w:t>
              </w:r>
            </w:p>
            <w:p w:rsidR="007D63F4" w:rsidRPr="00DF17CA" w:rsidRDefault="007D63F4" w:rsidP="003A0284">
              <w:pPr>
                <w:spacing w:beforeLines="50" w:afterLines="50" w:line="360" w:lineRule="auto"/>
                <w:ind w:firstLineChars="268" w:firstLine="565"/>
                <w:rPr>
                  <w:b/>
                  <w:szCs w:val="21"/>
                </w:rPr>
              </w:pPr>
              <w:r w:rsidRPr="00DF17CA">
                <w:rPr>
                  <w:rFonts w:cs="Calibri"/>
                  <w:b/>
                  <w:szCs w:val="21"/>
                </w:rPr>
                <w:t>②</w:t>
              </w:r>
              <w:r w:rsidRPr="00DF17CA">
                <w:rPr>
                  <w:rFonts w:hint="eastAsia"/>
                  <w:b/>
                  <w:szCs w:val="21"/>
                </w:rPr>
                <w:t>招商期货有限公司</w:t>
              </w:r>
            </w:p>
            <w:p w:rsidR="009742EF" w:rsidRPr="00DF17CA" w:rsidRDefault="009742EF" w:rsidP="00CB3294">
              <w:pPr>
                <w:spacing w:line="360" w:lineRule="auto"/>
                <w:ind w:firstLineChars="196" w:firstLine="412"/>
                <w:rPr>
                  <w:szCs w:val="21"/>
                </w:rPr>
              </w:pPr>
              <w:r w:rsidRPr="00DF17CA">
                <w:rPr>
                  <w:szCs w:val="21"/>
                </w:rPr>
                <w:t>注册资本</w:t>
              </w:r>
              <w:r w:rsidRPr="00DF17CA">
                <w:rPr>
                  <w:rFonts w:hint="eastAsia"/>
                  <w:szCs w:val="21"/>
                </w:rPr>
                <w:t>6.3</w:t>
              </w:r>
              <w:r w:rsidRPr="00DF17CA">
                <w:rPr>
                  <w:szCs w:val="21"/>
                </w:rPr>
                <w:t>亿元，为本公司全资子公司。招商期货的</w:t>
              </w:r>
              <w:r w:rsidRPr="00DF17CA">
                <w:rPr>
                  <w:rFonts w:hint="eastAsia"/>
                  <w:szCs w:val="21"/>
                </w:rPr>
                <w:t>主营业务是</w:t>
              </w:r>
              <w:r w:rsidRPr="00DF17CA">
                <w:rPr>
                  <w:szCs w:val="21"/>
                </w:rPr>
                <w:t>：</w:t>
              </w:r>
              <w:r w:rsidRPr="00DF17CA">
                <w:rPr>
                  <w:rFonts w:hint="eastAsia"/>
                  <w:szCs w:val="21"/>
                </w:rPr>
                <w:t>商品期货经纪、金融期货经纪、期货投资咨询、资产管理（按有效许可证经营）</w:t>
              </w:r>
              <w:r w:rsidRPr="00DF17CA">
                <w:rPr>
                  <w:szCs w:val="21"/>
                </w:rPr>
                <w:t>。</w:t>
              </w:r>
            </w:p>
            <w:p w:rsidR="002741A0" w:rsidRPr="00DF17CA" w:rsidRDefault="005D76AF" w:rsidP="00CB3294">
              <w:pPr>
                <w:spacing w:line="360" w:lineRule="auto"/>
                <w:ind w:firstLineChars="196" w:firstLine="412"/>
                <w:rPr>
                  <w:szCs w:val="21"/>
                </w:rPr>
              </w:pPr>
              <w:r w:rsidRPr="00DF17CA">
                <w:rPr>
                  <w:rFonts w:hint="eastAsia"/>
                  <w:szCs w:val="21"/>
                </w:rPr>
                <w:t>2015上半年</w:t>
              </w:r>
              <w:r w:rsidR="002741A0" w:rsidRPr="00DF17CA">
                <w:rPr>
                  <w:rFonts w:hint="eastAsia"/>
                  <w:szCs w:val="21"/>
                </w:rPr>
                <w:t>，招商期货</w:t>
              </w:r>
              <w:r w:rsidR="002741A0" w:rsidRPr="00DF17CA">
                <w:rPr>
                  <w:szCs w:val="21"/>
                </w:rPr>
                <w:t>201</w:t>
              </w:r>
              <w:r w:rsidR="002741A0" w:rsidRPr="00DF17CA">
                <w:rPr>
                  <w:rFonts w:hint="eastAsia"/>
                  <w:szCs w:val="21"/>
                </w:rPr>
                <w:t>5</w:t>
              </w:r>
              <w:r w:rsidR="002741A0" w:rsidRPr="00DF17CA">
                <w:rPr>
                  <w:szCs w:val="21"/>
                </w:rPr>
                <w:t>年</w:t>
              </w:r>
              <w:r w:rsidR="002741A0" w:rsidRPr="00DF17CA">
                <w:rPr>
                  <w:rFonts w:hint="eastAsia"/>
                  <w:szCs w:val="21"/>
                </w:rPr>
                <w:t>上半年实现营业收入</w:t>
              </w:r>
              <w:r w:rsidR="002741A0" w:rsidRPr="00DF17CA">
                <w:rPr>
                  <w:szCs w:val="21"/>
                </w:rPr>
                <w:t>24</w:t>
              </w:r>
              <w:r w:rsidR="002741A0" w:rsidRPr="00DF17CA">
                <w:rPr>
                  <w:rFonts w:hint="eastAsia"/>
                  <w:szCs w:val="21"/>
                </w:rPr>
                <w:t>,</w:t>
              </w:r>
              <w:r w:rsidR="002741A0" w:rsidRPr="00DF17CA">
                <w:rPr>
                  <w:szCs w:val="21"/>
                </w:rPr>
                <w:t>06</w:t>
              </w:r>
              <w:r w:rsidR="002741A0" w:rsidRPr="00DF17CA">
                <w:rPr>
                  <w:rFonts w:hint="eastAsia"/>
                  <w:szCs w:val="21"/>
                </w:rPr>
                <w:t>2</w:t>
              </w:r>
              <w:r w:rsidR="002741A0" w:rsidRPr="00DF17CA">
                <w:rPr>
                  <w:szCs w:val="21"/>
                </w:rPr>
                <w:t>万元</w:t>
              </w:r>
              <w:r w:rsidR="002741A0" w:rsidRPr="00DF17CA">
                <w:rPr>
                  <w:rFonts w:hint="eastAsia"/>
                  <w:szCs w:val="21"/>
                </w:rPr>
                <w:t>，同比增长146%，净利润</w:t>
              </w:r>
              <w:r w:rsidR="002741A0" w:rsidRPr="00DF17CA">
                <w:rPr>
                  <w:szCs w:val="21"/>
                </w:rPr>
                <w:t>10</w:t>
              </w:r>
              <w:r w:rsidR="002741A0" w:rsidRPr="00DF17CA">
                <w:rPr>
                  <w:rFonts w:hint="eastAsia"/>
                  <w:szCs w:val="21"/>
                </w:rPr>
                <w:t>,</w:t>
              </w:r>
              <w:r w:rsidR="002741A0" w:rsidRPr="00DF17CA">
                <w:rPr>
                  <w:szCs w:val="21"/>
                </w:rPr>
                <w:t>12</w:t>
              </w:r>
              <w:r w:rsidR="002741A0" w:rsidRPr="00DF17CA">
                <w:rPr>
                  <w:rFonts w:hint="eastAsia"/>
                  <w:szCs w:val="21"/>
                </w:rPr>
                <w:t>9万元，同比增长173%。</w:t>
              </w:r>
            </w:p>
            <w:p w:rsidR="007D63F4" w:rsidRPr="00DF17CA" w:rsidRDefault="00422DCA" w:rsidP="003A0284">
              <w:pPr>
                <w:spacing w:beforeLines="50" w:afterLines="50" w:line="360" w:lineRule="auto"/>
                <w:ind w:firstLineChars="268" w:firstLine="565"/>
                <w:rPr>
                  <w:b/>
                  <w:szCs w:val="21"/>
                </w:rPr>
              </w:pPr>
              <w:r w:rsidRPr="00DF17CA">
                <w:rPr>
                  <w:rFonts w:cs="Calibri"/>
                  <w:b/>
                  <w:szCs w:val="21"/>
                </w:rPr>
                <w:lastRenderedPageBreak/>
                <w:fldChar w:fldCharType="begin"/>
              </w:r>
              <w:r w:rsidR="007D63F4" w:rsidRPr="00DF17CA">
                <w:rPr>
                  <w:rFonts w:cs="Calibri" w:hint="eastAsia"/>
                  <w:b/>
                  <w:szCs w:val="21"/>
                </w:rPr>
                <w:instrText>= 3 \* GB3</w:instrText>
              </w:r>
              <w:r w:rsidRPr="00DF17CA">
                <w:rPr>
                  <w:rFonts w:cs="Calibri"/>
                  <w:b/>
                  <w:szCs w:val="21"/>
                </w:rPr>
                <w:fldChar w:fldCharType="separate"/>
              </w:r>
              <w:r w:rsidR="007D63F4" w:rsidRPr="00DF17CA">
                <w:rPr>
                  <w:rFonts w:cs="Calibri" w:hint="eastAsia"/>
                  <w:b/>
                  <w:noProof/>
                  <w:szCs w:val="21"/>
                </w:rPr>
                <w:t>③</w:t>
              </w:r>
              <w:r w:rsidRPr="00DF17CA">
                <w:rPr>
                  <w:rFonts w:cs="Calibri"/>
                  <w:b/>
                  <w:szCs w:val="21"/>
                </w:rPr>
                <w:fldChar w:fldCharType="end"/>
              </w:r>
              <w:r w:rsidR="007D63F4" w:rsidRPr="00DF17CA">
                <w:rPr>
                  <w:rFonts w:hint="eastAsia"/>
                  <w:b/>
                  <w:szCs w:val="21"/>
                </w:rPr>
                <w:t>招商致远资本投资有限公司</w:t>
              </w:r>
            </w:p>
            <w:p w:rsidR="009A4E40" w:rsidRPr="00DF17CA" w:rsidRDefault="009A4E40" w:rsidP="00CB3294">
              <w:pPr>
                <w:spacing w:line="360" w:lineRule="auto"/>
                <w:ind w:firstLineChars="196" w:firstLine="412"/>
                <w:rPr>
                  <w:szCs w:val="21"/>
                </w:rPr>
              </w:pPr>
              <w:r w:rsidRPr="00DF17CA">
                <w:rPr>
                  <w:rFonts w:hint="eastAsia"/>
                  <w:szCs w:val="21"/>
                </w:rPr>
                <w:t>注册资本10.5亿元，为本公司全资子公司。招商致远资本的主营业务：使用自有资金或设立直投基金，对企业进行股权投资或债权投资，或投资于与股权投资、债权投资相关的其它投资基金；为客户提供与股权投资、债权投资相关的财务顾问服务；经中国证监会认可开展的其他业务。</w:t>
              </w:r>
            </w:p>
            <w:p w:rsidR="009A4E40" w:rsidRPr="00DF17CA" w:rsidRDefault="009A4E40" w:rsidP="00CB3294">
              <w:pPr>
                <w:spacing w:line="360" w:lineRule="auto"/>
                <w:ind w:firstLineChars="196" w:firstLine="412"/>
                <w:rPr>
                  <w:szCs w:val="21"/>
                </w:rPr>
              </w:pPr>
              <w:r w:rsidRPr="00DF17CA">
                <w:rPr>
                  <w:rFonts w:hint="eastAsia"/>
                  <w:szCs w:val="21"/>
                </w:rPr>
                <w:t>2015年上半年，招商致远资本实现营业收入18</w:t>
              </w:r>
              <w:r w:rsidR="005D76AF" w:rsidRPr="00DF17CA">
                <w:rPr>
                  <w:rFonts w:hint="eastAsia"/>
                  <w:szCs w:val="21"/>
                </w:rPr>
                <w:t>,</w:t>
              </w:r>
              <w:r w:rsidRPr="00DF17CA">
                <w:rPr>
                  <w:rFonts w:hint="eastAsia"/>
                  <w:szCs w:val="21"/>
                </w:rPr>
                <w:t>397.00万元；归属于母公司的净利润10</w:t>
              </w:r>
              <w:r w:rsidR="005D76AF" w:rsidRPr="00DF17CA">
                <w:rPr>
                  <w:rFonts w:hint="eastAsia"/>
                  <w:szCs w:val="21"/>
                </w:rPr>
                <w:t>,</w:t>
              </w:r>
              <w:r w:rsidRPr="00DF17CA">
                <w:rPr>
                  <w:rFonts w:hint="eastAsia"/>
                  <w:szCs w:val="21"/>
                </w:rPr>
                <w:t>049.70万元。</w:t>
              </w:r>
            </w:p>
            <w:p w:rsidR="007D63F4" w:rsidRPr="00DF17CA" w:rsidRDefault="00422DCA" w:rsidP="003A0284">
              <w:pPr>
                <w:spacing w:beforeLines="50" w:afterLines="50" w:line="360" w:lineRule="auto"/>
                <w:ind w:firstLineChars="268" w:firstLine="565"/>
                <w:rPr>
                  <w:b/>
                  <w:szCs w:val="21"/>
                </w:rPr>
              </w:pPr>
              <w:r w:rsidRPr="00DF17CA">
                <w:rPr>
                  <w:rFonts w:cs="Calibri"/>
                  <w:b/>
                  <w:szCs w:val="21"/>
                </w:rPr>
                <w:fldChar w:fldCharType="begin"/>
              </w:r>
              <w:r w:rsidR="005B79E4" w:rsidRPr="00DF17CA">
                <w:rPr>
                  <w:rFonts w:cs="Calibri" w:hint="eastAsia"/>
                  <w:b/>
                  <w:szCs w:val="21"/>
                </w:rPr>
                <w:instrText>= 4 \* GB3</w:instrText>
              </w:r>
              <w:r w:rsidRPr="00DF17CA">
                <w:rPr>
                  <w:rFonts w:cs="Calibri"/>
                  <w:b/>
                  <w:szCs w:val="21"/>
                </w:rPr>
                <w:fldChar w:fldCharType="separate"/>
              </w:r>
              <w:r w:rsidR="005B79E4" w:rsidRPr="00DF17CA">
                <w:rPr>
                  <w:rFonts w:cs="Calibri" w:hint="eastAsia"/>
                  <w:b/>
                  <w:noProof/>
                  <w:szCs w:val="21"/>
                </w:rPr>
                <w:t>④</w:t>
              </w:r>
              <w:r w:rsidRPr="00DF17CA">
                <w:rPr>
                  <w:rFonts w:cs="Calibri"/>
                  <w:b/>
                  <w:szCs w:val="21"/>
                </w:rPr>
                <w:fldChar w:fldCharType="end"/>
              </w:r>
              <w:r w:rsidR="007D63F4" w:rsidRPr="00DF17CA">
                <w:rPr>
                  <w:rFonts w:hint="eastAsia"/>
                  <w:b/>
                  <w:szCs w:val="21"/>
                </w:rPr>
                <w:t>招商证券投资有限公司</w:t>
              </w:r>
            </w:p>
            <w:p w:rsidR="00A471B5" w:rsidRPr="00DF17CA" w:rsidRDefault="00A471B5" w:rsidP="00A471B5">
              <w:pPr>
                <w:spacing w:line="360" w:lineRule="auto"/>
                <w:ind w:firstLine="539"/>
                <w:rPr>
                  <w:szCs w:val="21"/>
                </w:rPr>
              </w:pPr>
              <w:r w:rsidRPr="00DF17CA">
                <w:rPr>
                  <w:szCs w:val="21"/>
                </w:rPr>
                <w:t>注册资本人民币3亿元，为公司的全资子公司。招商投资经营范围为：证券投资、金融产品投资、大宗商品投资（以上各项涉及法律、行政法规、国务院决定禁止的项目除外，限制的项目须取得许可后方可经营）；投资管理；投资咨询；股权投资；投资兴办实业（具体项目另行申报）。</w:t>
              </w:r>
            </w:p>
            <w:p w:rsidR="00A471B5" w:rsidRPr="00DF17CA" w:rsidRDefault="00A471B5" w:rsidP="00A471B5">
              <w:pPr>
                <w:spacing w:line="360" w:lineRule="auto"/>
                <w:ind w:firstLine="539"/>
                <w:rPr>
                  <w:szCs w:val="21"/>
                </w:rPr>
              </w:pPr>
              <w:r w:rsidRPr="00DF17CA">
                <w:rPr>
                  <w:szCs w:val="21"/>
                </w:rPr>
                <w:t>2015年上半年</w:t>
              </w:r>
              <w:r w:rsidRPr="00DF17CA">
                <w:rPr>
                  <w:rFonts w:hint="eastAsia"/>
                  <w:szCs w:val="21"/>
                </w:rPr>
                <w:t>，招商投资</w:t>
              </w:r>
              <w:r w:rsidRPr="00DF17CA">
                <w:rPr>
                  <w:szCs w:val="21"/>
                </w:rPr>
                <w:t>实现营业收入3,005.09万元，净利润2,201.74万元。</w:t>
              </w:r>
            </w:p>
            <w:p w:rsidR="005B79E4" w:rsidRPr="00DF17CA" w:rsidRDefault="00422DCA" w:rsidP="003A0284">
              <w:pPr>
                <w:spacing w:beforeLines="50" w:afterLines="50" w:line="360" w:lineRule="auto"/>
                <w:ind w:firstLineChars="268" w:firstLine="565"/>
                <w:rPr>
                  <w:b/>
                  <w:szCs w:val="21"/>
                </w:rPr>
              </w:pPr>
              <w:r w:rsidRPr="00DF17CA">
                <w:rPr>
                  <w:rFonts w:cs="Calibri"/>
                  <w:b/>
                  <w:szCs w:val="21"/>
                </w:rPr>
                <w:fldChar w:fldCharType="begin"/>
              </w:r>
              <w:r w:rsidR="005B79E4" w:rsidRPr="00DF17CA">
                <w:rPr>
                  <w:rFonts w:cs="Calibri" w:hint="eastAsia"/>
                  <w:b/>
                  <w:szCs w:val="21"/>
                </w:rPr>
                <w:instrText>= 5 \* GB3</w:instrText>
              </w:r>
              <w:r w:rsidRPr="00DF17CA">
                <w:rPr>
                  <w:rFonts w:cs="Calibri"/>
                  <w:b/>
                  <w:szCs w:val="21"/>
                </w:rPr>
                <w:fldChar w:fldCharType="separate"/>
              </w:r>
              <w:r w:rsidR="005B79E4" w:rsidRPr="00DF17CA">
                <w:rPr>
                  <w:rFonts w:cs="Calibri" w:hint="eastAsia"/>
                  <w:b/>
                  <w:noProof/>
                  <w:szCs w:val="21"/>
                </w:rPr>
                <w:t>⑤</w:t>
              </w:r>
              <w:r w:rsidRPr="00DF17CA">
                <w:rPr>
                  <w:rFonts w:cs="Calibri"/>
                  <w:b/>
                  <w:szCs w:val="21"/>
                </w:rPr>
                <w:fldChar w:fldCharType="end"/>
              </w:r>
              <w:r w:rsidR="005B79E4" w:rsidRPr="00DF17CA">
                <w:rPr>
                  <w:rFonts w:hint="eastAsia"/>
                  <w:b/>
                  <w:szCs w:val="21"/>
                </w:rPr>
                <w:t>招商证券资产管理有限公司</w:t>
              </w:r>
            </w:p>
            <w:p w:rsidR="005B79E4" w:rsidRPr="00DF17CA" w:rsidRDefault="005B79E4" w:rsidP="00CB3294">
              <w:pPr>
                <w:spacing w:line="360" w:lineRule="auto"/>
                <w:ind w:firstLineChars="196" w:firstLine="412"/>
                <w:rPr>
                  <w:szCs w:val="21"/>
                </w:rPr>
              </w:pPr>
              <w:r w:rsidRPr="00DF17CA">
                <w:rPr>
                  <w:rFonts w:hint="eastAsia"/>
                  <w:szCs w:val="21"/>
                </w:rPr>
                <w:t>注册资本3亿元，为本公司全资子公司。招商资管的主营业务是证券资产管理业务，于2015年4月3日在深圳前海注册。</w:t>
              </w:r>
            </w:p>
            <w:p w:rsidR="007D63F4" w:rsidRPr="00D2140A" w:rsidRDefault="007D63F4">
              <w:pPr>
                <w:rPr>
                  <w:szCs w:val="21"/>
                </w:rPr>
              </w:pPr>
            </w:p>
            <w:p w:rsidR="007D63F4" w:rsidRPr="00DC5B3C" w:rsidRDefault="007D63F4" w:rsidP="003A0284">
              <w:pPr>
                <w:spacing w:beforeLines="50" w:afterLines="50" w:line="360" w:lineRule="auto"/>
                <w:ind w:firstLineChars="200" w:firstLine="422"/>
                <w:rPr>
                  <w:szCs w:val="21"/>
                </w:rPr>
              </w:pPr>
              <w:r w:rsidRPr="00AD1041">
                <w:rPr>
                  <w:rFonts w:hint="eastAsia"/>
                  <w:b/>
                  <w:szCs w:val="21"/>
                </w:rPr>
                <w:t>（2）</w:t>
              </w:r>
              <w:r w:rsidR="00DF6297">
                <w:rPr>
                  <w:rFonts w:hint="eastAsia"/>
                  <w:b/>
                  <w:szCs w:val="21"/>
                </w:rPr>
                <w:t>主要</w:t>
              </w:r>
              <w:r w:rsidRPr="00AD1041">
                <w:rPr>
                  <w:rFonts w:hint="eastAsia"/>
                  <w:b/>
                  <w:szCs w:val="21"/>
                </w:rPr>
                <w:t>参股公司分析</w:t>
              </w:r>
            </w:p>
            <w:p w:rsidR="00F93E82" w:rsidRDefault="00422DCA" w:rsidP="003A0284">
              <w:pPr>
                <w:spacing w:beforeLines="50" w:afterLines="50" w:line="360" w:lineRule="auto"/>
                <w:ind w:firstLineChars="200" w:firstLine="422"/>
                <w:rPr>
                  <w:b/>
                  <w:szCs w:val="21"/>
                </w:rPr>
              </w:pPr>
              <w:r w:rsidRPr="00AA0DC9">
                <w:rPr>
                  <w:b/>
                  <w:szCs w:val="21"/>
                </w:rPr>
                <w:fldChar w:fldCharType="begin"/>
              </w:r>
              <w:r w:rsidR="007D63F4" w:rsidRPr="00AA0DC9">
                <w:rPr>
                  <w:rFonts w:hint="eastAsia"/>
                  <w:b/>
                  <w:szCs w:val="21"/>
                </w:rPr>
                <w:instrText>= 1 \* GB3</w:instrText>
              </w:r>
              <w:r w:rsidRPr="00AA0DC9">
                <w:rPr>
                  <w:b/>
                  <w:szCs w:val="21"/>
                </w:rPr>
                <w:fldChar w:fldCharType="separate"/>
              </w:r>
              <w:r w:rsidR="007D63F4" w:rsidRPr="00AA0DC9">
                <w:rPr>
                  <w:rFonts w:hint="eastAsia"/>
                  <w:b/>
                  <w:noProof/>
                  <w:szCs w:val="21"/>
                </w:rPr>
                <w:t>①</w:t>
              </w:r>
              <w:r w:rsidRPr="00AA0DC9">
                <w:rPr>
                  <w:b/>
                  <w:szCs w:val="21"/>
                </w:rPr>
                <w:fldChar w:fldCharType="end"/>
              </w:r>
              <w:r w:rsidR="007D63F4" w:rsidRPr="00AA0DC9">
                <w:rPr>
                  <w:rFonts w:hint="eastAsia"/>
                  <w:b/>
                  <w:szCs w:val="21"/>
                </w:rPr>
                <w:t>博时基金管理有限公司</w:t>
              </w:r>
            </w:p>
            <w:p w:rsidR="00DE2CB3" w:rsidRPr="00DE2CB3" w:rsidRDefault="00DE2CB3" w:rsidP="00DE2CB3">
              <w:pPr>
                <w:spacing w:line="360" w:lineRule="auto"/>
                <w:ind w:firstLine="539"/>
                <w:rPr>
                  <w:szCs w:val="21"/>
                </w:rPr>
              </w:pPr>
              <w:r w:rsidRPr="00DE2CB3">
                <w:rPr>
                  <w:rFonts w:hint="eastAsia"/>
                  <w:szCs w:val="21"/>
                </w:rPr>
                <w:t>公司持有博时基金49%的股权。博时基金成立于1998年7月13日，注册资本2.5亿元，是中国内地首批成立的五家基金管理公司之一。经营范围包括基金募集、销售、资产管理及中国证监会许可的其他业务。</w:t>
              </w:r>
            </w:p>
            <w:p w:rsidR="00F93E82" w:rsidRPr="00DE2CB3" w:rsidRDefault="00DE2CB3" w:rsidP="00B34B48">
              <w:pPr>
                <w:spacing w:line="360" w:lineRule="auto"/>
                <w:ind w:firstLine="539"/>
                <w:rPr>
                  <w:b/>
                  <w:szCs w:val="21"/>
                </w:rPr>
              </w:pPr>
              <w:r w:rsidRPr="00DE2CB3">
                <w:rPr>
                  <w:rFonts w:hint="eastAsia"/>
                  <w:szCs w:val="21"/>
                </w:rPr>
                <w:t>截至报告期末，博时基金总资产306,630.69万元，净资产223,696.95万元；2015年</w:t>
              </w:r>
              <w:r w:rsidR="004B7281">
                <w:rPr>
                  <w:rFonts w:hint="eastAsia"/>
                  <w:szCs w:val="21"/>
                </w:rPr>
                <w:t>上半年</w:t>
              </w:r>
              <w:r w:rsidRPr="00DE2CB3">
                <w:rPr>
                  <w:rFonts w:hint="eastAsia"/>
                  <w:szCs w:val="21"/>
                </w:rPr>
                <w:t>实现营业收入96,576.37万元，净利润34,673.46万元。</w:t>
              </w:r>
            </w:p>
            <w:p w:rsidR="00F93E82" w:rsidRDefault="00422DCA" w:rsidP="003A0284">
              <w:pPr>
                <w:spacing w:beforeLines="50" w:afterLines="50" w:line="360" w:lineRule="auto"/>
                <w:ind w:firstLineChars="200" w:firstLine="422"/>
                <w:rPr>
                  <w:b/>
                  <w:szCs w:val="21"/>
                </w:rPr>
              </w:pPr>
              <w:r>
                <w:rPr>
                  <w:b/>
                  <w:szCs w:val="21"/>
                </w:rPr>
                <w:fldChar w:fldCharType="begin"/>
              </w:r>
              <w:r w:rsidR="00F93E82">
                <w:rPr>
                  <w:rFonts w:hint="eastAsia"/>
                  <w:b/>
                  <w:szCs w:val="21"/>
                </w:rPr>
                <w:instrText>= 2 \* GB3</w:instrText>
              </w:r>
              <w:r>
                <w:rPr>
                  <w:b/>
                  <w:szCs w:val="21"/>
                </w:rPr>
                <w:fldChar w:fldCharType="separate"/>
              </w:r>
              <w:r w:rsidR="00F93E82">
                <w:rPr>
                  <w:rFonts w:hint="eastAsia"/>
                  <w:b/>
                  <w:noProof/>
                  <w:szCs w:val="21"/>
                </w:rPr>
                <w:t>②</w:t>
              </w:r>
              <w:r>
                <w:rPr>
                  <w:b/>
                  <w:szCs w:val="21"/>
                </w:rPr>
                <w:fldChar w:fldCharType="end"/>
              </w:r>
              <w:r w:rsidR="00F93E82" w:rsidRPr="00AA0DC9">
                <w:rPr>
                  <w:rFonts w:hint="eastAsia"/>
                  <w:b/>
                  <w:szCs w:val="21"/>
                </w:rPr>
                <w:t>招商基金管理有限公司</w:t>
              </w:r>
            </w:p>
            <w:p w:rsidR="00DE2CB3" w:rsidRPr="00DE2CB3" w:rsidRDefault="00DE2CB3" w:rsidP="00DE2CB3">
              <w:pPr>
                <w:spacing w:line="360" w:lineRule="auto"/>
                <w:ind w:firstLine="539"/>
                <w:rPr>
                  <w:szCs w:val="21"/>
                </w:rPr>
              </w:pPr>
              <w:r w:rsidRPr="00DE2CB3">
                <w:rPr>
                  <w:rFonts w:hint="eastAsia"/>
                  <w:szCs w:val="21"/>
                </w:rPr>
                <w:t>公司持有招商基金45%的股权。招商基金成立于2002年12月27日，注册资本2.1亿元，经营范围为基金管理业务、发起设立基金、中国证监会批准的其他业务。</w:t>
              </w:r>
            </w:p>
            <w:p w:rsidR="00F93E82" w:rsidRPr="00DE2CB3" w:rsidRDefault="00DE2CB3" w:rsidP="00B34B48">
              <w:pPr>
                <w:spacing w:line="360" w:lineRule="auto"/>
                <w:ind w:firstLine="539"/>
                <w:rPr>
                  <w:b/>
                  <w:szCs w:val="21"/>
                </w:rPr>
              </w:pPr>
              <w:r w:rsidRPr="00DE2CB3">
                <w:rPr>
                  <w:rFonts w:hint="eastAsia"/>
                  <w:szCs w:val="21"/>
                </w:rPr>
                <w:t>截至报告期末，招商基金总资产247,417.27万元，净资产118,712.97万元；2015年</w:t>
              </w:r>
              <w:r w:rsidR="005B79E4">
                <w:rPr>
                  <w:rFonts w:hint="eastAsia"/>
                  <w:szCs w:val="21"/>
                </w:rPr>
                <w:t>上半年</w:t>
              </w:r>
              <w:r w:rsidRPr="00DE2CB3">
                <w:rPr>
                  <w:rFonts w:hint="eastAsia"/>
                  <w:szCs w:val="21"/>
                </w:rPr>
                <w:t>实现营业收入101,457.30万元，净利润29,673.27万元。</w:t>
              </w:r>
            </w:p>
            <w:p w:rsidR="00F93E82" w:rsidRDefault="00422DCA" w:rsidP="00CB3294">
              <w:pPr>
                <w:spacing w:line="360" w:lineRule="auto"/>
                <w:ind w:firstLineChars="200" w:firstLine="420"/>
                <w:rPr>
                  <w:szCs w:val="21"/>
                </w:rPr>
              </w:pPr>
            </w:p>
          </w:sdtContent>
        </w:sdt>
      </w:sdtContent>
    </w:sdt>
    <w:sdt>
      <w:sdtPr>
        <w:rPr>
          <w:rFonts w:ascii="Calibri" w:hAnsi="Calibri" w:cs="宋体"/>
          <w:b w:val="0"/>
          <w:bCs w:val="0"/>
          <w:kern w:val="0"/>
          <w:sz w:val="24"/>
          <w:szCs w:val="21"/>
        </w:rPr>
        <w:tag w:val="_GBC_561dc978c56e45e59a5c471a2153cd99"/>
        <w:id w:val="24720543"/>
        <w:lock w:val="sdtLocked"/>
        <w:placeholder>
          <w:docPart w:val="GBC22222222222222222222222222222"/>
        </w:placeholder>
      </w:sdtPr>
      <w:sdtEndPr>
        <w:rPr>
          <w:rFonts w:ascii="宋体" w:hAnsi="宋体"/>
          <w:sz w:val="21"/>
        </w:rPr>
      </w:sdtEndPr>
      <w:sdtContent>
        <w:p w:rsidR="00704CAD" w:rsidRDefault="00720895" w:rsidP="009950AC">
          <w:pPr>
            <w:pStyle w:val="4"/>
            <w:numPr>
              <w:ilvl w:val="0"/>
              <w:numId w:val="16"/>
            </w:numPr>
            <w:rPr>
              <w:szCs w:val="21"/>
            </w:rPr>
          </w:pPr>
          <w:r>
            <w:rPr>
              <w:szCs w:val="21"/>
            </w:rPr>
            <w:t>非募集资金项目情况</w:t>
          </w:r>
        </w:p>
        <w:sdt>
          <w:sdtPr>
            <w:rPr>
              <w:szCs w:val="21"/>
            </w:rPr>
            <w:alias w:val="是否适用：非募集资金项目情况"/>
            <w:tag w:val="_GBC_8d834a5ab9b34364b811db7593006a52"/>
            <w:id w:val="24720542"/>
            <w:lock w:val="sdtLocked"/>
            <w:placeholder>
              <w:docPart w:val="GBC22222222222222222222222222222"/>
            </w:placeholder>
          </w:sdtPr>
          <w:sdtContent>
            <w:p w:rsidR="009E0692" w:rsidRDefault="00422DCA" w:rsidP="0049131F">
              <w:pPr>
                <w:rPr>
                  <w:szCs w:val="21"/>
                </w:rPr>
              </w:pPr>
              <w:r>
                <w:rPr>
                  <w:szCs w:val="21"/>
                </w:rPr>
                <w:fldChar w:fldCharType="begin"/>
              </w:r>
              <w:r w:rsidR="0049131F">
                <w:rPr>
                  <w:szCs w:val="21"/>
                </w:rPr>
                <w:instrText xml:space="preserve"> MACROBUTTON  SnrToggleCheckbox □适用 </w:instrText>
              </w:r>
              <w:r>
                <w:rPr>
                  <w:szCs w:val="21"/>
                </w:rPr>
                <w:fldChar w:fldCharType="end"/>
              </w:r>
              <w:r>
                <w:rPr>
                  <w:szCs w:val="21"/>
                </w:rPr>
                <w:fldChar w:fldCharType="begin"/>
              </w:r>
              <w:r w:rsidR="0049131F">
                <w:rPr>
                  <w:szCs w:val="21"/>
                </w:rPr>
                <w:instrText xml:space="preserve"> MACROBUTTON  SnrToggleCheckbox √不适用 </w:instrText>
              </w:r>
              <w:r>
                <w:rPr>
                  <w:szCs w:val="21"/>
                </w:rPr>
                <w:fldChar w:fldCharType="end"/>
              </w:r>
            </w:p>
            <w:p w:rsidR="00704CAD" w:rsidRDefault="00422DCA" w:rsidP="0049131F">
              <w:pPr>
                <w:rPr>
                  <w:szCs w:val="21"/>
                </w:rPr>
              </w:pPr>
            </w:p>
          </w:sdtContent>
        </w:sdt>
      </w:sdtContent>
    </w:sdt>
    <w:p w:rsidR="00704CAD" w:rsidRDefault="00720895" w:rsidP="009950AC">
      <w:pPr>
        <w:pStyle w:val="2"/>
        <w:numPr>
          <w:ilvl w:val="0"/>
          <w:numId w:val="15"/>
        </w:numPr>
        <w:ind w:left="422" w:hangingChars="200" w:hanging="422"/>
      </w:pPr>
      <w:r>
        <w:lastRenderedPageBreak/>
        <w:t>利润分配或资本公积金转增预案</w:t>
      </w:r>
    </w:p>
    <w:sdt>
      <w:sdtPr>
        <w:rPr>
          <w:rFonts w:ascii="宋体" w:eastAsia="黑体" w:hAnsi="宋体" w:cs="宋体"/>
          <w:b w:val="0"/>
          <w:bCs w:val="0"/>
          <w:kern w:val="0"/>
          <w:sz w:val="24"/>
          <w:szCs w:val="22"/>
        </w:rPr>
        <w:tag w:val="_GBC_f5e91dc4338a40418daa380811880d7d"/>
        <w:id w:val="24720545"/>
        <w:lock w:val="sdtLocked"/>
        <w:placeholder>
          <w:docPart w:val="GBC22222222222222222222222222222"/>
        </w:placeholder>
      </w:sdtPr>
      <w:sdtEndPr>
        <w:rPr>
          <w:rFonts w:ascii="黑体" w:hAnsi="Times New Roman" w:cs="Times New Roman" w:hint="eastAsia"/>
          <w:szCs w:val="24"/>
        </w:rPr>
      </w:sdtEndPr>
      <w:sdtContent>
        <w:p w:rsidR="00704CAD" w:rsidRDefault="00720895" w:rsidP="009950AC">
          <w:pPr>
            <w:pStyle w:val="3"/>
            <w:numPr>
              <w:ilvl w:val="0"/>
              <w:numId w:val="22"/>
            </w:numPr>
          </w:pPr>
          <w:r>
            <w:rPr>
              <w:rFonts w:ascii="宋体" w:hAnsi="宋体" w:cs="宋体" w:hint="eastAsia"/>
              <w:bCs w:val="0"/>
              <w:kern w:val="0"/>
              <w:szCs w:val="22"/>
            </w:rPr>
            <w:t>报告期实施的利润分配方案的</w:t>
          </w:r>
          <w:r>
            <w:rPr>
              <w:rFonts w:hint="eastAsia"/>
            </w:rPr>
            <w:t>执行或调整情况</w:t>
          </w:r>
        </w:p>
        <w:sdt>
          <w:sdtPr>
            <w:alias w:val="现金分红政策的执行情况"/>
            <w:tag w:val="_GBC_336c65936b544f8391e9c48a0da7135f"/>
            <w:id w:val="24720544"/>
            <w:lock w:val="sdtLocked"/>
            <w:placeholder>
              <w:docPart w:val="GBC22222222222222222222222222222"/>
            </w:placeholder>
          </w:sdtPr>
          <w:sdtContent>
            <w:p w:rsidR="004F7FD7" w:rsidRDefault="00217D61" w:rsidP="00CB3294">
              <w:pPr>
                <w:pStyle w:val="CM11"/>
                <w:spacing w:after="0" w:line="360" w:lineRule="auto"/>
                <w:ind w:rightChars="-50" w:right="-105" w:firstLineChars="200" w:firstLine="480"/>
                <w:jc w:val="both"/>
                <w:rPr>
                  <w:rFonts w:asciiTheme="minorEastAsia" w:eastAsiaTheme="minorEastAsia" w:hAnsiTheme="minorEastAsia"/>
                  <w:kern w:val="2"/>
                  <w:sz w:val="21"/>
                  <w:szCs w:val="21"/>
                </w:rPr>
              </w:pPr>
              <w:r w:rsidRPr="00217D61">
                <w:rPr>
                  <w:rFonts w:ascii="宋体" w:eastAsia="宋体" w:hAnsi="宋体" w:hint="eastAsia"/>
                  <w:kern w:val="2"/>
                  <w:sz w:val="21"/>
                  <w:szCs w:val="21"/>
                  <w:lang w:bidi="en-US"/>
                </w:rPr>
                <w:t>2015年5月8日</w:t>
              </w:r>
              <w:r w:rsidRPr="00217D61">
                <w:rPr>
                  <w:rFonts w:asciiTheme="minorEastAsia" w:eastAsiaTheme="minorEastAsia" w:hAnsiTheme="minorEastAsia" w:hint="eastAsia"/>
                  <w:kern w:val="2"/>
                  <w:sz w:val="21"/>
                  <w:szCs w:val="21"/>
                  <w:lang w:bidi="en-US"/>
                </w:rPr>
                <w:t>，公司</w:t>
              </w:r>
              <w:r w:rsidRPr="00217D61">
                <w:rPr>
                  <w:rFonts w:ascii="宋体" w:eastAsia="宋体" w:hAnsi="宋体" w:hint="eastAsia"/>
                  <w:kern w:val="2"/>
                  <w:sz w:val="21"/>
                  <w:szCs w:val="21"/>
                  <w:lang w:bidi="en-US"/>
                </w:rPr>
                <w:t>2014年年度股东大会审议通过</w:t>
              </w:r>
              <w:r w:rsidR="004F7FD7">
                <w:rPr>
                  <w:rFonts w:asciiTheme="minorEastAsia" w:eastAsiaTheme="minorEastAsia" w:hAnsiTheme="minorEastAsia" w:hint="eastAsia"/>
                  <w:kern w:val="2"/>
                  <w:sz w:val="21"/>
                  <w:szCs w:val="21"/>
                  <w:lang w:bidi="en-US"/>
                </w:rPr>
                <w:t>了公司</w:t>
              </w:r>
              <w:r w:rsidRPr="00A4064C">
                <w:rPr>
                  <w:rFonts w:asciiTheme="minorEastAsia" w:eastAsiaTheme="minorEastAsia" w:hAnsiTheme="minorEastAsia" w:hint="eastAsia"/>
                  <w:kern w:val="2"/>
                  <w:sz w:val="21"/>
                  <w:szCs w:val="21"/>
                  <w:lang w:bidi="en-US"/>
                </w:rPr>
                <w:t xml:space="preserve">2014年度利润分配预案：以总股本 </w:t>
              </w:r>
              <w:r w:rsidRPr="00A4064C">
                <w:rPr>
                  <w:rFonts w:asciiTheme="minorEastAsia" w:eastAsiaTheme="minorEastAsia" w:hAnsiTheme="minorEastAsia"/>
                  <w:kern w:val="2"/>
                  <w:sz w:val="21"/>
                  <w:szCs w:val="21"/>
                  <w:lang w:bidi="en-US"/>
                </w:rPr>
                <w:t>5,808,135,529</w:t>
              </w:r>
              <w:r w:rsidRPr="00A4064C">
                <w:rPr>
                  <w:rFonts w:asciiTheme="minorEastAsia" w:eastAsiaTheme="minorEastAsia" w:hAnsiTheme="minorEastAsia" w:hint="eastAsia"/>
                  <w:kern w:val="2"/>
                  <w:sz w:val="21"/>
                  <w:szCs w:val="21"/>
                  <w:lang w:bidi="en-US"/>
                </w:rPr>
                <w:t>股为基数，每10股派发现金红利2.65元（含税）。实际分配现金利润总额为</w:t>
              </w:r>
              <w:r w:rsidRPr="00A4064C">
                <w:rPr>
                  <w:rFonts w:asciiTheme="minorEastAsia" w:eastAsiaTheme="minorEastAsia" w:hAnsiTheme="minorEastAsia"/>
                  <w:kern w:val="2"/>
                  <w:sz w:val="21"/>
                  <w:szCs w:val="21"/>
                  <w:lang w:bidi="en-US"/>
                </w:rPr>
                <w:t>1,539,155,915.19</w:t>
              </w:r>
              <w:r w:rsidRPr="00A4064C">
                <w:rPr>
                  <w:rFonts w:asciiTheme="minorEastAsia" w:eastAsiaTheme="minorEastAsia" w:hAnsiTheme="minorEastAsia" w:hint="eastAsia"/>
                  <w:kern w:val="2"/>
                  <w:sz w:val="21"/>
                  <w:szCs w:val="21"/>
                  <w:lang w:bidi="en-US"/>
                </w:rPr>
                <w:t>元，占可供现金分配利润</w:t>
              </w:r>
              <w:r w:rsidRPr="00A4064C">
                <w:rPr>
                  <w:rFonts w:asciiTheme="minorEastAsia" w:eastAsiaTheme="minorEastAsia" w:hAnsiTheme="minorEastAsia" w:hint="eastAsia"/>
                  <w:kern w:val="2"/>
                  <w:sz w:val="21"/>
                  <w:szCs w:val="21"/>
                </w:rPr>
                <w:t xml:space="preserve">的 </w:t>
              </w:r>
              <w:r w:rsidRPr="00A4064C">
                <w:rPr>
                  <w:rFonts w:asciiTheme="minorEastAsia" w:eastAsiaTheme="minorEastAsia" w:hAnsiTheme="minorEastAsia"/>
                  <w:kern w:val="2"/>
                  <w:sz w:val="21"/>
                  <w:szCs w:val="21"/>
                </w:rPr>
                <w:t>21.07%</w:t>
              </w:r>
              <w:r w:rsidRPr="00A4064C">
                <w:rPr>
                  <w:rFonts w:asciiTheme="minorEastAsia" w:eastAsiaTheme="minorEastAsia" w:hAnsiTheme="minorEastAsia" w:hint="eastAsia"/>
                  <w:kern w:val="2"/>
                  <w:sz w:val="21"/>
                  <w:szCs w:val="21"/>
                </w:rPr>
                <w:t xml:space="preserve">，占公司2014年合并报表归属于母公司所有者的净利润的39.97%。2014年度剩余可供投资者分配的未分配利润 </w:t>
              </w:r>
              <w:r w:rsidRPr="00A4064C">
                <w:rPr>
                  <w:rFonts w:asciiTheme="minorEastAsia" w:eastAsiaTheme="minorEastAsia" w:hAnsiTheme="minorEastAsia"/>
                  <w:kern w:val="2"/>
                  <w:sz w:val="21"/>
                  <w:szCs w:val="21"/>
                </w:rPr>
                <w:t>6,670,349,969.3</w:t>
              </w:r>
              <w:r>
                <w:rPr>
                  <w:rFonts w:asciiTheme="minorEastAsia" w:eastAsiaTheme="minorEastAsia" w:hAnsiTheme="minorEastAsia" w:hint="eastAsia"/>
                  <w:kern w:val="2"/>
                  <w:sz w:val="21"/>
                  <w:szCs w:val="21"/>
                </w:rPr>
                <w:t>6</w:t>
              </w:r>
              <w:r w:rsidRPr="00A4064C">
                <w:rPr>
                  <w:rFonts w:asciiTheme="minorEastAsia" w:eastAsiaTheme="minorEastAsia" w:hAnsiTheme="minorEastAsia" w:hint="eastAsia"/>
                  <w:kern w:val="2"/>
                  <w:sz w:val="21"/>
                  <w:szCs w:val="21"/>
                </w:rPr>
                <w:t>元转入下一年度。</w:t>
              </w:r>
            </w:p>
            <w:p w:rsidR="00704CAD" w:rsidRDefault="004F7FD7" w:rsidP="00467C0B">
              <w:pPr>
                <w:pStyle w:val="CM11"/>
                <w:spacing w:after="0" w:line="360" w:lineRule="auto"/>
                <w:ind w:rightChars="-50" w:right="-105" w:firstLineChars="200" w:firstLine="420"/>
                <w:jc w:val="both"/>
              </w:pPr>
              <w:r w:rsidRPr="004F7FD7">
                <w:rPr>
                  <w:rFonts w:asciiTheme="minorEastAsia" w:eastAsiaTheme="minorEastAsia" w:hAnsiTheme="minorEastAsia" w:hint="eastAsia"/>
                  <w:kern w:val="2"/>
                  <w:sz w:val="21"/>
                  <w:szCs w:val="21"/>
                  <w:lang w:bidi="en-US"/>
                </w:rPr>
                <w:t>公司已于</w:t>
              </w:r>
              <w:r w:rsidRPr="004F7FD7">
                <w:rPr>
                  <w:rFonts w:ascii="宋体" w:eastAsia="宋体" w:hAnsi="宋体" w:hint="eastAsia"/>
                  <w:kern w:val="2"/>
                  <w:sz w:val="21"/>
                  <w:szCs w:val="21"/>
                  <w:lang w:bidi="en-US"/>
                </w:rPr>
                <w:t>2015年5月21日</w:t>
              </w:r>
              <w:r w:rsidRPr="004F7FD7">
                <w:rPr>
                  <w:rFonts w:asciiTheme="minorEastAsia" w:eastAsiaTheme="minorEastAsia" w:hAnsiTheme="minorEastAsia" w:hint="eastAsia"/>
                  <w:kern w:val="2"/>
                  <w:sz w:val="21"/>
                  <w:szCs w:val="21"/>
                  <w:lang w:bidi="en-US"/>
                </w:rPr>
                <w:t>完成了</w:t>
              </w:r>
              <w:r w:rsidR="00B606A1">
                <w:rPr>
                  <w:rFonts w:asciiTheme="minorEastAsia" w:eastAsiaTheme="minorEastAsia" w:hAnsiTheme="minorEastAsia" w:hint="eastAsia"/>
                  <w:kern w:val="2"/>
                  <w:sz w:val="21"/>
                  <w:szCs w:val="21"/>
                  <w:lang w:bidi="en-US"/>
                </w:rPr>
                <w:t>以上</w:t>
              </w:r>
              <w:r w:rsidR="00844CB2">
                <w:rPr>
                  <w:rFonts w:asciiTheme="minorEastAsia" w:eastAsiaTheme="minorEastAsia" w:hAnsiTheme="minorEastAsia" w:hint="eastAsia"/>
                  <w:kern w:val="2"/>
                  <w:sz w:val="21"/>
                  <w:szCs w:val="21"/>
                  <w:lang w:bidi="en-US"/>
                </w:rPr>
                <w:t>2014年度</w:t>
              </w:r>
              <w:r w:rsidRPr="004F7FD7">
                <w:rPr>
                  <w:rFonts w:asciiTheme="minorEastAsia" w:eastAsiaTheme="minorEastAsia" w:hAnsiTheme="minorEastAsia" w:hint="eastAsia"/>
                  <w:kern w:val="2"/>
                  <w:sz w:val="21"/>
                  <w:szCs w:val="21"/>
                  <w:lang w:bidi="en-US"/>
                </w:rPr>
                <w:t>利润分配工作。</w:t>
              </w:r>
            </w:p>
          </w:sdtContent>
        </w:sdt>
      </w:sdtContent>
    </w:sdt>
    <w:sdt>
      <w:sdtPr>
        <w:rPr>
          <w:rFonts w:hint="eastAsia"/>
        </w:rPr>
        <w:tag w:val="_GBC_c012a8b0559842d6b16bd493e27eb5e4"/>
        <w:id w:val="24720551"/>
        <w:lock w:val="sdtLocked"/>
        <w:placeholder>
          <w:docPart w:val="GBC22222222222222222222222222222"/>
        </w:placeholder>
      </w:sdtPr>
      <w:sdtContent>
        <w:p w:rsidR="00704CAD" w:rsidRDefault="00704CAD" w:rsidP="00467C0B"/>
        <w:p w:rsidR="00467C0B" w:rsidRDefault="00467C0B" w:rsidP="009950AC">
          <w:pPr>
            <w:pStyle w:val="3"/>
            <w:numPr>
              <w:ilvl w:val="0"/>
              <w:numId w:val="22"/>
            </w:numPr>
            <w:rPr>
              <w:b w:val="0"/>
              <w:bCs w:val="0"/>
            </w:rPr>
          </w:pPr>
          <w:r>
            <w:rPr>
              <w:rFonts w:hint="eastAsia"/>
            </w:rPr>
            <w:t>半年度拟定的利润分配预案、公积金转增股本预案</w:t>
          </w:r>
        </w:p>
        <w:tbl>
          <w:tblPr>
            <w:tblStyle w:val="a6"/>
            <w:tblW w:w="0" w:type="auto"/>
            <w:tblLook w:val="04A0"/>
          </w:tblPr>
          <w:tblGrid>
            <w:gridCol w:w="4524"/>
            <w:gridCol w:w="4524"/>
          </w:tblGrid>
          <w:tr w:rsidR="00704CAD" w:rsidTr="004E05B7">
            <w:tc>
              <w:tcPr>
                <w:tcW w:w="4524" w:type="dxa"/>
              </w:tcPr>
              <w:p w:rsidR="00704CAD" w:rsidRDefault="00720895">
                <w:r>
                  <w:t>是否分配或转增</w:t>
                </w:r>
              </w:p>
            </w:tc>
            <w:sdt>
              <w:sdtPr>
                <w:rPr>
                  <w:rFonts w:hint="eastAsia"/>
                </w:rPr>
                <w:alias w:val="是否分配或转增"/>
                <w:tag w:val="_GBC_a7248a67f2ac4ce982dd7ca678ab1efb"/>
                <w:id w:val="24720546"/>
                <w:lock w:val="sdtLocked"/>
                <w:comboBox>
                  <w:listItem w:displayText="是" w:value="是"/>
                  <w:listItem w:displayText="否" w:value="否"/>
                </w:comboBox>
              </w:sdtPr>
              <w:sdtContent>
                <w:tc>
                  <w:tcPr>
                    <w:tcW w:w="4524" w:type="dxa"/>
                  </w:tcPr>
                  <w:p w:rsidR="00704CAD" w:rsidRDefault="005B5E52" w:rsidP="00467C0B">
                    <w:pPr>
                      <w:jc w:val="center"/>
                    </w:pPr>
                    <w:r>
                      <w:rPr>
                        <w:rFonts w:hint="eastAsia"/>
                      </w:rPr>
                      <w:t>是</w:t>
                    </w:r>
                  </w:p>
                </w:tc>
              </w:sdtContent>
            </w:sdt>
          </w:tr>
          <w:tr w:rsidR="00704CAD" w:rsidTr="004E05B7">
            <w:tc>
              <w:tcPr>
                <w:tcW w:w="4524" w:type="dxa"/>
              </w:tcPr>
              <w:p w:rsidR="00704CAD" w:rsidRDefault="00720895">
                <w:r>
                  <w:t>每10股送红股数（股）</w:t>
                </w:r>
              </w:p>
            </w:tc>
            <w:sdt>
              <w:sdtPr>
                <w:rPr>
                  <w:rFonts w:hint="eastAsia"/>
                </w:rPr>
                <w:alias w:val="每10股送红股数"/>
                <w:tag w:val="_GBC_befb302278bb4292a0965da90eb4bda1"/>
                <w:id w:val="24720547"/>
                <w:lock w:val="sdtLocked"/>
                <w:showingPlcHdr/>
              </w:sdtPr>
              <w:sdtContent>
                <w:tc>
                  <w:tcPr>
                    <w:tcW w:w="4524" w:type="dxa"/>
                  </w:tcPr>
                  <w:p w:rsidR="00704CAD" w:rsidRDefault="008E7A4B">
                    <w:pPr>
                      <w:jc w:val="right"/>
                    </w:pPr>
                    <w:r>
                      <w:t xml:space="preserve">     </w:t>
                    </w:r>
                  </w:p>
                </w:tc>
              </w:sdtContent>
            </w:sdt>
          </w:tr>
          <w:tr w:rsidR="00704CAD" w:rsidTr="004E05B7">
            <w:tc>
              <w:tcPr>
                <w:tcW w:w="4524" w:type="dxa"/>
              </w:tcPr>
              <w:p w:rsidR="00704CAD" w:rsidRDefault="00720895">
                <w:r>
                  <w:t>每10股派息数(元)（含税）</w:t>
                </w:r>
              </w:p>
            </w:tc>
            <w:sdt>
              <w:sdtPr>
                <w:rPr>
                  <w:rFonts w:hint="eastAsia"/>
                </w:rPr>
                <w:alias w:val="每10股派息数（含税）"/>
                <w:tag w:val="_GBC_9202a5555c414685814e06f384d7782c"/>
                <w:id w:val="24720548"/>
                <w:lock w:val="sdtLocked"/>
              </w:sdtPr>
              <w:sdtContent>
                <w:tc>
                  <w:tcPr>
                    <w:tcW w:w="4524" w:type="dxa"/>
                  </w:tcPr>
                  <w:p w:rsidR="00704CAD" w:rsidRDefault="005B5E52" w:rsidP="005B5E52">
                    <w:pPr>
                      <w:jc w:val="center"/>
                    </w:pPr>
                    <w:r>
                      <w:rPr>
                        <w:rFonts w:hint="eastAsia"/>
                      </w:rPr>
                      <w:t>5.04</w:t>
                    </w:r>
                  </w:p>
                </w:tc>
              </w:sdtContent>
            </w:sdt>
          </w:tr>
          <w:tr w:rsidR="00704CAD" w:rsidTr="004E05B7">
            <w:tc>
              <w:tcPr>
                <w:tcW w:w="4524" w:type="dxa"/>
              </w:tcPr>
              <w:p w:rsidR="00704CAD" w:rsidRDefault="00720895">
                <w:r>
                  <w:t>每10股转增数（股）</w:t>
                </w:r>
              </w:p>
            </w:tc>
            <w:sdt>
              <w:sdtPr>
                <w:rPr>
                  <w:rFonts w:hint="eastAsia"/>
                </w:rPr>
                <w:alias w:val="每10股转增数"/>
                <w:tag w:val="_GBC_da0370bc4516486abe344b58bb33d21c"/>
                <w:id w:val="24720549"/>
                <w:lock w:val="sdtLocked"/>
                <w:showingPlcHdr/>
              </w:sdtPr>
              <w:sdtContent>
                <w:tc>
                  <w:tcPr>
                    <w:tcW w:w="4524" w:type="dxa"/>
                  </w:tcPr>
                  <w:p w:rsidR="00704CAD" w:rsidRDefault="00720895">
                    <w:pPr>
                      <w:jc w:val="right"/>
                    </w:pPr>
                    <w:r>
                      <w:rPr>
                        <w:rFonts w:hint="eastAsia"/>
                        <w:color w:val="333399"/>
                      </w:rPr>
                      <w:t xml:space="preserve">　</w:t>
                    </w:r>
                  </w:p>
                </w:tc>
              </w:sdtContent>
            </w:sdt>
          </w:tr>
          <w:tr w:rsidR="00704CAD" w:rsidTr="004E05B7">
            <w:tc>
              <w:tcPr>
                <w:tcW w:w="9048" w:type="dxa"/>
                <w:gridSpan w:val="2"/>
              </w:tcPr>
              <w:p w:rsidR="00704CAD" w:rsidRDefault="00720895">
                <w:pPr>
                  <w:jc w:val="center"/>
                </w:pPr>
                <w:r>
                  <w:t>利润分配或资本公积金转增预案的相关情况说明</w:t>
                </w:r>
              </w:p>
            </w:tc>
          </w:tr>
          <w:tr w:rsidR="00704CAD" w:rsidTr="004E05B7">
            <w:sdt>
              <w:sdtPr>
                <w:alias w:val="利润分配或资本公积金转增预案详细情况"/>
                <w:tag w:val="_GBC_b27dcbdc43664240b778807add02fa5e"/>
                <w:id w:val="24720550"/>
                <w:lock w:val="sdtLocked"/>
              </w:sdtPr>
              <w:sdtContent>
                <w:tc>
                  <w:tcPr>
                    <w:tcW w:w="9048" w:type="dxa"/>
                    <w:gridSpan w:val="2"/>
                  </w:tcPr>
                  <w:p w:rsidR="00704CAD" w:rsidRPr="00467C0B" w:rsidRDefault="005B5E52" w:rsidP="007A4214">
                    <w:pPr>
                      <w:ind w:firstLineChars="202" w:firstLine="424"/>
                      <w:rPr>
                        <w:rFonts w:ascii="仿宋" w:eastAsia="仿宋" w:hAnsi="仿宋"/>
                        <w:color w:val="000000"/>
                        <w:sz w:val="28"/>
                        <w:szCs w:val="28"/>
                      </w:rPr>
                    </w:pPr>
                    <w:r w:rsidRPr="00467C0B">
                      <w:rPr>
                        <w:rFonts w:hint="eastAsia"/>
                        <w:szCs w:val="21"/>
                      </w:rPr>
                      <w:t xml:space="preserve">公司2015年度中期利润分配预案：以总股本 </w:t>
                    </w:r>
                    <w:r w:rsidRPr="00467C0B">
                      <w:rPr>
                        <w:szCs w:val="21"/>
                        <w:lang w:bidi="en-US"/>
                      </w:rPr>
                      <w:t>5,808,135,529</w:t>
                    </w:r>
                    <w:r w:rsidRPr="00467C0B">
                      <w:rPr>
                        <w:rFonts w:hint="eastAsia"/>
                        <w:szCs w:val="21"/>
                        <w:lang w:bidi="en-US"/>
                      </w:rPr>
                      <w:t>股为基数，每10股派发现金红利5.04元（含税）。实际分配现金利润总额为</w:t>
                    </w:r>
                    <w:r w:rsidRPr="00467C0B">
                      <w:rPr>
                        <w:rFonts w:hint="eastAsia"/>
                        <w:color w:val="000000"/>
                        <w:szCs w:val="21"/>
                      </w:rPr>
                      <w:t>2,927,300,306.62</w:t>
                    </w:r>
                    <w:r w:rsidRPr="00467C0B">
                      <w:rPr>
                        <w:rFonts w:hint="eastAsia"/>
                        <w:szCs w:val="21"/>
                        <w:lang w:bidi="en-US"/>
                      </w:rPr>
                      <w:t>元</w:t>
                    </w:r>
                    <w:r w:rsidRPr="00467C0B">
                      <w:rPr>
                        <w:rFonts w:hint="eastAsia"/>
                        <w:szCs w:val="21"/>
                      </w:rPr>
                      <w:t>，占可供现金分配利润的35.98</w:t>
                    </w:r>
                    <w:r w:rsidRPr="00467C0B">
                      <w:rPr>
                        <w:szCs w:val="21"/>
                      </w:rPr>
                      <w:t>%</w:t>
                    </w:r>
                    <w:r w:rsidRPr="00467C0B">
                      <w:rPr>
                        <w:rFonts w:hint="eastAsia"/>
                        <w:szCs w:val="21"/>
                      </w:rPr>
                      <w:t>，占公司2015年中期合并报表归属于母公司所有者的净利润的40.02%。剩余可供投资者分配的未分配利润为</w:t>
                    </w:r>
                    <w:r w:rsidRPr="00467C0B">
                      <w:rPr>
                        <w:rFonts w:hint="eastAsia"/>
                        <w:color w:val="000000"/>
                        <w:szCs w:val="21"/>
                      </w:rPr>
                      <w:t>8,418,579,297.09</w:t>
                    </w:r>
                    <w:r w:rsidRPr="00467C0B">
                      <w:rPr>
                        <w:rFonts w:hint="eastAsia"/>
                        <w:szCs w:val="21"/>
                      </w:rPr>
                      <w:t>元。</w:t>
                    </w:r>
                  </w:p>
                </w:tc>
              </w:sdtContent>
            </w:sdt>
          </w:tr>
        </w:tbl>
        <w:p w:rsidR="006E6526" w:rsidRDefault="00FA2E53" w:rsidP="00FA2E53">
          <w:pPr>
            <w:kinsoku w:val="0"/>
            <w:overflowPunct w:val="0"/>
            <w:autoSpaceDE w:val="0"/>
            <w:autoSpaceDN w:val="0"/>
            <w:adjustRightInd w:val="0"/>
            <w:snapToGrid w:val="0"/>
            <w:spacing w:line="360" w:lineRule="exact"/>
            <w:ind w:firstLineChars="202" w:firstLine="424"/>
            <w:rPr>
              <w:szCs w:val="21"/>
            </w:rPr>
          </w:pPr>
          <w:r w:rsidRPr="00FA2E53">
            <w:rPr>
              <w:szCs w:val="21"/>
            </w:rPr>
            <w:t>上述</w:t>
          </w:r>
          <w:r w:rsidR="006E6526" w:rsidRPr="00FA2E53">
            <w:rPr>
              <w:szCs w:val="21"/>
            </w:rPr>
            <w:t>利润分配</w:t>
          </w:r>
          <w:r w:rsidRPr="00FA2E53">
            <w:rPr>
              <w:szCs w:val="21"/>
            </w:rPr>
            <w:t>预案符合公司章程及审议程序的规定，充分保护了中小投资者的合法权益。</w:t>
          </w:r>
        </w:p>
        <w:p w:rsidR="00FA2E53" w:rsidRDefault="00FA2E53" w:rsidP="00FA2E53">
          <w:pPr>
            <w:kinsoku w:val="0"/>
            <w:overflowPunct w:val="0"/>
            <w:autoSpaceDE w:val="0"/>
            <w:autoSpaceDN w:val="0"/>
            <w:adjustRightInd w:val="0"/>
            <w:snapToGrid w:val="0"/>
            <w:spacing w:line="360" w:lineRule="exact"/>
            <w:ind w:firstLineChars="202" w:firstLine="424"/>
            <w:rPr>
              <w:szCs w:val="21"/>
            </w:rPr>
          </w:pPr>
          <w:r w:rsidRPr="00FA2E53">
            <w:rPr>
              <w:szCs w:val="21"/>
            </w:rPr>
            <w:t>公司独立董事对以上利润分配预案发表了独立意见。独立董事认为：公司2015年中期制定的利润分配方案符合公司长远利益，符合《公司法》、《证券法》、中国证监会《关于进一步落实上市公司现金分红有关事项的通知》（证监发[2012]37号）、上海证券交易所《上海证券交易所上市公司现金分红指引》（上证公字[2013]1号）以及公司章程等有关规定，充分保护了中小投资者的合法权益。</w:t>
          </w:r>
        </w:p>
        <w:p w:rsidR="00704CAD" w:rsidRDefault="00422DCA"/>
      </w:sdtContent>
    </w:sdt>
    <w:p w:rsidR="00704CAD" w:rsidRDefault="00720895" w:rsidP="009950AC">
      <w:pPr>
        <w:pStyle w:val="2"/>
        <w:numPr>
          <w:ilvl w:val="0"/>
          <w:numId w:val="15"/>
        </w:numPr>
        <w:ind w:left="422" w:hangingChars="200" w:hanging="422"/>
      </w:pPr>
      <w:r>
        <w:t>其他披露事项</w:t>
      </w:r>
    </w:p>
    <w:sdt>
      <w:sdtPr>
        <w:rPr>
          <w:rFonts w:ascii="宋体" w:hAnsi="宋体" w:cs="宋体"/>
          <w:b w:val="0"/>
          <w:bCs w:val="0"/>
          <w:kern w:val="0"/>
          <w:szCs w:val="22"/>
        </w:rPr>
        <w:tag w:val="_GBC_6271aeaf0ccc47a094b05a33c6a57b55"/>
        <w:id w:val="24720553"/>
        <w:lock w:val="sdtLocked"/>
        <w:placeholder>
          <w:docPart w:val="GBC22222222222222222222222222222"/>
        </w:placeholder>
      </w:sdtPr>
      <w:sdtEndPr>
        <w:rPr>
          <w:rFonts w:hint="eastAsia"/>
          <w:szCs w:val="24"/>
        </w:rPr>
      </w:sdtEndPr>
      <w:sdtContent>
        <w:p w:rsidR="00704CAD" w:rsidRDefault="00720895" w:rsidP="009950AC">
          <w:pPr>
            <w:pStyle w:val="3"/>
            <w:numPr>
              <w:ilvl w:val="0"/>
              <w:numId w:val="24"/>
            </w:numPr>
          </w:pPr>
          <w:r>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
            <w:tag w:val="_GBC_a702d7e757cb4da78e8ec4daf8d6c0eb"/>
            <w:id w:val="24720552"/>
            <w:lock w:val="sdtLocked"/>
            <w:placeholder>
              <w:docPart w:val="GBC22222222222222222222222222222"/>
            </w:placeholder>
          </w:sdtPr>
          <w:sdtContent>
            <w:p w:rsidR="00704CAD" w:rsidRDefault="00422DCA" w:rsidP="00017118">
              <w:r>
                <w:fldChar w:fldCharType="begin"/>
              </w:r>
              <w:r w:rsidR="00017118">
                <w:instrText xml:space="preserve"> MACROBUTTON  SnrToggleCheckbox □适用 </w:instrText>
              </w:r>
              <w:r>
                <w:fldChar w:fldCharType="end"/>
              </w:r>
              <w:r>
                <w:fldChar w:fldCharType="begin"/>
              </w:r>
              <w:r w:rsidR="00017118">
                <w:instrText xml:space="preserve"> MACROBUTTON  SnrToggleCheckbox √不适用 </w:instrText>
              </w:r>
              <w:r>
                <w:fldChar w:fldCharType="end"/>
              </w:r>
            </w:p>
          </w:sdtContent>
        </w:sdt>
      </w:sdtContent>
    </w:sdt>
    <w:p w:rsidR="00704CAD" w:rsidRDefault="00704CAD"/>
    <w:sdt>
      <w:sdtPr>
        <w:rPr>
          <w:rFonts w:ascii="宋体" w:hAnsi="宋体" w:cs="宋体"/>
          <w:b w:val="0"/>
          <w:bCs w:val="0"/>
          <w:kern w:val="0"/>
          <w:szCs w:val="22"/>
        </w:rPr>
        <w:tag w:val="_GBC_944acdfb571b4f7d9c0f41ea28c4388f"/>
        <w:id w:val="24720555"/>
        <w:lock w:val="sdtLocked"/>
        <w:placeholder>
          <w:docPart w:val="GBC22222222222222222222222222222"/>
        </w:placeholder>
      </w:sdtPr>
      <w:sdtEndPr>
        <w:rPr>
          <w:rFonts w:hint="eastAsia"/>
          <w:szCs w:val="24"/>
        </w:rPr>
      </w:sdtEndPr>
      <w:sdtContent>
        <w:p w:rsidR="00704CAD" w:rsidRDefault="00720895" w:rsidP="009950AC">
          <w:pPr>
            <w:pStyle w:val="3"/>
            <w:numPr>
              <w:ilvl w:val="0"/>
              <w:numId w:val="24"/>
            </w:numPr>
          </w:pPr>
          <w:r>
            <w:t>董事会、监事会对会计师事务所</w:t>
          </w:r>
          <w:r>
            <w:t>“</w:t>
          </w:r>
          <w:r>
            <w:t>非标准审计报告</w:t>
          </w:r>
          <w:r>
            <w:t>”</w:t>
          </w:r>
          <w:r>
            <w:t>的说明</w:t>
          </w:r>
        </w:p>
        <w:sdt>
          <w:sdtPr>
            <w:rPr>
              <w:rFonts w:hint="eastAsia"/>
            </w:rPr>
            <w:alias w:val="是否适用：董事会对会计师事务所非标准审计报告的说明"/>
            <w:tag w:val="_GBC_cf74f23dc0684a72a012ae4a55fcedd6"/>
            <w:id w:val="24720554"/>
            <w:lock w:val="sdtLocked"/>
            <w:placeholder>
              <w:docPart w:val="GBC22222222222222222222222222222"/>
            </w:placeholder>
          </w:sdtPr>
          <w:sdtContent>
            <w:p w:rsidR="00704CAD" w:rsidRDefault="00422DCA" w:rsidP="00267C71">
              <w:r>
                <w:fldChar w:fldCharType="begin"/>
              </w:r>
              <w:r w:rsidR="00267C71">
                <w:instrText>MACROBUTTON  SnrToggleCheckbox □适用</w:instrText>
              </w:r>
              <w:r>
                <w:fldChar w:fldCharType="end"/>
              </w:r>
              <w:r>
                <w:fldChar w:fldCharType="begin"/>
              </w:r>
              <w:r w:rsidR="00267C71">
                <w:instrText xml:space="preserve"> MACROBUTTON  SnrToggleCheckbox √不适用 </w:instrText>
              </w:r>
              <w:r>
                <w:fldChar w:fldCharType="end"/>
              </w:r>
            </w:p>
          </w:sdtContent>
        </w:sdt>
      </w:sdtContent>
    </w:sdt>
    <w:p w:rsidR="00704CAD" w:rsidRDefault="00704CAD"/>
    <w:p w:rsidR="00704CAD" w:rsidRDefault="00704CAD"/>
    <w:p w:rsidR="00493A90" w:rsidRDefault="00493A90"/>
    <w:p w:rsidR="00704CAD" w:rsidRDefault="00720895">
      <w:pPr>
        <w:pStyle w:val="10"/>
        <w:numPr>
          <w:ilvl w:val="0"/>
          <w:numId w:val="3"/>
        </w:numPr>
      </w:pPr>
      <w:bookmarkStart w:id="38" w:name="_Toc421545512"/>
      <w:r>
        <w:rPr>
          <w:rFonts w:hint="eastAsia"/>
        </w:rPr>
        <w:t>重要事项</w:t>
      </w:r>
      <w:bookmarkEnd w:id="37"/>
      <w:bookmarkEnd w:id="38"/>
    </w:p>
    <w:p w:rsidR="00704CAD" w:rsidRDefault="00720895" w:rsidP="001C1A59">
      <w:pPr>
        <w:pStyle w:val="2"/>
        <w:numPr>
          <w:ilvl w:val="0"/>
          <w:numId w:val="10"/>
        </w:numPr>
      </w:pPr>
      <w:r>
        <w:t>重大诉讼、仲裁和媒体普遍质疑的事项</w:t>
      </w:r>
    </w:p>
    <w:sdt>
      <w:sdtPr>
        <w:rPr>
          <w:szCs w:val="21"/>
        </w:rPr>
        <w:alias w:val="是否适用：重大诉讼仲裁事项"/>
        <w:tag w:val="_GBC_62003142d919465a91f15294bbd029cd"/>
        <w:id w:val="24720556"/>
        <w:lock w:val="sdtLocked"/>
        <w:placeholder>
          <w:docPart w:val="GBC22222222222222222222222222222"/>
        </w:placeholder>
      </w:sdtPr>
      <w:sdtContent>
        <w:p w:rsidR="00584D5F" w:rsidRDefault="00422DCA" w:rsidP="00584D5F">
          <w:pPr>
            <w:rPr>
              <w:szCs w:val="21"/>
            </w:rPr>
          </w:pPr>
          <w:r>
            <w:rPr>
              <w:szCs w:val="21"/>
            </w:rPr>
            <w:fldChar w:fldCharType="begin"/>
          </w:r>
          <w:r w:rsidR="00584D5F">
            <w:rPr>
              <w:szCs w:val="21"/>
            </w:rPr>
            <w:instrText xml:space="preserve"> MACROBUTTON  SnrToggleCheckbox □适用 </w:instrText>
          </w:r>
          <w:r>
            <w:rPr>
              <w:szCs w:val="21"/>
            </w:rPr>
            <w:fldChar w:fldCharType="end"/>
          </w:r>
          <w:r>
            <w:rPr>
              <w:szCs w:val="21"/>
            </w:rPr>
            <w:fldChar w:fldCharType="begin"/>
          </w:r>
          <w:r w:rsidR="00584D5F">
            <w:rPr>
              <w:szCs w:val="21"/>
            </w:rPr>
            <w:instrText xml:space="preserve"> MACROBUTTON  SnrToggleCheckbox √不适用 </w:instrText>
          </w:r>
          <w:r>
            <w:rPr>
              <w:szCs w:val="21"/>
            </w:rPr>
            <w:fldChar w:fldCharType="end"/>
          </w:r>
        </w:p>
      </w:sdtContent>
    </w:sdt>
    <w:p w:rsidR="00704CAD" w:rsidRDefault="00704CAD">
      <w:pPr>
        <w:jc w:val="right"/>
        <w:rPr>
          <w:szCs w:val="21"/>
        </w:rPr>
      </w:pPr>
    </w:p>
    <w:sdt>
      <w:sdtPr>
        <w:rPr>
          <w:rFonts w:ascii="宋体" w:hAnsi="宋体" w:cs="宋体"/>
          <w:b w:val="0"/>
          <w:bCs w:val="0"/>
          <w:kern w:val="0"/>
          <w:szCs w:val="24"/>
        </w:rPr>
        <w:tag w:val="_GBC_649b02603fb042768dad54baec6a325c"/>
        <w:id w:val="24720558"/>
        <w:lock w:val="sdtLocked"/>
        <w:placeholder>
          <w:docPart w:val="GBC22222222222222222222222222222"/>
        </w:placeholder>
      </w:sdtPr>
      <w:sdtEndPr>
        <w:rPr>
          <w:rFonts w:hint="eastAsia"/>
          <w:color w:val="333399"/>
        </w:rPr>
      </w:sdtEndPr>
      <w:sdtContent>
        <w:p w:rsidR="00704CAD" w:rsidRDefault="00720895" w:rsidP="001C1A59">
          <w:pPr>
            <w:pStyle w:val="2"/>
            <w:numPr>
              <w:ilvl w:val="0"/>
              <w:numId w:val="10"/>
            </w:numPr>
            <w:rPr>
              <w:color w:val="333399"/>
            </w:rPr>
          </w:pPr>
          <w:r>
            <w:t>破产重整相关事项</w:t>
          </w:r>
        </w:p>
        <w:p w:rsidR="00704CAD" w:rsidRDefault="00422DCA" w:rsidP="00824233">
          <w:sdt>
            <w:sdtPr>
              <w:alias w:val="是否适用：破产重整相关事项"/>
              <w:tag w:val="_GBC_f1c59fcb50734d46ad7eb7c8643b1cce"/>
              <w:id w:val="24720557"/>
              <w:lock w:val="sdtLocked"/>
              <w:placeholder>
                <w:docPart w:val="GBC22222222222222222222222222222"/>
              </w:placeholder>
            </w:sdtPr>
            <w:sdtEndPr>
              <w:rPr>
                <w:b/>
                <w:bCs/>
              </w:rPr>
            </w:sdtEndPr>
            <w:sdtContent>
              <w:r>
                <w:fldChar w:fldCharType="begin"/>
              </w:r>
              <w:r w:rsidR="00824233">
                <w:instrText xml:space="preserve"> MACROBUTTON  SnrToggleCheckbox □适用 </w:instrText>
              </w:r>
              <w:r>
                <w:fldChar w:fldCharType="end"/>
              </w:r>
              <w:r>
                <w:fldChar w:fldCharType="begin"/>
              </w:r>
              <w:r w:rsidR="00824233">
                <w:instrText xml:space="preserve"> MACROBUTTON  SnrToggleCheckbox √不适用 </w:instrText>
              </w:r>
              <w:r>
                <w:fldChar w:fldCharType="end"/>
              </w:r>
            </w:sdtContent>
          </w:sdt>
        </w:p>
      </w:sdtContent>
    </w:sdt>
    <w:p w:rsidR="00704CAD" w:rsidRDefault="00704CAD">
      <w:pPr>
        <w:rPr>
          <w:szCs w:val="21"/>
        </w:rPr>
      </w:pPr>
    </w:p>
    <w:p w:rsidR="00704CAD" w:rsidRDefault="00720895" w:rsidP="001C1A59">
      <w:pPr>
        <w:pStyle w:val="2"/>
        <w:numPr>
          <w:ilvl w:val="0"/>
          <w:numId w:val="10"/>
        </w:numPr>
      </w:pPr>
      <w:r>
        <w:rPr>
          <w:rFonts w:hint="eastAsia"/>
        </w:rPr>
        <w:t>资产交易、企业合并事项</w:t>
      </w:r>
    </w:p>
    <w:p w:rsidR="00017118" w:rsidRDefault="00422DCA" w:rsidP="00017118">
      <w:pPr>
        <w:rPr>
          <w:szCs w:val="21"/>
        </w:rPr>
      </w:pPr>
      <w:sdt>
        <w:sdtPr>
          <w:rPr>
            <w:rFonts w:hint="eastAsia"/>
            <w:szCs w:val="21"/>
          </w:rPr>
          <w:alias w:val="是否适用：资产交易企业合并事项"/>
          <w:tag w:val="_GBC_5bd7eca29c934a378f9956800249373e"/>
          <w:id w:val="24720559"/>
          <w:lock w:val="sdtLocked"/>
          <w:placeholder>
            <w:docPart w:val="GBC22222222222222222222222222222"/>
          </w:placeholder>
        </w:sdtPr>
        <w:sdtContent>
          <w:r>
            <w:rPr>
              <w:szCs w:val="21"/>
            </w:rPr>
            <w:fldChar w:fldCharType="begin"/>
          </w:r>
          <w:r w:rsidR="00017118">
            <w:rPr>
              <w:szCs w:val="21"/>
            </w:rPr>
            <w:instrText>MACROBUTTON  SnrToggleCheckbox □适用</w:instrText>
          </w:r>
          <w:r>
            <w:rPr>
              <w:szCs w:val="21"/>
            </w:rPr>
            <w:fldChar w:fldCharType="end"/>
          </w:r>
          <w:r>
            <w:rPr>
              <w:szCs w:val="21"/>
            </w:rPr>
            <w:fldChar w:fldCharType="begin"/>
          </w:r>
          <w:r w:rsidR="00017118">
            <w:rPr>
              <w:szCs w:val="21"/>
            </w:rPr>
            <w:instrText xml:space="preserve"> MACROBUTTON  SnrToggleCheckbox √不适用 </w:instrText>
          </w:r>
          <w:r>
            <w:rPr>
              <w:szCs w:val="21"/>
            </w:rPr>
            <w:fldChar w:fldCharType="end"/>
          </w:r>
        </w:sdtContent>
      </w:sdt>
    </w:p>
    <w:p w:rsidR="00704CAD" w:rsidRDefault="00704CAD">
      <w:pPr>
        <w:rPr>
          <w:szCs w:val="21"/>
        </w:rPr>
      </w:pPr>
    </w:p>
    <w:p w:rsidR="00704CAD" w:rsidRDefault="00720895" w:rsidP="001C1A59">
      <w:pPr>
        <w:pStyle w:val="2"/>
        <w:numPr>
          <w:ilvl w:val="0"/>
          <w:numId w:val="10"/>
        </w:numPr>
        <w:rPr>
          <w:color w:val="FF0000"/>
        </w:rPr>
      </w:pPr>
      <w:bookmarkStart w:id="39" w:name="_Toc342491956"/>
      <w:bookmarkStart w:id="40" w:name="_Toc342565948"/>
      <w:r>
        <w:rPr>
          <w:rFonts w:hint="eastAsia"/>
        </w:rPr>
        <w:t>公司股权激励情况及其影响</w:t>
      </w:r>
      <w:bookmarkEnd w:id="39"/>
      <w:bookmarkEnd w:id="40"/>
    </w:p>
    <w:sdt>
      <w:sdtPr>
        <w:rPr>
          <w:szCs w:val="21"/>
        </w:rPr>
        <w:alias w:val="是否适用：公司股权激励情况及影响"/>
        <w:tag w:val="_GBC_1d0ffa6058bf478bb4dedb8d11142959"/>
        <w:id w:val="24720560"/>
        <w:lock w:val="sdtLocked"/>
        <w:placeholder>
          <w:docPart w:val="GBC22222222222222222222222222222"/>
        </w:placeholder>
      </w:sdtPr>
      <w:sdtContent>
        <w:p w:rsidR="00BF0AC7" w:rsidRDefault="00422DCA" w:rsidP="009127DD">
          <w:pPr>
            <w:rPr>
              <w:szCs w:val="21"/>
            </w:rPr>
          </w:pPr>
          <w:r>
            <w:rPr>
              <w:szCs w:val="21"/>
            </w:rPr>
            <w:fldChar w:fldCharType="begin"/>
          </w:r>
          <w:r w:rsidR="009127DD">
            <w:rPr>
              <w:szCs w:val="21"/>
            </w:rPr>
            <w:instrText xml:space="preserve"> MACROBUTTON  SnrToggleCheckbox □适用 </w:instrText>
          </w:r>
          <w:r>
            <w:rPr>
              <w:szCs w:val="21"/>
            </w:rPr>
            <w:fldChar w:fldCharType="end"/>
          </w:r>
          <w:r>
            <w:rPr>
              <w:szCs w:val="21"/>
            </w:rPr>
            <w:fldChar w:fldCharType="begin"/>
          </w:r>
          <w:r w:rsidR="009127DD">
            <w:rPr>
              <w:szCs w:val="21"/>
            </w:rPr>
            <w:instrText xml:space="preserve"> MACROBUTTON  SnrToggleCheckbox √不适用 </w:instrText>
          </w:r>
          <w:r>
            <w:rPr>
              <w:szCs w:val="21"/>
            </w:rPr>
            <w:fldChar w:fldCharType="end"/>
          </w:r>
        </w:p>
        <w:p w:rsidR="009127DD" w:rsidRDefault="00422DCA" w:rsidP="009127DD">
          <w:pPr>
            <w:rPr>
              <w:szCs w:val="21"/>
            </w:rPr>
          </w:pPr>
        </w:p>
      </w:sdtContent>
    </w:sdt>
    <w:p w:rsidR="00704CAD" w:rsidRPr="00FF0B5C" w:rsidRDefault="00720895" w:rsidP="001C1A59">
      <w:pPr>
        <w:pStyle w:val="2"/>
        <w:numPr>
          <w:ilvl w:val="0"/>
          <w:numId w:val="10"/>
        </w:numPr>
      </w:pPr>
      <w:r w:rsidRPr="00FF0B5C">
        <w:rPr>
          <w:rFonts w:hint="eastAsia"/>
        </w:rPr>
        <w:t>重大关联交易</w:t>
      </w:r>
    </w:p>
    <w:sdt>
      <w:sdtPr>
        <w:rPr>
          <w:szCs w:val="21"/>
        </w:rPr>
        <w:alias w:val="是否适用：重大关联交易"/>
        <w:tag w:val="_GBC_d987287e36f64ae491c9fced5ef7ec29"/>
        <w:id w:val="24720561"/>
        <w:lock w:val="sdtContentLocked"/>
        <w:placeholder>
          <w:docPart w:val="GBC22222222222222222222222222222"/>
        </w:placeholder>
      </w:sdtPr>
      <w:sdtContent>
        <w:p w:rsidR="008F7947" w:rsidRDefault="00422DCA" w:rsidP="00017118">
          <w:pPr>
            <w:rPr>
              <w:szCs w:val="21"/>
            </w:rPr>
          </w:pPr>
          <w:r>
            <w:rPr>
              <w:szCs w:val="21"/>
            </w:rPr>
            <w:fldChar w:fldCharType="begin"/>
          </w:r>
          <w:r w:rsidR="008F7947">
            <w:rPr>
              <w:szCs w:val="21"/>
            </w:rPr>
            <w:instrText xml:space="preserve"> MACROBUTTON  SnrToggleCheckbox √适用 </w:instrText>
          </w:r>
          <w:r>
            <w:rPr>
              <w:szCs w:val="21"/>
            </w:rPr>
            <w:fldChar w:fldCharType="end"/>
          </w:r>
          <w:r>
            <w:rPr>
              <w:szCs w:val="21"/>
            </w:rPr>
            <w:fldChar w:fldCharType="begin"/>
          </w:r>
          <w:r w:rsidR="008F7947">
            <w:rPr>
              <w:szCs w:val="21"/>
            </w:rPr>
            <w:instrText xml:space="preserve"> MACROBUTTON  SnrToggleCheckbox □不适用 </w:instrText>
          </w:r>
          <w:r>
            <w:rPr>
              <w:szCs w:val="21"/>
            </w:rPr>
            <w:fldChar w:fldCharType="end"/>
          </w:r>
        </w:p>
      </w:sdtContent>
    </w:sdt>
    <w:bookmarkStart w:id="41" w:name="_Toc342565969" w:displacedByCustomXml="prev"/>
    <w:bookmarkStart w:id="42" w:name="_Toc342491977" w:displacedByCustomXml="prev"/>
    <w:sdt>
      <w:sdtPr>
        <w:rPr>
          <w:rFonts w:ascii="Calibri" w:hAnsi="Calibri"/>
          <w:sz w:val="24"/>
          <w:szCs w:val="21"/>
        </w:rPr>
        <w:tag w:val="_GBC_a04c63de3364471a9448026a2afac65d"/>
        <w:id w:val="1598430"/>
        <w:lock w:val="sdtLocked"/>
      </w:sdtPr>
      <w:sdtEndPr>
        <w:rPr>
          <w:rFonts w:ascii="宋体" w:hAnsi="宋体" w:hint="eastAsia"/>
          <w:sz w:val="21"/>
        </w:rPr>
      </w:sdtEndPr>
      <w:sdtContent>
        <w:sdt>
          <w:sdtPr>
            <w:rPr>
              <w:rFonts w:hint="eastAsia"/>
              <w:szCs w:val="21"/>
            </w:rPr>
            <w:alias w:val="与日常经营相关的关联交易事项已在临时报告披露，后续实施的进展或变化"/>
            <w:tag w:val="_GBC_524fd4b2a51a438680fe2b9a89b359bc"/>
            <w:id w:val="1598237"/>
            <w:lock w:val="sdtLocked"/>
          </w:sdtPr>
          <w:sdtContent>
            <w:p w:rsidR="00074DB6" w:rsidRDefault="00FB2A6C" w:rsidP="00FB2A6C">
              <w:pPr>
                <w:spacing w:line="360" w:lineRule="auto"/>
                <w:ind w:firstLineChars="177" w:firstLine="425"/>
                <w:rPr>
                  <w:szCs w:val="21"/>
                </w:rPr>
              </w:pPr>
              <w:r>
                <w:rPr>
                  <w:rFonts w:hint="eastAsia"/>
                  <w:szCs w:val="21"/>
                </w:rPr>
                <w:t>报告期内，公司无交易总额达最近一期经审计净资产值5%以上的重大关联交易事项，</w:t>
              </w:r>
              <w:r w:rsidR="005868D7">
                <w:rPr>
                  <w:rFonts w:hint="eastAsia"/>
                  <w:szCs w:val="21"/>
                </w:rPr>
                <w:t>年度预计</w:t>
              </w:r>
              <w:r>
                <w:rPr>
                  <w:rFonts w:hint="eastAsia"/>
                  <w:szCs w:val="21"/>
                </w:rPr>
                <w:t>日常关联交易事项</w:t>
              </w:r>
              <w:r w:rsidR="005868D7">
                <w:rPr>
                  <w:rFonts w:hint="eastAsia"/>
                  <w:szCs w:val="21"/>
                </w:rPr>
                <w:t>在报告期的执行情况</w:t>
              </w:r>
              <w:r>
                <w:rPr>
                  <w:rFonts w:hint="eastAsia"/>
                  <w:szCs w:val="21"/>
                </w:rPr>
                <w:t>详见下表及</w:t>
              </w:r>
              <w:r w:rsidR="003F5A4F">
                <w:rPr>
                  <w:rFonts w:hint="eastAsia"/>
                  <w:szCs w:val="21"/>
                </w:rPr>
                <w:t>本报告财务报告</w:t>
              </w:r>
              <w:r>
                <w:rPr>
                  <w:rFonts w:hint="eastAsia"/>
                  <w:szCs w:val="21"/>
                </w:rPr>
                <w:t>附注的相关内容。</w:t>
              </w:r>
            </w:p>
            <w:p w:rsidR="003F5A4F" w:rsidRDefault="003F5A4F" w:rsidP="003F5A4F">
              <w:pPr>
                <w:spacing w:line="360" w:lineRule="auto"/>
                <w:ind w:firstLineChars="177" w:firstLine="372"/>
                <w:jc w:val="right"/>
                <w:rPr>
                  <w:szCs w:val="21"/>
                </w:rPr>
              </w:pPr>
              <w:r>
                <w:rPr>
                  <w:rFonts w:hint="eastAsia"/>
                  <w:szCs w:val="21"/>
                </w:rPr>
                <w:t>单位：万元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
                <w:gridCol w:w="1627"/>
                <w:gridCol w:w="1401"/>
                <w:gridCol w:w="2608"/>
                <w:gridCol w:w="1702"/>
                <w:gridCol w:w="1204"/>
              </w:tblGrid>
              <w:tr w:rsidR="00074DB6" w:rsidRPr="008019C8" w:rsidTr="00FF0B5C">
                <w:trPr>
                  <w:trHeight w:val="1032"/>
                  <w:tblHeader/>
                </w:trPr>
                <w:tc>
                  <w:tcPr>
                    <w:tcW w:w="238" w:type="pct"/>
                    <w:vAlign w:val="center"/>
                  </w:tcPr>
                  <w:p w:rsidR="00074DB6" w:rsidRPr="008019C8" w:rsidRDefault="00074DB6" w:rsidP="00074DB6">
                    <w:pPr>
                      <w:jc w:val="center"/>
                      <w:rPr>
                        <w:b/>
                        <w:bCs/>
                        <w:szCs w:val="21"/>
                      </w:rPr>
                    </w:pPr>
                    <w:r>
                      <w:rPr>
                        <w:b/>
                        <w:bCs/>
                        <w:szCs w:val="21"/>
                      </w:rPr>
                      <w:t>序号</w:t>
                    </w:r>
                  </w:p>
                </w:tc>
                <w:tc>
                  <w:tcPr>
                    <w:tcW w:w="907" w:type="pct"/>
                    <w:vAlign w:val="center"/>
                  </w:tcPr>
                  <w:p w:rsidR="00074DB6" w:rsidRPr="008019C8" w:rsidRDefault="00074DB6" w:rsidP="00074DB6">
                    <w:pPr>
                      <w:jc w:val="center"/>
                      <w:rPr>
                        <w:b/>
                        <w:bCs/>
                        <w:szCs w:val="21"/>
                      </w:rPr>
                    </w:pPr>
                    <w:r>
                      <w:rPr>
                        <w:rFonts w:hint="eastAsia"/>
                        <w:b/>
                        <w:bCs/>
                        <w:szCs w:val="21"/>
                      </w:rPr>
                      <w:t>项目</w:t>
                    </w:r>
                  </w:p>
                </w:tc>
                <w:tc>
                  <w:tcPr>
                    <w:tcW w:w="781" w:type="pct"/>
                    <w:shd w:val="clear" w:color="auto" w:fill="auto"/>
                    <w:vAlign w:val="center"/>
                  </w:tcPr>
                  <w:p w:rsidR="00074DB6" w:rsidRPr="008019C8" w:rsidRDefault="00074DB6" w:rsidP="00074DB6">
                    <w:pPr>
                      <w:jc w:val="center"/>
                      <w:rPr>
                        <w:b/>
                        <w:bCs/>
                        <w:szCs w:val="21"/>
                      </w:rPr>
                    </w:pPr>
                    <w:r w:rsidRPr="008019C8">
                      <w:rPr>
                        <w:rFonts w:hint="eastAsia"/>
                        <w:b/>
                        <w:bCs/>
                        <w:szCs w:val="21"/>
                      </w:rPr>
                      <w:t>关联</w:t>
                    </w:r>
                    <w:r>
                      <w:rPr>
                        <w:rFonts w:hint="eastAsia"/>
                        <w:b/>
                        <w:bCs/>
                        <w:szCs w:val="21"/>
                      </w:rPr>
                      <w:t>方</w:t>
                    </w:r>
                  </w:p>
                </w:tc>
                <w:tc>
                  <w:tcPr>
                    <w:tcW w:w="1454" w:type="pct"/>
                    <w:shd w:val="clear" w:color="auto" w:fill="auto"/>
                    <w:vAlign w:val="center"/>
                  </w:tcPr>
                  <w:p w:rsidR="00074DB6" w:rsidRPr="008019C8" w:rsidRDefault="00074DB6" w:rsidP="003F5A4F">
                    <w:pPr>
                      <w:jc w:val="center"/>
                      <w:rPr>
                        <w:b/>
                        <w:bCs/>
                        <w:szCs w:val="21"/>
                      </w:rPr>
                    </w:pPr>
                    <w:r>
                      <w:rPr>
                        <w:rFonts w:hint="eastAsia"/>
                        <w:b/>
                        <w:bCs/>
                        <w:szCs w:val="21"/>
                      </w:rPr>
                      <w:t>年初</w:t>
                    </w:r>
                    <w:r w:rsidRPr="008019C8">
                      <w:rPr>
                        <w:rFonts w:hint="eastAsia"/>
                        <w:b/>
                        <w:bCs/>
                        <w:szCs w:val="21"/>
                      </w:rPr>
                      <w:t>预计金额</w:t>
                    </w:r>
                  </w:p>
                </w:tc>
                <w:tc>
                  <w:tcPr>
                    <w:tcW w:w="949" w:type="pct"/>
                    <w:shd w:val="clear" w:color="auto" w:fill="auto"/>
                    <w:tcMar>
                      <w:left w:w="28" w:type="dxa"/>
                      <w:right w:w="28" w:type="dxa"/>
                    </w:tcMar>
                    <w:vAlign w:val="center"/>
                  </w:tcPr>
                  <w:p w:rsidR="00074DB6" w:rsidRPr="008019C8" w:rsidRDefault="00074DB6" w:rsidP="003F5A4F">
                    <w:pPr>
                      <w:jc w:val="center"/>
                      <w:rPr>
                        <w:b/>
                        <w:bCs/>
                        <w:szCs w:val="21"/>
                      </w:rPr>
                    </w:pPr>
                    <w:r w:rsidRPr="008019C8">
                      <w:rPr>
                        <w:rFonts w:hint="eastAsia"/>
                        <w:b/>
                        <w:bCs/>
                        <w:szCs w:val="21"/>
                      </w:rPr>
                      <w:t>上</w:t>
                    </w:r>
                    <w:r>
                      <w:rPr>
                        <w:rFonts w:hint="eastAsia"/>
                        <w:b/>
                        <w:bCs/>
                        <w:szCs w:val="21"/>
                      </w:rPr>
                      <w:t>半</w:t>
                    </w:r>
                    <w:r w:rsidRPr="008019C8">
                      <w:rPr>
                        <w:rFonts w:hint="eastAsia"/>
                        <w:b/>
                        <w:bCs/>
                        <w:szCs w:val="21"/>
                      </w:rPr>
                      <w:t>年实际金额</w:t>
                    </w:r>
                  </w:p>
                </w:tc>
                <w:tc>
                  <w:tcPr>
                    <w:tcW w:w="671" w:type="pct"/>
                    <w:shd w:val="clear" w:color="auto" w:fill="auto"/>
                    <w:tcMar>
                      <w:left w:w="28" w:type="dxa"/>
                      <w:right w:w="28" w:type="dxa"/>
                    </w:tcMar>
                    <w:vAlign w:val="center"/>
                  </w:tcPr>
                  <w:p w:rsidR="00074DB6" w:rsidRPr="008019C8" w:rsidRDefault="00074DB6" w:rsidP="00074DB6">
                    <w:pPr>
                      <w:jc w:val="center"/>
                      <w:rPr>
                        <w:b/>
                        <w:bCs/>
                        <w:szCs w:val="21"/>
                      </w:rPr>
                    </w:pPr>
                    <w:r w:rsidRPr="008019C8">
                      <w:rPr>
                        <w:rFonts w:hint="eastAsia"/>
                        <w:b/>
                        <w:bCs/>
                        <w:szCs w:val="21"/>
                      </w:rPr>
                      <w:t>占同类业务比例</w:t>
                    </w:r>
                    <w:r w:rsidR="003F5A4F">
                      <w:rPr>
                        <w:rFonts w:hint="eastAsia"/>
                        <w:b/>
                        <w:bCs/>
                        <w:szCs w:val="21"/>
                      </w:rPr>
                      <w:t>（%）</w:t>
                    </w:r>
                  </w:p>
                </w:tc>
              </w:tr>
              <w:tr w:rsidR="00074DB6" w:rsidRPr="008019C8" w:rsidTr="002F41D2">
                <w:trPr>
                  <w:trHeight w:val="810"/>
                </w:trPr>
                <w:tc>
                  <w:tcPr>
                    <w:tcW w:w="238" w:type="pct"/>
                    <w:vAlign w:val="center"/>
                  </w:tcPr>
                  <w:p w:rsidR="00074DB6" w:rsidRDefault="00074DB6" w:rsidP="00074DB6">
                    <w:pPr>
                      <w:jc w:val="center"/>
                      <w:rPr>
                        <w:szCs w:val="21"/>
                      </w:rPr>
                    </w:pPr>
                    <w:r>
                      <w:rPr>
                        <w:szCs w:val="21"/>
                      </w:rPr>
                      <w:t>1</w:t>
                    </w:r>
                  </w:p>
                </w:tc>
                <w:tc>
                  <w:tcPr>
                    <w:tcW w:w="907" w:type="pct"/>
                    <w:vAlign w:val="center"/>
                  </w:tcPr>
                  <w:p w:rsidR="00074DB6" w:rsidRDefault="00074DB6" w:rsidP="00074DB6">
                    <w:pPr>
                      <w:jc w:val="center"/>
                      <w:rPr>
                        <w:szCs w:val="21"/>
                      </w:rPr>
                    </w:pPr>
                    <w:r>
                      <w:rPr>
                        <w:szCs w:val="21"/>
                      </w:rPr>
                      <w:t>关联方购买公司管理的产品</w:t>
                    </w:r>
                  </w:p>
                </w:tc>
                <w:tc>
                  <w:tcPr>
                    <w:tcW w:w="781" w:type="pct"/>
                    <w:shd w:val="clear" w:color="auto" w:fill="auto"/>
                    <w:tcMar>
                      <w:left w:w="57" w:type="dxa"/>
                      <w:right w:w="57" w:type="dxa"/>
                    </w:tcMar>
                    <w:vAlign w:val="center"/>
                  </w:tcPr>
                  <w:p w:rsidR="00074DB6" w:rsidRDefault="00074DB6" w:rsidP="00074DB6">
                    <w:pPr>
                      <w:rPr>
                        <w:szCs w:val="21"/>
                      </w:rPr>
                    </w:pPr>
                    <w:r>
                      <w:rPr>
                        <w:rFonts w:hint="eastAsia"/>
                        <w:szCs w:val="21"/>
                      </w:rPr>
                      <w:t>关联法人及关联自然人</w:t>
                    </w:r>
                  </w:p>
                </w:tc>
                <w:tc>
                  <w:tcPr>
                    <w:tcW w:w="1454" w:type="pct"/>
                    <w:vAlign w:val="center"/>
                  </w:tcPr>
                  <w:p w:rsidR="00074DB6" w:rsidRPr="00A94E3F" w:rsidRDefault="00074DB6" w:rsidP="00074DB6">
                    <w:pPr>
                      <w:jc w:val="center"/>
                      <w:rPr>
                        <w:szCs w:val="21"/>
                      </w:rPr>
                    </w:pPr>
                    <w:r w:rsidRPr="00A94E3F">
                      <w:rPr>
                        <w:rFonts w:hint="eastAsia"/>
                        <w:szCs w:val="21"/>
                      </w:rPr>
                      <w:t>因实际业务规模难以预计，以实际发生数计算</w:t>
                    </w:r>
                    <w:r w:rsidR="003F5A4F">
                      <w:rPr>
                        <w:rFonts w:hint="eastAsia"/>
                        <w:szCs w:val="21"/>
                      </w:rPr>
                      <w:t>。</w:t>
                    </w:r>
                  </w:p>
                </w:tc>
                <w:tc>
                  <w:tcPr>
                    <w:tcW w:w="949" w:type="pct"/>
                    <w:vAlign w:val="center"/>
                  </w:tcPr>
                  <w:p w:rsidR="00074DB6" w:rsidRDefault="006B6713" w:rsidP="006B6713">
                    <w:pPr>
                      <w:jc w:val="center"/>
                      <w:rPr>
                        <w:bCs/>
                      </w:rPr>
                    </w:pPr>
                    <w:r>
                      <w:rPr>
                        <w:rFonts w:hint="eastAsia"/>
                        <w:bCs/>
                      </w:rPr>
                      <w:t>411.24</w:t>
                    </w:r>
                    <w:r w:rsidR="00FF0B5C" w:rsidRPr="00E45D01">
                      <w:rPr>
                        <w:bCs/>
                        <w:vertAlign w:val="superscript"/>
                      </w:rPr>
                      <w:t>1</w:t>
                    </w:r>
                  </w:p>
                </w:tc>
                <w:tc>
                  <w:tcPr>
                    <w:tcW w:w="671" w:type="pct"/>
                    <w:vAlign w:val="center"/>
                  </w:tcPr>
                  <w:p w:rsidR="00074DB6" w:rsidRPr="004F53D9" w:rsidRDefault="00FF0B5C" w:rsidP="00FF0B5C">
                    <w:pPr>
                      <w:jc w:val="center"/>
                      <w:rPr>
                        <w:bCs/>
                      </w:rPr>
                    </w:pPr>
                    <w:r w:rsidRPr="00FF0B5C">
                      <w:rPr>
                        <w:bCs/>
                      </w:rPr>
                      <w:t>0.01</w:t>
                    </w:r>
                  </w:p>
                </w:tc>
              </w:tr>
              <w:tr w:rsidR="00074DB6" w:rsidRPr="008019C8" w:rsidTr="00FF0B5C">
                <w:trPr>
                  <w:trHeight w:val="285"/>
                </w:trPr>
                <w:tc>
                  <w:tcPr>
                    <w:tcW w:w="238" w:type="pct"/>
                    <w:vMerge w:val="restart"/>
                    <w:vAlign w:val="center"/>
                  </w:tcPr>
                  <w:p w:rsidR="00074DB6" w:rsidRDefault="00074DB6" w:rsidP="00074DB6">
                    <w:pPr>
                      <w:jc w:val="center"/>
                      <w:rPr>
                        <w:szCs w:val="21"/>
                      </w:rPr>
                    </w:pPr>
                    <w:r>
                      <w:rPr>
                        <w:szCs w:val="21"/>
                      </w:rPr>
                      <w:t>2</w:t>
                    </w:r>
                  </w:p>
                </w:tc>
                <w:tc>
                  <w:tcPr>
                    <w:tcW w:w="907" w:type="pct"/>
                    <w:vMerge w:val="restart"/>
                    <w:vAlign w:val="center"/>
                  </w:tcPr>
                  <w:p w:rsidR="00074DB6" w:rsidRDefault="00074DB6" w:rsidP="00074DB6">
                    <w:pPr>
                      <w:jc w:val="center"/>
                      <w:rPr>
                        <w:szCs w:val="21"/>
                      </w:rPr>
                    </w:pPr>
                    <w:r>
                      <w:rPr>
                        <w:rFonts w:hint="eastAsia"/>
                        <w:szCs w:val="21"/>
                      </w:rPr>
                      <w:t>公司购买</w:t>
                    </w:r>
                    <w:r>
                      <w:rPr>
                        <w:szCs w:val="21"/>
                      </w:rPr>
                      <w:t>关联方管理的产品</w:t>
                    </w:r>
                  </w:p>
                </w:tc>
                <w:tc>
                  <w:tcPr>
                    <w:tcW w:w="781" w:type="pct"/>
                    <w:shd w:val="clear" w:color="auto" w:fill="auto"/>
                    <w:vAlign w:val="center"/>
                  </w:tcPr>
                  <w:p w:rsidR="00074DB6" w:rsidRDefault="00074DB6" w:rsidP="00074DB6">
                    <w:pPr>
                      <w:jc w:val="center"/>
                      <w:rPr>
                        <w:szCs w:val="21"/>
                      </w:rPr>
                    </w:pPr>
                    <w:r>
                      <w:rPr>
                        <w:szCs w:val="21"/>
                      </w:rPr>
                      <w:t>博时基金管理有限公司</w:t>
                    </w:r>
                  </w:p>
                </w:tc>
                <w:tc>
                  <w:tcPr>
                    <w:tcW w:w="1454" w:type="pct"/>
                    <w:vMerge w:val="restart"/>
                    <w:vAlign w:val="center"/>
                  </w:tcPr>
                  <w:p w:rsidR="00074DB6" w:rsidRPr="00D03103" w:rsidRDefault="00074DB6" w:rsidP="00074DB6">
                    <w:pPr>
                      <w:jc w:val="center"/>
                      <w:rPr>
                        <w:szCs w:val="21"/>
                      </w:rPr>
                    </w:pPr>
                    <w:r w:rsidRPr="00D03103">
                      <w:rPr>
                        <w:rFonts w:hint="eastAsia"/>
                        <w:szCs w:val="21"/>
                      </w:rPr>
                      <w:t>因实际业务规模难以预计，以实际发生数计算</w:t>
                    </w:r>
                    <w:r w:rsidR="003F5A4F">
                      <w:rPr>
                        <w:rFonts w:hint="eastAsia"/>
                        <w:szCs w:val="21"/>
                      </w:rPr>
                      <w:t>。</w:t>
                    </w:r>
                  </w:p>
                </w:tc>
                <w:tc>
                  <w:tcPr>
                    <w:tcW w:w="949" w:type="pct"/>
                    <w:vAlign w:val="center"/>
                  </w:tcPr>
                  <w:p w:rsidR="00074DB6" w:rsidRDefault="00FF0B5C" w:rsidP="006B6713">
                    <w:pPr>
                      <w:jc w:val="center"/>
                      <w:rPr>
                        <w:bCs/>
                      </w:rPr>
                    </w:pPr>
                    <w:r w:rsidRPr="00FF0B5C">
                      <w:rPr>
                        <w:bCs/>
                      </w:rPr>
                      <w:t>696.72</w:t>
                    </w:r>
                    <w:r w:rsidRPr="00E45D01">
                      <w:rPr>
                        <w:bCs/>
                        <w:vertAlign w:val="superscript"/>
                      </w:rPr>
                      <w:t>1</w:t>
                    </w:r>
                  </w:p>
                </w:tc>
                <w:tc>
                  <w:tcPr>
                    <w:tcW w:w="671" w:type="pct"/>
                    <w:vAlign w:val="center"/>
                  </w:tcPr>
                  <w:p w:rsidR="00074DB6" w:rsidRPr="00D03103" w:rsidRDefault="00FF0B5C" w:rsidP="00074DB6">
                    <w:pPr>
                      <w:jc w:val="center"/>
                      <w:rPr>
                        <w:bCs/>
                      </w:rPr>
                    </w:pPr>
                    <w:r w:rsidRPr="00FF0B5C">
                      <w:rPr>
                        <w:bCs/>
                      </w:rPr>
                      <w:t>1.30</w:t>
                    </w:r>
                  </w:p>
                </w:tc>
              </w:tr>
              <w:tr w:rsidR="00074DB6" w:rsidRPr="008019C8" w:rsidTr="00FF0B5C">
                <w:trPr>
                  <w:trHeight w:val="285"/>
                </w:trPr>
                <w:tc>
                  <w:tcPr>
                    <w:tcW w:w="238" w:type="pct"/>
                    <w:vMerge/>
                    <w:vAlign w:val="center"/>
                  </w:tcPr>
                  <w:p w:rsidR="00074DB6" w:rsidRDefault="00074DB6" w:rsidP="00074DB6">
                    <w:pPr>
                      <w:jc w:val="center"/>
                      <w:rPr>
                        <w:szCs w:val="21"/>
                      </w:rPr>
                    </w:pPr>
                  </w:p>
                </w:tc>
                <w:tc>
                  <w:tcPr>
                    <w:tcW w:w="907" w:type="pct"/>
                    <w:vMerge/>
                    <w:vAlign w:val="center"/>
                  </w:tcPr>
                  <w:p w:rsidR="00074DB6" w:rsidRDefault="00074DB6" w:rsidP="00074DB6">
                    <w:pPr>
                      <w:jc w:val="center"/>
                      <w:rPr>
                        <w:szCs w:val="21"/>
                      </w:rPr>
                    </w:pPr>
                  </w:p>
                </w:tc>
                <w:tc>
                  <w:tcPr>
                    <w:tcW w:w="781" w:type="pct"/>
                    <w:shd w:val="clear" w:color="auto" w:fill="auto"/>
                    <w:vAlign w:val="center"/>
                  </w:tcPr>
                  <w:p w:rsidR="00074DB6" w:rsidRDefault="00074DB6" w:rsidP="00074DB6">
                    <w:pPr>
                      <w:jc w:val="center"/>
                      <w:rPr>
                        <w:szCs w:val="21"/>
                      </w:rPr>
                    </w:pPr>
                    <w:r>
                      <w:rPr>
                        <w:szCs w:val="21"/>
                      </w:rPr>
                      <w:t>招商基金管理有限公司</w:t>
                    </w:r>
                  </w:p>
                </w:tc>
                <w:tc>
                  <w:tcPr>
                    <w:tcW w:w="1454" w:type="pct"/>
                    <w:vMerge/>
                    <w:vAlign w:val="center"/>
                  </w:tcPr>
                  <w:p w:rsidR="00074DB6" w:rsidRPr="00D03103" w:rsidRDefault="00074DB6" w:rsidP="00074DB6">
                    <w:pPr>
                      <w:jc w:val="center"/>
                      <w:rPr>
                        <w:szCs w:val="21"/>
                      </w:rPr>
                    </w:pPr>
                  </w:p>
                </w:tc>
                <w:tc>
                  <w:tcPr>
                    <w:tcW w:w="949" w:type="pct"/>
                    <w:vAlign w:val="center"/>
                  </w:tcPr>
                  <w:p w:rsidR="00074DB6" w:rsidRDefault="00FF0B5C" w:rsidP="006B6713">
                    <w:pPr>
                      <w:jc w:val="center"/>
                      <w:rPr>
                        <w:bCs/>
                      </w:rPr>
                    </w:pPr>
                    <w:r w:rsidRPr="00FF0B5C">
                      <w:rPr>
                        <w:bCs/>
                      </w:rPr>
                      <w:t>23,695.94</w:t>
                    </w:r>
                    <w:r w:rsidRPr="00E45D01">
                      <w:rPr>
                        <w:bCs/>
                        <w:vertAlign w:val="superscript"/>
                      </w:rPr>
                      <w:t>1</w:t>
                    </w:r>
                  </w:p>
                </w:tc>
                <w:tc>
                  <w:tcPr>
                    <w:tcW w:w="671" w:type="pct"/>
                    <w:vAlign w:val="center"/>
                  </w:tcPr>
                  <w:p w:rsidR="00074DB6" w:rsidRPr="00D03103" w:rsidRDefault="00FF0B5C" w:rsidP="00074DB6">
                    <w:pPr>
                      <w:jc w:val="center"/>
                      <w:rPr>
                        <w:bCs/>
                      </w:rPr>
                    </w:pPr>
                    <w:r>
                      <w:rPr>
                        <w:rFonts w:hint="eastAsia"/>
                        <w:bCs/>
                      </w:rPr>
                      <w:t>19.79</w:t>
                    </w:r>
                  </w:p>
                </w:tc>
              </w:tr>
              <w:tr w:rsidR="00074DB6" w:rsidRPr="008019C8" w:rsidTr="00FF0B5C">
                <w:trPr>
                  <w:trHeight w:val="285"/>
                </w:trPr>
                <w:tc>
                  <w:tcPr>
                    <w:tcW w:w="238" w:type="pct"/>
                    <w:vAlign w:val="center"/>
                  </w:tcPr>
                  <w:p w:rsidR="00074DB6" w:rsidRDefault="00074DB6" w:rsidP="00074DB6">
                    <w:pPr>
                      <w:jc w:val="center"/>
                      <w:rPr>
                        <w:szCs w:val="21"/>
                      </w:rPr>
                    </w:pPr>
                    <w:r>
                      <w:rPr>
                        <w:szCs w:val="21"/>
                      </w:rPr>
                      <w:t>3</w:t>
                    </w:r>
                  </w:p>
                </w:tc>
                <w:tc>
                  <w:tcPr>
                    <w:tcW w:w="907" w:type="pct"/>
                    <w:vAlign w:val="center"/>
                  </w:tcPr>
                  <w:p w:rsidR="00074DB6" w:rsidRDefault="00074DB6" w:rsidP="00074DB6">
                    <w:pPr>
                      <w:jc w:val="center"/>
                      <w:rPr>
                        <w:szCs w:val="21"/>
                      </w:rPr>
                    </w:pPr>
                    <w:r>
                      <w:rPr>
                        <w:rFonts w:hint="eastAsia"/>
                        <w:szCs w:val="21"/>
                      </w:rPr>
                      <w:t>关联方购买公司发行的收益凭证</w:t>
                    </w:r>
                  </w:p>
                </w:tc>
                <w:tc>
                  <w:tcPr>
                    <w:tcW w:w="781" w:type="pct"/>
                    <w:shd w:val="clear" w:color="auto" w:fill="auto"/>
                    <w:vAlign w:val="center"/>
                  </w:tcPr>
                  <w:p w:rsidR="00074DB6" w:rsidRDefault="00074DB6" w:rsidP="00074DB6">
                    <w:pPr>
                      <w:jc w:val="center"/>
                      <w:rPr>
                        <w:szCs w:val="21"/>
                      </w:rPr>
                    </w:pPr>
                    <w:r>
                      <w:rPr>
                        <w:rFonts w:hint="eastAsia"/>
                        <w:szCs w:val="21"/>
                      </w:rPr>
                      <w:t>关联法人及关联自然人</w:t>
                    </w:r>
                  </w:p>
                </w:tc>
                <w:tc>
                  <w:tcPr>
                    <w:tcW w:w="1454" w:type="pct"/>
                    <w:vAlign w:val="center"/>
                  </w:tcPr>
                  <w:p w:rsidR="00074DB6" w:rsidRPr="00D03103" w:rsidRDefault="00074DB6" w:rsidP="00074DB6">
                    <w:pPr>
                      <w:jc w:val="center"/>
                      <w:rPr>
                        <w:szCs w:val="21"/>
                      </w:rPr>
                    </w:pPr>
                    <w:r w:rsidRPr="00D03103">
                      <w:rPr>
                        <w:rFonts w:hint="eastAsia"/>
                        <w:szCs w:val="21"/>
                      </w:rPr>
                      <w:t>因实际业务规模难以预计，以实际发生数计算</w:t>
                    </w:r>
                    <w:r w:rsidR="003F5A4F">
                      <w:rPr>
                        <w:rFonts w:hint="eastAsia"/>
                        <w:szCs w:val="21"/>
                      </w:rPr>
                      <w:t>。</w:t>
                    </w:r>
                  </w:p>
                </w:tc>
                <w:tc>
                  <w:tcPr>
                    <w:tcW w:w="949" w:type="pct"/>
                    <w:vAlign w:val="center"/>
                  </w:tcPr>
                  <w:p w:rsidR="00074DB6" w:rsidDel="00814C2C" w:rsidRDefault="00FF0B5C" w:rsidP="00074DB6">
                    <w:pPr>
                      <w:jc w:val="center"/>
                      <w:rPr>
                        <w:bCs/>
                      </w:rPr>
                    </w:pPr>
                    <w:r w:rsidRPr="00FF0B5C">
                      <w:rPr>
                        <w:bCs/>
                      </w:rPr>
                      <w:t>0</w:t>
                    </w:r>
                  </w:p>
                </w:tc>
                <w:tc>
                  <w:tcPr>
                    <w:tcW w:w="671" w:type="pct"/>
                    <w:vAlign w:val="center"/>
                  </w:tcPr>
                  <w:p w:rsidR="00074DB6" w:rsidRDefault="00FF0B5C" w:rsidP="00074DB6">
                    <w:pPr>
                      <w:jc w:val="center"/>
                      <w:rPr>
                        <w:bCs/>
                      </w:rPr>
                    </w:pPr>
                    <w:r>
                      <w:rPr>
                        <w:rFonts w:hint="eastAsia"/>
                        <w:bCs/>
                      </w:rPr>
                      <w:t>0</w:t>
                    </w:r>
                  </w:p>
                </w:tc>
              </w:tr>
              <w:tr w:rsidR="00074DB6" w:rsidRPr="008019C8" w:rsidTr="00FF0B5C">
                <w:trPr>
                  <w:trHeight w:val="616"/>
                </w:trPr>
                <w:tc>
                  <w:tcPr>
                    <w:tcW w:w="238" w:type="pct"/>
                    <w:vAlign w:val="center"/>
                  </w:tcPr>
                  <w:p w:rsidR="00074DB6" w:rsidRDefault="00074DB6" w:rsidP="00074DB6">
                    <w:pPr>
                      <w:jc w:val="center"/>
                      <w:rPr>
                        <w:szCs w:val="21"/>
                      </w:rPr>
                    </w:pPr>
                    <w:r>
                      <w:rPr>
                        <w:szCs w:val="21"/>
                      </w:rPr>
                      <w:t>4</w:t>
                    </w:r>
                  </w:p>
                </w:tc>
                <w:tc>
                  <w:tcPr>
                    <w:tcW w:w="907" w:type="pct"/>
                    <w:vAlign w:val="center"/>
                  </w:tcPr>
                  <w:p w:rsidR="00074DB6" w:rsidRDefault="00074DB6" w:rsidP="00074DB6">
                    <w:pPr>
                      <w:jc w:val="center"/>
                      <w:rPr>
                        <w:szCs w:val="21"/>
                      </w:rPr>
                    </w:pPr>
                    <w:r>
                      <w:rPr>
                        <w:rFonts w:hint="eastAsia"/>
                        <w:szCs w:val="21"/>
                      </w:rPr>
                      <w:t>与</w:t>
                    </w:r>
                    <w:r>
                      <w:rPr>
                        <w:szCs w:val="21"/>
                      </w:rPr>
                      <w:t>关联方开展权益互换业务</w:t>
                    </w:r>
                  </w:p>
                </w:tc>
                <w:tc>
                  <w:tcPr>
                    <w:tcW w:w="781" w:type="pct"/>
                    <w:shd w:val="clear" w:color="auto" w:fill="auto"/>
                    <w:vAlign w:val="center"/>
                  </w:tcPr>
                  <w:p w:rsidR="00074DB6" w:rsidRDefault="00074DB6" w:rsidP="00074DB6">
                    <w:pPr>
                      <w:jc w:val="center"/>
                      <w:rPr>
                        <w:szCs w:val="21"/>
                      </w:rPr>
                    </w:pPr>
                    <w:r>
                      <w:rPr>
                        <w:rFonts w:hint="eastAsia"/>
                        <w:szCs w:val="21"/>
                      </w:rPr>
                      <w:t>关联法人及关联自然人</w:t>
                    </w:r>
                  </w:p>
                </w:tc>
                <w:tc>
                  <w:tcPr>
                    <w:tcW w:w="1454" w:type="pct"/>
                    <w:vAlign w:val="center"/>
                  </w:tcPr>
                  <w:p w:rsidR="00074DB6" w:rsidRPr="00D03103" w:rsidRDefault="00074DB6" w:rsidP="00074DB6">
                    <w:pPr>
                      <w:jc w:val="center"/>
                      <w:rPr>
                        <w:szCs w:val="21"/>
                      </w:rPr>
                    </w:pPr>
                    <w:r w:rsidRPr="00D03103">
                      <w:rPr>
                        <w:rFonts w:hint="eastAsia"/>
                        <w:szCs w:val="21"/>
                      </w:rPr>
                      <w:t>因实际业务规模难以预计，以实际发生数计算</w:t>
                    </w:r>
                    <w:r w:rsidR="003F5A4F">
                      <w:rPr>
                        <w:rFonts w:hint="eastAsia"/>
                        <w:szCs w:val="21"/>
                      </w:rPr>
                      <w:t>。</w:t>
                    </w:r>
                  </w:p>
                </w:tc>
                <w:tc>
                  <w:tcPr>
                    <w:tcW w:w="949" w:type="pct"/>
                    <w:vAlign w:val="center"/>
                  </w:tcPr>
                  <w:p w:rsidR="00074DB6" w:rsidRDefault="00FF0B5C" w:rsidP="006B6713">
                    <w:pPr>
                      <w:jc w:val="center"/>
                      <w:rPr>
                        <w:bCs/>
                      </w:rPr>
                    </w:pPr>
                    <w:bookmarkStart w:id="43" w:name="_GoBack"/>
                    <w:bookmarkEnd w:id="43"/>
                    <w:r w:rsidRPr="00FF0B5C">
                      <w:rPr>
                        <w:bCs/>
                      </w:rPr>
                      <w:t>15,590</w:t>
                    </w:r>
                    <w:r w:rsidR="00AF418E">
                      <w:rPr>
                        <w:rFonts w:hint="eastAsia"/>
                        <w:bCs/>
                      </w:rPr>
                      <w:t>.00</w:t>
                    </w:r>
                    <w:r>
                      <w:rPr>
                        <w:bCs/>
                        <w:sz w:val="24"/>
                        <w:vertAlign w:val="superscript"/>
                      </w:rPr>
                      <w:t>2</w:t>
                    </w:r>
                  </w:p>
                </w:tc>
                <w:tc>
                  <w:tcPr>
                    <w:tcW w:w="671" w:type="pct"/>
                    <w:vAlign w:val="center"/>
                  </w:tcPr>
                  <w:p w:rsidR="00074DB6" w:rsidRDefault="00FF0B5C" w:rsidP="00074DB6">
                    <w:pPr>
                      <w:jc w:val="center"/>
                      <w:rPr>
                        <w:bCs/>
                      </w:rPr>
                    </w:pPr>
                    <w:r>
                      <w:rPr>
                        <w:bCs/>
                      </w:rPr>
                      <w:t>13.49</w:t>
                    </w:r>
                  </w:p>
                </w:tc>
              </w:tr>
            </w:tbl>
            <w:p w:rsidR="00FF0B5C" w:rsidRDefault="00FF0B5C" w:rsidP="00FF0B5C">
              <w:r>
                <w:rPr>
                  <w:rFonts w:hint="eastAsia"/>
                </w:rPr>
                <w:t>注</w:t>
              </w:r>
              <w:r w:rsidR="00961755">
                <w:rPr>
                  <w:rFonts w:hint="eastAsia"/>
                </w:rPr>
                <w:t>：</w:t>
              </w:r>
              <w:r>
                <w:rPr>
                  <w:rFonts w:hint="eastAsia"/>
                </w:rPr>
                <w:t>1</w:t>
              </w:r>
              <w:r w:rsidR="00DF17CA">
                <w:rPr>
                  <w:rFonts w:hint="eastAsia"/>
                </w:rPr>
                <w:t>、</w:t>
              </w:r>
              <w:r>
                <w:rPr>
                  <w:rFonts w:hint="eastAsia"/>
                </w:rPr>
                <w:t>该金额为报告期末持有数合计；</w:t>
              </w:r>
            </w:p>
            <w:p w:rsidR="002F41D2" w:rsidRDefault="00FF0B5C" w:rsidP="00961755">
              <w:pPr>
                <w:ind w:firstLineChars="200" w:firstLine="420"/>
              </w:pPr>
              <w:r>
                <w:rPr>
                  <w:rFonts w:hint="eastAsia"/>
                </w:rPr>
                <w:t>2</w:t>
              </w:r>
              <w:r w:rsidR="00DF17CA">
                <w:rPr>
                  <w:rFonts w:hint="eastAsia"/>
                </w:rPr>
                <w:t>、</w:t>
              </w:r>
              <w:r>
                <w:rPr>
                  <w:rFonts w:hint="eastAsia"/>
                </w:rPr>
                <w:t>该金额为场外期权名义金额，轧差净收益约1,4</w:t>
              </w:r>
              <w:r>
                <w:t>08.60元</w:t>
              </w:r>
              <w:r>
                <w:rPr>
                  <w:rFonts w:hint="eastAsia"/>
                </w:rPr>
                <w:t>。</w:t>
              </w:r>
            </w:p>
            <w:p w:rsidR="008F7947" w:rsidRPr="00FF0B5C" w:rsidRDefault="00422DCA" w:rsidP="00FF0B5C">
              <w:pPr>
                <w:ind w:firstLineChars="150" w:firstLine="315"/>
              </w:pPr>
            </w:p>
          </w:sdtContent>
        </w:sdt>
      </w:sdtContent>
    </w:sdt>
    <w:p w:rsidR="00704CAD" w:rsidRDefault="00720895" w:rsidP="001C1A59">
      <w:pPr>
        <w:pStyle w:val="2"/>
        <w:numPr>
          <w:ilvl w:val="0"/>
          <w:numId w:val="10"/>
        </w:numPr>
      </w:pPr>
      <w:r>
        <w:rPr>
          <w:rFonts w:hint="eastAsia"/>
        </w:rPr>
        <w:t>重大合同及其履行情况</w:t>
      </w:r>
      <w:bookmarkEnd w:id="42"/>
      <w:bookmarkEnd w:id="41"/>
    </w:p>
    <w:p w:rsidR="00704CAD" w:rsidRDefault="00720895" w:rsidP="009950AC">
      <w:pPr>
        <w:pStyle w:val="3"/>
        <w:numPr>
          <w:ilvl w:val="0"/>
          <w:numId w:val="20"/>
        </w:numPr>
        <w:rPr>
          <w:szCs w:val="21"/>
        </w:rPr>
      </w:pPr>
      <w:r>
        <w:rPr>
          <w:szCs w:val="21"/>
        </w:rPr>
        <w:t>托管、承包、租赁事项</w:t>
      </w:r>
    </w:p>
    <w:sdt>
      <w:sdtPr>
        <w:rPr>
          <w:szCs w:val="21"/>
        </w:rPr>
        <w:tag w:val="_GBC_9cf7e450c4104537a9674b26e3ba1dea"/>
        <w:id w:val="24720563"/>
        <w:lock w:val="sdtLocked"/>
        <w:placeholder>
          <w:docPart w:val="GBC22222222222222222222222222222"/>
        </w:placeholder>
      </w:sdtPr>
      <w:sdtEndPr>
        <w:rPr>
          <w:rFonts w:asciiTheme="minorEastAsia" w:eastAsiaTheme="minorEastAsia" w:hAnsiTheme="minorEastAsia" w:hint="eastAsia"/>
        </w:rPr>
      </w:sdtEndPr>
      <w:sdtContent>
        <w:p w:rsidR="003819AD" w:rsidRDefault="00422DCA" w:rsidP="003819AD">
          <w:pPr>
            <w:rPr>
              <w:szCs w:val="21"/>
              <w:shd w:val="pct15" w:color="auto" w:fill="FFFFFF"/>
            </w:rPr>
          </w:pPr>
          <w:sdt>
            <w:sdtPr>
              <w:rPr>
                <w:szCs w:val="21"/>
              </w:rPr>
              <w:alias w:val="是否适用：托管、承包、租赁事项"/>
              <w:tag w:val="_GBC_54bd06e0b13142ffa954f3a1f05b47d5"/>
              <w:id w:val="24720562"/>
              <w:lock w:val="sdtLocked"/>
              <w:placeholder>
                <w:docPart w:val="GBC22222222222222222222222222222"/>
              </w:placeholder>
            </w:sdtPr>
            <w:sdtContent>
              <w:r>
                <w:rPr>
                  <w:szCs w:val="21"/>
                </w:rPr>
                <w:fldChar w:fldCharType="begin"/>
              </w:r>
              <w:r w:rsidR="003819AD">
                <w:rPr>
                  <w:szCs w:val="21"/>
                </w:rPr>
                <w:instrText xml:space="preserve"> MACROBUTTON  SnrToggleCheckbox □适用 </w:instrText>
              </w:r>
              <w:r>
                <w:rPr>
                  <w:szCs w:val="21"/>
                </w:rPr>
                <w:fldChar w:fldCharType="end"/>
              </w:r>
              <w:r>
                <w:rPr>
                  <w:szCs w:val="21"/>
                </w:rPr>
                <w:fldChar w:fldCharType="begin"/>
              </w:r>
              <w:r w:rsidR="003819AD">
                <w:rPr>
                  <w:szCs w:val="21"/>
                </w:rPr>
                <w:instrText xml:space="preserve"> MACROBUTTON  SnrToggleCheckbox √不适用 </w:instrText>
              </w:r>
              <w:r>
                <w:rPr>
                  <w:szCs w:val="21"/>
                </w:rPr>
                <w:fldChar w:fldCharType="end"/>
              </w:r>
            </w:sdtContent>
          </w:sdt>
        </w:p>
      </w:sdtContent>
    </w:sdt>
    <w:p w:rsidR="00704CAD" w:rsidRDefault="00720895" w:rsidP="009950AC">
      <w:pPr>
        <w:pStyle w:val="3"/>
        <w:numPr>
          <w:ilvl w:val="0"/>
          <w:numId w:val="20"/>
        </w:numPr>
        <w:rPr>
          <w:szCs w:val="21"/>
        </w:rPr>
      </w:pPr>
      <w:bookmarkStart w:id="44" w:name="_Toc342565974"/>
      <w:bookmarkStart w:id="45" w:name="_Toc342491982"/>
      <w:bookmarkStart w:id="46" w:name="OLE_LINK3"/>
      <w:bookmarkStart w:id="47" w:name="OLE_LINK2"/>
      <w:r>
        <w:rPr>
          <w:rFonts w:hint="eastAsia"/>
          <w:szCs w:val="21"/>
        </w:rPr>
        <w:t>担保情况</w:t>
      </w:r>
      <w:bookmarkEnd w:id="44"/>
      <w:bookmarkEnd w:id="45"/>
    </w:p>
    <w:bookmarkEnd w:id="47" w:displacedByCustomXml="next"/>
    <w:bookmarkEnd w:id="46" w:displacedByCustomXml="next"/>
    <w:sdt>
      <w:sdtPr>
        <w:rPr>
          <w:szCs w:val="21"/>
        </w:rPr>
        <w:alias w:val="是否适用：担保情况"/>
        <w:tag w:val="_GBC_35d7525212154562bd07cf87606ef420"/>
        <w:id w:val="24720564"/>
        <w:lock w:val="sdtContentLocked"/>
        <w:placeholder>
          <w:docPart w:val="GBC22222222222222222222222222222"/>
        </w:placeholder>
      </w:sdtPr>
      <w:sdtContent>
        <w:p w:rsidR="00704CAD" w:rsidRDefault="00422DCA">
          <w:pPr>
            <w:rPr>
              <w:szCs w:val="21"/>
            </w:rPr>
          </w:pPr>
          <w:r>
            <w:rPr>
              <w:szCs w:val="21"/>
            </w:rPr>
            <w:fldChar w:fldCharType="begin"/>
          </w:r>
          <w:r w:rsidR="009127DD">
            <w:rPr>
              <w:szCs w:val="21"/>
            </w:rPr>
            <w:instrText xml:space="preserve"> MACROBUTTON  SnrToggleCheckbox √适用 </w:instrText>
          </w:r>
          <w:r>
            <w:rPr>
              <w:szCs w:val="21"/>
            </w:rPr>
            <w:fldChar w:fldCharType="end"/>
          </w:r>
          <w:r>
            <w:rPr>
              <w:szCs w:val="21"/>
            </w:rPr>
            <w:fldChar w:fldCharType="begin"/>
          </w:r>
          <w:r w:rsidR="009127DD">
            <w:rPr>
              <w:szCs w:val="21"/>
            </w:rPr>
            <w:instrText xml:space="preserve"> MACROBUTTON  SnrToggleCheckbox □不适用 </w:instrText>
          </w:r>
          <w:r>
            <w:rPr>
              <w:szCs w:val="21"/>
            </w:rPr>
            <w:fldChar w:fldCharType="end"/>
          </w:r>
        </w:p>
      </w:sdtContent>
    </w:sdt>
    <w:sdt>
      <w:sdtPr>
        <w:rPr>
          <w:rFonts w:hint="eastAsia"/>
          <w:szCs w:val="21"/>
        </w:rPr>
        <w:tag w:val="_GBC_bedeedeedb1544cfb6aa27b0934a5491"/>
        <w:id w:val="24720572"/>
        <w:lock w:val="sdtLocked"/>
        <w:placeholder>
          <w:docPart w:val="GBC22222222222222222222222222222"/>
        </w:placeholder>
      </w:sdtPr>
      <w:sdtEndPr>
        <w:rPr>
          <w:rFonts w:asciiTheme="minorEastAsia" w:eastAsiaTheme="minorEastAsia" w:hAnsiTheme="minorEastAsia"/>
        </w:rPr>
      </w:sdtEndPr>
      <w:sdtContent>
        <w:p w:rsidR="00704CAD" w:rsidRDefault="00720895" w:rsidP="00CB3294">
          <w:pPr>
            <w:ind w:rightChars="-150" w:right="-315"/>
            <w:jc w:val="right"/>
            <w:rPr>
              <w:szCs w:val="21"/>
            </w:rPr>
          </w:pPr>
          <w:r>
            <w:rPr>
              <w:rFonts w:hint="eastAsia"/>
              <w:szCs w:val="21"/>
            </w:rPr>
            <w:t>单位</w:t>
          </w:r>
          <w:r>
            <w:rPr>
              <w:szCs w:val="21"/>
            </w:rPr>
            <w:t xml:space="preserve">: </w:t>
          </w:r>
          <w:sdt>
            <w:sdtPr>
              <w:rPr>
                <w:szCs w:val="21"/>
              </w:rPr>
              <w:alias w:val="单位：担保情况"/>
              <w:tag w:val="_GBC_b6432896747c42d8829aaab7189b6545"/>
              <w:id w:val="247205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cfcaf53fad204b7e979a5e693db1cbaa"/>
              <w:id w:val="24720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861"/>
            <w:gridCol w:w="5384"/>
          </w:tblGrid>
          <w:tr w:rsidR="00FD042A" w:rsidTr="0048058C">
            <w:trPr>
              <w:trHeight w:val="308"/>
            </w:trPr>
            <w:tc>
              <w:tcPr>
                <w:tcW w:w="5000" w:type="pct"/>
                <w:gridSpan w:val="2"/>
                <w:tcBorders>
                  <w:top w:val="single" w:sz="4" w:space="0" w:color="auto"/>
                  <w:bottom w:val="single" w:sz="4" w:space="0" w:color="auto"/>
                </w:tcBorders>
                <w:shd w:val="clear" w:color="auto" w:fill="auto"/>
                <w:vAlign w:val="center"/>
              </w:tcPr>
              <w:p w:rsidR="00FD042A" w:rsidRDefault="00FD042A" w:rsidP="0048058C">
                <w:pPr>
                  <w:autoSpaceDE w:val="0"/>
                  <w:autoSpaceDN w:val="0"/>
                  <w:adjustRightInd w:val="0"/>
                  <w:jc w:val="center"/>
                  <w:rPr>
                    <w:szCs w:val="21"/>
                  </w:rPr>
                </w:pPr>
                <w:bookmarkStart w:id="48" w:name="_Toc342565976"/>
                <w:bookmarkStart w:id="49" w:name="_Toc342491984"/>
                <w:r>
                  <w:rPr>
                    <w:rFonts w:hint="eastAsia"/>
                    <w:szCs w:val="21"/>
                  </w:rPr>
                  <w:t>公司对子公司的担保情况</w:t>
                </w:r>
              </w:p>
            </w:tc>
          </w:tr>
          <w:tr w:rsidR="00FD042A" w:rsidTr="00A63C4A">
            <w:trPr>
              <w:trHeight w:val="308"/>
            </w:trPr>
            <w:tc>
              <w:tcPr>
                <w:tcW w:w="2088" w:type="pct"/>
                <w:tcBorders>
                  <w:top w:val="single" w:sz="4" w:space="0" w:color="auto"/>
                  <w:bottom w:val="single" w:sz="4" w:space="0" w:color="auto"/>
                  <w:right w:val="single" w:sz="4" w:space="0" w:color="auto"/>
                </w:tcBorders>
                <w:shd w:val="clear" w:color="auto" w:fill="auto"/>
              </w:tcPr>
              <w:p w:rsidR="00FD042A" w:rsidRDefault="00FD042A" w:rsidP="0048058C">
                <w:pPr>
                  <w:autoSpaceDE w:val="0"/>
                  <w:autoSpaceDN w:val="0"/>
                  <w:adjustRightInd w:val="0"/>
                  <w:rPr>
                    <w:color w:val="FF0000"/>
                    <w:szCs w:val="21"/>
                  </w:rPr>
                </w:pPr>
                <w:r>
                  <w:rPr>
                    <w:rFonts w:hint="eastAsia"/>
                    <w:szCs w:val="21"/>
                  </w:rPr>
                  <w:t>报告期内对子公司担保发生额合计</w:t>
                </w:r>
              </w:p>
            </w:tc>
            <w:tc>
              <w:tcPr>
                <w:tcW w:w="2912" w:type="pct"/>
                <w:tcBorders>
                  <w:top w:val="single" w:sz="4" w:space="0" w:color="auto"/>
                  <w:left w:val="single" w:sz="4" w:space="0" w:color="auto"/>
                  <w:bottom w:val="single" w:sz="4" w:space="0" w:color="auto"/>
                </w:tcBorders>
                <w:shd w:val="clear" w:color="auto" w:fill="auto"/>
              </w:tcPr>
              <w:p w:rsidR="00FD042A" w:rsidRPr="00F9298A" w:rsidRDefault="00422DCA" w:rsidP="0048058C">
                <w:pPr>
                  <w:jc w:val="right"/>
                  <w:rPr>
                    <w:color w:val="FFC000"/>
                    <w:szCs w:val="21"/>
                  </w:rPr>
                </w:pPr>
                <w:sdt>
                  <w:sdtPr>
                    <w:rPr>
                      <w:szCs w:val="21"/>
                    </w:rPr>
                    <w:alias w:val="报告期内对控股子公司担保发生额合计"/>
                    <w:tag w:val="_GBC_1126024e876b488fbc13779732d80c51"/>
                    <w:id w:val="24720567"/>
                    <w:lock w:val="sdtLocked"/>
                    <w:text/>
                  </w:sdtPr>
                  <w:sdtContent>
                    <w:r w:rsidR="00F9298A" w:rsidRPr="00F9298A">
                      <w:rPr>
                        <w:szCs w:val="21"/>
                      </w:rPr>
                      <w:t>4,949,380,140</w:t>
                    </w:r>
                  </w:sdtContent>
                </w:sdt>
              </w:p>
            </w:tc>
          </w:tr>
          <w:tr w:rsidR="00FD042A" w:rsidTr="00A63C4A">
            <w:trPr>
              <w:trHeight w:val="308"/>
            </w:trPr>
            <w:tc>
              <w:tcPr>
                <w:tcW w:w="2088" w:type="pct"/>
                <w:tcBorders>
                  <w:top w:val="single" w:sz="4" w:space="0" w:color="auto"/>
                  <w:bottom w:val="single" w:sz="4" w:space="0" w:color="auto"/>
                  <w:right w:val="single" w:sz="4" w:space="0" w:color="auto"/>
                </w:tcBorders>
                <w:shd w:val="clear" w:color="auto" w:fill="auto"/>
              </w:tcPr>
              <w:p w:rsidR="00FD042A" w:rsidRDefault="00FD042A" w:rsidP="000A1C7E">
                <w:pPr>
                  <w:autoSpaceDE w:val="0"/>
                  <w:autoSpaceDN w:val="0"/>
                  <w:adjustRightInd w:val="0"/>
                  <w:rPr>
                    <w:color w:val="FF0000"/>
                    <w:szCs w:val="21"/>
                  </w:rPr>
                </w:pPr>
                <w:r>
                  <w:rPr>
                    <w:rFonts w:hint="eastAsia"/>
                    <w:szCs w:val="21"/>
                  </w:rPr>
                  <w:t>报告期末对子公司担保余额合计</w:t>
                </w:r>
              </w:p>
            </w:tc>
            <w:tc>
              <w:tcPr>
                <w:tcW w:w="2912" w:type="pct"/>
                <w:tcBorders>
                  <w:top w:val="single" w:sz="4" w:space="0" w:color="auto"/>
                  <w:left w:val="single" w:sz="4" w:space="0" w:color="auto"/>
                  <w:bottom w:val="single" w:sz="4" w:space="0" w:color="auto"/>
                </w:tcBorders>
                <w:shd w:val="clear" w:color="auto" w:fill="auto"/>
              </w:tcPr>
              <w:p w:rsidR="00FD042A" w:rsidRPr="00F9298A" w:rsidRDefault="00422DCA" w:rsidP="0048058C">
                <w:pPr>
                  <w:autoSpaceDE w:val="0"/>
                  <w:autoSpaceDN w:val="0"/>
                  <w:adjustRightInd w:val="0"/>
                  <w:jc w:val="right"/>
                  <w:rPr>
                    <w:color w:val="FFC000"/>
                    <w:szCs w:val="21"/>
                  </w:rPr>
                </w:pPr>
                <w:sdt>
                  <w:sdtPr>
                    <w:rPr>
                      <w:szCs w:val="21"/>
                    </w:rPr>
                    <w:alias w:val="报告期末对控股子公司担保余额合计"/>
                    <w:tag w:val="_GBC_e98ea4a3cac34518a9c243e5438722d9"/>
                    <w:id w:val="24720568"/>
                    <w:lock w:val="sdtLocked"/>
                    <w:text/>
                  </w:sdtPr>
                  <w:sdtContent>
                    <w:r w:rsidR="00F9298A" w:rsidRPr="00F9298A">
                      <w:rPr>
                        <w:szCs w:val="21"/>
                      </w:rPr>
                      <w:t>2,107,229,700</w:t>
                    </w:r>
                  </w:sdtContent>
                </w:sdt>
              </w:p>
            </w:tc>
          </w:tr>
          <w:tr w:rsidR="00FD042A" w:rsidTr="0048058C">
            <w:trPr>
              <w:trHeight w:val="308"/>
            </w:trPr>
            <w:tc>
              <w:tcPr>
                <w:tcW w:w="5000" w:type="pct"/>
                <w:gridSpan w:val="2"/>
                <w:tcBorders>
                  <w:top w:val="single" w:sz="4" w:space="0" w:color="auto"/>
                  <w:bottom w:val="single" w:sz="4" w:space="0" w:color="auto"/>
                </w:tcBorders>
                <w:shd w:val="clear" w:color="auto" w:fill="auto"/>
                <w:vAlign w:val="center"/>
              </w:tcPr>
              <w:p w:rsidR="00FD042A" w:rsidRPr="00F9298A" w:rsidRDefault="00FD042A" w:rsidP="0048058C">
                <w:pPr>
                  <w:autoSpaceDE w:val="0"/>
                  <w:autoSpaceDN w:val="0"/>
                  <w:adjustRightInd w:val="0"/>
                  <w:jc w:val="center"/>
                  <w:rPr>
                    <w:szCs w:val="21"/>
                  </w:rPr>
                </w:pPr>
                <w:r w:rsidRPr="00F9298A">
                  <w:rPr>
                    <w:rFonts w:hint="eastAsia"/>
                    <w:szCs w:val="21"/>
                  </w:rPr>
                  <w:t>公司担保总额情况（包括对子公司的担保）</w:t>
                </w:r>
              </w:p>
            </w:tc>
          </w:tr>
          <w:tr w:rsidR="00FD042A" w:rsidTr="00A63C4A">
            <w:trPr>
              <w:trHeight w:val="408"/>
            </w:trPr>
            <w:tc>
              <w:tcPr>
                <w:tcW w:w="2088" w:type="pct"/>
                <w:tcBorders>
                  <w:top w:val="single" w:sz="4" w:space="0" w:color="auto"/>
                  <w:bottom w:val="single" w:sz="4" w:space="0" w:color="auto"/>
                  <w:right w:val="single" w:sz="4" w:space="0" w:color="auto"/>
                </w:tcBorders>
                <w:shd w:val="clear" w:color="auto" w:fill="auto"/>
                <w:vAlign w:val="center"/>
              </w:tcPr>
              <w:p w:rsidR="00FD042A" w:rsidRDefault="00FD042A" w:rsidP="000A1C7E">
                <w:pPr>
                  <w:autoSpaceDE w:val="0"/>
                  <w:autoSpaceDN w:val="0"/>
                  <w:adjustRightInd w:val="0"/>
                  <w:rPr>
                    <w:szCs w:val="21"/>
                  </w:rPr>
                </w:pPr>
                <w:r>
                  <w:rPr>
                    <w:rFonts w:hint="eastAsia"/>
                    <w:szCs w:val="21"/>
                  </w:rPr>
                  <w:t>担保总额</w:t>
                </w:r>
              </w:p>
            </w:tc>
            <w:tc>
              <w:tcPr>
                <w:tcW w:w="2912" w:type="pct"/>
                <w:tcBorders>
                  <w:top w:val="single" w:sz="4" w:space="0" w:color="auto"/>
                  <w:left w:val="single" w:sz="4" w:space="0" w:color="auto"/>
                  <w:bottom w:val="single" w:sz="4" w:space="0" w:color="auto"/>
                </w:tcBorders>
                <w:shd w:val="clear" w:color="auto" w:fill="auto"/>
                <w:vAlign w:val="center"/>
              </w:tcPr>
              <w:p w:rsidR="00FD042A" w:rsidRPr="00F9298A" w:rsidRDefault="00422DCA" w:rsidP="00F9298A">
                <w:pPr>
                  <w:autoSpaceDE w:val="0"/>
                  <w:autoSpaceDN w:val="0"/>
                  <w:adjustRightInd w:val="0"/>
                  <w:jc w:val="right"/>
                  <w:rPr>
                    <w:color w:val="FFC000"/>
                    <w:szCs w:val="21"/>
                  </w:rPr>
                </w:pPr>
                <w:sdt>
                  <w:sdtPr>
                    <w:rPr>
                      <w:szCs w:val="21"/>
                    </w:rPr>
                    <w:alias w:val="担保总额"/>
                    <w:tag w:val="_GBC_56c78304799a43e5acbadc9a93b3a166"/>
                    <w:id w:val="24720569"/>
                    <w:lock w:val="sdtLocked"/>
                    <w:text/>
                  </w:sdtPr>
                  <w:sdtContent>
                    <w:r w:rsidR="00F9298A" w:rsidRPr="00F9298A">
                      <w:rPr>
                        <w:szCs w:val="21"/>
                      </w:rPr>
                      <w:t>2,107,229,700</w:t>
                    </w:r>
                  </w:sdtContent>
                </w:sdt>
              </w:p>
            </w:tc>
          </w:tr>
          <w:tr w:rsidR="00FD042A" w:rsidTr="00A63C4A">
            <w:trPr>
              <w:trHeight w:val="308"/>
            </w:trPr>
            <w:tc>
              <w:tcPr>
                <w:tcW w:w="2088" w:type="pct"/>
                <w:tcBorders>
                  <w:top w:val="single" w:sz="4" w:space="0" w:color="auto"/>
                  <w:bottom w:val="single" w:sz="4" w:space="0" w:color="auto"/>
                  <w:right w:val="single" w:sz="4" w:space="0" w:color="auto"/>
                </w:tcBorders>
                <w:shd w:val="clear" w:color="auto" w:fill="auto"/>
              </w:tcPr>
              <w:p w:rsidR="00FD042A" w:rsidRDefault="00FD042A" w:rsidP="0048058C">
                <w:pPr>
                  <w:autoSpaceDE w:val="0"/>
                  <w:autoSpaceDN w:val="0"/>
                  <w:adjustRightInd w:val="0"/>
                  <w:rPr>
                    <w:szCs w:val="21"/>
                  </w:rPr>
                </w:pPr>
                <w:r w:rsidRPr="007C2645">
                  <w:rPr>
                    <w:rFonts w:hint="eastAsia"/>
                    <w:szCs w:val="21"/>
                  </w:rPr>
                  <w:t>担保总额占公司净资产的比例</w:t>
                </w:r>
                <w:r w:rsidRPr="007C2645">
                  <w:rPr>
                    <w:szCs w:val="21"/>
                  </w:rPr>
                  <w:t>(%)</w:t>
                </w:r>
              </w:p>
            </w:tc>
            <w:sdt>
              <w:sdtPr>
                <w:rPr>
                  <w:szCs w:val="21"/>
                </w:rPr>
                <w:alias w:val="担保总额占公司净资产的比例"/>
                <w:tag w:val="_GBC_f71e6df632c44775bee34824d73122f7"/>
                <w:id w:val="24720570"/>
                <w:lock w:val="sdtLocked"/>
              </w:sdtPr>
              <w:sdtContent>
                <w:tc>
                  <w:tcPr>
                    <w:tcW w:w="2912" w:type="pct"/>
                    <w:tcBorders>
                      <w:top w:val="single" w:sz="4" w:space="0" w:color="auto"/>
                      <w:left w:val="single" w:sz="4" w:space="0" w:color="auto"/>
                      <w:bottom w:val="single" w:sz="4" w:space="0" w:color="auto"/>
                    </w:tcBorders>
                    <w:shd w:val="clear" w:color="auto" w:fill="auto"/>
                  </w:tcPr>
                  <w:p w:rsidR="00FD042A" w:rsidRPr="007C2645" w:rsidRDefault="00155AF9" w:rsidP="00F9298A">
                    <w:pPr>
                      <w:autoSpaceDE w:val="0"/>
                      <w:autoSpaceDN w:val="0"/>
                      <w:adjustRightInd w:val="0"/>
                      <w:jc w:val="right"/>
                      <w:rPr>
                        <w:szCs w:val="21"/>
                      </w:rPr>
                    </w:pPr>
                    <w:r>
                      <w:rPr>
                        <w:rFonts w:hint="eastAsia"/>
                        <w:szCs w:val="21"/>
                      </w:rPr>
                      <w:t>4</w:t>
                    </w:r>
                    <w:r w:rsidR="007C2645">
                      <w:rPr>
                        <w:rFonts w:hint="eastAsia"/>
                        <w:szCs w:val="21"/>
                      </w:rPr>
                      <w:t>.</w:t>
                    </w:r>
                    <w:r w:rsidR="00F9298A">
                      <w:rPr>
                        <w:rFonts w:hint="eastAsia"/>
                        <w:szCs w:val="21"/>
                      </w:rPr>
                      <w:t>41</w:t>
                    </w:r>
                  </w:p>
                </w:tc>
              </w:sdtContent>
            </w:sdt>
          </w:tr>
          <w:tr w:rsidR="00FD042A" w:rsidTr="00A63C4A">
            <w:trPr>
              <w:trHeight w:val="308"/>
            </w:trPr>
            <w:tc>
              <w:tcPr>
                <w:tcW w:w="2087" w:type="pct"/>
                <w:tcBorders>
                  <w:top w:val="single" w:sz="4" w:space="0" w:color="auto"/>
                  <w:bottom w:val="single" w:sz="4" w:space="0" w:color="auto"/>
                  <w:right w:val="single" w:sz="4" w:space="0" w:color="auto"/>
                </w:tcBorders>
                <w:shd w:val="clear" w:color="auto" w:fill="auto"/>
                <w:vAlign w:val="center"/>
              </w:tcPr>
              <w:p w:rsidR="00FD042A" w:rsidRDefault="00FD042A" w:rsidP="0048058C">
                <w:pPr>
                  <w:autoSpaceDE w:val="0"/>
                  <w:autoSpaceDN w:val="0"/>
                  <w:adjustRightInd w:val="0"/>
                  <w:rPr>
                    <w:szCs w:val="21"/>
                  </w:rPr>
                </w:pPr>
                <w:r>
                  <w:rPr>
                    <w:rFonts w:hint="eastAsia"/>
                    <w:szCs w:val="21"/>
                  </w:rPr>
                  <w:lastRenderedPageBreak/>
                  <w:t>担保情况说明</w:t>
                </w:r>
              </w:p>
            </w:tc>
            <w:sdt>
              <w:sdtPr>
                <w:rPr>
                  <w:szCs w:val="21"/>
                </w:rPr>
                <w:alias w:val="担保情况说明"/>
                <w:tag w:val="_GBC_166e7f5a2fa84b948ffad185986de0ec"/>
                <w:id w:val="24720571"/>
                <w:lock w:val="sdtLocked"/>
              </w:sdtPr>
              <w:sdtContent>
                <w:tc>
                  <w:tcPr>
                    <w:tcW w:w="2913" w:type="pct"/>
                    <w:tcBorders>
                      <w:top w:val="single" w:sz="4" w:space="0" w:color="auto"/>
                      <w:left w:val="single" w:sz="4" w:space="0" w:color="auto"/>
                      <w:bottom w:val="single" w:sz="4" w:space="0" w:color="auto"/>
                    </w:tcBorders>
                    <w:shd w:val="clear" w:color="auto" w:fill="auto"/>
                  </w:tcPr>
                  <w:p w:rsidR="00FD042A" w:rsidRDefault="00FD042A" w:rsidP="0048058C">
                    <w:pPr>
                      <w:autoSpaceDE w:val="0"/>
                      <w:autoSpaceDN w:val="0"/>
                      <w:adjustRightInd w:val="0"/>
                      <w:ind w:left="360"/>
                      <w:rPr>
                        <w:rFonts w:cs="Arial"/>
                        <w:szCs w:val="21"/>
                      </w:rPr>
                    </w:pPr>
                    <w:r w:rsidRPr="004A4BB7">
                      <w:rPr>
                        <w:rFonts w:cs="Arial" w:hint="eastAsia"/>
                        <w:szCs w:val="21"/>
                      </w:rPr>
                      <w:t>截至报告期末，</w:t>
                    </w:r>
                  </w:p>
                  <w:p w:rsidR="00FD042A" w:rsidRPr="007C2645" w:rsidRDefault="005E5211" w:rsidP="009950AC">
                    <w:pPr>
                      <w:numPr>
                        <w:ilvl w:val="0"/>
                        <w:numId w:val="28"/>
                      </w:numPr>
                      <w:autoSpaceDE w:val="0"/>
                      <w:autoSpaceDN w:val="0"/>
                      <w:adjustRightInd w:val="0"/>
                      <w:rPr>
                        <w:rFonts w:cs="Arial"/>
                        <w:szCs w:val="21"/>
                      </w:rPr>
                    </w:pPr>
                    <w:r w:rsidRPr="007C2645">
                      <w:rPr>
                        <w:rFonts w:cs="Arial" w:hint="eastAsia"/>
                        <w:szCs w:val="21"/>
                      </w:rPr>
                      <w:t>中国银行澳门分行向全资子公司招证国际提供银行授信17.7亿港元，</w:t>
                    </w:r>
                    <w:r w:rsidR="00FD042A" w:rsidRPr="007C2645">
                      <w:rPr>
                        <w:rFonts w:cs="Arial" w:hint="eastAsia"/>
                        <w:szCs w:val="21"/>
                      </w:rPr>
                      <w:t>公司为招证国际向中国银行提供反担保，反担保总金额为人民币</w:t>
                    </w:r>
                    <w:r w:rsidR="00FD042A" w:rsidRPr="007C2645">
                      <w:rPr>
                        <w:rFonts w:cs="Arial"/>
                        <w:szCs w:val="21"/>
                      </w:rPr>
                      <w:t>15</w:t>
                    </w:r>
                    <w:r w:rsidR="00FD042A" w:rsidRPr="007C2645">
                      <w:rPr>
                        <w:rFonts w:cs="Arial" w:hint="eastAsia"/>
                        <w:szCs w:val="21"/>
                      </w:rPr>
                      <w:t>亿元。</w:t>
                    </w:r>
                  </w:p>
                  <w:p w:rsidR="00FD042A" w:rsidRPr="004A4BB7" w:rsidRDefault="00FD042A" w:rsidP="009950AC">
                    <w:pPr>
                      <w:numPr>
                        <w:ilvl w:val="0"/>
                        <w:numId w:val="28"/>
                      </w:numPr>
                      <w:autoSpaceDE w:val="0"/>
                      <w:autoSpaceDN w:val="0"/>
                      <w:adjustRightInd w:val="0"/>
                      <w:rPr>
                        <w:szCs w:val="21"/>
                      </w:rPr>
                    </w:pPr>
                    <w:r>
                      <w:rPr>
                        <w:rFonts w:cs="Arial" w:hint="eastAsia"/>
                        <w:szCs w:val="21"/>
                      </w:rPr>
                      <w:t>招证国际</w:t>
                    </w:r>
                    <w:r w:rsidRPr="004A4BB7">
                      <w:rPr>
                        <w:rFonts w:cs="Arial" w:hint="eastAsia"/>
                        <w:szCs w:val="21"/>
                      </w:rPr>
                      <w:t>为其公司及全资子公司招商证券（香港）有限公司向永隆银行及华侨银行借款7.7亿港元(折算为人民币607,229,700)提供贷款担保。</w:t>
                    </w:r>
                  </w:p>
                  <w:p w:rsidR="00FD042A" w:rsidRPr="004A4BB7" w:rsidRDefault="00FD042A" w:rsidP="009950AC">
                    <w:pPr>
                      <w:numPr>
                        <w:ilvl w:val="0"/>
                        <w:numId w:val="28"/>
                      </w:numPr>
                      <w:autoSpaceDE w:val="0"/>
                      <w:autoSpaceDN w:val="0"/>
                      <w:adjustRightInd w:val="0"/>
                      <w:rPr>
                        <w:szCs w:val="21"/>
                      </w:rPr>
                    </w:pPr>
                    <w:r w:rsidRPr="004A4BB7">
                      <w:rPr>
                        <w:rFonts w:cs="Arial" w:hint="eastAsia"/>
                        <w:szCs w:val="21"/>
                      </w:rPr>
                      <w:t>招证国际为全资子公司招商证券投资管理（香港）有限公司及China Merchants Securities (UK) Limited在ISDA协议、CSA协议项下向交易对手方提供保证担保。</w:t>
                    </w:r>
                  </w:p>
                  <w:p w:rsidR="00FD042A" w:rsidRPr="004A4BB7" w:rsidRDefault="00084968" w:rsidP="009950AC">
                    <w:pPr>
                      <w:numPr>
                        <w:ilvl w:val="0"/>
                        <w:numId w:val="28"/>
                      </w:numPr>
                      <w:autoSpaceDE w:val="0"/>
                      <w:autoSpaceDN w:val="0"/>
                      <w:adjustRightInd w:val="0"/>
                      <w:rPr>
                        <w:szCs w:val="21"/>
                      </w:rPr>
                    </w:pPr>
                    <w:r w:rsidRPr="004A4BB7">
                      <w:rPr>
                        <w:rFonts w:cs="Arial" w:hint="eastAsia"/>
                        <w:szCs w:val="21"/>
                      </w:rPr>
                      <w:t>招证国际</w:t>
                    </w:r>
                    <w:r w:rsidR="00FD042A" w:rsidRPr="004A4BB7">
                      <w:rPr>
                        <w:rFonts w:cs="Arial" w:hint="eastAsia"/>
                        <w:szCs w:val="21"/>
                      </w:rPr>
                      <w:t>为全资子公司招商期货（香港）有限公司及China Merchants Securities (UK) Limited在主清算协议(Master Clearing Agreement)提供保证担保。</w:t>
                    </w:r>
                  </w:p>
                  <w:p w:rsidR="00FD042A" w:rsidRPr="004A4BB7" w:rsidRDefault="00084968" w:rsidP="009950AC">
                    <w:pPr>
                      <w:numPr>
                        <w:ilvl w:val="0"/>
                        <w:numId w:val="28"/>
                      </w:numPr>
                      <w:autoSpaceDE w:val="0"/>
                      <w:autoSpaceDN w:val="0"/>
                      <w:adjustRightInd w:val="0"/>
                      <w:rPr>
                        <w:szCs w:val="21"/>
                      </w:rPr>
                    </w:pPr>
                    <w:r w:rsidRPr="004A4BB7">
                      <w:rPr>
                        <w:rFonts w:cs="Arial" w:hint="eastAsia"/>
                        <w:szCs w:val="21"/>
                      </w:rPr>
                      <w:t>招证国际</w:t>
                    </w:r>
                    <w:r w:rsidR="00FD042A" w:rsidRPr="004A4BB7">
                      <w:rPr>
                        <w:rFonts w:cs="Arial" w:hint="eastAsia"/>
                        <w:szCs w:val="21"/>
                      </w:rPr>
                      <w:t>为全资子公司招商证券投资管理（香港）有限公司在进行实物贵金属交易向交易对手方提供保证担保。</w:t>
                    </w:r>
                  </w:p>
                  <w:p w:rsidR="00FD042A" w:rsidRPr="004A4BB7" w:rsidRDefault="00084968" w:rsidP="009950AC">
                    <w:pPr>
                      <w:numPr>
                        <w:ilvl w:val="0"/>
                        <w:numId w:val="28"/>
                      </w:numPr>
                      <w:autoSpaceDE w:val="0"/>
                      <w:autoSpaceDN w:val="0"/>
                      <w:adjustRightInd w:val="0"/>
                      <w:rPr>
                        <w:szCs w:val="21"/>
                      </w:rPr>
                    </w:pPr>
                    <w:r w:rsidRPr="004A4BB7">
                      <w:rPr>
                        <w:rFonts w:cs="Arial" w:hint="eastAsia"/>
                        <w:szCs w:val="21"/>
                      </w:rPr>
                      <w:t>招证国际</w:t>
                    </w:r>
                    <w:r w:rsidR="00FD042A" w:rsidRPr="004A4BB7">
                      <w:rPr>
                        <w:rFonts w:cs="Arial" w:hint="eastAsia"/>
                        <w:szCs w:val="21"/>
                      </w:rPr>
                      <w:t>为全资子公司招商证券投资管理（香港）有限公司在场外贵金属主协议项下向交易对手方提供保证担保。</w:t>
                    </w:r>
                  </w:p>
                </w:tc>
              </w:sdtContent>
            </w:sdt>
          </w:tr>
        </w:tbl>
        <w:p w:rsidR="00704CAD" w:rsidRDefault="00422DCA">
          <w:pPr>
            <w:rPr>
              <w:szCs w:val="21"/>
            </w:rPr>
          </w:pPr>
        </w:p>
      </w:sdtContent>
    </w:sdt>
    <w:p w:rsidR="00704CAD" w:rsidRDefault="00720895" w:rsidP="001C1A59">
      <w:pPr>
        <w:pStyle w:val="2"/>
        <w:numPr>
          <w:ilvl w:val="0"/>
          <w:numId w:val="10"/>
        </w:numPr>
      </w:pPr>
      <w:r>
        <w:rPr>
          <w:rFonts w:hint="eastAsia"/>
        </w:rPr>
        <w:t>承诺事项履行情况</w:t>
      </w:r>
      <w:bookmarkEnd w:id="48"/>
      <w:bookmarkEnd w:id="49"/>
    </w:p>
    <w:sdt>
      <w:sdtPr>
        <w:rPr>
          <w:szCs w:val="21"/>
        </w:rPr>
        <w:alias w:val="是否适用：承诺事项履行情况"/>
        <w:tag w:val="_GBC_9efc46fbd89a45029cc112ef0bd201bd"/>
        <w:id w:val="24720573"/>
        <w:lock w:val="sdtContentLocked"/>
        <w:placeholder>
          <w:docPart w:val="GBC22222222222222222222222222222"/>
        </w:placeholder>
      </w:sdtPr>
      <w:sdtContent>
        <w:p w:rsidR="00704CAD" w:rsidRDefault="00422DCA">
          <w:pPr>
            <w:rPr>
              <w:szCs w:val="21"/>
            </w:rPr>
          </w:pPr>
          <w:r>
            <w:rPr>
              <w:szCs w:val="21"/>
            </w:rPr>
            <w:fldChar w:fldCharType="begin"/>
          </w:r>
          <w:r w:rsidR="00267C71">
            <w:rPr>
              <w:szCs w:val="21"/>
            </w:rPr>
            <w:instrText xml:space="preserve"> MACROBUTTON  SnrToggleCheckbox √适用 </w:instrText>
          </w:r>
          <w:r>
            <w:rPr>
              <w:szCs w:val="21"/>
            </w:rPr>
            <w:fldChar w:fldCharType="end"/>
          </w:r>
          <w:r>
            <w:rPr>
              <w:szCs w:val="21"/>
            </w:rPr>
            <w:fldChar w:fldCharType="begin"/>
          </w:r>
          <w:r w:rsidR="00267C71">
            <w:rPr>
              <w:szCs w:val="21"/>
            </w:rPr>
            <w:instrText xml:space="preserve"> MACROBUTTON  SnrToggleCheckbox □不适用 </w:instrText>
          </w:r>
          <w:r>
            <w:rPr>
              <w:szCs w:val="21"/>
            </w:rPr>
            <w:fldChar w:fldCharType="end"/>
          </w:r>
        </w:p>
      </w:sdtContent>
    </w:sdt>
    <w:p w:rsidR="00704CAD" w:rsidRDefault="00704CAD">
      <w:pPr>
        <w:rPr>
          <w:szCs w:val="21"/>
        </w:rPr>
      </w:pPr>
    </w:p>
    <w:sdt>
      <w:sdtPr>
        <w:rPr>
          <w:rFonts w:ascii="宋体" w:hAnsi="宋体" w:cs="宋体" w:hint="eastAsia"/>
          <w:b w:val="0"/>
          <w:bCs w:val="0"/>
          <w:kern w:val="0"/>
          <w:sz w:val="24"/>
          <w:szCs w:val="21"/>
        </w:rPr>
        <w:tag w:val="_GBC_0574977b178047238a3f6afc4cfc8fd5"/>
        <w:id w:val="24720619"/>
        <w:lock w:val="sdtLocked"/>
        <w:placeholder>
          <w:docPart w:val="GBC22222222222222222222222222222"/>
        </w:placeholder>
      </w:sdtPr>
      <w:sdtEndPr>
        <w:rPr>
          <w:sz w:val="21"/>
          <w:szCs w:val="24"/>
        </w:rPr>
      </w:sdtEndPr>
      <w:sdtContent>
        <w:p w:rsidR="00267C71" w:rsidRDefault="00720895" w:rsidP="00AD32D0">
          <w:pPr>
            <w:pStyle w:val="3"/>
            <w:ind w:leftChars="-1" w:left="-2"/>
            <w:rPr>
              <w:szCs w:val="21"/>
            </w:rPr>
          </w:pPr>
          <w:r w:rsidRPr="00FB6432">
            <w:rPr>
              <w:rFonts w:ascii="宋体" w:hAnsi="宋体" w:hint="eastAsia"/>
              <w:szCs w:val="21"/>
            </w:rPr>
            <w:t>上市公司、持股5%以上的股东、控股股东及实际控制人在报告期内或持续到报告期内的承诺事项</w:t>
          </w:r>
        </w:p>
        <w:tbl>
          <w:tblPr>
            <w:tblW w:w="531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8"/>
            <w:gridCol w:w="1051"/>
            <w:gridCol w:w="1055"/>
            <w:gridCol w:w="2936"/>
            <w:gridCol w:w="1419"/>
            <w:gridCol w:w="1134"/>
            <w:gridCol w:w="1132"/>
          </w:tblGrid>
          <w:tr w:rsidR="008D5F21" w:rsidTr="00823816">
            <w:trPr>
              <w:tblHeader/>
            </w:trPr>
            <w:tc>
              <w:tcPr>
                <w:tcW w:w="467" w:type="pct"/>
                <w:shd w:val="clear" w:color="auto" w:fill="auto"/>
                <w:vAlign w:val="center"/>
              </w:tcPr>
              <w:p w:rsidR="008D5F21" w:rsidRPr="00267C71" w:rsidRDefault="008D5F21" w:rsidP="00823816">
                <w:pPr>
                  <w:jc w:val="center"/>
                  <w:rPr>
                    <w:b/>
                    <w:szCs w:val="21"/>
                  </w:rPr>
                </w:pPr>
                <w:r w:rsidRPr="00267C71">
                  <w:rPr>
                    <w:rFonts w:hint="eastAsia"/>
                    <w:b/>
                    <w:szCs w:val="21"/>
                  </w:rPr>
                  <w:t>承诺背景</w:t>
                </w:r>
              </w:p>
            </w:tc>
            <w:tc>
              <w:tcPr>
                <w:tcW w:w="546" w:type="pct"/>
                <w:shd w:val="clear" w:color="auto" w:fill="auto"/>
                <w:vAlign w:val="center"/>
              </w:tcPr>
              <w:p w:rsidR="008D5F21" w:rsidRPr="00267C71" w:rsidRDefault="008D5F21" w:rsidP="00823816">
                <w:pPr>
                  <w:jc w:val="center"/>
                  <w:rPr>
                    <w:b/>
                    <w:szCs w:val="21"/>
                  </w:rPr>
                </w:pPr>
                <w:r w:rsidRPr="00267C71">
                  <w:rPr>
                    <w:rFonts w:hint="eastAsia"/>
                    <w:b/>
                    <w:szCs w:val="21"/>
                  </w:rPr>
                  <w:t>承诺</w:t>
                </w:r>
              </w:p>
              <w:p w:rsidR="008D5F21" w:rsidRPr="00267C71" w:rsidRDefault="008D5F21" w:rsidP="00823816">
                <w:pPr>
                  <w:jc w:val="center"/>
                  <w:rPr>
                    <w:b/>
                    <w:szCs w:val="21"/>
                  </w:rPr>
                </w:pPr>
                <w:r w:rsidRPr="00267C71">
                  <w:rPr>
                    <w:rFonts w:hint="eastAsia"/>
                    <w:b/>
                    <w:szCs w:val="21"/>
                  </w:rPr>
                  <w:t>类型</w:t>
                </w:r>
              </w:p>
            </w:tc>
            <w:tc>
              <w:tcPr>
                <w:tcW w:w="548" w:type="pct"/>
                <w:shd w:val="clear" w:color="auto" w:fill="auto"/>
                <w:vAlign w:val="center"/>
              </w:tcPr>
              <w:p w:rsidR="008D5F21" w:rsidRPr="00267C71" w:rsidRDefault="008D5F21" w:rsidP="00823816">
                <w:pPr>
                  <w:jc w:val="center"/>
                  <w:rPr>
                    <w:b/>
                    <w:szCs w:val="21"/>
                  </w:rPr>
                </w:pPr>
                <w:r w:rsidRPr="00267C71">
                  <w:rPr>
                    <w:rFonts w:hint="eastAsia"/>
                    <w:b/>
                    <w:szCs w:val="21"/>
                  </w:rPr>
                  <w:t>承诺方</w:t>
                </w:r>
              </w:p>
            </w:tc>
            <w:tc>
              <w:tcPr>
                <w:tcW w:w="1525" w:type="pct"/>
                <w:shd w:val="clear" w:color="auto" w:fill="auto"/>
                <w:vAlign w:val="center"/>
              </w:tcPr>
              <w:p w:rsidR="008D5F21" w:rsidRPr="00267C71" w:rsidRDefault="008D5F21" w:rsidP="00823816">
                <w:pPr>
                  <w:jc w:val="center"/>
                  <w:rPr>
                    <w:b/>
                    <w:szCs w:val="21"/>
                  </w:rPr>
                </w:pPr>
                <w:r w:rsidRPr="00267C71">
                  <w:rPr>
                    <w:rFonts w:hint="eastAsia"/>
                    <w:b/>
                    <w:szCs w:val="21"/>
                  </w:rPr>
                  <w:t>承诺</w:t>
                </w:r>
              </w:p>
              <w:p w:rsidR="008D5F21" w:rsidRPr="00267C71" w:rsidRDefault="008D5F21" w:rsidP="00823816">
                <w:pPr>
                  <w:jc w:val="center"/>
                  <w:rPr>
                    <w:b/>
                    <w:szCs w:val="21"/>
                  </w:rPr>
                </w:pPr>
                <w:r w:rsidRPr="00267C71">
                  <w:rPr>
                    <w:rFonts w:hint="eastAsia"/>
                    <w:b/>
                    <w:szCs w:val="21"/>
                  </w:rPr>
                  <w:t>内容</w:t>
                </w:r>
              </w:p>
            </w:tc>
            <w:tc>
              <w:tcPr>
                <w:tcW w:w="737" w:type="pct"/>
                <w:shd w:val="clear" w:color="auto" w:fill="auto"/>
                <w:vAlign w:val="center"/>
              </w:tcPr>
              <w:p w:rsidR="008D5F21" w:rsidRPr="00267C71" w:rsidRDefault="008D5F21" w:rsidP="00823816">
                <w:pPr>
                  <w:jc w:val="center"/>
                  <w:rPr>
                    <w:b/>
                    <w:szCs w:val="21"/>
                  </w:rPr>
                </w:pPr>
                <w:r w:rsidRPr="00267C71">
                  <w:rPr>
                    <w:rFonts w:hint="eastAsia"/>
                    <w:b/>
                    <w:szCs w:val="21"/>
                  </w:rPr>
                  <w:t>承诺时间及期限</w:t>
                </w:r>
              </w:p>
            </w:tc>
            <w:tc>
              <w:tcPr>
                <w:tcW w:w="589" w:type="pct"/>
                <w:shd w:val="clear" w:color="auto" w:fill="auto"/>
                <w:vAlign w:val="center"/>
              </w:tcPr>
              <w:p w:rsidR="008D5F21" w:rsidRPr="00267C71" w:rsidRDefault="008D5F21" w:rsidP="00823816">
                <w:pPr>
                  <w:jc w:val="center"/>
                  <w:rPr>
                    <w:b/>
                    <w:szCs w:val="21"/>
                  </w:rPr>
                </w:pPr>
                <w:r w:rsidRPr="00267C71">
                  <w:rPr>
                    <w:rFonts w:hint="eastAsia"/>
                    <w:b/>
                    <w:szCs w:val="21"/>
                  </w:rPr>
                  <w:t>是否有履行期限</w:t>
                </w:r>
              </w:p>
            </w:tc>
            <w:tc>
              <w:tcPr>
                <w:tcW w:w="588" w:type="pct"/>
                <w:shd w:val="clear" w:color="auto" w:fill="auto"/>
                <w:vAlign w:val="center"/>
              </w:tcPr>
              <w:p w:rsidR="008D5F21" w:rsidRPr="00267C71" w:rsidRDefault="008D5F21" w:rsidP="00823816">
                <w:pPr>
                  <w:jc w:val="center"/>
                  <w:rPr>
                    <w:b/>
                    <w:szCs w:val="21"/>
                  </w:rPr>
                </w:pPr>
                <w:r w:rsidRPr="00267C71">
                  <w:rPr>
                    <w:rFonts w:hint="eastAsia"/>
                    <w:b/>
                    <w:szCs w:val="21"/>
                  </w:rPr>
                  <w:t>是否及时严格履行</w:t>
                </w:r>
              </w:p>
            </w:tc>
          </w:tr>
          <w:sdt>
            <w:sdtPr>
              <w:rPr>
                <w:rFonts w:hint="eastAsia"/>
                <w:szCs w:val="21"/>
              </w:rPr>
              <w:alias w:val="与首次公开发行相关的承诺"/>
              <w:tag w:val="_GBC_a676aae4f0134a5a998ae62c466ef585"/>
              <w:id w:val="26932382"/>
              <w:lock w:val="sdtLocked"/>
            </w:sdtPr>
            <w:sdtEndPr>
              <w:rPr>
                <w:rFonts w:hint="default"/>
              </w:rPr>
            </w:sdtEndPr>
            <w:sdtContent>
              <w:tr w:rsidR="008D5F21" w:rsidTr="00823816">
                <w:tc>
                  <w:tcPr>
                    <w:tcW w:w="467" w:type="pct"/>
                    <w:shd w:val="clear" w:color="auto" w:fill="auto"/>
                    <w:vAlign w:val="center"/>
                  </w:tcPr>
                  <w:p w:rsidR="008D5F21" w:rsidRDefault="008D5F21" w:rsidP="00823816">
                    <w:pPr>
                      <w:rPr>
                        <w:szCs w:val="21"/>
                      </w:rPr>
                    </w:pPr>
                    <w:r>
                      <w:rPr>
                        <w:rFonts w:hint="eastAsia"/>
                        <w:szCs w:val="21"/>
                      </w:rPr>
                      <w:t>与首次公开发行相关的承诺</w:t>
                    </w:r>
                  </w:p>
                </w:tc>
                <w:sdt>
                  <w:sdtPr>
                    <w:rPr>
                      <w:szCs w:val="21"/>
                    </w:rPr>
                    <w:alias w:val="与首次公开发行相关的承诺-承诺类型"/>
                    <w:tag w:val="_GBC_1902822208fc47339aa8c5238d3782f9"/>
                    <w:id w:val="269323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46" w:type="pct"/>
                        <w:shd w:val="clear" w:color="auto" w:fill="auto"/>
                        <w:vAlign w:val="center"/>
                      </w:tcPr>
                      <w:p w:rsidR="008D5F21" w:rsidRDefault="008D5F21" w:rsidP="00823816">
                        <w:pPr>
                          <w:rPr>
                            <w:color w:val="FFC000"/>
                            <w:szCs w:val="21"/>
                          </w:rPr>
                        </w:pPr>
                        <w:r>
                          <w:rPr>
                            <w:szCs w:val="21"/>
                          </w:rPr>
                          <w:t>解决同业竞争</w:t>
                        </w:r>
                      </w:p>
                    </w:tc>
                  </w:sdtContent>
                </w:sdt>
                <w:sdt>
                  <w:sdtPr>
                    <w:rPr>
                      <w:szCs w:val="21"/>
                    </w:rPr>
                    <w:alias w:val="与首次公开发行相关的承诺-承诺方"/>
                    <w:tag w:val="_GBC_4b8b8c3b31c444b8803946fdb1a30f14"/>
                    <w:id w:val="26932377"/>
                    <w:lock w:val="sdtLocked"/>
                  </w:sdtPr>
                  <w:sdtContent>
                    <w:tc>
                      <w:tcPr>
                        <w:tcW w:w="548" w:type="pct"/>
                        <w:shd w:val="clear" w:color="auto" w:fill="auto"/>
                        <w:tcMar>
                          <w:left w:w="28" w:type="dxa"/>
                          <w:right w:w="28" w:type="dxa"/>
                        </w:tcMar>
                        <w:vAlign w:val="center"/>
                      </w:tcPr>
                      <w:p w:rsidR="008D5F21" w:rsidRDefault="008D5F21" w:rsidP="00823816">
                        <w:pPr>
                          <w:rPr>
                            <w:szCs w:val="21"/>
                          </w:rPr>
                        </w:pPr>
                        <w:r>
                          <w:rPr>
                            <w:szCs w:val="21"/>
                          </w:rPr>
                          <w:t>集盛投资</w:t>
                        </w:r>
                      </w:p>
                    </w:tc>
                  </w:sdtContent>
                </w:sdt>
                <w:sdt>
                  <w:sdtPr>
                    <w:rPr>
                      <w:szCs w:val="21"/>
                    </w:rPr>
                    <w:alias w:val="与首次公开发行相关的承诺-承诺内容"/>
                    <w:tag w:val="_GBC_57172b89d4424f51b904a547c6c8ae81"/>
                    <w:id w:val="26932378"/>
                    <w:lock w:val="sdtLocked"/>
                  </w:sdtPr>
                  <w:sdtContent>
                    <w:tc>
                      <w:tcPr>
                        <w:tcW w:w="1525" w:type="pct"/>
                        <w:shd w:val="clear" w:color="auto" w:fill="auto"/>
                        <w:tcMar>
                          <w:left w:w="28" w:type="dxa"/>
                          <w:right w:w="28" w:type="dxa"/>
                        </w:tcMar>
                        <w:vAlign w:val="center"/>
                      </w:tcPr>
                      <w:p w:rsidR="008D5F21" w:rsidRDefault="008D5F21" w:rsidP="00823816">
                        <w:pPr>
                          <w:rPr>
                            <w:szCs w:val="21"/>
                          </w:rPr>
                        </w:pPr>
                        <w:r>
                          <w:rPr>
                            <w:szCs w:val="21"/>
                          </w:rPr>
                          <w:t>已向本公司出具《避免同业竞争承诺函》，承诺将依照法律、行政法规的规定，不从事与本公司及本公司的全资、控股企业现有主营业务构成直接竞争关系的业务。</w:t>
                        </w:r>
                      </w:p>
                    </w:tc>
                  </w:sdtContent>
                </w:sdt>
                <w:sdt>
                  <w:sdtPr>
                    <w:rPr>
                      <w:szCs w:val="21"/>
                    </w:rPr>
                    <w:alias w:val="与首次公开发行相关的承诺-承诺时间及期限"/>
                    <w:tag w:val="_GBC_2366b057346d4a9b9d90860661492fdc"/>
                    <w:id w:val="26932379"/>
                    <w:lock w:val="sdtLocked"/>
                  </w:sdtPr>
                  <w:sdtContent>
                    <w:tc>
                      <w:tcPr>
                        <w:tcW w:w="737" w:type="pct"/>
                        <w:shd w:val="clear" w:color="auto" w:fill="auto"/>
                        <w:vAlign w:val="center"/>
                      </w:tcPr>
                      <w:p w:rsidR="008D5F21" w:rsidRDefault="008D5F21" w:rsidP="00823816">
                        <w:pPr>
                          <w:rPr>
                            <w:szCs w:val="21"/>
                          </w:rPr>
                        </w:pPr>
                        <w:r>
                          <w:rPr>
                            <w:szCs w:val="21"/>
                          </w:rPr>
                          <w:t>在本公司公开发行股票并上市后，集盛投资在作为本公司股东期间。</w:t>
                        </w:r>
                      </w:p>
                    </w:tc>
                  </w:sdtContent>
                </w:sdt>
                <w:sdt>
                  <w:sdtPr>
                    <w:rPr>
                      <w:szCs w:val="21"/>
                    </w:rPr>
                    <w:alias w:val="与首次公开发行相关的承诺-是否有履行期限"/>
                    <w:tag w:val="_GBC_329877188f2743dfa084ad283dd5d116"/>
                    <w:id w:val="26932380"/>
                    <w:lock w:val="sdtLocked"/>
                    <w:comboBox>
                      <w:listItem w:displayText="是" w:value="true"/>
                      <w:listItem w:displayText="否" w:value="false"/>
                    </w:comboBox>
                  </w:sdtPr>
                  <w:sdtContent>
                    <w:tc>
                      <w:tcPr>
                        <w:tcW w:w="589" w:type="pct"/>
                        <w:shd w:val="clear" w:color="auto" w:fill="auto"/>
                        <w:vAlign w:val="center"/>
                      </w:tcPr>
                      <w:p w:rsidR="008D5F21" w:rsidRDefault="008D5F21" w:rsidP="00823816">
                        <w:pPr>
                          <w:jc w:val="center"/>
                          <w:rPr>
                            <w:szCs w:val="21"/>
                          </w:rPr>
                        </w:pPr>
                        <w:r>
                          <w:rPr>
                            <w:szCs w:val="21"/>
                          </w:rPr>
                          <w:t>是</w:t>
                        </w:r>
                      </w:p>
                    </w:tc>
                  </w:sdtContent>
                </w:sdt>
                <w:sdt>
                  <w:sdtPr>
                    <w:rPr>
                      <w:szCs w:val="21"/>
                    </w:rPr>
                    <w:alias w:val="与首次公开发行相关的承诺-是否及时严格履行"/>
                    <w:tag w:val="_GBC_d1f124d49de8400e9d3be5fca3a4db63"/>
                    <w:id w:val="26932381"/>
                    <w:lock w:val="sdtLocked"/>
                    <w:comboBox>
                      <w:listItem w:displayText="是" w:value="true"/>
                      <w:listItem w:displayText="否" w:value="false"/>
                    </w:comboBox>
                  </w:sdtPr>
                  <w:sdtContent>
                    <w:tc>
                      <w:tcPr>
                        <w:tcW w:w="588" w:type="pct"/>
                        <w:shd w:val="clear" w:color="auto" w:fill="auto"/>
                        <w:vAlign w:val="center"/>
                      </w:tcPr>
                      <w:p w:rsidR="008D5F21" w:rsidRDefault="008D5F21" w:rsidP="00823816">
                        <w:pPr>
                          <w:jc w:val="center"/>
                          <w:rPr>
                            <w:szCs w:val="21"/>
                          </w:rPr>
                        </w:pPr>
                        <w:r>
                          <w:rPr>
                            <w:szCs w:val="21"/>
                          </w:rPr>
                          <w:t>是</w:t>
                        </w:r>
                      </w:p>
                    </w:tc>
                  </w:sdtContent>
                </w:sdt>
              </w:tr>
            </w:sdtContent>
          </w:sdt>
          <w:sdt>
            <w:sdtPr>
              <w:rPr>
                <w:rFonts w:hint="eastAsia"/>
                <w:szCs w:val="21"/>
              </w:rPr>
              <w:alias w:val="与首次公开发行相关的承诺"/>
              <w:tag w:val="_GBC_a676aae4f0134a5a998ae62c466ef585"/>
              <w:id w:val="26932389"/>
              <w:lock w:val="sdtLocked"/>
            </w:sdtPr>
            <w:sdtEndPr>
              <w:rPr>
                <w:rFonts w:hint="default"/>
              </w:rPr>
            </w:sdtEndPr>
            <w:sdtContent>
              <w:tr w:rsidR="008D5F21" w:rsidTr="00823816">
                <w:trPr>
                  <w:trHeight w:val="3638"/>
                </w:trPr>
                <w:tc>
                  <w:tcPr>
                    <w:tcW w:w="467" w:type="pct"/>
                    <w:shd w:val="clear" w:color="auto" w:fill="auto"/>
                    <w:vAlign w:val="center"/>
                  </w:tcPr>
                  <w:p w:rsidR="008D5F21" w:rsidRDefault="008D5F21" w:rsidP="00823816">
                    <w:pPr>
                      <w:rPr>
                        <w:szCs w:val="21"/>
                      </w:rPr>
                    </w:pPr>
                    <w:r>
                      <w:rPr>
                        <w:rFonts w:hint="eastAsia"/>
                        <w:szCs w:val="21"/>
                      </w:rPr>
                      <w:t>与首次公开发行相关的承诺</w:t>
                    </w:r>
                  </w:p>
                </w:tc>
                <w:sdt>
                  <w:sdtPr>
                    <w:rPr>
                      <w:szCs w:val="21"/>
                    </w:rPr>
                    <w:alias w:val="与首次公开发行相关的承诺-承诺类型"/>
                    <w:tag w:val="_GBC_1902822208fc47339aa8c5238d3782f9"/>
                    <w:id w:val="2693238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46" w:type="pct"/>
                        <w:shd w:val="clear" w:color="auto" w:fill="auto"/>
                        <w:vAlign w:val="center"/>
                      </w:tcPr>
                      <w:p w:rsidR="008D5F21" w:rsidRDefault="008D5F21" w:rsidP="00823816">
                        <w:pPr>
                          <w:rPr>
                            <w:szCs w:val="21"/>
                          </w:rPr>
                        </w:pPr>
                        <w:r>
                          <w:rPr>
                            <w:szCs w:val="21"/>
                          </w:rPr>
                          <w:t>解决同业竞争</w:t>
                        </w:r>
                      </w:p>
                    </w:tc>
                  </w:sdtContent>
                </w:sdt>
                <w:sdt>
                  <w:sdtPr>
                    <w:rPr>
                      <w:szCs w:val="21"/>
                    </w:rPr>
                    <w:alias w:val="与首次公开发行相关的承诺-承诺方"/>
                    <w:tag w:val="_GBC_4b8b8c3b31c444b8803946fdb1a30f14"/>
                    <w:id w:val="26932384"/>
                    <w:lock w:val="sdtLocked"/>
                  </w:sdtPr>
                  <w:sdtContent>
                    <w:tc>
                      <w:tcPr>
                        <w:tcW w:w="548" w:type="pct"/>
                        <w:shd w:val="clear" w:color="auto" w:fill="auto"/>
                        <w:tcMar>
                          <w:left w:w="28" w:type="dxa"/>
                          <w:right w:w="28" w:type="dxa"/>
                        </w:tcMar>
                        <w:vAlign w:val="center"/>
                      </w:tcPr>
                      <w:p w:rsidR="008D5F21" w:rsidRDefault="008D5F21" w:rsidP="00823816">
                        <w:pPr>
                          <w:rPr>
                            <w:szCs w:val="21"/>
                          </w:rPr>
                        </w:pPr>
                        <w:r>
                          <w:rPr>
                            <w:szCs w:val="21"/>
                          </w:rPr>
                          <w:t>招商局集团</w:t>
                        </w:r>
                      </w:p>
                    </w:tc>
                  </w:sdtContent>
                </w:sdt>
                <w:sdt>
                  <w:sdtPr>
                    <w:rPr>
                      <w:szCs w:val="21"/>
                    </w:rPr>
                    <w:alias w:val="与首次公开发行相关的承诺-承诺内容"/>
                    <w:tag w:val="_GBC_57172b89d4424f51b904a547c6c8ae81"/>
                    <w:id w:val="26932385"/>
                    <w:lock w:val="sdtLocked"/>
                  </w:sdtPr>
                  <w:sdtContent>
                    <w:tc>
                      <w:tcPr>
                        <w:tcW w:w="1525" w:type="pct"/>
                        <w:shd w:val="clear" w:color="auto" w:fill="auto"/>
                        <w:tcMar>
                          <w:left w:w="28" w:type="dxa"/>
                          <w:right w:w="28" w:type="dxa"/>
                        </w:tcMar>
                        <w:vAlign w:val="center"/>
                      </w:tcPr>
                      <w:p w:rsidR="008D5F21" w:rsidRDefault="008D5F21" w:rsidP="00823816">
                        <w:pPr>
                          <w:rPr>
                            <w:szCs w:val="21"/>
                          </w:rPr>
                        </w:pPr>
                        <w:r>
                          <w:rPr>
                            <w:szCs w:val="21"/>
                          </w:rPr>
                          <w:t>已向本公司出具《避免同业竞争承诺函》，承诺招商局集团及其实际控制的法人不再在中国境内新设或通过收购控制其它证券公司；针对招商局集团控制的非证券公司所从事的与证券公司相同或类似的业务，在本公司公开发行股票并上市后由本公司依法进行充分的披露；招商局集团不利用在本公司中实际控制人的地位损害本公司及其它股东的利益。</w:t>
                        </w:r>
                      </w:p>
                    </w:tc>
                  </w:sdtContent>
                </w:sdt>
                <w:sdt>
                  <w:sdtPr>
                    <w:rPr>
                      <w:szCs w:val="21"/>
                    </w:rPr>
                    <w:alias w:val="与首次公开发行相关的承诺-承诺时间及期限"/>
                    <w:tag w:val="_GBC_2366b057346d4a9b9d90860661492fdc"/>
                    <w:id w:val="26932386"/>
                    <w:lock w:val="sdtLocked"/>
                  </w:sdtPr>
                  <w:sdtContent>
                    <w:tc>
                      <w:tcPr>
                        <w:tcW w:w="737" w:type="pct"/>
                        <w:shd w:val="clear" w:color="auto" w:fill="auto"/>
                        <w:vAlign w:val="center"/>
                      </w:tcPr>
                      <w:p w:rsidR="008D5F21" w:rsidRDefault="008D5F21" w:rsidP="00823816">
                        <w:pPr>
                          <w:rPr>
                            <w:szCs w:val="21"/>
                          </w:rPr>
                        </w:pPr>
                        <w:r>
                          <w:rPr>
                            <w:szCs w:val="21"/>
                          </w:rPr>
                          <w:t>在本公司公开发行股票并上市后，招商局集团在作为本公司实际控制人期间。</w:t>
                        </w:r>
                      </w:p>
                    </w:tc>
                  </w:sdtContent>
                </w:sdt>
                <w:sdt>
                  <w:sdtPr>
                    <w:rPr>
                      <w:szCs w:val="21"/>
                    </w:rPr>
                    <w:alias w:val="与首次公开发行相关的承诺-是否有履行期限"/>
                    <w:tag w:val="_GBC_329877188f2743dfa084ad283dd5d116"/>
                    <w:id w:val="26932387"/>
                    <w:lock w:val="sdtLocked"/>
                    <w:comboBox>
                      <w:listItem w:displayText="是" w:value="true"/>
                      <w:listItem w:displayText="否" w:value="false"/>
                    </w:comboBox>
                  </w:sdtPr>
                  <w:sdtContent>
                    <w:tc>
                      <w:tcPr>
                        <w:tcW w:w="589" w:type="pct"/>
                        <w:shd w:val="clear" w:color="auto" w:fill="auto"/>
                        <w:vAlign w:val="center"/>
                      </w:tcPr>
                      <w:p w:rsidR="008D5F21" w:rsidRDefault="008D5F21" w:rsidP="00823816">
                        <w:pPr>
                          <w:jc w:val="center"/>
                          <w:rPr>
                            <w:szCs w:val="21"/>
                          </w:rPr>
                        </w:pPr>
                        <w:r>
                          <w:rPr>
                            <w:szCs w:val="21"/>
                          </w:rPr>
                          <w:t>是</w:t>
                        </w:r>
                      </w:p>
                    </w:tc>
                  </w:sdtContent>
                </w:sdt>
                <w:sdt>
                  <w:sdtPr>
                    <w:rPr>
                      <w:szCs w:val="21"/>
                    </w:rPr>
                    <w:alias w:val="与首次公开发行相关的承诺-是否及时严格履行"/>
                    <w:tag w:val="_GBC_d1f124d49de8400e9d3be5fca3a4db63"/>
                    <w:id w:val="26932388"/>
                    <w:lock w:val="sdtLocked"/>
                    <w:comboBox>
                      <w:listItem w:displayText="是" w:value="true"/>
                      <w:listItem w:displayText="否" w:value="false"/>
                    </w:comboBox>
                  </w:sdtPr>
                  <w:sdtContent>
                    <w:tc>
                      <w:tcPr>
                        <w:tcW w:w="588" w:type="pct"/>
                        <w:shd w:val="clear" w:color="auto" w:fill="auto"/>
                        <w:vAlign w:val="center"/>
                      </w:tcPr>
                      <w:p w:rsidR="008D5F21" w:rsidRDefault="008D5F21" w:rsidP="00823816">
                        <w:pPr>
                          <w:jc w:val="center"/>
                          <w:rPr>
                            <w:szCs w:val="21"/>
                          </w:rPr>
                        </w:pPr>
                        <w:r>
                          <w:rPr>
                            <w:szCs w:val="21"/>
                          </w:rPr>
                          <w:t>是</w:t>
                        </w:r>
                      </w:p>
                    </w:tc>
                  </w:sdtContent>
                </w:sdt>
              </w:tr>
            </w:sdtContent>
          </w:sdt>
          <w:sdt>
            <w:sdtPr>
              <w:rPr>
                <w:rFonts w:hint="eastAsia"/>
                <w:szCs w:val="21"/>
              </w:rPr>
              <w:alias w:val="与再融资相关的承诺"/>
              <w:tag w:val="_GBC_f680ba4b7b774b5593fa9286e2ed36ea"/>
              <w:id w:val="26932396"/>
              <w:lock w:val="sdtLocked"/>
            </w:sdtPr>
            <w:sdtEndPr>
              <w:rPr>
                <w:rFonts w:hint="default"/>
              </w:rPr>
            </w:sdtEndPr>
            <w:sdtContent>
              <w:tr w:rsidR="008D5F21" w:rsidTr="00823816">
                <w:tc>
                  <w:tcPr>
                    <w:tcW w:w="467" w:type="pct"/>
                    <w:shd w:val="clear" w:color="auto" w:fill="auto"/>
                    <w:vAlign w:val="center"/>
                  </w:tcPr>
                  <w:p w:rsidR="008D5F21" w:rsidRDefault="008D5F21" w:rsidP="00823816">
                    <w:pPr>
                      <w:rPr>
                        <w:szCs w:val="21"/>
                      </w:rPr>
                    </w:pPr>
                    <w:r>
                      <w:rPr>
                        <w:rFonts w:hint="eastAsia"/>
                        <w:szCs w:val="21"/>
                      </w:rPr>
                      <w:t>与再融资相关的承诺</w:t>
                    </w:r>
                  </w:p>
                </w:tc>
                <w:sdt>
                  <w:sdtPr>
                    <w:rPr>
                      <w:szCs w:val="21"/>
                    </w:rPr>
                    <w:alias w:val="与再融资相关的承诺-承诺类型"/>
                    <w:tag w:val="_GBC_dcef5064591644fa94887a0360f882e6"/>
                    <w:id w:val="2693239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46" w:type="pct"/>
                        <w:shd w:val="clear" w:color="auto" w:fill="auto"/>
                        <w:vAlign w:val="center"/>
                      </w:tcPr>
                      <w:p w:rsidR="008D5F21" w:rsidRDefault="008D5F21" w:rsidP="00823816">
                        <w:pPr>
                          <w:rPr>
                            <w:szCs w:val="21"/>
                          </w:rPr>
                        </w:pPr>
                        <w:r>
                          <w:rPr>
                            <w:szCs w:val="21"/>
                          </w:rPr>
                          <w:t>股份限售</w:t>
                        </w:r>
                      </w:p>
                    </w:tc>
                  </w:sdtContent>
                </w:sdt>
                <w:sdt>
                  <w:sdtPr>
                    <w:rPr>
                      <w:szCs w:val="21"/>
                    </w:rPr>
                    <w:alias w:val="与再融资相关的承诺-承诺方"/>
                    <w:tag w:val="_GBC_3e8ae5cde12a49479f990aaf41fc5dee"/>
                    <w:id w:val="26932391"/>
                    <w:lock w:val="sdtLocked"/>
                  </w:sdtPr>
                  <w:sdtContent>
                    <w:tc>
                      <w:tcPr>
                        <w:tcW w:w="548" w:type="pct"/>
                        <w:shd w:val="clear" w:color="auto" w:fill="auto"/>
                        <w:tcMar>
                          <w:left w:w="28" w:type="dxa"/>
                          <w:right w:w="28" w:type="dxa"/>
                        </w:tcMar>
                        <w:vAlign w:val="center"/>
                      </w:tcPr>
                      <w:p w:rsidR="008D5F21" w:rsidRDefault="008D5F21" w:rsidP="008D5F21">
                        <w:pPr>
                          <w:rPr>
                            <w:szCs w:val="21"/>
                          </w:rPr>
                        </w:pPr>
                        <w:r>
                          <w:rPr>
                            <w:rFonts w:hint="eastAsia"/>
                            <w:szCs w:val="21"/>
                          </w:rPr>
                          <w:t>招融投资</w:t>
                        </w:r>
                      </w:p>
                    </w:tc>
                  </w:sdtContent>
                </w:sdt>
                <w:sdt>
                  <w:sdtPr>
                    <w:rPr>
                      <w:szCs w:val="21"/>
                    </w:rPr>
                    <w:alias w:val="与再融资相关的承诺-承诺内容"/>
                    <w:tag w:val="_GBC_c106b06e5b914c6e936635088097a637"/>
                    <w:id w:val="26932392"/>
                    <w:lock w:val="sdtLocked"/>
                  </w:sdtPr>
                  <w:sdtContent>
                    <w:tc>
                      <w:tcPr>
                        <w:tcW w:w="1525" w:type="pct"/>
                        <w:shd w:val="clear" w:color="auto" w:fill="auto"/>
                        <w:tcMar>
                          <w:left w:w="28" w:type="dxa"/>
                          <w:right w:w="28" w:type="dxa"/>
                        </w:tcMar>
                        <w:vAlign w:val="center"/>
                      </w:tcPr>
                      <w:p w:rsidR="008D5F21" w:rsidRDefault="00CB25DD" w:rsidP="00823816">
                        <w:pPr>
                          <w:rPr>
                            <w:szCs w:val="21"/>
                          </w:rPr>
                        </w:pPr>
                        <w:r w:rsidRPr="009A4C9C">
                          <w:rPr>
                            <w:szCs w:val="21"/>
                          </w:rPr>
                          <w:t>自公司2014年5月非公开发行结束之日起，所认购本次非公开发行的</w:t>
                        </w:r>
                        <w:r w:rsidRPr="009A4C9C">
                          <w:rPr>
                            <w:rFonts w:hint="eastAsia"/>
                            <w:szCs w:val="21"/>
                          </w:rPr>
                          <w:t>A</w:t>
                        </w:r>
                        <w:r w:rsidRPr="009A4C9C">
                          <w:rPr>
                            <w:szCs w:val="21"/>
                          </w:rPr>
                          <w:t>股普通股在60个月内不得转让。</w:t>
                        </w:r>
                      </w:p>
                    </w:tc>
                  </w:sdtContent>
                </w:sdt>
                <w:sdt>
                  <w:sdtPr>
                    <w:rPr>
                      <w:szCs w:val="21"/>
                    </w:rPr>
                    <w:alias w:val="与再融资相关的承诺-承诺时间及期限"/>
                    <w:tag w:val="_GBC_6e0e7bebf4d4471fb6e7e4d26ebdb475"/>
                    <w:id w:val="26932393"/>
                    <w:lock w:val="sdtLocked"/>
                  </w:sdtPr>
                  <w:sdtContent>
                    <w:tc>
                      <w:tcPr>
                        <w:tcW w:w="737" w:type="pct"/>
                        <w:shd w:val="clear" w:color="auto" w:fill="auto"/>
                        <w:vAlign w:val="center"/>
                      </w:tcPr>
                      <w:p w:rsidR="008D5F21" w:rsidRDefault="00CB25DD" w:rsidP="00CB25DD">
                        <w:pPr>
                          <w:rPr>
                            <w:szCs w:val="21"/>
                          </w:rPr>
                        </w:pPr>
                        <w:r>
                          <w:rPr>
                            <w:rFonts w:hint="eastAsia"/>
                            <w:szCs w:val="21"/>
                          </w:rPr>
                          <w:t>60个月</w:t>
                        </w:r>
                      </w:p>
                    </w:tc>
                  </w:sdtContent>
                </w:sdt>
                <w:sdt>
                  <w:sdtPr>
                    <w:rPr>
                      <w:szCs w:val="21"/>
                    </w:rPr>
                    <w:alias w:val="与再融资相关的承诺-是否有履行期限"/>
                    <w:tag w:val="_GBC_ce2f85adbe004bbfaca0b0db409c89b1"/>
                    <w:id w:val="26932394"/>
                    <w:lock w:val="sdtLocked"/>
                    <w:comboBox>
                      <w:listItem w:displayText="是" w:value="true"/>
                      <w:listItem w:displayText="否" w:value="false"/>
                    </w:comboBox>
                  </w:sdtPr>
                  <w:sdtContent>
                    <w:tc>
                      <w:tcPr>
                        <w:tcW w:w="589" w:type="pct"/>
                        <w:shd w:val="clear" w:color="auto" w:fill="auto"/>
                        <w:vAlign w:val="center"/>
                      </w:tcPr>
                      <w:p w:rsidR="008D5F21" w:rsidRDefault="00CB25DD" w:rsidP="00823816">
                        <w:pPr>
                          <w:jc w:val="center"/>
                          <w:rPr>
                            <w:szCs w:val="21"/>
                          </w:rPr>
                        </w:pPr>
                        <w:r>
                          <w:rPr>
                            <w:szCs w:val="21"/>
                          </w:rPr>
                          <w:t>是</w:t>
                        </w:r>
                      </w:p>
                    </w:tc>
                  </w:sdtContent>
                </w:sdt>
                <w:sdt>
                  <w:sdtPr>
                    <w:rPr>
                      <w:szCs w:val="21"/>
                    </w:rPr>
                    <w:alias w:val="与再融资相关的承诺-是否及时严格履行"/>
                    <w:tag w:val="_GBC_247f4815a6c34d70afb84ddd775901bc"/>
                    <w:id w:val="26932395"/>
                    <w:lock w:val="sdtLocked"/>
                    <w:comboBox>
                      <w:listItem w:displayText="是" w:value="true"/>
                      <w:listItem w:displayText="否" w:value="false"/>
                    </w:comboBox>
                  </w:sdtPr>
                  <w:sdtContent>
                    <w:tc>
                      <w:tcPr>
                        <w:tcW w:w="588" w:type="pct"/>
                        <w:shd w:val="clear" w:color="auto" w:fill="auto"/>
                        <w:vAlign w:val="center"/>
                      </w:tcPr>
                      <w:p w:rsidR="008D5F21" w:rsidRDefault="00CB25DD" w:rsidP="00823816">
                        <w:pPr>
                          <w:jc w:val="center"/>
                          <w:rPr>
                            <w:szCs w:val="21"/>
                          </w:rPr>
                        </w:pPr>
                        <w:r>
                          <w:rPr>
                            <w:szCs w:val="21"/>
                          </w:rPr>
                          <w:t>是</w:t>
                        </w:r>
                      </w:p>
                    </w:tc>
                  </w:sdtContent>
                </w:sdt>
              </w:tr>
            </w:sdtContent>
          </w:sdt>
          <w:sdt>
            <w:sdtPr>
              <w:rPr>
                <w:rFonts w:hint="eastAsia"/>
                <w:szCs w:val="21"/>
              </w:rPr>
              <w:alias w:val="与再融资相关的承诺"/>
              <w:tag w:val="_GBC_f680ba4b7b774b5593fa9286e2ed36ea"/>
              <w:id w:val="26932403"/>
              <w:lock w:val="sdtLocked"/>
            </w:sdtPr>
            <w:sdtEndPr>
              <w:rPr>
                <w:rFonts w:hint="default"/>
              </w:rPr>
            </w:sdtEndPr>
            <w:sdtContent>
              <w:tr w:rsidR="008D5F21" w:rsidTr="00823816">
                <w:tc>
                  <w:tcPr>
                    <w:tcW w:w="467" w:type="pct"/>
                    <w:shd w:val="clear" w:color="auto" w:fill="auto"/>
                    <w:vAlign w:val="center"/>
                  </w:tcPr>
                  <w:p w:rsidR="008D5F21" w:rsidRDefault="008D5F21" w:rsidP="00823816">
                    <w:pPr>
                      <w:rPr>
                        <w:szCs w:val="21"/>
                      </w:rPr>
                    </w:pPr>
                    <w:r>
                      <w:rPr>
                        <w:rFonts w:hint="eastAsia"/>
                        <w:szCs w:val="21"/>
                      </w:rPr>
                      <w:t>与再融资相关的承诺</w:t>
                    </w:r>
                  </w:p>
                </w:tc>
                <w:sdt>
                  <w:sdtPr>
                    <w:rPr>
                      <w:szCs w:val="21"/>
                    </w:rPr>
                    <w:alias w:val="与再融资相关的承诺-承诺类型"/>
                    <w:tag w:val="_GBC_dcef5064591644fa94887a0360f882e6"/>
                    <w:id w:val="269323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46" w:type="pct"/>
                        <w:shd w:val="clear" w:color="auto" w:fill="auto"/>
                        <w:vAlign w:val="center"/>
                      </w:tcPr>
                      <w:p w:rsidR="008D5F21" w:rsidRDefault="008D5F21" w:rsidP="00823816">
                        <w:pPr>
                          <w:rPr>
                            <w:szCs w:val="21"/>
                          </w:rPr>
                        </w:pPr>
                        <w:r>
                          <w:rPr>
                            <w:szCs w:val="21"/>
                          </w:rPr>
                          <w:t>股份限售</w:t>
                        </w:r>
                      </w:p>
                    </w:tc>
                  </w:sdtContent>
                </w:sdt>
                <w:sdt>
                  <w:sdtPr>
                    <w:rPr>
                      <w:szCs w:val="21"/>
                    </w:rPr>
                    <w:alias w:val="与再融资相关的承诺-承诺方"/>
                    <w:tag w:val="_GBC_3e8ae5cde12a49479f990aaf41fc5dee"/>
                    <w:id w:val="26932398"/>
                    <w:lock w:val="sdtLocked"/>
                  </w:sdtPr>
                  <w:sdtContent>
                    <w:tc>
                      <w:tcPr>
                        <w:tcW w:w="548" w:type="pct"/>
                        <w:shd w:val="clear" w:color="auto" w:fill="auto"/>
                        <w:tcMar>
                          <w:left w:w="28" w:type="dxa"/>
                          <w:right w:w="28" w:type="dxa"/>
                        </w:tcMar>
                        <w:vAlign w:val="center"/>
                      </w:tcPr>
                      <w:p w:rsidR="008D5F21" w:rsidRDefault="008D5F21" w:rsidP="00823816">
                        <w:pPr>
                          <w:rPr>
                            <w:szCs w:val="21"/>
                          </w:rPr>
                        </w:pPr>
                        <w:r>
                          <w:rPr>
                            <w:szCs w:val="21"/>
                          </w:rPr>
                          <w:t>中国远洋运输（集团）总公司、河北港口集团有限公司</w:t>
                        </w:r>
                      </w:p>
                    </w:tc>
                  </w:sdtContent>
                </w:sdt>
                <w:sdt>
                  <w:sdtPr>
                    <w:rPr>
                      <w:szCs w:val="21"/>
                    </w:rPr>
                    <w:alias w:val="与再融资相关的承诺-承诺内容"/>
                    <w:tag w:val="_GBC_c106b06e5b914c6e936635088097a637"/>
                    <w:id w:val="26932399"/>
                    <w:lock w:val="sdtLocked"/>
                  </w:sdtPr>
                  <w:sdtContent>
                    <w:tc>
                      <w:tcPr>
                        <w:tcW w:w="1525" w:type="pct"/>
                        <w:shd w:val="clear" w:color="auto" w:fill="auto"/>
                        <w:tcMar>
                          <w:left w:w="28" w:type="dxa"/>
                          <w:right w:w="28" w:type="dxa"/>
                        </w:tcMar>
                        <w:vAlign w:val="center"/>
                      </w:tcPr>
                      <w:p w:rsidR="008D5F21" w:rsidRDefault="008D5F21" w:rsidP="00823816">
                        <w:pPr>
                          <w:rPr>
                            <w:szCs w:val="21"/>
                          </w:rPr>
                        </w:pPr>
                        <w:r>
                          <w:rPr>
                            <w:szCs w:val="21"/>
                          </w:rPr>
                          <w:t>自公司2014年5月非公开发行结束之日起，所认购本次非公开发行的A股普通股在36个月内不得转让。</w:t>
                        </w:r>
                      </w:p>
                    </w:tc>
                  </w:sdtContent>
                </w:sdt>
                <w:sdt>
                  <w:sdtPr>
                    <w:rPr>
                      <w:szCs w:val="21"/>
                    </w:rPr>
                    <w:alias w:val="与再融资相关的承诺-承诺时间及期限"/>
                    <w:tag w:val="_GBC_6e0e7bebf4d4471fb6e7e4d26ebdb475"/>
                    <w:id w:val="26932400"/>
                    <w:lock w:val="sdtLocked"/>
                  </w:sdtPr>
                  <w:sdtContent>
                    <w:tc>
                      <w:tcPr>
                        <w:tcW w:w="737" w:type="pct"/>
                        <w:shd w:val="clear" w:color="auto" w:fill="auto"/>
                        <w:vAlign w:val="center"/>
                      </w:tcPr>
                      <w:p w:rsidR="008D5F21" w:rsidRDefault="008D5F21" w:rsidP="00823816">
                        <w:pPr>
                          <w:rPr>
                            <w:szCs w:val="21"/>
                          </w:rPr>
                        </w:pPr>
                        <w:r>
                          <w:rPr>
                            <w:szCs w:val="21"/>
                          </w:rPr>
                          <w:t>36个月</w:t>
                        </w:r>
                      </w:p>
                    </w:tc>
                  </w:sdtContent>
                </w:sdt>
                <w:sdt>
                  <w:sdtPr>
                    <w:rPr>
                      <w:szCs w:val="21"/>
                    </w:rPr>
                    <w:alias w:val="与再融资相关的承诺-是否有履行期限"/>
                    <w:tag w:val="_GBC_ce2f85adbe004bbfaca0b0db409c89b1"/>
                    <w:id w:val="26932401"/>
                    <w:lock w:val="sdtLocked"/>
                    <w:comboBox>
                      <w:listItem w:displayText="是" w:value="true"/>
                      <w:listItem w:displayText="否" w:value="false"/>
                    </w:comboBox>
                  </w:sdtPr>
                  <w:sdtContent>
                    <w:tc>
                      <w:tcPr>
                        <w:tcW w:w="589" w:type="pct"/>
                        <w:shd w:val="clear" w:color="auto" w:fill="auto"/>
                        <w:vAlign w:val="center"/>
                      </w:tcPr>
                      <w:p w:rsidR="008D5F21" w:rsidRDefault="008D5F21" w:rsidP="00823816">
                        <w:pPr>
                          <w:jc w:val="center"/>
                          <w:rPr>
                            <w:szCs w:val="21"/>
                          </w:rPr>
                        </w:pPr>
                        <w:r>
                          <w:rPr>
                            <w:szCs w:val="21"/>
                          </w:rPr>
                          <w:t>是</w:t>
                        </w:r>
                      </w:p>
                    </w:tc>
                  </w:sdtContent>
                </w:sdt>
                <w:sdt>
                  <w:sdtPr>
                    <w:rPr>
                      <w:szCs w:val="21"/>
                    </w:rPr>
                    <w:alias w:val="与再融资相关的承诺-是否及时严格履行"/>
                    <w:tag w:val="_GBC_247f4815a6c34d70afb84ddd775901bc"/>
                    <w:id w:val="26932402"/>
                    <w:lock w:val="sdtLocked"/>
                    <w:comboBox>
                      <w:listItem w:displayText="是" w:value="true"/>
                      <w:listItem w:displayText="否" w:value="false"/>
                    </w:comboBox>
                  </w:sdtPr>
                  <w:sdtContent>
                    <w:tc>
                      <w:tcPr>
                        <w:tcW w:w="588" w:type="pct"/>
                        <w:shd w:val="clear" w:color="auto" w:fill="auto"/>
                        <w:vAlign w:val="center"/>
                      </w:tcPr>
                      <w:p w:rsidR="008D5F21" w:rsidRDefault="008D5F21" w:rsidP="00823816">
                        <w:pPr>
                          <w:jc w:val="center"/>
                          <w:rPr>
                            <w:szCs w:val="21"/>
                          </w:rPr>
                        </w:pPr>
                        <w:r>
                          <w:rPr>
                            <w:szCs w:val="21"/>
                          </w:rPr>
                          <w:t>是</w:t>
                        </w:r>
                      </w:p>
                    </w:tc>
                  </w:sdtContent>
                </w:sdt>
              </w:tr>
            </w:sdtContent>
          </w:sdt>
          <w:sdt>
            <w:sdtPr>
              <w:rPr>
                <w:rFonts w:hint="eastAsia"/>
                <w:szCs w:val="21"/>
              </w:rPr>
              <w:alias w:val="与再融资相关的承诺"/>
              <w:tag w:val="_GBC_f680ba4b7b774b5593fa9286e2ed36ea"/>
              <w:id w:val="26932410"/>
              <w:lock w:val="sdtLocked"/>
            </w:sdtPr>
            <w:sdtEndPr>
              <w:rPr>
                <w:rFonts w:hint="default"/>
              </w:rPr>
            </w:sdtEndPr>
            <w:sdtContent>
              <w:tr w:rsidR="008D5F21" w:rsidTr="00823816">
                <w:tc>
                  <w:tcPr>
                    <w:tcW w:w="467" w:type="pct"/>
                    <w:shd w:val="clear" w:color="auto" w:fill="auto"/>
                    <w:vAlign w:val="center"/>
                  </w:tcPr>
                  <w:p w:rsidR="008D5F21" w:rsidRDefault="008D5F21" w:rsidP="00823816">
                    <w:pPr>
                      <w:rPr>
                        <w:szCs w:val="21"/>
                      </w:rPr>
                    </w:pPr>
                    <w:r>
                      <w:rPr>
                        <w:rFonts w:hint="eastAsia"/>
                        <w:szCs w:val="21"/>
                      </w:rPr>
                      <w:t>与再融资相关的承诺</w:t>
                    </w:r>
                  </w:p>
                </w:tc>
                <w:sdt>
                  <w:sdtPr>
                    <w:rPr>
                      <w:szCs w:val="21"/>
                    </w:rPr>
                    <w:alias w:val="与再融资相关的承诺-承诺类型"/>
                    <w:tag w:val="_GBC_dcef5064591644fa94887a0360f882e6"/>
                    <w:id w:val="2693240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46" w:type="pct"/>
                        <w:shd w:val="clear" w:color="auto" w:fill="auto"/>
                        <w:vAlign w:val="center"/>
                      </w:tcPr>
                      <w:p w:rsidR="008D5F21" w:rsidRDefault="008D5F21" w:rsidP="00823816">
                        <w:pPr>
                          <w:rPr>
                            <w:szCs w:val="21"/>
                          </w:rPr>
                        </w:pPr>
                        <w:r>
                          <w:rPr>
                            <w:szCs w:val="21"/>
                          </w:rPr>
                          <w:t>股份限售</w:t>
                        </w:r>
                      </w:p>
                    </w:tc>
                  </w:sdtContent>
                </w:sdt>
                <w:sdt>
                  <w:sdtPr>
                    <w:rPr>
                      <w:szCs w:val="21"/>
                    </w:rPr>
                    <w:alias w:val="与再融资相关的承诺-承诺方"/>
                    <w:tag w:val="_GBC_3e8ae5cde12a49479f990aaf41fc5dee"/>
                    <w:id w:val="26932405"/>
                    <w:lock w:val="sdtLocked"/>
                  </w:sdtPr>
                  <w:sdtContent>
                    <w:tc>
                      <w:tcPr>
                        <w:tcW w:w="548" w:type="pct"/>
                        <w:shd w:val="clear" w:color="auto" w:fill="auto"/>
                        <w:tcMar>
                          <w:left w:w="28" w:type="dxa"/>
                          <w:right w:w="28" w:type="dxa"/>
                        </w:tcMar>
                        <w:vAlign w:val="center"/>
                      </w:tcPr>
                      <w:p w:rsidR="008D5F21" w:rsidRDefault="008D5F21" w:rsidP="00823816">
                        <w:pPr>
                          <w:rPr>
                            <w:szCs w:val="21"/>
                          </w:rPr>
                        </w:pPr>
                        <w:r>
                          <w:rPr>
                            <w:szCs w:val="21"/>
                          </w:rPr>
                          <w:t>新华基金管理有限公司、国泰基金管理有限公司</w:t>
                        </w:r>
                      </w:p>
                    </w:tc>
                  </w:sdtContent>
                </w:sdt>
                <w:sdt>
                  <w:sdtPr>
                    <w:rPr>
                      <w:szCs w:val="21"/>
                    </w:rPr>
                    <w:alias w:val="与再融资相关的承诺-承诺内容"/>
                    <w:tag w:val="_GBC_c106b06e5b914c6e936635088097a637"/>
                    <w:id w:val="26932406"/>
                    <w:lock w:val="sdtLocked"/>
                  </w:sdtPr>
                  <w:sdtContent>
                    <w:tc>
                      <w:tcPr>
                        <w:tcW w:w="1525" w:type="pct"/>
                        <w:shd w:val="clear" w:color="auto" w:fill="auto"/>
                        <w:tcMar>
                          <w:left w:w="28" w:type="dxa"/>
                          <w:right w:w="28" w:type="dxa"/>
                        </w:tcMar>
                        <w:vAlign w:val="center"/>
                      </w:tcPr>
                      <w:p w:rsidR="008D5F21" w:rsidRDefault="008D5F21" w:rsidP="00823816">
                        <w:pPr>
                          <w:rPr>
                            <w:szCs w:val="21"/>
                          </w:rPr>
                        </w:pPr>
                        <w:r>
                          <w:rPr>
                            <w:szCs w:val="21"/>
                          </w:rPr>
                          <w:t>自公司2014年5月非公开发行结束之日起，所认购本次非公开发行的A股普通股在12个月内不得转让。</w:t>
                        </w:r>
                      </w:p>
                    </w:tc>
                  </w:sdtContent>
                </w:sdt>
                <w:sdt>
                  <w:sdtPr>
                    <w:rPr>
                      <w:szCs w:val="21"/>
                    </w:rPr>
                    <w:alias w:val="与再融资相关的承诺-承诺时间及期限"/>
                    <w:tag w:val="_GBC_6e0e7bebf4d4471fb6e7e4d26ebdb475"/>
                    <w:id w:val="26932407"/>
                    <w:lock w:val="sdtLocked"/>
                  </w:sdtPr>
                  <w:sdtContent>
                    <w:tc>
                      <w:tcPr>
                        <w:tcW w:w="737" w:type="pct"/>
                        <w:shd w:val="clear" w:color="auto" w:fill="auto"/>
                        <w:vAlign w:val="center"/>
                      </w:tcPr>
                      <w:p w:rsidR="008D5F21" w:rsidRDefault="008D5F21" w:rsidP="00823816">
                        <w:pPr>
                          <w:rPr>
                            <w:szCs w:val="21"/>
                          </w:rPr>
                        </w:pPr>
                        <w:r>
                          <w:rPr>
                            <w:szCs w:val="21"/>
                          </w:rPr>
                          <w:t>12个月</w:t>
                        </w:r>
                      </w:p>
                    </w:tc>
                  </w:sdtContent>
                </w:sdt>
                <w:sdt>
                  <w:sdtPr>
                    <w:rPr>
                      <w:szCs w:val="21"/>
                    </w:rPr>
                    <w:alias w:val="与再融资相关的承诺-是否有履行期限"/>
                    <w:tag w:val="_GBC_ce2f85adbe004bbfaca0b0db409c89b1"/>
                    <w:id w:val="26932408"/>
                    <w:lock w:val="sdtLocked"/>
                    <w:comboBox>
                      <w:listItem w:displayText="是" w:value="true"/>
                      <w:listItem w:displayText="否" w:value="false"/>
                    </w:comboBox>
                  </w:sdtPr>
                  <w:sdtContent>
                    <w:tc>
                      <w:tcPr>
                        <w:tcW w:w="589" w:type="pct"/>
                        <w:shd w:val="clear" w:color="auto" w:fill="auto"/>
                        <w:vAlign w:val="center"/>
                      </w:tcPr>
                      <w:p w:rsidR="008D5F21" w:rsidRDefault="008D5F21" w:rsidP="00823816">
                        <w:pPr>
                          <w:jc w:val="center"/>
                          <w:rPr>
                            <w:szCs w:val="21"/>
                          </w:rPr>
                        </w:pPr>
                        <w:r>
                          <w:rPr>
                            <w:szCs w:val="21"/>
                          </w:rPr>
                          <w:t>是</w:t>
                        </w:r>
                      </w:p>
                    </w:tc>
                  </w:sdtContent>
                </w:sdt>
                <w:sdt>
                  <w:sdtPr>
                    <w:rPr>
                      <w:szCs w:val="21"/>
                    </w:rPr>
                    <w:alias w:val="与再融资相关的承诺-是否及时严格履行"/>
                    <w:tag w:val="_GBC_247f4815a6c34d70afb84ddd775901bc"/>
                    <w:id w:val="26932409"/>
                    <w:lock w:val="sdtLocked"/>
                    <w:comboBox>
                      <w:listItem w:displayText="是" w:value="true"/>
                      <w:listItem w:displayText="否" w:value="false"/>
                    </w:comboBox>
                  </w:sdtPr>
                  <w:sdtContent>
                    <w:tc>
                      <w:tcPr>
                        <w:tcW w:w="588" w:type="pct"/>
                        <w:shd w:val="clear" w:color="auto" w:fill="auto"/>
                        <w:vAlign w:val="center"/>
                      </w:tcPr>
                      <w:p w:rsidR="008D5F21" w:rsidRDefault="008D5F21" w:rsidP="00823816">
                        <w:pPr>
                          <w:jc w:val="center"/>
                          <w:rPr>
                            <w:szCs w:val="21"/>
                          </w:rPr>
                        </w:pPr>
                        <w:r>
                          <w:rPr>
                            <w:szCs w:val="21"/>
                          </w:rPr>
                          <w:t>是</w:t>
                        </w:r>
                      </w:p>
                    </w:tc>
                  </w:sdtContent>
                </w:sdt>
              </w:tr>
            </w:sdtContent>
          </w:sdt>
          <w:sdt>
            <w:sdtPr>
              <w:rPr>
                <w:rFonts w:hint="eastAsia"/>
                <w:szCs w:val="21"/>
              </w:rPr>
              <w:alias w:val="其他承诺"/>
              <w:tag w:val="_GBC_d30b991a0ce443bab7acde28c3cdea6a"/>
              <w:id w:val="26932417"/>
              <w:lock w:val="sdtLocked"/>
            </w:sdtPr>
            <w:sdtEndPr>
              <w:rPr>
                <w:rFonts w:hint="default"/>
              </w:rPr>
            </w:sdtEndPr>
            <w:sdtContent>
              <w:tr w:rsidR="008D5F21" w:rsidRPr="00267C71" w:rsidTr="00823816">
                <w:tc>
                  <w:tcPr>
                    <w:tcW w:w="467" w:type="pct"/>
                    <w:shd w:val="clear" w:color="auto" w:fill="auto"/>
                    <w:vAlign w:val="center"/>
                  </w:tcPr>
                  <w:p w:rsidR="008D5F21" w:rsidRDefault="008D5F21" w:rsidP="00823816">
                    <w:pPr>
                      <w:rPr>
                        <w:szCs w:val="21"/>
                      </w:rPr>
                    </w:pPr>
                    <w:r>
                      <w:rPr>
                        <w:rFonts w:hint="eastAsia"/>
                        <w:szCs w:val="21"/>
                      </w:rPr>
                      <w:t>其他承诺</w:t>
                    </w:r>
                  </w:p>
                </w:tc>
                <w:sdt>
                  <w:sdtPr>
                    <w:rPr>
                      <w:szCs w:val="21"/>
                    </w:rPr>
                    <w:alias w:val="其他承诺-承诺类型"/>
                    <w:tag w:val="_GBC_514ccfec7f0f48ff9e0322424e31d9d3"/>
                    <w:id w:val="269324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46" w:type="pct"/>
                        <w:shd w:val="clear" w:color="auto" w:fill="auto"/>
                        <w:vAlign w:val="center"/>
                      </w:tcPr>
                      <w:p w:rsidR="008D5F21" w:rsidRDefault="008D5F21" w:rsidP="00823816">
                        <w:pPr>
                          <w:rPr>
                            <w:color w:val="FFC000"/>
                            <w:szCs w:val="21"/>
                          </w:rPr>
                        </w:pPr>
                        <w:r>
                          <w:rPr>
                            <w:szCs w:val="21"/>
                          </w:rPr>
                          <w:t>其他</w:t>
                        </w:r>
                      </w:p>
                    </w:tc>
                  </w:sdtContent>
                </w:sdt>
                <w:sdt>
                  <w:sdtPr>
                    <w:rPr>
                      <w:szCs w:val="21"/>
                    </w:rPr>
                    <w:alias w:val="其他承诺-承诺方"/>
                    <w:tag w:val="_GBC_288d45fb65c64ff1a60161f279270e8a"/>
                    <w:id w:val="26932412"/>
                    <w:lock w:val="sdtLocked"/>
                  </w:sdtPr>
                  <w:sdtContent>
                    <w:tc>
                      <w:tcPr>
                        <w:tcW w:w="548" w:type="pct"/>
                        <w:shd w:val="clear" w:color="auto" w:fill="auto"/>
                        <w:tcMar>
                          <w:left w:w="28" w:type="dxa"/>
                          <w:right w:w="28" w:type="dxa"/>
                        </w:tcMar>
                        <w:vAlign w:val="center"/>
                      </w:tcPr>
                      <w:p w:rsidR="008D5F21" w:rsidRDefault="008D5F21" w:rsidP="00823816">
                        <w:pPr>
                          <w:rPr>
                            <w:color w:val="FFC000"/>
                            <w:szCs w:val="21"/>
                          </w:rPr>
                        </w:pPr>
                        <w:r>
                          <w:rPr>
                            <w:rFonts w:hint="eastAsia"/>
                            <w:szCs w:val="21"/>
                          </w:rPr>
                          <w:t>招商局集团、</w:t>
                        </w:r>
                        <w:r>
                          <w:rPr>
                            <w:szCs w:val="21"/>
                          </w:rPr>
                          <w:t>中国远洋运输（集团）总公司</w:t>
                        </w:r>
                      </w:p>
                    </w:tc>
                  </w:sdtContent>
                </w:sdt>
                <w:sdt>
                  <w:sdtPr>
                    <w:rPr>
                      <w:szCs w:val="21"/>
                    </w:rPr>
                    <w:alias w:val="其他承诺-承诺内容"/>
                    <w:tag w:val="_GBC_460bd8e79622428892e100733210815e"/>
                    <w:id w:val="26932413"/>
                    <w:lock w:val="sdtLocked"/>
                  </w:sdtPr>
                  <w:sdtContent>
                    <w:tc>
                      <w:tcPr>
                        <w:tcW w:w="1525" w:type="pct"/>
                        <w:shd w:val="clear" w:color="auto" w:fill="auto"/>
                        <w:tcMar>
                          <w:left w:w="28" w:type="dxa"/>
                          <w:right w:w="28" w:type="dxa"/>
                        </w:tcMar>
                        <w:vAlign w:val="center"/>
                      </w:tcPr>
                      <w:p w:rsidR="008D5F21" w:rsidRDefault="008D5F21" w:rsidP="00823816">
                        <w:pPr>
                          <w:rPr>
                            <w:color w:val="FFC000"/>
                            <w:szCs w:val="21"/>
                          </w:rPr>
                        </w:pPr>
                        <w:r w:rsidRPr="000B56E2">
                          <w:rPr>
                            <w:rFonts w:hint="eastAsia"/>
                            <w:szCs w:val="21"/>
                          </w:rPr>
                          <w:t>在公司股价异常波动期间，不减持本公司股票，并将依法合规择机增持本公司股票。</w:t>
                        </w:r>
                      </w:p>
                    </w:tc>
                  </w:sdtContent>
                </w:sdt>
                <w:sdt>
                  <w:sdtPr>
                    <w:rPr>
                      <w:szCs w:val="21"/>
                    </w:rPr>
                    <w:alias w:val="其他承诺-承诺时间及期限"/>
                    <w:tag w:val="_GBC_74246c6556b4443da1156e5b9e95f0f2"/>
                    <w:id w:val="26932414"/>
                    <w:lock w:val="sdtLocked"/>
                  </w:sdtPr>
                  <w:sdtContent>
                    <w:tc>
                      <w:tcPr>
                        <w:tcW w:w="737" w:type="pct"/>
                        <w:shd w:val="clear" w:color="auto" w:fill="auto"/>
                        <w:vAlign w:val="center"/>
                      </w:tcPr>
                      <w:p w:rsidR="008D5F21" w:rsidRDefault="008D5F21" w:rsidP="00823816">
                        <w:pPr>
                          <w:rPr>
                            <w:color w:val="FFC000"/>
                            <w:szCs w:val="21"/>
                          </w:rPr>
                        </w:pPr>
                        <w:r w:rsidRPr="000B56E2">
                          <w:rPr>
                            <w:rFonts w:hint="eastAsia"/>
                            <w:szCs w:val="21"/>
                          </w:rPr>
                          <w:t>在公司股价异常波动期间</w:t>
                        </w:r>
                      </w:p>
                    </w:tc>
                  </w:sdtContent>
                </w:sdt>
                <w:sdt>
                  <w:sdtPr>
                    <w:rPr>
                      <w:szCs w:val="21"/>
                    </w:rPr>
                    <w:alias w:val="其他承诺-是否有履行期限"/>
                    <w:tag w:val="_GBC_d23382a82bbc4918bdd8ea84c055977e"/>
                    <w:id w:val="26932415"/>
                    <w:lock w:val="sdtLocked"/>
                    <w:comboBox>
                      <w:listItem w:displayText="是" w:value="true"/>
                      <w:listItem w:displayText="否" w:value="false"/>
                    </w:comboBox>
                  </w:sdtPr>
                  <w:sdtContent>
                    <w:tc>
                      <w:tcPr>
                        <w:tcW w:w="589" w:type="pct"/>
                        <w:shd w:val="clear" w:color="auto" w:fill="auto"/>
                        <w:vAlign w:val="center"/>
                      </w:tcPr>
                      <w:p w:rsidR="008D5F21" w:rsidRDefault="008D5F21" w:rsidP="00823816">
                        <w:pPr>
                          <w:jc w:val="center"/>
                          <w:rPr>
                            <w:color w:val="FFC000"/>
                            <w:szCs w:val="21"/>
                          </w:rPr>
                        </w:pPr>
                        <w:r>
                          <w:rPr>
                            <w:szCs w:val="21"/>
                          </w:rPr>
                          <w:t>是</w:t>
                        </w:r>
                      </w:p>
                    </w:tc>
                  </w:sdtContent>
                </w:sdt>
                <w:sdt>
                  <w:sdtPr>
                    <w:rPr>
                      <w:szCs w:val="21"/>
                    </w:rPr>
                    <w:alias w:val="其他承诺-是否及时严格履行"/>
                    <w:tag w:val="_GBC_9767b4e8b3bc408cbe9b92384f076dbf"/>
                    <w:id w:val="26932416"/>
                    <w:lock w:val="sdtLocked"/>
                    <w:comboBox>
                      <w:listItem w:displayText="是" w:value="true"/>
                      <w:listItem w:displayText="否" w:value="false"/>
                    </w:comboBox>
                  </w:sdtPr>
                  <w:sdtContent>
                    <w:tc>
                      <w:tcPr>
                        <w:tcW w:w="588" w:type="pct"/>
                        <w:shd w:val="clear" w:color="auto" w:fill="auto"/>
                        <w:vAlign w:val="center"/>
                      </w:tcPr>
                      <w:p w:rsidR="008D5F21" w:rsidRDefault="008D5F21" w:rsidP="00823816">
                        <w:pPr>
                          <w:jc w:val="center"/>
                          <w:rPr>
                            <w:color w:val="FFC000"/>
                            <w:szCs w:val="21"/>
                          </w:rPr>
                        </w:pPr>
                        <w:r>
                          <w:rPr>
                            <w:szCs w:val="21"/>
                          </w:rPr>
                          <w:t>是</w:t>
                        </w:r>
                      </w:p>
                    </w:tc>
                  </w:sdtContent>
                </w:sdt>
              </w:tr>
            </w:sdtContent>
          </w:sdt>
        </w:tbl>
        <w:p w:rsidR="008D5F21" w:rsidRDefault="008D5F21"/>
        <w:p w:rsidR="00704CAD" w:rsidRPr="0058588E" w:rsidRDefault="00422DCA"/>
      </w:sdtContent>
    </w:sdt>
    <w:bookmarkStart w:id="50" w:name="_Toc342491988" w:displacedByCustomXml="prev"/>
    <w:bookmarkStart w:id="51" w:name="_Toc342565980" w:displacedByCustomXml="prev"/>
    <w:p w:rsidR="00704CAD" w:rsidRDefault="00720895" w:rsidP="001C1A59">
      <w:pPr>
        <w:pStyle w:val="2"/>
        <w:numPr>
          <w:ilvl w:val="0"/>
          <w:numId w:val="10"/>
        </w:numPr>
      </w:pPr>
      <w:r>
        <w:t>聘任、解聘会计师事务所情况</w:t>
      </w:r>
    </w:p>
    <w:sdt>
      <w:sdtPr>
        <w:rPr>
          <w:szCs w:val="21"/>
        </w:rPr>
        <w:alias w:val="是否适用：聘任、解聘会计师事务所情况"/>
        <w:tag w:val="_GBC_27cffbaff4934fe1962667185ba3c8f7"/>
        <w:id w:val="24720620"/>
        <w:lock w:val="sdtContentLocked"/>
        <w:placeholder>
          <w:docPart w:val="GBC22222222222222222222222222222"/>
        </w:placeholder>
      </w:sdtPr>
      <w:sdtContent>
        <w:p w:rsidR="00584D5F" w:rsidRDefault="00422DCA" w:rsidP="003819AD">
          <w:pPr>
            <w:rPr>
              <w:szCs w:val="21"/>
            </w:rPr>
          </w:pPr>
          <w:r>
            <w:rPr>
              <w:szCs w:val="21"/>
            </w:rPr>
            <w:fldChar w:fldCharType="begin"/>
          </w:r>
          <w:r w:rsidR="00584D5F">
            <w:rPr>
              <w:szCs w:val="21"/>
            </w:rPr>
            <w:instrText xml:space="preserve"> MACROBUTTON  SnrToggleCheckbox √适用 </w:instrText>
          </w:r>
          <w:r>
            <w:rPr>
              <w:szCs w:val="21"/>
            </w:rPr>
            <w:fldChar w:fldCharType="end"/>
          </w:r>
          <w:r>
            <w:rPr>
              <w:szCs w:val="21"/>
            </w:rPr>
            <w:fldChar w:fldCharType="begin"/>
          </w:r>
          <w:r w:rsidR="00584D5F">
            <w:rPr>
              <w:szCs w:val="21"/>
            </w:rPr>
            <w:instrText xml:space="preserve"> MACROBUTTON  SnrToggleCheckbox □不适用 </w:instrText>
          </w:r>
          <w:r>
            <w:rPr>
              <w:szCs w:val="21"/>
            </w:rPr>
            <w:fldChar w:fldCharType="end"/>
          </w:r>
        </w:p>
      </w:sdtContent>
    </w:sdt>
    <w:sdt>
      <w:sdtPr>
        <w:rPr>
          <w:szCs w:val="21"/>
        </w:rPr>
        <w:tag w:val="_GBC_3faab616eb8e44f58bb798d6663f49b0"/>
        <w:id w:val="24720622"/>
        <w:lock w:val="sdtLocked"/>
      </w:sdtPr>
      <w:sdtEndPr>
        <w:rPr>
          <w:rFonts w:hint="eastAsia"/>
        </w:rPr>
      </w:sdtEndPr>
      <w:sdtContent>
        <w:p w:rsidR="00584D5F" w:rsidRDefault="00584D5F" w:rsidP="00DC7292">
          <w:pPr>
            <w:spacing w:line="360" w:lineRule="auto"/>
            <w:rPr>
              <w:szCs w:val="21"/>
            </w:rPr>
          </w:pPr>
          <w:r>
            <w:rPr>
              <w:szCs w:val="21"/>
            </w:rPr>
            <w:t>聘任、解聘会计师事务所的情况说明</w:t>
          </w:r>
        </w:p>
        <w:sdt>
          <w:sdtPr>
            <w:rPr>
              <w:rFonts w:hint="eastAsia"/>
              <w:szCs w:val="21"/>
            </w:rPr>
            <w:alias w:val="聘任、解聘会计师事务所情况说明"/>
            <w:tag w:val="_GBC_39be2f6e90074b5ba02c35180ed65dee"/>
            <w:id w:val="24720621"/>
            <w:lock w:val="sdtLocked"/>
          </w:sdtPr>
          <w:sdtContent>
            <w:p w:rsidR="00985629" w:rsidRDefault="00985629" w:rsidP="00CB3294">
              <w:pPr>
                <w:spacing w:line="360" w:lineRule="auto"/>
                <w:ind w:firstLineChars="202" w:firstLine="424"/>
                <w:rPr>
                  <w:szCs w:val="21"/>
                </w:rPr>
              </w:pPr>
              <w:r w:rsidRPr="00985629">
                <w:rPr>
                  <w:rFonts w:asciiTheme="minorEastAsia" w:eastAsiaTheme="minorEastAsia" w:hAnsiTheme="minorEastAsia" w:hint="eastAsia"/>
                  <w:szCs w:val="21"/>
                </w:rPr>
                <w:t>2015年5月8日，公司2014年年度股东大会审议通过了</w:t>
              </w:r>
              <w:r w:rsidR="00E64E10">
                <w:rPr>
                  <w:rFonts w:asciiTheme="minorEastAsia" w:eastAsiaTheme="minorEastAsia" w:hAnsiTheme="minorEastAsia" w:hint="eastAsia"/>
                  <w:szCs w:val="21"/>
                </w:rPr>
                <w:t>《</w:t>
              </w:r>
              <w:r w:rsidR="004F7573" w:rsidRPr="00985629">
                <w:rPr>
                  <w:rFonts w:asciiTheme="minorEastAsia" w:hAnsiTheme="minorEastAsia" w:hint="eastAsia"/>
                  <w:szCs w:val="21"/>
                </w:rPr>
                <w:t>关于聘请公司2015年度审计机构的议案</w:t>
              </w:r>
              <w:r w:rsidR="00E64E10">
                <w:rPr>
                  <w:rFonts w:asciiTheme="minorEastAsia" w:hAnsiTheme="minorEastAsia" w:hint="eastAsia"/>
                  <w:szCs w:val="21"/>
                </w:rPr>
                <w:t>》</w:t>
              </w:r>
              <w:r w:rsidRPr="00985629">
                <w:rPr>
                  <w:rFonts w:asciiTheme="minorEastAsia" w:hAnsiTheme="minorEastAsia" w:hint="eastAsia"/>
                  <w:szCs w:val="21"/>
                </w:rPr>
                <w:t>，决定</w:t>
              </w:r>
              <w:r w:rsidRPr="00985629">
                <w:rPr>
                  <w:szCs w:val="21"/>
                </w:rPr>
                <w:t>继续聘任</w:t>
              </w:r>
              <w:r w:rsidRPr="00985629">
                <w:rPr>
                  <w:rFonts w:hint="eastAsia"/>
                  <w:szCs w:val="21"/>
                </w:rPr>
                <w:t>信永中和</w:t>
              </w:r>
              <w:r w:rsidRPr="00985629">
                <w:rPr>
                  <w:szCs w:val="21"/>
                </w:rPr>
                <w:t>会计师事务所</w:t>
              </w:r>
              <w:r w:rsidRPr="00985629">
                <w:rPr>
                  <w:rFonts w:hint="eastAsia"/>
                  <w:szCs w:val="21"/>
                </w:rPr>
                <w:t>（特殊普通合伙）</w:t>
              </w:r>
              <w:r w:rsidRPr="00985629">
                <w:rPr>
                  <w:szCs w:val="21"/>
                </w:rPr>
                <w:t>为公司</w:t>
              </w:r>
              <w:r w:rsidRPr="00985629">
                <w:rPr>
                  <w:rFonts w:hint="eastAsia"/>
                  <w:szCs w:val="21"/>
                </w:rPr>
                <w:t>2015</w:t>
              </w:r>
              <w:r w:rsidRPr="00985629">
                <w:rPr>
                  <w:szCs w:val="21"/>
                </w:rPr>
                <w:t>年度财务报告</w:t>
              </w:r>
              <w:r w:rsidRPr="00985629">
                <w:rPr>
                  <w:rFonts w:hint="eastAsia"/>
                  <w:szCs w:val="21"/>
                </w:rPr>
                <w:t>和内部控制</w:t>
              </w:r>
              <w:r w:rsidRPr="00985629">
                <w:rPr>
                  <w:szCs w:val="21"/>
                </w:rPr>
                <w:t>审计机构</w:t>
              </w:r>
              <w:r>
                <w:rPr>
                  <w:rFonts w:hint="eastAsia"/>
                  <w:szCs w:val="21"/>
                </w:rPr>
                <w:t>。</w:t>
              </w:r>
            </w:p>
          </w:sdtContent>
        </w:sdt>
      </w:sdtContent>
    </w:sdt>
    <w:p w:rsidR="00584D5F" w:rsidRDefault="00584D5F">
      <w:pPr>
        <w:rPr>
          <w:szCs w:val="21"/>
        </w:rPr>
      </w:pPr>
    </w:p>
    <w:sdt>
      <w:sdtPr>
        <w:rPr>
          <w:rFonts w:ascii="Calibri" w:hAnsi="Calibri" w:cs="宋体"/>
          <w:b w:val="0"/>
          <w:bCs w:val="0"/>
          <w:kern w:val="0"/>
          <w:sz w:val="24"/>
          <w:szCs w:val="24"/>
        </w:rPr>
        <w:tag w:val="_GBC_c05012cf009b41a1b2002b7f58999dea"/>
        <w:id w:val="24720625"/>
        <w:lock w:val="sdtLocked"/>
        <w:placeholder>
          <w:docPart w:val="GBC22222222222222222222222222222"/>
        </w:placeholder>
      </w:sdtPr>
      <w:sdtEndPr>
        <w:rPr>
          <w:rFonts w:ascii="宋体" w:hAnsi="宋体" w:hint="eastAsia"/>
          <w:sz w:val="21"/>
          <w:szCs w:val="21"/>
        </w:rPr>
      </w:sdtEndPr>
      <w:sdtContent>
        <w:p w:rsidR="00704CAD" w:rsidRDefault="00720895" w:rsidP="001C1A59">
          <w:pPr>
            <w:pStyle w:val="2"/>
            <w:numPr>
              <w:ilvl w:val="0"/>
              <w:numId w:val="10"/>
            </w:numPr>
          </w:pPr>
          <w:r>
            <w:t>上市公司及其董事、监事、高级管理人员、持有</w:t>
          </w:r>
          <w:r>
            <w:t>5</w:t>
          </w:r>
          <w:r>
            <w:rPr>
              <w:rFonts w:ascii="宋体" w:hAnsi="宋体"/>
            </w:rPr>
            <w:t>%</w:t>
          </w:r>
          <w:r>
            <w:t>以上股份的股东、实际控制人、收购人处罚</w:t>
          </w:r>
          <w:r w:rsidRPr="00D56036">
            <w:t>及整改情况</w:t>
          </w:r>
        </w:p>
        <w:sdt>
          <w:sdtPr>
            <w:alias w:val="是否适用：上市公司及其董事、监事、高级管理人员、持有5%以上股份的股东、实际控制人、收购人处罚及整改情况"/>
            <w:tag w:val="_GBC_56d79e1ff1d04c978294dd8b05d5f9cf"/>
            <w:id w:val="24720623"/>
            <w:lock w:val="sdtContentLocked"/>
            <w:placeholder>
              <w:docPart w:val="GBC22222222222222222222222222222"/>
            </w:placeholder>
          </w:sdtPr>
          <w:sdtContent>
            <w:p w:rsidR="00704CAD" w:rsidRDefault="00422DCA">
              <w:r>
                <w:fldChar w:fldCharType="begin"/>
              </w:r>
              <w:r w:rsidR="0081216F">
                <w:instrText xml:space="preserve"> MACROBUTTON  SnrToggleCheckbox √适用 </w:instrText>
              </w:r>
              <w:r>
                <w:fldChar w:fldCharType="end"/>
              </w:r>
              <w:r>
                <w:fldChar w:fldCharType="begin"/>
              </w:r>
              <w:r w:rsidR="0081216F">
                <w:instrText xml:space="preserve"> MACROBUTTON  SnrToggleCheckbox □不适用 </w:instrText>
              </w:r>
              <w:r>
                <w:fldChar w:fldCharType="end"/>
              </w:r>
            </w:p>
          </w:sdtContent>
        </w:sdt>
        <w:sdt>
          <w:sdtPr>
            <w:rPr>
              <w:rFonts w:hint="eastAsia"/>
            </w:rPr>
            <w:alias w:val="公司、董事会、董事受处罚及整改情况"/>
            <w:tag w:val="_GBC_28d3b2b7dd7a45378ae5e2ec23d8212c"/>
            <w:id w:val="24720624"/>
            <w:lock w:val="sdtLocked"/>
            <w:placeholder>
              <w:docPart w:val="GBC22222222222222222222222222222"/>
            </w:placeholder>
          </w:sdtPr>
          <w:sdtEndPr>
            <w:rPr>
              <w:rFonts w:asciiTheme="minorEastAsia" w:eastAsiaTheme="minorEastAsia" w:hAnsiTheme="minorEastAsia"/>
              <w:szCs w:val="21"/>
            </w:rPr>
          </w:sdtEndPr>
          <w:sdtContent>
            <w:p w:rsidR="006500F9" w:rsidRDefault="00C87A77" w:rsidP="001D5261">
              <w:pPr>
                <w:spacing w:line="360" w:lineRule="auto"/>
                <w:ind w:firstLineChars="200" w:firstLine="420"/>
                <w:rPr>
                  <w:rFonts w:asciiTheme="minorEastAsia" w:eastAsiaTheme="minorEastAsia" w:hAnsiTheme="minorEastAsia"/>
                  <w:szCs w:val="21"/>
                </w:rPr>
              </w:pPr>
              <w:r w:rsidRPr="001D5261">
                <w:rPr>
                  <w:rFonts w:asciiTheme="minorEastAsia" w:eastAsiaTheme="minorEastAsia" w:hAnsiTheme="minorEastAsia" w:hint="eastAsia"/>
                  <w:szCs w:val="21"/>
                </w:rPr>
                <w:t>2015年1月，公司收到中国证监会《关于对招商证券股份有限公司采取责令限期改正措施的决定》（〔2015〕5号），就公司在开展融资融券业务过程中，存在向在公司及与公司具有控制关系的其他证券公司从事证券交易的时间连续计算不足半年的客户融资融券等问题，对公司采取责令限期改正的措施。</w:t>
              </w:r>
              <w:r w:rsidR="006500F9">
                <w:rPr>
                  <w:rFonts w:asciiTheme="minorHAnsi" w:eastAsiaTheme="minorEastAsia" w:hAnsiTheme="minorHAnsi" w:cs="Arial" w:hint="eastAsia"/>
                  <w:szCs w:val="21"/>
                </w:rPr>
                <w:t>公司在监管部门规定的时间内完成了整改工作并提交了整改报告，将涉及账户授信额度调整为</w:t>
              </w:r>
              <w:r w:rsidR="00A504A0" w:rsidRPr="00A504A0">
                <w:rPr>
                  <w:rFonts w:cs="Calibri" w:hint="eastAsia"/>
                  <w:szCs w:val="21"/>
                </w:rPr>
                <w:t>0</w:t>
              </w:r>
              <w:r w:rsidR="006500F9">
                <w:rPr>
                  <w:rFonts w:asciiTheme="minorHAnsi" w:eastAsiaTheme="minorEastAsia" w:hAnsiTheme="minorHAnsi" w:cs="Arial" w:hint="eastAsia"/>
                  <w:szCs w:val="21"/>
                </w:rPr>
                <w:t>，禁止已经融资、融券的客户偿还负债后新增融资、融券负债，并在开户环节加强了管理，严禁在本公司交易经验不足的客户参与融资融券业务。</w:t>
              </w:r>
            </w:p>
            <w:p w:rsidR="00C24EA5" w:rsidRPr="00C24EA5" w:rsidRDefault="00173EF2" w:rsidP="00C24EA5">
              <w:pPr>
                <w:spacing w:line="360" w:lineRule="auto"/>
                <w:ind w:firstLineChars="200" w:firstLine="420"/>
                <w:rPr>
                  <w:rFonts w:asciiTheme="minorEastAsia" w:eastAsiaTheme="minorEastAsia" w:hAnsiTheme="minorEastAsia"/>
                  <w:szCs w:val="21"/>
                </w:rPr>
              </w:pPr>
              <w:r w:rsidRPr="00173EF2">
                <w:rPr>
                  <w:rFonts w:asciiTheme="minorEastAsia" w:eastAsiaTheme="minorEastAsia" w:hAnsiTheme="minorEastAsia" w:hint="eastAsia"/>
                  <w:szCs w:val="21"/>
                </w:rPr>
                <w:t>2015年6月2日，深圳</w:t>
              </w:r>
              <w:r w:rsidR="006500F9">
                <w:rPr>
                  <w:rFonts w:asciiTheme="minorEastAsia" w:eastAsiaTheme="minorEastAsia" w:hAnsiTheme="minorEastAsia" w:hint="eastAsia"/>
                  <w:szCs w:val="21"/>
                </w:rPr>
                <w:t>证监局</w:t>
              </w:r>
              <w:r w:rsidRPr="00173EF2">
                <w:rPr>
                  <w:rFonts w:asciiTheme="minorEastAsia" w:eastAsiaTheme="minorEastAsia" w:hAnsiTheme="minorEastAsia" w:hint="eastAsia"/>
                  <w:szCs w:val="21"/>
                </w:rPr>
                <w:t>向公司下发了《深圳证监局关于对招商证券股份有限公司采取出具警示函、责令整改并处分有关责任人员措施的决定》[2015]24号，对公司5月29日上午发生集中交易系统中断的</w:t>
              </w:r>
              <w:r w:rsidRPr="00FF0B5C">
                <w:rPr>
                  <w:rFonts w:asciiTheme="minorEastAsia" w:eastAsiaTheme="minorEastAsia" w:hAnsiTheme="minorEastAsia" w:hint="eastAsia"/>
                  <w:szCs w:val="21"/>
                </w:rPr>
                <w:t>重大安全事件，采取了出具警示函、责令整改和处分责任人的措施。</w:t>
              </w:r>
              <w:r w:rsidR="00C24EA5" w:rsidRPr="00FF0B5C">
                <w:rPr>
                  <w:rFonts w:asciiTheme="minorEastAsia" w:eastAsiaTheme="minorEastAsia" w:hAnsiTheme="minorEastAsia" w:hint="eastAsia"/>
                  <w:szCs w:val="21"/>
                </w:rPr>
                <w:t>公司高度重视本次信息安全事件，按照《证券公司监督管理条例》、《证券公司内部控制指引》、《证券期货业信息安全事件报告与调查处理办法》等相关规定的要求，严格执行公司问责制度，对暴露的问题针对性采取控制措施切实整改，加大对信息安全的投入，加强IT风险管理，积极推进中</w:t>
              </w:r>
              <w:r w:rsidR="00C24EA5" w:rsidRPr="00FF0B5C">
                <w:rPr>
                  <w:rFonts w:asciiTheme="minorEastAsia" w:eastAsiaTheme="minorEastAsia" w:hAnsiTheme="minorEastAsia" w:hint="eastAsia"/>
                  <w:szCs w:val="21"/>
                </w:rPr>
                <w:lastRenderedPageBreak/>
                <w:t>长期整改计划的落实，加快以客户为中心的新一代核心系统建设，持续提升信息系统安全稳定运行的水平。</w:t>
              </w:r>
            </w:p>
            <w:p w:rsidR="00704CAD" w:rsidRPr="00173EF2" w:rsidRDefault="00422DCA" w:rsidP="00173EF2">
              <w:pPr>
                <w:spacing w:line="360" w:lineRule="auto"/>
                <w:ind w:firstLineChars="200" w:firstLine="420"/>
                <w:rPr>
                  <w:rFonts w:asciiTheme="minorEastAsia" w:eastAsiaTheme="minorEastAsia" w:hAnsiTheme="minorEastAsia"/>
                  <w:szCs w:val="21"/>
                </w:rPr>
              </w:pPr>
            </w:p>
          </w:sdtContent>
        </w:sdt>
      </w:sdtContent>
    </w:sdt>
    <w:p w:rsidR="00224E5D" w:rsidRDefault="00224E5D" w:rsidP="00224E5D">
      <w:pPr>
        <w:pStyle w:val="2"/>
        <w:numPr>
          <w:ilvl w:val="0"/>
          <w:numId w:val="10"/>
        </w:numPr>
      </w:pPr>
      <w:r>
        <w:rPr>
          <w:rFonts w:hint="eastAsia"/>
        </w:rPr>
        <w:t>报告期内投资者关系</w:t>
      </w:r>
      <w:r w:rsidR="00C35A3E">
        <w:rPr>
          <w:rFonts w:hint="eastAsia"/>
        </w:rPr>
        <w:t>活动</w:t>
      </w:r>
      <w:r>
        <w:rPr>
          <w:rFonts w:hint="eastAsia"/>
        </w:rPr>
        <w:t>情况</w:t>
      </w:r>
    </w:p>
    <w:p w:rsidR="00704CAD" w:rsidRDefault="00704CAD">
      <w:pPr>
        <w:rPr>
          <w:szCs w:val="21"/>
        </w:rPr>
      </w:pPr>
    </w:p>
    <w:p w:rsidR="001B7A5A" w:rsidRDefault="00224E5D" w:rsidP="00C6167B">
      <w:pPr>
        <w:spacing w:line="360" w:lineRule="auto"/>
        <w:ind w:firstLineChars="200" w:firstLine="420"/>
        <w:rPr>
          <w:rFonts w:asciiTheme="minorEastAsia" w:eastAsiaTheme="minorEastAsia" w:hAnsiTheme="minorEastAsia"/>
          <w:szCs w:val="21"/>
        </w:rPr>
      </w:pPr>
      <w:r w:rsidRPr="00224E5D">
        <w:rPr>
          <w:rFonts w:asciiTheme="minorEastAsia" w:eastAsiaTheme="minorEastAsia" w:hAnsiTheme="minorEastAsia"/>
          <w:szCs w:val="21"/>
        </w:rPr>
        <w:t>2015年上半年，公司通过股东大会交流、电话、邮件、网站沟通、接待来访、主动推介等多种方式与境内外投资者建立了的持续、顺畅的沟通，公司投资价值获得投资者的认同。</w:t>
      </w:r>
    </w:p>
    <w:p w:rsidR="00224E5D" w:rsidRPr="00224E5D" w:rsidRDefault="00224E5D" w:rsidP="00C6167B">
      <w:pPr>
        <w:spacing w:line="360" w:lineRule="auto"/>
        <w:ind w:firstLineChars="200" w:firstLine="420"/>
        <w:rPr>
          <w:rFonts w:asciiTheme="minorEastAsia" w:eastAsiaTheme="minorEastAsia" w:hAnsiTheme="minorEastAsia"/>
          <w:szCs w:val="21"/>
        </w:rPr>
      </w:pPr>
      <w:r w:rsidRPr="00224E5D">
        <w:rPr>
          <w:rFonts w:asciiTheme="minorEastAsia" w:eastAsiaTheme="minorEastAsia" w:hAnsiTheme="minorEastAsia"/>
          <w:szCs w:val="21"/>
        </w:rPr>
        <w:t>一是股东大会交流。2015年上半年公司</w:t>
      </w:r>
      <w:r w:rsidR="00F82827">
        <w:rPr>
          <w:rFonts w:asciiTheme="minorEastAsia" w:eastAsiaTheme="minorEastAsia" w:hAnsiTheme="minorEastAsia" w:hint="eastAsia"/>
          <w:szCs w:val="21"/>
        </w:rPr>
        <w:t>共</w:t>
      </w:r>
      <w:r w:rsidRPr="00224E5D">
        <w:rPr>
          <w:rFonts w:asciiTheme="minorEastAsia" w:eastAsiaTheme="minorEastAsia" w:hAnsiTheme="minorEastAsia"/>
          <w:szCs w:val="21"/>
        </w:rPr>
        <w:t>召开四次股东大会，会议均采取现场和网络投票相结合的方式召开，确保了</w:t>
      </w:r>
      <w:r w:rsidR="00F82827">
        <w:rPr>
          <w:rFonts w:asciiTheme="minorEastAsia" w:eastAsiaTheme="minorEastAsia" w:hAnsiTheme="minorEastAsia" w:hint="eastAsia"/>
          <w:szCs w:val="21"/>
        </w:rPr>
        <w:t>全体股东特别是</w:t>
      </w:r>
      <w:r w:rsidRPr="00224E5D">
        <w:rPr>
          <w:rFonts w:asciiTheme="minorEastAsia" w:eastAsiaTheme="minorEastAsia" w:hAnsiTheme="minorEastAsia"/>
          <w:szCs w:val="21"/>
        </w:rPr>
        <w:t>中小股东的投票权、知情权。公司董事、高级管理人员在股东大会与投资者进行深入沟通。</w:t>
      </w:r>
    </w:p>
    <w:p w:rsidR="00224E5D" w:rsidRPr="00224E5D" w:rsidRDefault="001B7A5A" w:rsidP="00C6167B">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二</w:t>
      </w:r>
      <w:r w:rsidR="00224E5D" w:rsidRPr="00224E5D">
        <w:rPr>
          <w:rFonts w:asciiTheme="minorEastAsia" w:eastAsiaTheme="minorEastAsia" w:hAnsiTheme="minorEastAsia"/>
          <w:szCs w:val="21"/>
        </w:rPr>
        <w:t>是投资策略会交流。公司积极参加德意志银行、中银国际、汇丰银行、麦格理证券、中信证券、国泰君安证券、申万宏源证券、中信建投证券、国金证券等境内外各大券商的投资策略会或论坛，对公司经营情况及主要业务亮点进行推介，并对投资者所关心的问题进行现场解答和咨询。</w:t>
      </w:r>
    </w:p>
    <w:p w:rsidR="00224E5D" w:rsidRPr="00224E5D" w:rsidRDefault="001B7A5A" w:rsidP="00C6167B">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三</w:t>
      </w:r>
      <w:r w:rsidR="00224E5D" w:rsidRPr="00224E5D">
        <w:rPr>
          <w:rFonts w:asciiTheme="minorEastAsia" w:eastAsiaTheme="minorEastAsia" w:hAnsiTheme="minorEastAsia"/>
          <w:szCs w:val="21"/>
        </w:rPr>
        <w:t>是接待投资者来访。2015年</w:t>
      </w:r>
      <w:r w:rsidR="00286620">
        <w:rPr>
          <w:rFonts w:asciiTheme="minorEastAsia" w:eastAsiaTheme="minorEastAsia" w:hAnsiTheme="minorEastAsia" w:hint="eastAsia"/>
          <w:szCs w:val="21"/>
        </w:rPr>
        <w:t>上半年</w:t>
      </w:r>
      <w:r w:rsidR="00224E5D" w:rsidRPr="00224E5D">
        <w:rPr>
          <w:rFonts w:asciiTheme="minorEastAsia" w:eastAsiaTheme="minorEastAsia" w:hAnsiTheme="minorEastAsia"/>
          <w:szCs w:val="21"/>
        </w:rPr>
        <w:t>共接待11批共51人来访，公司投关团队与到访的投资者就行业发展趋势、公司发展战略、公司新业务发展情况、竞争优势等问题进行深入交流。</w:t>
      </w:r>
    </w:p>
    <w:p w:rsidR="00224E5D" w:rsidRPr="00224E5D" w:rsidRDefault="001B7A5A" w:rsidP="00C6167B">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四</w:t>
      </w:r>
      <w:r w:rsidR="00224E5D" w:rsidRPr="00224E5D">
        <w:rPr>
          <w:rFonts w:asciiTheme="minorEastAsia" w:eastAsiaTheme="minorEastAsia" w:hAnsiTheme="minorEastAsia"/>
          <w:szCs w:val="21"/>
        </w:rPr>
        <w:t>是通过网络平台和电话</w:t>
      </w:r>
      <w:r w:rsidR="00F82827">
        <w:rPr>
          <w:rFonts w:asciiTheme="minorEastAsia" w:eastAsiaTheme="minorEastAsia" w:hAnsiTheme="minorEastAsia" w:hint="eastAsia"/>
          <w:szCs w:val="21"/>
        </w:rPr>
        <w:t>、</w:t>
      </w:r>
      <w:r w:rsidR="00224E5D" w:rsidRPr="00224E5D">
        <w:rPr>
          <w:rFonts w:asciiTheme="minorEastAsia" w:eastAsiaTheme="minorEastAsia" w:hAnsiTheme="minorEastAsia"/>
          <w:szCs w:val="21"/>
        </w:rPr>
        <w:t>传真</w:t>
      </w:r>
      <w:r w:rsidR="00F82827">
        <w:rPr>
          <w:rFonts w:asciiTheme="minorEastAsia" w:eastAsiaTheme="minorEastAsia" w:hAnsiTheme="minorEastAsia" w:hint="eastAsia"/>
          <w:szCs w:val="21"/>
        </w:rPr>
        <w:t>等</w:t>
      </w:r>
      <w:r w:rsidR="00224E5D" w:rsidRPr="00224E5D">
        <w:rPr>
          <w:rFonts w:asciiTheme="minorEastAsia" w:eastAsiaTheme="minorEastAsia" w:hAnsiTheme="minorEastAsia"/>
          <w:szCs w:val="21"/>
        </w:rPr>
        <w:t>及时解答投资者的问题。公司网站开辟了投资者关系管理专栏，</w:t>
      </w:r>
      <w:r w:rsidR="00F82827">
        <w:rPr>
          <w:rFonts w:asciiTheme="minorEastAsia" w:eastAsiaTheme="minorEastAsia" w:hAnsiTheme="minorEastAsia" w:hint="eastAsia"/>
          <w:szCs w:val="21"/>
        </w:rPr>
        <w:t>及时</w:t>
      </w:r>
      <w:r w:rsidR="00224E5D" w:rsidRPr="00224E5D">
        <w:rPr>
          <w:rFonts w:asciiTheme="minorEastAsia" w:eastAsiaTheme="minorEastAsia" w:hAnsiTheme="minorEastAsia"/>
          <w:szCs w:val="21"/>
        </w:rPr>
        <w:t>发布公司信息、回答投资者提问并通过电子邮件与投资者互动。2015年</w:t>
      </w:r>
      <w:r w:rsidR="00F82827">
        <w:rPr>
          <w:rFonts w:asciiTheme="minorEastAsia" w:eastAsiaTheme="minorEastAsia" w:hAnsiTheme="minorEastAsia" w:hint="eastAsia"/>
          <w:szCs w:val="21"/>
        </w:rPr>
        <w:t>上半年</w:t>
      </w:r>
      <w:r w:rsidR="00224E5D" w:rsidRPr="00224E5D">
        <w:rPr>
          <w:rFonts w:asciiTheme="minorEastAsia" w:eastAsiaTheme="minorEastAsia" w:hAnsiTheme="minorEastAsia"/>
          <w:szCs w:val="21"/>
        </w:rPr>
        <w:t>，公司接听投资者电话97人次，回答投资者关于行业和公司发展的各类问题，并协助处理投资者开户、托管、上调股票期权持仓上限等业务问题，有力保护了投资者</w:t>
      </w:r>
      <w:r w:rsidR="00F82827">
        <w:rPr>
          <w:rFonts w:asciiTheme="minorEastAsia" w:eastAsiaTheme="minorEastAsia" w:hAnsiTheme="minorEastAsia" w:hint="eastAsia"/>
          <w:szCs w:val="21"/>
        </w:rPr>
        <w:t>权</w:t>
      </w:r>
      <w:r w:rsidR="00224E5D" w:rsidRPr="00224E5D">
        <w:rPr>
          <w:rFonts w:asciiTheme="minorEastAsia" w:eastAsiaTheme="minorEastAsia" w:hAnsiTheme="minorEastAsia"/>
          <w:szCs w:val="21"/>
        </w:rPr>
        <w:t>益。</w:t>
      </w:r>
    </w:p>
    <w:p w:rsidR="00224E5D" w:rsidRDefault="00224E5D">
      <w:pPr>
        <w:rPr>
          <w:szCs w:val="21"/>
        </w:rPr>
      </w:pPr>
    </w:p>
    <w:p w:rsidR="00704CAD" w:rsidRDefault="00720895" w:rsidP="001C1A59">
      <w:pPr>
        <w:pStyle w:val="2"/>
        <w:numPr>
          <w:ilvl w:val="0"/>
          <w:numId w:val="10"/>
        </w:numPr>
      </w:pPr>
      <w:r>
        <w:rPr>
          <w:rFonts w:hint="eastAsia"/>
        </w:rPr>
        <w:t>可转换公司债券情况</w:t>
      </w:r>
      <w:bookmarkEnd w:id="51"/>
      <w:bookmarkEnd w:id="50"/>
    </w:p>
    <w:sdt>
      <w:sdtPr>
        <w:rPr>
          <w:szCs w:val="21"/>
        </w:rPr>
        <w:alias w:val="是否适用：可转换公司债券情况"/>
        <w:tag w:val="_GBC_cad732c9cd744dfdae7b78d370e36b18"/>
        <w:id w:val="24720626"/>
        <w:lock w:val="sdtLocked"/>
        <w:placeholder>
          <w:docPart w:val="GBC22222222222222222222222222222"/>
        </w:placeholder>
      </w:sdtPr>
      <w:sdtContent>
        <w:p w:rsidR="000B56E2" w:rsidRDefault="00422DCA" w:rsidP="000B56E2">
          <w:pPr>
            <w:rPr>
              <w:szCs w:val="21"/>
            </w:rPr>
          </w:pPr>
          <w:r>
            <w:rPr>
              <w:szCs w:val="21"/>
            </w:rPr>
            <w:fldChar w:fldCharType="begin"/>
          </w:r>
          <w:r w:rsidR="000B56E2">
            <w:rPr>
              <w:szCs w:val="21"/>
            </w:rPr>
            <w:instrText xml:space="preserve"> MACROBUTTON  SnrToggleCheckbox □适用 </w:instrText>
          </w:r>
          <w:r>
            <w:rPr>
              <w:szCs w:val="21"/>
            </w:rPr>
            <w:fldChar w:fldCharType="end"/>
          </w:r>
          <w:r>
            <w:rPr>
              <w:szCs w:val="21"/>
            </w:rPr>
            <w:fldChar w:fldCharType="begin"/>
          </w:r>
          <w:r w:rsidR="000B56E2">
            <w:rPr>
              <w:szCs w:val="21"/>
            </w:rPr>
            <w:instrText xml:space="preserve"> MACROBUTTON  SnrToggleCheckbox √不适用 </w:instrText>
          </w:r>
          <w:r>
            <w:rPr>
              <w:szCs w:val="21"/>
            </w:rPr>
            <w:fldChar w:fldCharType="end"/>
          </w:r>
        </w:p>
      </w:sdtContent>
    </w:sdt>
    <w:bookmarkStart w:id="52" w:name="_Toc342565988" w:displacedByCustomXml="prev"/>
    <w:p w:rsidR="00704CAD" w:rsidRDefault="00704CAD">
      <w:pPr>
        <w:rPr>
          <w:szCs w:val="21"/>
        </w:rPr>
      </w:pPr>
    </w:p>
    <w:sdt>
      <w:sdtPr>
        <w:rPr>
          <w:rFonts w:ascii="宋体" w:hAnsi="宋体" w:cs="宋体"/>
          <w:b w:val="0"/>
          <w:bCs w:val="0"/>
          <w:kern w:val="0"/>
          <w:szCs w:val="24"/>
        </w:rPr>
        <w:tag w:val="_GBC_18e402e11c5049d49edc963fb2ebabab"/>
        <w:id w:val="24720628"/>
        <w:lock w:val="sdtLocked"/>
        <w:placeholder>
          <w:docPart w:val="GBC22222222222222222222222222222"/>
        </w:placeholder>
      </w:sdtPr>
      <w:sdtContent>
        <w:p w:rsidR="00704CAD" w:rsidRDefault="00720895" w:rsidP="001C1A59">
          <w:pPr>
            <w:pStyle w:val="2"/>
            <w:numPr>
              <w:ilvl w:val="0"/>
              <w:numId w:val="10"/>
            </w:numPr>
          </w:pPr>
          <w:r>
            <w:t>公司治理情况</w:t>
          </w:r>
        </w:p>
        <w:sdt>
          <w:sdtPr>
            <w:alias w:val="公司治理与相关规定存在差异的说明"/>
            <w:tag w:val="_GBC_3e4e6cf14e8e43a7b6b3af303792f3f2"/>
            <w:id w:val="24720627"/>
            <w:lock w:val="sdtLocked"/>
            <w:placeholder>
              <w:docPart w:val="GBC22222222222222222222222222222"/>
            </w:placeholder>
          </w:sdtPr>
          <w:sdtContent>
            <w:p w:rsidR="00DC36BC" w:rsidRPr="00F31741" w:rsidRDefault="00DC36BC" w:rsidP="00CB3294">
              <w:pPr>
                <w:autoSpaceDE w:val="0"/>
                <w:autoSpaceDN w:val="0"/>
                <w:adjustRightInd w:val="0"/>
                <w:spacing w:line="360" w:lineRule="auto"/>
                <w:ind w:firstLineChars="200" w:firstLine="420"/>
                <w:rPr>
                  <w:szCs w:val="21"/>
                </w:rPr>
              </w:pPr>
              <w:r w:rsidRPr="00F31741">
                <w:rPr>
                  <w:rFonts w:hint="eastAsia"/>
                  <w:szCs w:val="21"/>
                </w:rPr>
                <w:t>公司严格按照《公司法》、《证券法》及中国证监会相关法规的要求，不断健全公司治理</w:t>
              </w:r>
              <w:r>
                <w:rPr>
                  <w:rFonts w:hint="eastAsia"/>
                  <w:szCs w:val="21"/>
                </w:rPr>
                <w:t>机制</w:t>
              </w:r>
              <w:r w:rsidRPr="00F31741">
                <w:rPr>
                  <w:rFonts w:hint="eastAsia"/>
                  <w:szCs w:val="21"/>
                </w:rPr>
                <w:t>，完善公司治理结构，形成了股东大会、董事会、监事会和经营管理层相互分离、相互制衡的公司治理结构，各层级在职权范围内各司其职、各负其责，确保公司治理的规范有效。</w:t>
              </w:r>
            </w:p>
            <w:p w:rsidR="00DC36BC" w:rsidRPr="00F31741" w:rsidRDefault="00DC36BC" w:rsidP="00DC36BC">
              <w:pPr>
                <w:spacing w:line="360" w:lineRule="auto"/>
                <w:ind w:firstLine="539"/>
                <w:rPr>
                  <w:b/>
                  <w:szCs w:val="21"/>
                </w:rPr>
              </w:pPr>
              <w:r>
                <w:rPr>
                  <w:rFonts w:hint="eastAsia"/>
                  <w:b/>
                  <w:szCs w:val="21"/>
                </w:rPr>
                <w:t>（一）</w:t>
              </w:r>
              <w:r w:rsidRPr="00F31741">
                <w:rPr>
                  <w:rFonts w:hint="eastAsia"/>
                  <w:b/>
                  <w:szCs w:val="21"/>
                </w:rPr>
                <w:t>股东与股东大会</w:t>
              </w:r>
            </w:p>
            <w:p w:rsidR="00DC36BC" w:rsidRPr="00F31741" w:rsidRDefault="00DC36BC" w:rsidP="00CB3294">
              <w:pPr>
                <w:autoSpaceDE w:val="0"/>
                <w:autoSpaceDN w:val="0"/>
                <w:adjustRightInd w:val="0"/>
                <w:spacing w:line="360" w:lineRule="auto"/>
                <w:ind w:firstLineChars="200" w:firstLine="420"/>
                <w:rPr>
                  <w:szCs w:val="21"/>
                </w:rPr>
              </w:pPr>
              <w:r w:rsidRPr="00F31741">
                <w:rPr>
                  <w:rFonts w:hint="eastAsia"/>
                  <w:szCs w:val="21"/>
                </w:rPr>
                <w:t>公司严格按照相关规定召集、召开股东大会，确保所有股东，特别是中小股东享有平等的地位，能够充分行使自己的权利。</w:t>
              </w:r>
            </w:p>
            <w:p w:rsidR="00DC36BC" w:rsidRPr="00F31741" w:rsidRDefault="00DC36BC" w:rsidP="00CB3294">
              <w:pPr>
                <w:autoSpaceDE w:val="0"/>
                <w:autoSpaceDN w:val="0"/>
                <w:adjustRightInd w:val="0"/>
                <w:spacing w:line="360" w:lineRule="auto"/>
                <w:ind w:firstLineChars="200" w:firstLine="420"/>
                <w:rPr>
                  <w:szCs w:val="21"/>
                </w:rPr>
              </w:pPr>
              <w:r w:rsidRPr="00F31741">
                <w:rPr>
                  <w:rFonts w:hint="eastAsia"/>
                  <w:szCs w:val="21"/>
                </w:rPr>
                <w:t>公司第一大股东及实际控制人能够按照相关法律、法规及《公司章程》的规定行使其享有的权利，不存在超越股东大会直接或间接干预公司决策和经营活动的情形，没有占用公司资金，没有要求公司为其担保或为他人担保，在人员、资产、财务、机构和业务方面做到与公司明确分开。</w:t>
              </w:r>
            </w:p>
            <w:p w:rsidR="00DC36BC" w:rsidRPr="00F31741" w:rsidRDefault="00DC36BC" w:rsidP="00DC36BC">
              <w:pPr>
                <w:spacing w:line="360" w:lineRule="auto"/>
                <w:ind w:firstLine="539"/>
                <w:rPr>
                  <w:b/>
                  <w:szCs w:val="21"/>
                </w:rPr>
              </w:pPr>
              <w:r>
                <w:rPr>
                  <w:rFonts w:hint="eastAsia"/>
                  <w:b/>
                  <w:szCs w:val="21"/>
                </w:rPr>
                <w:t>（二）</w:t>
              </w:r>
              <w:r w:rsidRPr="00F31741">
                <w:rPr>
                  <w:rFonts w:hint="eastAsia"/>
                  <w:b/>
                  <w:szCs w:val="21"/>
                </w:rPr>
                <w:t>董事与董事会</w:t>
              </w:r>
            </w:p>
            <w:p w:rsidR="00DC36BC" w:rsidRPr="00F31741" w:rsidRDefault="00DC36BC" w:rsidP="00CB3294">
              <w:pPr>
                <w:autoSpaceDE w:val="0"/>
                <w:autoSpaceDN w:val="0"/>
                <w:adjustRightInd w:val="0"/>
                <w:spacing w:line="360" w:lineRule="auto"/>
                <w:ind w:firstLineChars="200" w:firstLine="420"/>
                <w:rPr>
                  <w:szCs w:val="21"/>
                </w:rPr>
              </w:pPr>
              <w:r w:rsidRPr="00F31741">
                <w:rPr>
                  <w:rFonts w:hint="eastAsia"/>
                  <w:szCs w:val="21"/>
                </w:rPr>
                <w:lastRenderedPageBreak/>
                <w:t>公司严格按照《公司章程》的规定聘任和变更董事，董事人数和人员构成符合法律、法规的要求；公司董事会能够不断完善董事会议事规则，董事会会议的召集、召开及表决程序合法有效；公司建立了独立董事制度，董事会成员中现有五名独立董事，独立及客观地维护中小股东权益，在董事会进行决策时起监督制衡作用。</w:t>
              </w:r>
            </w:p>
            <w:p w:rsidR="00DC36BC" w:rsidRPr="00F31741" w:rsidRDefault="00DC36BC" w:rsidP="00DC36BC">
              <w:pPr>
                <w:spacing w:line="360" w:lineRule="auto"/>
                <w:ind w:firstLine="539"/>
                <w:rPr>
                  <w:b/>
                  <w:szCs w:val="21"/>
                </w:rPr>
              </w:pPr>
              <w:r>
                <w:rPr>
                  <w:rFonts w:hint="eastAsia"/>
                  <w:b/>
                  <w:szCs w:val="21"/>
                </w:rPr>
                <w:t>（三）</w:t>
              </w:r>
              <w:r w:rsidRPr="00F31741">
                <w:rPr>
                  <w:rFonts w:hint="eastAsia"/>
                  <w:b/>
                  <w:szCs w:val="21"/>
                </w:rPr>
                <w:t>监事和监事会</w:t>
              </w:r>
            </w:p>
            <w:p w:rsidR="00DC36BC" w:rsidRPr="00F31741" w:rsidRDefault="00DC36BC" w:rsidP="00CB3294">
              <w:pPr>
                <w:autoSpaceDE w:val="0"/>
                <w:autoSpaceDN w:val="0"/>
                <w:adjustRightInd w:val="0"/>
                <w:spacing w:line="360" w:lineRule="auto"/>
                <w:ind w:firstLineChars="200" w:firstLine="420"/>
                <w:rPr>
                  <w:szCs w:val="21"/>
                </w:rPr>
              </w:pPr>
              <w:r w:rsidRPr="00F31741">
                <w:rPr>
                  <w:rFonts w:hint="eastAsia"/>
                  <w:szCs w:val="21"/>
                </w:rPr>
                <w:t xml:space="preserve">公司严格按照《公司章程》的规定聘任和变更监事，监事人数和人员构成符合法律、法规的要求；公司监事会能够不断完善监事会议事规则，监事会会议的召集、召开及表决程序合法有效；公司监事会向股东大会负责，本着对全体股东负责的精神，对公司财务以及公司董事会、管理层和其他高级管理人员履行职责的合法合规性进行有效监督，并就有关事项向董事会和管理层提出建议和改进意见。 </w:t>
              </w:r>
            </w:p>
            <w:p w:rsidR="00DC36BC" w:rsidRPr="00F31741" w:rsidRDefault="00DC36BC" w:rsidP="00DC36BC">
              <w:pPr>
                <w:spacing w:line="360" w:lineRule="auto"/>
                <w:ind w:firstLine="539"/>
                <w:rPr>
                  <w:b/>
                  <w:szCs w:val="21"/>
                </w:rPr>
              </w:pPr>
              <w:r>
                <w:rPr>
                  <w:rFonts w:hint="eastAsia"/>
                  <w:b/>
                  <w:szCs w:val="21"/>
                </w:rPr>
                <w:t>（四）</w:t>
              </w:r>
              <w:r w:rsidRPr="00F31741">
                <w:rPr>
                  <w:rFonts w:hint="eastAsia"/>
                  <w:b/>
                  <w:szCs w:val="21"/>
                </w:rPr>
                <w:t>高级管理层</w:t>
              </w:r>
            </w:p>
            <w:p w:rsidR="00DC36BC" w:rsidRPr="00F31741" w:rsidRDefault="00DC36BC" w:rsidP="00CB3294">
              <w:pPr>
                <w:autoSpaceDE w:val="0"/>
                <w:autoSpaceDN w:val="0"/>
                <w:adjustRightInd w:val="0"/>
                <w:spacing w:line="360" w:lineRule="auto"/>
                <w:ind w:firstLineChars="200" w:firstLine="420"/>
                <w:rPr>
                  <w:szCs w:val="21"/>
                </w:rPr>
              </w:pPr>
              <w:r w:rsidRPr="00F31741">
                <w:rPr>
                  <w:rFonts w:hint="eastAsia"/>
                  <w:szCs w:val="21"/>
                </w:rPr>
                <w:t>公司高级管理层产生的程序符合《公司法》和《公司章程》的规定，能够依照法律、法规和董事会的授权，依法合规经营，努力实现股东利益和社会效益的最大化。</w:t>
              </w:r>
            </w:p>
            <w:p w:rsidR="00DC36BC" w:rsidRPr="00F31741" w:rsidRDefault="00DC36BC" w:rsidP="00CB3294">
              <w:pPr>
                <w:autoSpaceDE w:val="0"/>
                <w:autoSpaceDN w:val="0"/>
                <w:adjustRightInd w:val="0"/>
                <w:spacing w:line="360" w:lineRule="auto"/>
                <w:ind w:firstLineChars="200" w:firstLine="420"/>
                <w:rPr>
                  <w:szCs w:val="21"/>
                </w:rPr>
              </w:pPr>
              <w:r w:rsidRPr="00F31741">
                <w:rPr>
                  <w:rFonts w:hint="eastAsia"/>
                  <w:szCs w:val="21"/>
                </w:rPr>
                <w:t>公司治理结构完善，与《公司法》和中国证监会相关规定的要求不存在差异。</w:t>
              </w:r>
            </w:p>
            <w:p w:rsidR="00704CAD" w:rsidRDefault="00422DCA"/>
          </w:sdtContent>
        </w:sdt>
      </w:sdtContent>
    </w:sdt>
    <w:p w:rsidR="00704CAD" w:rsidRDefault="00720895" w:rsidP="001C1A59">
      <w:pPr>
        <w:pStyle w:val="2"/>
        <w:numPr>
          <w:ilvl w:val="0"/>
          <w:numId w:val="10"/>
        </w:numPr>
      </w:pPr>
      <w:r>
        <w:t>其他重大事项的说明</w:t>
      </w:r>
    </w:p>
    <w:sdt>
      <w:sdtPr>
        <w:rPr>
          <w:rFonts w:ascii="宋体" w:hAnsi="宋体" w:cs="宋体"/>
          <w:b w:val="0"/>
          <w:bCs w:val="0"/>
          <w:kern w:val="0"/>
          <w:szCs w:val="22"/>
        </w:rPr>
        <w:tag w:val="_GBC_36b0e9b1141243fa9592a4c832c2749d"/>
        <w:id w:val="24720630"/>
        <w:lock w:val="sdtLocked"/>
        <w:placeholder>
          <w:docPart w:val="GBC22222222222222222222222222222"/>
        </w:placeholder>
      </w:sdtPr>
      <w:sdtEndPr>
        <w:rPr>
          <w:rFonts w:hint="eastAsia"/>
          <w:szCs w:val="24"/>
        </w:rPr>
      </w:sdtEndPr>
      <w:sdtContent>
        <w:p w:rsidR="00704CAD" w:rsidRDefault="00720895" w:rsidP="009950AC">
          <w:pPr>
            <w:pStyle w:val="3"/>
            <w:numPr>
              <w:ilvl w:val="0"/>
              <w:numId w:val="25"/>
            </w:numPr>
          </w:pPr>
          <w:r>
            <w:t>董事会对会计政策、会计估计或核算方法变更的原因和影响的分析说明</w:t>
          </w:r>
        </w:p>
        <w:sdt>
          <w:sdtPr>
            <w:alias w:val="是否适用：董事会对会计政策、会计估计或核算方法变更的原因和影响的分析说明"/>
            <w:tag w:val="_GBC_5c7a4c1cc0bb47a1bffca8813a3c3c69"/>
            <w:id w:val="24720629"/>
            <w:lock w:val="sdtLocked"/>
            <w:placeholder>
              <w:docPart w:val="GBC22222222222222222222222222222"/>
            </w:placeholder>
          </w:sdtPr>
          <w:sdtContent>
            <w:p w:rsidR="00704CAD" w:rsidRDefault="00422DCA" w:rsidP="003819AD">
              <w:r>
                <w:fldChar w:fldCharType="begin"/>
              </w:r>
              <w:r w:rsidR="003819AD">
                <w:instrText xml:space="preserve"> MACROBUTTON  SnrToggleCheckbox □适用 </w:instrText>
              </w:r>
              <w:r>
                <w:fldChar w:fldCharType="end"/>
              </w:r>
              <w:r>
                <w:fldChar w:fldCharType="begin"/>
              </w:r>
              <w:r w:rsidR="003819AD">
                <w:instrText xml:space="preserve"> MACROBUTTON  SnrToggleCheckbox √不适用 </w:instrText>
              </w:r>
              <w:r>
                <w:fldChar w:fldCharType="end"/>
              </w:r>
            </w:p>
          </w:sdtContent>
        </w:sdt>
        <w:p w:rsidR="00704CAD" w:rsidRPr="003819AD" w:rsidRDefault="00422DCA" w:rsidP="003819AD"/>
      </w:sdtContent>
    </w:sdt>
    <w:sdt>
      <w:sdtPr>
        <w:rPr>
          <w:rFonts w:ascii="宋体" w:hAnsi="宋体" w:cs="宋体"/>
          <w:b w:val="0"/>
          <w:bCs w:val="0"/>
          <w:kern w:val="0"/>
          <w:szCs w:val="22"/>
        </w:rPr>
        <w:tag w:val="_GBC_791bdabac99849648310e71e491d34d9"/>
        <w:id w:val="24720632"/>
        <w:lock w:val="sdtLocked"/>
        <w:placeholder>
          <w:docPart w:val="GBC22222222222222222222222222222"/>
        </w:placeholder>
      </w:sdtPr>
      <w:sdtEndPr>
        <w:rPr>
          <w:rFonts w:hint="eastAsia"/>
          <w:szCs w:val="24"/>
        </w:rPr>
      </w:sdtEndPr>
      <w:sdtContent>
        <w:p w:rsidR="00704CAD" w:rsidRDefault="00720895" w:rsidP="009950AC">
          <w:pPr>
            <w:pStyle w:val="3"/>
            <w:numPr>
              <w:ilvl w:val="0"/>
              <w:numId w:val="25"/>
            </w:numPr>
          </w:pPr>
          <w:r>
            <w:t>董事会对重要前期差错更正的原因及影响的分析说明</w:t>
          </w:r>
        </w:p>
        <w:sdt>
          <w:sdtPr>
            <w:alias w:val="是否适用：董事会对重要前期差错更正的原因及影响的分析说明"/>
            <w:tag w:val="_GBC_6fd54510a31b44928def5e54d02f55e2"/>
            <w:id w:val="24720631"/>
            <w:lock w:val="sdtLocked"/>
            <w:placeholder>
              <w:docPart w:val="GBC22222222222222222222222222222"/>
            </w:placeholder>
          </w:sdtPr>
          <w:sdtContent>
            <w:p w:rsidR="00704CAD" w:rsidRDefault="00422DCA" w:rsidP="009127DD">
              <w:r>
                <w:fldChar w:fldCharType="begin"/>
              </w:r>
              <w:r w:rsidR="009127DD">
                <w:instrText xml:space="preserve"> MACROBUTTON  SnrToggleCheckbox □适用 </w:instrText>
              </w:r>
              <w:r>
                <w:fldChar w:fldCharType="end"/>
              </w:r>
              <w:r>
                <w:fldChar w:fldCharType="begin"/>
              </w:r>
              <w:r w:rsidR="009127DD">
                <w:instrText xml:space="preserve"> MACROBUTTON  SnrToggleCheckbox √不适用 </w:instrText>
              </w:r>
              <w:r>
                <w:fldChar w:fldCharType="end"/>
              </w:r>
            </w:p>
          </w:sdtContent>
        </w:sdt>
        <w:p w:rsidR="009F1678" w:rsidRDefault="009F1678" w:rsidP="009127DD"/>
        <w:p w:rsidR="00704CAD" w:rsidRPr="009127DD" w:rsidRDefault="00422DCA" w:rsidP="009127DD"/>
      </w:sdtContent>
    </w:sdt>
    <w:p w:rsidR="00704CAD" w:rsidRDefault="00720895">
      <w:pPr>
        <w:pStyle w:val="10"/>
        <w:numPr>
          <w:ilvl w:val="0"/>
          <w:numId w:val="3"/>
        </w:numPr>
        <w:rPr>
          <w:szCs w:val="28"/>
        </w:rPr>
      </w:pPr>
      <w:bookmarkStart w:id="53" w:name="_Toc421545513"/>
      <w:r>
        <w:rPr>
          <w:rFonts w:hint="eastAsia"/>
          <w:szCs w:val="28"/>
        </w:rPr>
        <w:t>股份变动及股东情况</w:t>
      </w:r>
      <w:bookmarkEnd w:id="52"/>
      <w:bookmarkEnd w:id="53"/>
    </w:p>
    <w:p w:rsidR="00704CAD" w:rsidRDefault="00720895">
      <w:pPr>
        <w:pStyle w:val="2"/>
        <w:numPr>
          <w:ilvl w:val="0"/>
          <w:numId w:val="1"/>
        </w:numPr>
      </w:pPr>
      <w:bookmarkStart w:id="54" w:name="_Toc342059476"/>
      <w:bookmarkStart w:id="55" w:name="_Toc342565989"/>
      <w:r>
        <w:t>股</w:t>
      </w:r>
      <w:r>
        <w:rPr>
          <w:rFonts w:hint="eastAsia"/>
        </w:rPr>
        <w:t>本变动情况</w:t>
      </w:r>
      <w:bookmarkEnd w:id="54"/>
      <w:bookmarkEnd w:id="55"/>
    </w:p>
    <w:p w:rsidR="00704CAD" w:rsidRDefault="00720895" w:rsidP="001C1A59">
      <w:pPr>
        <w:pStyle w:val="3"/>
        <w:numPr>
          <w:ilvl w:val="1"/>
          <w:numId w:val="11"/>
        </w:numPr>
        <w:rPr>
          <w:szCs w:val="21"/>
        </w:rPr>
      </w:pPr>
      <w:bookmarkStart w:id="56" w:name="_Toc342059477"/>
      <w:bookmarkStart w:id="57" w:name="_Toc342565990"/>
      <w:r>
        <w:rPr>
          <w:rFonts w:hint="eastAsia"/>
          <w:szCs w:val="21"/>
        </w:rPr>
        <w:t>股份变动情况表</w:t>
      </w:r>
      <w:bookmarkEnd w:id="56"/>
      <w:bookmarkEnd w:id="57"/>
    </w:p>
    <w:p w:rsidR="00704CAD" w:rsidRDefault="00720895" w:rsidP="001C1A59">
      <w:pPr>
        <w:pStyle w:val="4"/>
        <w:numPr>
          <w:ilvl w:val="2"/>
          <w:numId w:val="12"/>
        </w:numPr>
        <w:rPr>
          <w:szCs w:val="21"/>
        </w:rPr>
      </w:pPr>
      <w:r>
        <w:rPr>
          <w:rFonts w:hint="eastAsia"/>
          <w:szCs w:val="21"/>
        </w:rPr>
        <w:t>股份变动情况表</w:t>
      </w:r>
    </w:p>
    <w:sdt>
      <w:sdtPr>
        <w:rPr>
          <w:rFonts w:hint="eastAsia"/>
          <w:szCs w:val="21"/>
        </w:rPr>
        <w:tag w:val="_GBC_689d6173d495495594274e2a0740daae"/>
        <w:id w:val="24720633"/>
        <w:lock w:val="sdtLocked"/>
        <w:placeholder>
          <w:docPart w:val="GBC22222222222222222222222222222"/>
        </w:placeholder>
      </w:sdtPr>
      <w:sdtContent>
        <w:p w:rsidR="00704CAD" w:rsidRDefault="00720895" w:rsidP="00E00BFA">
          <w:pPr>
            <w:spacing w:line="360" w:lineRule="auto"/>
            <w:ind w:firstLineChars="202" w:firstLine="424"/>
            <w:rPr>
              <w:szCs w:val="21"/>
            </w:rPr>
          </w:pPr>
          <w:r>
            <w:rPr>
              <w:rFonts w:hint="eastAsia"/>
              <w:szCs w:val="21"/>
            </w:rPr>
            <w:t>报告期内，公司股份总数未发生变化。</w:t>
          </w:r>
        </w:p>
      </w:sdtContent>
    </w:sdt>
    <w:bookmarkStart w:id="58" w:name="_Toc342059483" w:displacedByCustomXml="prev"/>
    <w:bookmarkStart w:id="59" w:name="_Toc342565996" w:displacedByCustomXml="prev"/>
    <w:sdt>
      <w:sdtPr>
        <w:rPr>
          <w:rFonts w:ascii="Calibri" w:hAnsi="Calibri" w:cs="宋体"/>
          <w:b w:val="0"/>
          <w:bCs w:val="0"/>
          <w:kern w:val="0"/>
          <w:sz w:val="24"/>
          <w:szCs w:val="22"/>
        </w:rPr>
        <w:tag w:val="_GBC_fd937c59814e412bb609e8681c5ae6ee"/>
        <w:id w:val="24720635"/>
        <w:lock w:val="sdtLocked"/>
        <w:placeholder>
          <w:docPart w:val="GBC22222222222222222222222222222"/>
        </w:placeholder>
      </w:sdtPr>
      <w:sdtEndPr>
        <w:rPr>
          <w:rFonts w:ascii="宋体" w:hAnsi="宋体" w:hint="eastAsia"/>
          <w:sz w:val="21"/>
          <w:szCs w:val="21"/>
        </w:rPr>
      </w:sdtEndPr>
      <w:sdtContent>
        <w:p w:rsidR="00704CAD" w:rsidRDefault="00720895" w:rsidP="001C1A59">
          <w:pPr>
            <w:pStyle w:val="4"/>
            <w:numPr>
              <w:ilvl w:val="2"/>
              <w:numId w:val="12"/>
            </w:numPr>
            <w:rPr>
              <w:szCs w:val="21"/>
            </w:rPr>
          </w:pPr>
          <w:r>
            <w:rPr>
              <w:szCs w:val="21"/>
            </w:rPr>
            <w:t>股份变动情况说明</w:t>
          </w:r>
        </w:p>
        <w:sdt>
          <w:sdtPr>
            <w:rPr>
              <w:rFonts w:hint="eastAsia"/>
              <w:szCs w:val="21"/>
            </w:rPr>
            <w:alias w:val="股份变动情况说明"/>
            <w:tag w:val="_GBC_df306081aaa84b408082abfa84df21dc"/>
            <w:id w:val="24720634"/>
            <w:lock w:val="sdtLocked"/>
            <w:placeholder>
              <w:docPart w:val="GBC22222222222222222222222222222"/>
            </w:placeholder>
          </w:sdtPr>
          <w:sdtContent>
            <w:p w:rsidR="00CF1E53" w:rsidRDefault="00B6398B" w:rsidP="00CB3294">
              <w:pPr>
                <w:adjustRightInd w:val="0"/>
                <w:snapToGrid w:val="0"/>
                <w:spacing w:line="360" w:lineRule="auto"/>
                <w:ind w:firstLineChars="200" w:firstLine="420"/>
                <w:rPr>
                  <w:szCs w:val="21"/>
                </w:rPr>
              </w:pPr>
              <w:r w:rsidRPr="00CF1E53">
                <w:rPr>
                  <w:rFonts w:hint="eastAsia"/>
                  <w:szCs w:val="21"/>
                </w:rPr>
                <w:t>报告期内，公司股东新华基金管理有限公司、国泰基金管理有限公司</w:t>
              </w:r>
              <w:r w:rsidR="001344EA">
                <w:rPr>
                  <w:rFonts w:hint="eastAsia"/>
                  <w:szCs w:val="21"/>
                </w:rPr>
                <w:t>认购</w:t>
              </w:r>
              <w:r w:rsidR="001344EA" w:rsidRPr="00CF1E53">
                <w:rPr>
                  <w:rFonts w:hint="eastAsia"/>
                  <w:szCs w:val="21"/>
                </w:rPr>
                <w:t>公司</w:t>
              </w:r>
              <w:r w:rsidR="002D00BA" w:rsidRPr="00CF1E53">
                <w:rPr>
                  <w:rFonts w:hint="eastAsia"/>
                  <w:szCs w:val="21"/>
                </w:rPr>
                <w:t>2014年非公开发行时股份</w:t>
              </w:r>
              <w:r w:rsidR="00CF1E53" w:rsidRPr="00CF1E53">
                <w:rPr>
                  <w:rFonts w:hint="eastAsia"/>
                  <w:szCs w:val="21"/>
                </w:rPr>
                <w:t>所形成的限售股份</w:t>
              </w:r>
              <w:r w:rsidR="002D00BA" w:rsidRPr="00CF1E53">
                <w:rPr>
                  <w:rFonts w:hint="eastAsia"/>
                  <w:szCs w:val="21"/>
                </w:rPr>
                <w:t>，于</w:t>
              </w:r>
              <w:r w:rsidR="002D00BA" w:rsidRPr="00CF1E53">
                <w:rPr>
                  <w:szCs w:val="21"/>
                </w:rPr>
                <w:t>2015年</w:t>
              </w:r>
              <w:r w:rsidR="002D00BA" w:rsidRPr="00CF1E53">
                <w:rPr>
                  <w:rFonts w:hint="eastAsia"/>
                  <w:szCs w:val="21"/>
                </w:rPr>
                <w:t>5</w:t>
              </w:r>
              <w:r w:rsidR="002D00BA" w:rsidRPr="00CF1E53">
                <w:rPr>
                  <w:szCs w:val="21"/>
                </w:rPr>
                <w:t>月</w:t>
              </w:r>
              <w:r w:rsidR="002D00BA" w:rsidRPr="00CF1E53">
                <w:rPr>
                  <w:rFonts w:hint="eastAsia"/>
                  <w:szCs w:val="21"/>
                </w:rPr>
                <w:t>27</w:t>
              </w:r>
              <w:r w:rsidR="002D00BA" w:rsidRPr="00CF1E53">
                <w:rPr>
                  <w:szCs w:val="21"/>
                </w:rPr>
                <w:t>日上市</w:t>
              </w:r>
              <w:r w:rsidR="00CF1E53" w:rsidRPr="00CF1E53">
                <w:rPr>
                  <w:rFonts w:hint="eastAsia"/>
                  <w:szCs w:val="21"/>
                </w:rPr>
                <w:t>流通。截至2015年6月30日，公司总股本</w:t>
              </w:r>
              <w:r w:rsidR="00CF1E53" w:rsidRPr="00CF1E53">
                <w:rPr>
                  <w:rFonts w:hint="eastAsia"/>
                  <w:color w:val="000000"/>
                  <w:szCs w:val="21"/>
                </w:rPr>
                <w:t>5,808,135,529股，无限售条件的流通股份4,803,099,829股，有限售条件的流通股份</w:t>
              </w:r>
              <w:r w:rsidR="00CF1E53" w:rsidRPr="00CF1E53">
                <w:rPr>
                  <w:rFonts w:hint="eastAsia"/>
                  <w:bCs/>
                  <w:color w:val="000000"/>
                  <w:szCs w:val="21"/>
                </w:rPr>
                <w:t>1,005,035,700股。</w:t>
              </w:r>
            </w:p>
          </w:sdtContent>
        </w:sdt>
      </w:sdtContent>
    </w:sdt>
    <w:sdt>
      <w:sdtPr>
        <w:rPr>
          <w:rFonts w:ascii="宋体" w:hAnsi="宋体" w:cs="宋体"/>
          <w:b/>
          <w:bCs/>
          <w:kern w:val="0"/>
          <w:sz w:val="24"/>
          <w:szCs w:val="21"/>
        </w:rPr>
        <w:tag w:val="_GBC_791dfceda6e44b2e8b3e673c775c9957"/>
        <w:id w:val="24720637"/>
        <w:lock w:val="sdtLocked"/>
        <w:placeholder>
          <w:docPart w:val="GBC22222222222222222222222222222"/>
        </w:placeholder>
      </w:sdtPr>
      <w:sdtEndPr>
        <w:rPr>
          <w:rFonts w:hint="eastAsia"/>
          <w:b w:val="0"/>
          <w:bCs w:val="0"/>
          <w:sz w:val="21"/>
        </w:rPr>
      </w:sdtEndPr>
      <w:sdtContent>
        <w:p w:rsidR="00704CAD" w:rsidRDefault="00720895" w:rsidP="001C1A59">
          <w:pPr>
            <w:pStyle w:val="a9"/>
            <w:numPr>
              <w:ilvl w:val="2"/>
              <w:numId w:val="12"/>
            </w:numPr>
            <w:ind w:firstLineChars="0"/>
            <w:rPr>
              <w:rFonts w:ascii="Cambria" w:hAnsi="Cambria"/>
              <w:b/>
              <w:bCs/>
              <w:szCs w:val="21"/>
            </w:rPr>
          </w:pPr>
          <w:r>
            <w:rPr>
              <w:rFonts w:ascii="Cambria" w:hAnsi="Cambria" w:hint="eastAsia"/>
              <w:b/>
              <w:bCs/>
              <w:szCs w:val="21"/>
            </w:rPr>
            <w:t>报告期后到半年报披露日期间发生股份变动对每股收益、每股净资产等财务指标的影响（如有）</w:t>
          </w:r>
        </w:p>
        <w:sdt>
          <w:sdtPr>
            <w:rPr>
              <w:rFonts w:hint="eastAsia"/>
              <w:szCs w:val="21"/>
            </w:rPr>
            <w:alias w:val="股份变动对最近一年和最近一期财务指标的影响"/>
            <w:tag w:val="_GBC_b52cc70bca284091ae4d28eb58c5c250"/>
            <w:id w:val="24720636"/>
            <w:lock w:val="sdtLocked"/>
            <w:placeholder>
              <w:docPart w:val="GBC22222222222222222222222222222"/>
            </w:placeholder>
          </w:sdtPr>
          <w:sdtContent>
            <w:p w:rsidR="00704CAD" w:rsidRPr="00F272A7" w:rsidRDefault="000B666A" w:rsidP="00E023A1">
              <w:pPr>
                <w:ind w:firstLineChars="202" w:firstLine="424"/>
                <w:rPr>
                  <w:szCs w:val="21"/>
                </w:rPr>
              </w:pPr>
              <w:r>
                <w:rPr>
                  <w:rFonts w:hint="eastAsia"/>
                  <w:szCs w:val="21"/>
                </w:rPr>
                <w:t>无。</w:t>
              </w:r>
            </w:p>
          </w:sdtContent>
        </w:sdt>
      </w:sdtContent>
    </w:sdt>
    <w:sdt>
      <w:sdtPr>
        <w:rPr>
          <w:rFonts w:ascii="Calibri" w:hAnsi="Calibri" w:cs="宋体"/>
          <w:b w:val="0"/>
          <w:bCs w:val="0"/>
          <w:kern w:val="0"/>
          <w:sz w:val="24"/>
          <w:szCs w:val="21"/>
        </w:rPr>
        <w:tag w:val="_GBC_92c1f4ab6a5c4038bd59c300961f424f"/>
        <w:id w:val="24720639"/>
        <w:lock w:val="sdtLocked"/>
        <w:placeholder>
          <w:docPart w:val="GBC22222222222222222222222222222"/>
        </w:placeholder>
      </w:sdtPr>
      <w:sdtEndPr>
        <w:rPr>
          <w:rFonts w:ascii="宋体" w:hAnsi="宋体" w:hint="eastAsia"/>
          <w:sz w:val="21"/>
        </w:rPr>
      </w:sdtEndPr>
      <w:sdtContent>
        <w:p w:rsidR="00704CAD" w:rsidRDefault="00720895" w:rsidP="001C1A59">
          <w:pPr>
            <w:pStyle w:val="4"/>
            <w:numPr>
              <w:ilvl w:val="2"/>
              <w:numId w:val="12"/>
            </w:numPr>
            <w:rPr>
              <w:szCs w:val="21"/>
            </w:rPr>
          </w:pPr>
          <w:r>
            <w:rPr>
              <w:szCs w:val="21"/>
            </w:rPr>
            <w:t>公司认为必要或证券监管机构要求披露的其他内容</w:t>
          </w:r>
        </w:p>
        <w:sdt>
          <w:sdtPr>
            <w:rPr>
              <w:rFonts w:hint="eastAsia"/>
              <w:szCs w:val="21"/>
            </w:rPr>
            <w:alias w:val="股份变动公司认为必要或证券监管机构要求披露的其他内容"/>
            <w:tag w:val="_GBC_f27e349f406e4c44beceb089ff788db2"/>
            <w:id w:val="24720638"/>
            <w:lock w:val="sdtLocked"/>
            <w:placeholder>
              <w:docPart w:val="GBC22222222222222222222222222222"/>
            </w:placeholder>
          </w:sdtPr>
          <w:sdtContent>
            <w:p w:rsidR="00E233DB" w:rsidRDefault="00F91732" w:rsidP="00097A4E">
              <w:pPr>
                <w:spacing w:line="360" w:lineRule="auto"/>
                <w:ind w:firstLineChars="202" w:firstLine="424"/>
                <w:rPr>
                  <w:szCs w:val="21"/>
                </w:rPr>
              </w:pPr>
              <w:r>
                <w:rPr>
                  <w:rFonts w:hint="eastAsia"/>
                  <w:szCs w:val="21"/>
                </w:rPr>
                <w:t>公司发行H股事项详见本报告“第四节 董事会报告”部分的“公司前期各类融资事项实施进度分析说明”的相关内容。</w:t>
              </w:r>
            </w:p>
          </w:sdtContent>
        </w:sdt>
      </w:sdtContent>
    </w:sdt>
    <w:p w:rsidR="00704CAD" w:rsidRDefault="00720895" w:rsidP="001C1A59">
      <w:pPr>
        <w:pStyle w:val="3"/>
        <w:numPr>
          <w:ilvl w:val="1"/>
          <w:numId w:val="11"/>
        </w:numPr>
        <w:rPr>
          <w:szCs w:val="21"/>
        </w:rPr>
      </w:pPr>
      <w:r>
        <w:rPr>
          <w:szCs w:val="21"/>
        </w:rPr>
        <w:t>限售股份变动情况</w:t>
      </w:r>
    </w:p>
    <w:sdt>
      <w:sdtPr>
        <w:rPr>
          <w:rFonts w:hint="eastAsia"/>
        </w:rPr>
        <w:alias w:val="是否适用：限售股份变动情况表"/>
        <w:tag w:val="_GBC_368b89fecc0043f6b767cb1678ea2526"/>
        <w:id w:val="24720640"/>
        <w:lock w:val="sdtContentLocked"/>
        <w:placeholder>
          <w:docPart w:val="GBC22222222222222222222222222222"/>
        </w:placeholder>
      </w:sdtPr>
      <w:sdtContent>
        <w:p w:rsidR="00704CAD" w:rsidRDefault="00422DCA">
          <w:r>
            <w:fldChar w:fldCharType="begin"/>
          </w:r>
          <w:r w:rsidR="00E233DB">
            <w:instrText>MACROBUTTON  SnrToggleCheckbox √适用</w:instrText>
          </w:r>
          <w:r>
            <w:fldChar w:fldCharType="end"/>
          </w:r>
          <w:r>
            <w:fldChar w:fldCharType="begin"/>
          </w:r>
          <w:r w:rsidR="00E233DB">
            <w:instrText xml:space="preserve"> MACROBUTTON  SnrToggleCheckbox □不适用 </w:instrText>
          </w:r>
          <w:r>
            <w:fldChar w:fldCharType="end"/>
          </w:r>
        </w:p>
      </w:sdtContent>
    </w:sdt>
    <w:sdt>
      <w:sdtPr>
        <w:rPr>
          <w:rFonts w:hint="eastAsia"/>
          <w:szCs w:val="21"/>
        </w:rPr>
        <w:tag w:val="_GBC_14d82e209c6248fb815a0f7168b32f0f"/>
        <w:id w:val="24720727"/>
        <w:lock w:val="sdtLocked"/>
        <w:placeholder>
          <w:docPart w:val="GBC22222222222222222222222222222"/>
        </w:placeholder>
      </w:sdtPr>
      <w:sdtEndPr>
        <w:rPr>
          <w:rFonts w:asciiTheme="minorEastAsia" w:eastAsiaTheme="minorEastAsia" w:hAnsiTheme="minorEastAsia"/>
        </w:rPr>
      </w:sdtEndPr>
      <w:sdtContent>
        <w:p w:rsidR="00704CAD" w:rsidRDefault="00720895">
          <w:pPr>
            <w:jc w:val="right"/>
            <w:rPr>
              <w:szCs w:val="21"/>
            </w:rPr>
          </w:pPr>
          <w:r>
            <w:rPr>
              <w:rFonts w:hint="eastAsia"/>
              <w:szCs w:val="21"/>
            </w:rPr>
            <w:t xml:space="preserve">单位: </w:t>
          </w:r>
          <w:sdt>
            <w:sdtPr>
              <w:rPr>
                <w:rFonts w:hint="eastAsia"/>
                <w:szCs w:val="21"/>
              </w:rPr>
              <w:alias w:val="单位：限售股份变动情况表"/>
              <w:tag w:val="_GBC_0bd04ae3ad294970b0e9a47f7659f0e5"/>
              <w:id w:val="2472064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9464" w:type="dxa"/>
            <w:tblLayout w:type="fixed"/>
            <w:tblLook w:val="04A0"/>
          </w:tblPr>
          <w:tblGrid>
            <w:gridCol w:w="534"/>
            <w:gridCol w:w="1701"/>
            <w:gridCol w:w="1559"/>
            <w:gridCol w:w="1417"/>
            <w:gridCol w:w="851"/>
            <w:gridCol w:w="1559"/>
            <w:gridCol w:w="992"/>
            <w:gridCol w:w="851"/>
          </w:tblGrid>
          <w:tr w:rsidR="00F91732" w:rsidRPr="00204A85" w:rsidTr="005C6D2C">
            <w:trPr>
              <w:tblHeader/>
            </w:trPr>
            <w:tc>
              <w:tcPr>
                <w:tcW w:w="534" w:type="dxa"/>
                <w:vAlign w:val="center"/>
              </w:tcPr>
              <w:p w:rsidR="00F91732" w:rsidRPr="00204A85" w:rsidRDefault="00F91732" w:rsidP="006D049E">
                <w:pPr>
                  <w:jc w:val="center"/>
                  <w:rPr>
                    <w:b/>
                    <w:szCs w:val="21"/>
                  </w:rPr>
                </w:pPr>
                <w:r>
                  <w:rPr>
                    <w:rFonts w:hint="eastAsia"/>
                    <w:b/>
                    <w:szCs w:val="21"/>
                  </w:rPr>
                  <w:t>序号</w:t>
                </w:r>
              </w:p>
            </w:tc>
            <w:tc>
              <w:tcPr>
                <w:tcW w:w="1701" w:type="dxa"/>
                <w:vAlign w:val="center"/>
              </w:tcPr>
              <w:p w:rsidR="00F91732" w:rsidRPr="00204A85" w:rsidRDefault="00F91732" w:rsidP="006D049E">
                <w:pPr>
                  <w:jc w:val="center"/>
                  <w:rPr>
                    <w:b/>
                    <w:szCs w:val="21"/>
                  </w:rPr>
                </w:pPr>
                <w:r w:rsidRPr="00204A85">
                  <w:rPr>
                    <w:b/>
                    <w:szCs w:val="21"/>
                  </w:rPr>
                  <w:t>股东名称</w:t>
                </w:r>
              </w:p>
            </w:tc>
            <w:tc>
              <w:tcPr>
                <w:tcW w:w="1559" w:type="dxa"/>
                <w:vAlign w:val="center"/>
              </w:tcPr>
              <w:p w:rsidR="00F91732" w:rsidRPr="00204A85" w:rsidRDefault="00F91732" w:rsidP="006D049E">
                <w:pPr>
                  <w:jc w:val="center"/>
                  <w:rPr>
                    <w:b/>
                    <w:szCs w:val="21"/>
                  </w:rPr>
                </w:pPr>
                <w:r w:rsidRPr="00204A85">
                  <w:rPr>
                    <w:rFonts w:hint="eastAsia"/>
                    <w:b/>
                    <w:szCs w:val="21"/>
                  </w:rPr>
                  <w:t>期初</w:t>
                </w:r>
                <w:r w:rsidRPr="00204A85">
                  <w:rPr>
                    <w:b/>
                    <w:szCs w:val="21"/>
                  </w:rPr>
                  <w:t>限售股数</w:t>
                </w:r>
              </w:p>
            </w:tc>
            <w:tc>
              <w:tcPr>
                <w:tcW w:w="1417" w:type="dxa"/>
                <w:vAlign w:val="center"/>
              </w:tcPr>
              <w:p w:rsidR="00F91732" w:rsidRPr="00204A85" w:rsidRDefault="00F91732" w:rsidP="006D049E">
                <w:pPr>
                  <w:jc w:val="center"/>
                  <w:rPr>
                    <w:b/>
                    <w:szCs w:val="21"/>
                  </w:rPr>
                </w:pPr>
                <w:r w:rsidRPr="00204A85">
                  <w:rPr>
                    <w:rFonts w:hint="eastAsia"/>
                    <w:b/>
                    <w:szCs w:val="21"/>
                  </w:rPr>
                  <w:t>报告期</w:t>
                </w:r>
                <w:r w:rsidRPr="00204A85">
                  <w:rPr>
                    <w:b/>
                    <w:szCs w:val="21"/>
                  </w:rPr>
                  <w:t>解除限售股数</w:t>
                </w:r>
              </w:p>
            </w:tc>
            <w:tc>
              <w:tcPr>
                <w:tcW w:w="851" w:type="dxa"/>
                <w:vAlign w:val="center"/>
              </w:tcPr>
              <w:p w:rsidR="00F91732" w:rsidRPr="00204A85" w:rsidRDefault="00F91732" w:rsidP="006D049E">
                <w:pPr>
                  <w:jc w:val="center"/>
                  <w:rPr>
                    <w:b/>
                    <w:szCs w:val="21"/>
                  </w:rPr>
                </w:pPr>
                <w:r w:rsidRPr="00204A85">
                  <w:rPr>
                    <w:rFonts w:hint="eastAsia"/>
                    <w:b/>
                    <w:szCs w:val="21"/>
                  </w:rPr>
                  <w:t>报告期</w:t>
                </w:r>
                <w:r w:rsidRPr="00204A85">
                  <w:rPr>
                    <w:b/>
                    <w:szCs w:val="21"/>
                  </w:rPr>
                  <w:t>增加限售股数</w:t>
                </w:r>
              </w:p>
            </w:tc>
            <w:tc>
              <w:tcPr>
                <w:tcW w:w="1559" w:type="dxa"/>
                <w:vAlign w:val="center"/>
              </w:tcPr>
              <w:p w:rsidR="00F91732" w:rsidRPr="00204A85" w:rsidRDefault="00F91732" w:rsidP="006D049E">
                <w:pPr>
                  <w:jc w:val="center"/>
                  <w:rPr>
                    <w:b/>
                    <w:szCs w:val="21"/>
                  </w:rPr>
                </w:pPr>
                <w:r w:rsidRPr="00204A85">
                  <w:rPr>
                    <w:rFonts w:hint="eastAsia"/>
                    <w:b/>
                    <w:szCs w:val="21"/>
                  </w:rPr>
                  <w:t>报告期末</w:t>
                </w:r>
                <w:r w:rsidRPr="00204A85">
                  <w:rPr>
                    <w:b/>
                    <w:szCs w:val="21"/>
                  </w:rPr>
                  <w:t>限售股数</w:t>
                </w:r>
              </w:p>
            </w:tc>
            <w:tc>
              <w:tcPr>
                <w:tcW w:w="992" w:type="dxa"/>
                <w:vAlign w:val="center"/>
              </w:tcPr>
              <w:p w:rsidR="00F91732" w:rsidRPr="00204A85" w:rsidRDefault="00F91732" w:rsidP="006D049E">
                <w:pPr>
                  <w:jc w:val="center"/>
                  <w:rPr>
                    <w:b/>
                    <w:szCs w:val="21"/>
                  </w:rPr>
                </w:pPr>
                <w:r w:rsidRPr="00204A85">
                  <w:rPr>
                    <w:b/>
                    <w:szCs w:val="21"/>
                  </w:rPr>
                  <w:t>限售原因</w:t>
                </w:r>
              </w:p>
            </w:tc>
            <w:tc>
              <w:tcPr>
                <w:tcW w:w="851" w:type="dxa"/>
                <w:vAlign w:val="center"/>
              </w:tcPr>
              <w:p w:rsidR="00F91732" w:rsidRPr="00204A85" w:rsidRDefault="00F91732" w:rsidP="006D049E">
                <w:pPr>
                  <w:jc w:val="center"/>
                  <w:rPr>
                    <w:b/>
                    <w:szCs w:val="21"/>
                  </w:rPr>
                </w:pPr>
                <w:r w:rsidRPr="00204A85">
                  <w:rPr>
                    <w:b/>
                    <w:szCs w:val="21"/>
                  </w:rPr>
                  <w:t>解除限售日期</w:t>
                </w:r>
              </w:p>
            </w:tc>
          </w:tr>
          <w:sdt>
            <w:sdtPr>
              <w:rPr>
                <w:rFonts w:asciiTheme="minorHAnsi" w:eastAsiaTheme="minorEastAsia" w:hAnsiTheme="minorHAnsi" w:cstheme="minorBidi" w:hint="eastAsia"/>
                <w:kern w:val="2"/>
                <w:szCs w:val="21"/>
              </w:rPr>
              <w:alias w:val="限售股份变动情况明细"/>
              <w:tag w:val="_GBC_a1bef981fecc4e8d86294aa92b2c3bea"/>
              <w:id w:val="24720650"/>
              <w:lock w:val="sdtLocked"/>
            </w:sdtPr>
            <w:sdtContent>
              <w:tr w:rsidR="00F91732" w:rsidTr="005C6D2C">
                <w:sdt>
                  <w:sdtPr>
                    <w:rPr>
                      <w:rFonts w:asciiTheme="minorHAnsi" w:eastAsiaTheme="minorEastAsia" w:hAnsiTheme="minorHAnsi" w:cstheme="minorBidi" w:hint="eastAsia"/>
                      <w:kern w:val="2"/>
                      <w:szCs w:val="21"/>
                    </w:rPr>
                    <w:alias w:val="1"/>
                    <w:tag w:val="_GBC_0c7b94dd041e45c79da1654ecdbb8191"/>
                    <w:id w:val="24720642"/>
                    <w:lock w:val="sdtLocked"/>
                  </w:sdtPr>
                  <w:sdtEndPr>
                    <w:rPr>
                      <w:rFonts w:ascii="宋体" w:eastAsia="宋体" w:hAnsi="宋体" w:cs="宋体" w:hint="default"/>
                      <w:kern w:val="0"/>
                      <w:szCs w:val="24"/>
                    </w:rPr>
                  </w:sdtEndPr>
                  <w:sdtContent>
                    <w:tc>
                      <w:tcPr>
                        <w:tcW w:w="534" w:type="dxa"/>
                        <w:vAlign w:val="center"/>
                      </w:tcPr>
                      <w:p w:rsidR="00F91732" w:rsidRDefault="00F91732" w:rsidP="00F91732">
                        <w:pPr>
                          <w:jc w:val="center"/>
                          <w:rPr>
                            <w:szCs w:val="21"/>
                          </w:rPr>
                        </w:pPr>
                        <w:r>
                          <w:rPr>
                            <w:rFonts w:hint="eastAsia"/>
                          </w:rPr>
                          <w:t>1</w:t>
                        </w:r>
                      </w:p>
                    </w:tc>
                  </w:sdtContent>
                </w:sdt>
                <w:sdt>
                  <w:sdtPr>
                    <w:rPr>
                      <w:rFonts w:hint="eastAsia"/>
                      <w:szCs w:val="21"/>
                    </w:rPr>
                    <w:alias w:val="限售股份变动情况明细－股东名称"/>
                    <w:tag w:val="_GBC_896f32738e774889b45562ea42c92422"/>
                    <w:id w:val="24720643"/>
                    <w:lock w:val="sdtLocked"/>
                  </w:sdtPr>
                  <w:sdtEndPr>
                    <w:rPr>
                      <w:rFonts w:ascii="Times New Roman" w:hAnsi="Times New Roman" w:cs="Times New Roman"/>
                    </w:rPr>
                  </w:sdtEndPr>
                  <w:sdtContent>
                    <w:tc>
                      <w:tcPr>
                        <w:tcW w:w="1701" w:type="dxa"/>
                        <w:tcMar>
                          <w:left w:w="28" w:type="dxa"/>
                          <w:right w:w="28" w:type="dxa"/>
                        </w:tcMar>
                        <w:vAlign w:val="center"/>
                      </w:tcPr>
                      <w:p w:rsidR="00F91732" w:rsidRDefault="00F91732" w:rsidP="006D049E">
                        <w:pPr>
                          <w:rPr>
                            <w:szCs w:val="21"/>
                          </w:rPr>
                        </w:pPr>
                        <w:r>
                          <w:rPr>
                            <w:rFonts w:asciiTheme="minorHAnsi" w:eastAsiaTheme="minorEastAsia" w:hAnsiTheme="minorHAnsi" w:cstheme="minorBidi" w:hint="eastAsia"/>
                            <w:kern w:val="2"/>
                            <w:szCs w:val="21"/>
                          </w:rPr>
                          <w:t>深圳市招融投资控股有限公司</w:t>
                        </w:r>
                      </w:p>
                    </w:tc>
                  </w:sdtContent>
                </w:sdt>
                <w:sdt>
                  <w:sdtPr>
                    <w:rPr>
                      <w:rFonts w:hint="eastAsia"/>
                      <w:szCs w:val="21"/>
                    </w:rPr>
                    <w:alias w:val="限售股份变动情况明细－限售股份数量"/>
                    <w:tag w:val="_GBC_a60c657f9bcf4616b6886bac40b8c177"/>
                    <w:id w:val="24720644"/>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815,308,642</w:t>
                        </w:r>
                      </w:p>
                    </w:tc>
                  </w:sdtContent>
                </w:sdt>
                <w:sdt>
                  <w:sdtPr>
                    <w:rPr>
                      <w:rFonts w:hint="eastAsia"/>
                      <w:szCs w:val="21"/>
                    </w:rPr>
                    <w:alias w:val="限售股份变动情况明细－解除限售股份数量"/>
                    <w:tag w:val="_GBC_46462e860b5a4971a6d3519ea3d6acc0"/>
                    <w:id w:val="24720645"/>
                    <w:lock w:val="sdtLocked"/>
                  </w:sdtPr>
                  <w:sdtContent>
                    <w:tc>
                      <w:tcPr>
                        <w:tcW w:w="1417"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增加限售股份数量"/>
                    <w:tag w:val="_GBC_b596925ee5b24bc9bddfd6e5c4519db0"/>
                    <w:id w:val="24720646"/>
                    <w:lock w:val="sdtLocked"/>
                  </w:sdtPr>
                  <w:sdtContent>
                    <w:tc>
                      <w:tcPr>
                        <w:tcW w:w="851"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647"/>
                    <w:lock w:val="sdtLocked"/>
                  </w:sdtPr>
                  <w:sdtContent>
                    <w:tc>
                      <w:tcPr>
                        <w:tcW w:w="1559" w:type="dxa"/>
                        <w:tcMar>
                          <w:left w:w="28" w:type="dxa"/>
                          <w:right w:w="28" w:type="dxa"/>
                        </w:tcMar>
                        <w:vAlign w:val="center"/>
                      </w:tcPr>
                      <w:p w:rsidR="00F91732" w:rsidRDefault="00F91732" w:rsidP="006D049E">
                        <w:pPr>
                          <w:jc w:val="right"/>
                          <w:rPr>
                            <w:szCs w:val="21"/>
                          </w:rPr>
                        </w:pPr>
                        <w:r>
                          <w:rPr>
                            <w:rFonts w:hint="eastAsia"/>
                            <w:szCs w:val="21"/>
                          </w:rPr>
                          <w:t>815,308,642</w:t>
                        </w:r>
                      </w:p>
                    </w:tc>
                  </w:sdtContent>
                </w:sdt>
                <w:sdt>
                  <w:sdtPr>
                    <w:rPr>
                      <w:rFonts w:hint="eastAsia"/>
                      <w:szCs w:val="21"/>
                    </w:rPr>
                    <w:alias w:val="限售股份变动情况明细－限售原因"/>
                    <w:tag w:val="_GBC_fe3df267cc754b6a90370ac0ac339b1e"/>
                    <w:id w:val="24720648"/>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649"/>
                    <w:lock w:val="sdtLocked"/>
                  </w:sdtPr>
                  <w:sdtContent>
                    <w:tc>
                      <w:tcPr>
                        <w:tcW w:w="851" w:type="dxa"/>
                        <w:tcMar>
                          <w:left w:w="6" w:type="dxa"/>
                          <w:right w:w="28" w:type="dxa"/>
                        </w:tcMar>
                        <w:vAlign w:val="center"/>
                      </w:tcPr>
                      <w:p w:rsidR="00F91732" w:rsidRDefault="001C59B3" w:rsidP="00382B5E">
                        <w:pPr>
                          <w:jc w:val="center"/>
                          <w:rPr>
                            <w:szCs w:val="21"/>
                          </w:rPr>
                        </w:pPr>
                        <w:r w:rsidRPr="001C59B3">
                          <w:rPr>
                            <w:szCs w:val="21"/>
                          </w:rPr>
                          <w:t>2019年</w:t>
                        </w:r>
                        <w:r w:rsidRPr="001C59B3">
                          <w:rPr>
                            <w:rFonts w:hint="eastAsia"/>
                            <w:szCs w:val="21"/>
                          </w:rPr>
                          <w:t>5</w:t>
                        </w:r>
                        <w:r w:rsidRPr="001C59B3">
                          <w:rPr>
                            <w:szCs w:val="21"/>
                          </w:rPr>
                          <w:t>月</w:t>
                        </w:r>
                        <w:r w:rsidRPr="001C59B3">
                          <w:rPr>
                            <w:rFonts w:hint="eastAsia"/>
                            <w:szCs w:val="21"/>
                          </w:rPr>
                          <w:t>27</w:t>
                        </w:r>
                        <w:r w:rsidRPr="001C59B3">
                          <w:rPr>
                            <w:szCs w:val="21"/>
                          </w:rPr>
                          <w:t>日</w:t>
                        </w:r>
                        <w:r w:rsidR="00F91732">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限售股份变动情况明细"/>
              <w:tag w:val="_GBC_a1bef981fecc4e8d86294aa92b2c3bea"/>
              <w:id w:val="24720659"/>
              <w:lock w:val="sdtLocked"/>
            </w:sdtPr>
            <w:sdtContent>
              <w:tr w:rsidR="00F91732" w:rsidTr="005C6D2C">
                <w:sdt>
                  <w:sdtPr>
                    <w:rPr>
                      <w:rFonts w:asciiTheme="minorHAnsi" w:eastAsiaTheme="minorEastAsia" w:hAnsiTheme="minorHAnsi" w:cstheme="minorBidi" w:hint="eastAsia"/>
                      <w:kern w:val="2"/>
                      <w:szCs w:val="21"/>
                    </w:rPr>
                    <w:alias w:val="1"/>
                    <w:tag w:val="_GBC_0c7b94dd041e45c79da1654ecdbb8191"/>
                    <w:id w:val="24720651"/>
                    <w:lock w:val="sdtLocked"/>
                  </w:sdtPr>
                  <w:sdtEndPr>
                    <w:rPr>
                      <w:rFonts w:ascii="宋体" w:eastAsia="宋体" w:hAnsi="宋体" w:cs="宋体" w:hint="default"/>
                      <w:kern w:val="0"/>
                      <w:szCs w:val="24"/>
                    </w:rPr>
                  </w:sdtEndPr>
                  <w:sdtContent>
                    <w:tc>
                      <w:tcPr>
                        <w:tcW w:w="534" w:type="dxa"/>
                        <w:vAlign w:val="center"/>
                      </w:tcPr>
                      <w:p w:rsidR="00F91732" w:rsidRDefault="00F91732" w:rsidP="00F91732">
                        <w:pPr>
                          <w:jc w:val="center"/>
                          <w:rPr>
                            <w:szCs w:val="21"/>
                          </w:rPr>
                        </w:pPr>
                        <w:r>
                          <w:rPr>
                            <w:rFonts w:hint="eastAsia"/>
                          </w:rPr>
                          <w:t>2</w:t>
                        </w:r>
                      </w:p>
                    </w:tc>
                  </w:sdtContent>
                </w:sdt>
                <w:sdt>
                  <w:sdtPr>
                    <w:rPr>
                      <w:rFonts w:hint="eastAsia"/>
                      <w:szCs w:val="21"/>
                    </w:rPr>
                    <w:alias w:val="限售股份变动情况明细－股东名称"/>
                    <w:tag w:val="_GBC_896f32738e774889b45562ea42c92422"/>
                    <w:id w:val="24720652"/>
                    <w:lock w:val="sdtLocked"/>
                  </w:sdtPr>
                  <w:sdtEndPr>
                    <w:rPr>
                      <w:rFonts w:ascii="Times New Roman" w:hAnsi="Times New Roman" w:cs="Times New Roman"/>
                    </w:rPr>
                  </w:sdtEndPr>
                  <w:sdtContent>
                    <w:tc>
                      <w:tcPr>
                        <w:tcW w:w="1701" w:type="dxa"/>
                        <w:tcMar>
                          <w:left w:w="28" w:type="dxa"/>
                          <w:right w:w="28" w:type="dxa"/>
                        </w:tcMar>
                        <w:vAlign w:val="center"/>
                      </w:tcPr>
                      <w:p w:rsidR="00F91732" w:rsidRDefault="00F91732" w:rsidP="006D049E">
                        <w:pPr>
                          <w:rPr>
                            <w:szCs w:val="21"/>
                          </w:rPr>
                        </w:pPr>
                        <w:r>
                          <w:rPr>
                            <w:rFonts w:asciiTheme="minorHAnsi" w:eastAsiaTheme="minorEastAsia" w:hAnsiTheme="minorHAnsi" w:cstheme="minorBidi" w:hint="eastAsia"/>
                            <w:kern w:val="2"/>
                            <w:szCs w:val="21"/>
                          </w:rPr>
                          <w:t>中国远洋运输（集团）总公司</w:t>
                        </w:r>
                      </w:p>
                    </w:tc>
                  </w:sdtContent>
                </w:sdt>
                <w:sdt>
                  <w:sdtPr>
                    <w:rPr>
                      <w:rFonts w:hint="eastAsia"/>
                      <w:szCs w:val="21"/>
                    </w:rPr>
                    <w:alias w:val="限售股份变动情况明细－限售股份数量"/>
                    <w:tag w:val="_GBC_a60c657f9bcf4616b6886bac40b8c177"/>
                    <w:id w:val="24720653"/>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124,453,374</w:t>
                        </w:r>
                      </w:p>
                    </w:tc>
                  </w:sdtContent>
                </w:sdt>
                <w:sdt>
                  <w:sdtPr>
                    <w:rPr>
                      <w:rFonts w:hint="eastAsia"/>
                      <w:szCs w:val="21"/>
                    </w:rPr>
                    <w:alias w:val="限售股份变动情况明细－解除限售股份数量"/>
                    <w:tag w:val="_GBC_46462e860b5a4971a6d3519ea3d6acc0"/>
                    <w:id w:val="24720654"/>
                    <w:lock w:val="sdtLocked"/>
                  </w:sdtPr>
                  <w:sdtContent>
                    <w:tc>
                      <w:tcPr>
                        <w:tcW w:w="1417"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增加限售股份数量"/>
                    <w:tag w:val="_GBC_b596925ee5b24bc9bddfd6e5c4519db0"/>
                    <w:id w:val="24720655"/>
                    <w:lock w:val="sdtLocked"/>
                  </w:sdtPr>
                  <w:sdtContent>
                    <w:tc>
                      <w:tcPr>
                        <w:tcW w:w="851"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656"/>
                    <w:lock w:val="sdtLocked"/>
                  </w:sdtPr>
                  <w:sdtContent>
                    <w:tc>
                      <w:tcPr>
                        <w:tcW w:w="1559" w:type="dxa"/>
                        <w:tcMar>
                          <w:left w:w="28" w:type="dxa"/>
                          <w:right w:w="28" w:type="dxa"/>
                        </w:tcMar>
                        <w:vAlign w:val="center"/>
                      </w:tcPr>
                      <w:p w:rsidR="00F91732" w:rsidRDefault="00F91732" w:rsidP="006D049E">
                        <w:pPr>
                          <w:jc w:val="right"/>
                          <w:rPr>
                            <w:szCs w:val="21"/>
                          </w:rPr>
                        </w:pPr>
                        <w:r>
                          <w:rPr>
                            <w:rFonts w:hint="eastAsia"/>
                            <w:szCs w:val="21"/>
                          </w:rPr>
                          <w:t>124,453,374</w:t>
                        </w:r>
                      </w:p>
                    </w:tc>
                  </w:sdtContent>
                </w:sdt>
                <w:sdt>
                  <w:sdtPr>
                    <w:rPr>
                      <w:rFonts w:hint="eastAsia"/>
                      <w:szCs w:val="21"/>
                    </w:rPr>
                    <w:alias w:val="限售股份变动情况明细－限售原因"/>
                    <w:tag w:val="_GBC_fe3df267cc754b6a90370ac0ac339b1e"/>
                    <w:id w:val="24720657"/>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658"/>
                    <w:lock w:val="sdtLocked"/>
                  </w:sdtPr>
                  <w:sdtContent>
                    <w:tc>
                      <w:tcPr>
                        <w:tcW w:w="851" w:type="dxa"/>
                        <w:tcMar>
                          <w:left w:w="6" w:type="dxa"/>
                          <w:right w:w="28" w:type="dxa"/>
                        </w:tcMar>
                        <w:vAlign w:val="center"/>
                      </w:tcPr>
                      <w:p w:rsidR="00F91732" w:rsidRDefault="001C59B3" w:rsidP="00382B5E">
                        <w:pPr>
                          <w:jc w:val="center"/>
                          <w:rPr>
                            <w:szCs w:val="21"/>
                          </w:rPr>
                        </w:pPr>
                        <w:r w:rsidRPr="001C59B3">
                          <w:rPr>
                            <w:szCs w:val="21"/>
                          </w:rPr>
                          <w:t>2017年</w:t>
                        </w:r>
                        <w:r w:rsidRPr="001C59B3">
                          <w:rPr>
                            <w:rFonts w:hint="eastAsia"/>
                            <w:szCs w:val="21"/>
                          </w:rPr>
                          <w:t>5</w:t>
                        </w:r>
                        <w:r w:rsidRPr="001C59B3">
                          <w:rPr>
                            <w:szCs w:val="21"/>
                          </w:rPr>
                          <w:t>月</w:t>
                        </w:r>
                        <w:r w:rsidRPr="001C59B3">
                          <w:rPr>
                            <w:rFonts w:hint="eastAsia"/>
                            <w:szCs w:val="21"/>
                          </w:rPr>
                          <w:t>29</w:t>
                        </w:r>
                        <w:r w:rsidRPr="001C59B3">
                          <w:rPr>
                            <w:szCs w:val="21"/>
                          </w:rPr>
                          <w:t>日</w:t>
                        </w:r>
                      </w:p>
                    </w:tc>
                  </w:sdtContent>
                </w:sdt>
              </w:tr>
            </w:sdtContent>
          </w:sdt>
          <w:sdt>
            <w:sdtPr>
              <w:rPr>
                <w:rFonts w:asciiTheme="minorHAnsi" w:eastAsiaTheme="minorEastAsia" w:hAnsiTheme="minorHAnsi" w:cstheme="minorBidi" w:hint="eastAsia"/>
                <w:kern w:val="2"/>
                <w:szCs w:val="21"/>
              </w:rPr>
              <w:alias w:val="限售股份变动情况明细"/>
              <w:tag w:val="_GBC_a1bef981fecc4e8d86294aa92b2c3bea"/>
              <w:id w:val="24720668"/>
              <w:lock w:val="sdtLocked"/>
            </w:sdtPr>
            <w:sdtContent>
              <w:tr w:rsidR="00F91732" w:rsidTr="005C6D2C">
                <w:sdt>
                  <w:sdtPr>
                    <w:rPr>
                      <w:rFonts w:asciiTheme="minorHAnsi" w:eastAsiaTheme="minorEastAsia" w:hAnsiTheme="minorHAnsi" w:cstheme="minorBidi" w:hint="eastAsia"/>
                      <w:kern w:val="2"/>
                      <w:szCs w:val="21"/>
                    </w:rPr>
                    <w:alias w:val="1"/>
                    <w:tag w:val="_GBC_0c7b94dd041e45c79da1654ecdbb8191"/>
                    <w:id w:val="24720660"/>
                    <w:lock w:val="sdtLocked"/>
                  </w:sdtPr>
                  <w:sdtEndPr>
                    <w:rPr>
                      <w:rFonts w:ascii="宋体" w:eastAsia="宋体" w:hAnsi="宋体" w:cs="宋体" w:hint="default"/>
                      <w:kern w:val="0"/>
                      <w:szCs w:val="24"/>
                    </w:rPr>
                  </w:sdtEndPr>
                  <w:sdtContent>
                    <w:tc>
                      <w:tcPr>
                        <w:tcW w:w="534" w:type="dxa"/>
                        <w:vAlign w:val="center"/>
                      </w:tcPr>
                      <w:p w:rsidR="00F91732" w:rsidRDefault="00F91732" w:rsidP="00F91732">
                        <w:pPr>
                          <w:jc w:val="center"/>
                          <w:rPr>
                            <w:szCs w:val="21"/>
                          </w:rPr>
                        </w:pPr>
                        <w:r>
                          <w:rPr>
                            <w:rFonts w:hint="eastAsia"/>
                          </w:rPr>
                          <w:t>3</w:t>
                        </w:r>
                      </w:p>
                    </w:tc>
                  </w:sdtContent>
                </w:sdt>
                <w:sdt>
                  <w:sdtPr>
                    <w:rPr>
                      <w:rFonts w:hint="eastAsia"/>
                      <w:szCs w:val="21"/>
                    </w:rPr>
                    <w:alias w:val="限售股份变动情况明细－股东名称"/>
                    <w:tag w:val="_GBC_896f32738e774889b45562ea42c92422"/>
                    <w:id w:val="24720661"/>
                    <w:lock w:val="sdtLocked"/>
                  </w:sdtPr>
                  <w:sdtEndPr>
                    <w:rPr>
                      <w:rFonts w:ascii="Times New Roman" w:hAnsi="Times New Roman" w:cs="Times New Roman"/>
                    </w:rPr>
                  </w:sdtEndPr>
                  <w:sdtContent>
                    <w:tc>
                      <w:tcPr>
                        <w:tcW w:w="1701" w:type="dxa"/>
                        <w:tcMar>
                          <w:left w:w="28" w:type="dxa"/>
                          <w:right w:w="28" w:type="dxa"/>
                        </w:tcMar>
                        <w:vAlign w:val="center"/>
                      </w:tcPr>
                      <w:p w:rsidR="00F91732" w:rsidRDefault="00F91732" w:rsidP="006D049E">
                        <w:pPr>
                          <w:rPr>
                            <w:szCs w:val="21"/>
                          </w:rPr>
                        </w:pPr>
                        <w:r>
                          <w:rPr>
                            <w:rFonts w:asciiTheme="minorHAnsi" w:eastAsiaTheme="minorEastAsia" w:hAnsiTheme="minorHAnsi" w:cstheme="minorBidi" w:hint="eastAsia"/>
                            <w:kern w:val="2"/>
                            <w:szCs w:val="21"/>
                          </w:rPr>
                          <w:t>河北港口集团有限公司</w:t>
                        </w:r>
                      </w:p>
                    </w:tc>
                  </w:sdtContent>
                </w:sdt>
                <w:sdt>
                  <w:sdtPr>
                    <w:rPr>
                      <w:rFonts w:hint="eastAsia"/>
                      <w:szCs w:val="21"/>
                    </w:rPr>
                    <w:alias w:val="限售股份变动情况明细－限售股份数量"/>
                    <w:tag w:val="_GBC_a60c657f9bcf4616b6886bac40b8c177"/>
                    <w:id w:val="24720662"/>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65,273,684</w:t>
                        </w:r>
                      </w:p>
                    </w:tc>
                  </w:sdtContent>
                </w:sdt>
                <w:sdt>
                  <w:sdtPr>
                    <w:rPr>
                      <w:rFonts w:hint="eastAsia"/>
                      <w:szCs w:val="21"/>
                    </w:rPr>
                    <w:alias w:val="限售股份变动情况明细－解除限售股份数量"/>
                    <w:tag w:val="_GBC_46462e860b5a4971a6d3519ea3d6acc0"/>
                    <w:id w:val="24720663"/>
                    <w:lock w:val="sdtLocked"/>
                  </w:sdtPr>
                  <w:sdtContent>
                    <w:tc>
                      <w:tcPr>
                        <w:tcW w:w="1417"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增加限售股份数量"/>
                    <w:tag w:val="_GBC_b596925ee5b24bc9bddfd6e5c4519db0"/>
                    <w:id w:val="24720664"/>
                    <w:lock w:val="sdtLocked"/>
                  </w:sdtPr>
                  <w:sdtContent>
                    <w:tc>
                      <w:tcPr>
                        <w:tcW w:w="851"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665"/>
                    <w:lock w:val="sdtLocked"/>
                  </w:sdtPr>
                  <w:sdtContent>
                    <w:tc>
                      <w:tcPr>
                        <w:tcW w:w="1559" w:type="dxa"/>
                        <w:tcMar>
                          <w:left w:w="28" w:type="dxa"/>
                          <w:right w:w="28" w:type="dxa"/>
                        </w:tcMar>
                        <w:vAlign w:val="center"/>
                      </w:tcPr>
                      <w:p w:rsidR="00F91732" w:rsidRDefault="00F91732" w:rsidP="006D049E">
                        <w:pPr>
                          <w:jc w:val="right"/>
                          <w:rPr>
                            <w:szCs w:val="21"/>
                          </w:rPr>
                        </w:pPr>
                        <w:r>
                          <w:rPr>
                            <w:rFonts w:hint="eastAsia"/>
                            <w:szCs w:val="21"/>
                          </w:rPr>
                          <w:t>65,273,684</w:t>
                        </w:r>
                      </w:p>
                    </w:tc>
                  </w:sdtContent>
                </w:sdt>
                <w:sdt>
                  <w:sdtPr>
                    <w:rPr>
                      <w:rFonts w:hint="eastAsia"/>
                      <w:szCs w:val="21"/>
                    </w:rPr>
                    <w:alias w:val="限售股份变动情况明细－限售原因"/>
                    <w:tag w:val="_GBC_fe3df267cc754b6a90370ac0ac339b1e"/>
                    <w:id w:val="24720666"/>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667"/>
                    <w:lock w:val="sdtLocked"/>
                  </w:sdtPr>
                  <w:sdtContent>
                    <w:tc>
                      <w:tcPr>
                        <w:tcW w:w="851" w:type="dxa"/>
                        <w:tcMar>
                          <w:left w:w="6" w:type="dxa"/>
                          <w:right w:w="28" w:type="dxa"/>
                        </w:tcMar>
                        <w:vAlign w:val="center"/>
                      </w:tcPr>
                      <w:p w:rsidR="00F91732" w:rsidRDefault="001C59B3" w:rsidP="00382B5E">
                        <w:pPr>
                          <w:jc w:val="center"/>
                          <w:rPr>
                            <w:szCs w:val="21"/>
                          </w:rPr>
                        </w:pPr>
                        <w:r w:rsidRPr="001C59B3">
                          <w:rPr>
                            <w:szCs w:val="21"/>
                          </w:rPr>
                          <w:t>2017年</w:t>
                        </w:r>
                        <w:r w:rsidRPr="001C59B3">
                          <w:rPr>
                            <w:rFonts w:hint="eastAsia"/>
                            <w:szCs w:val="21"/>
                          </w:rPr>
                          <w:t>5</w:t>
                        </w:r>
                        <w:r w:rsidRPr="001C59B3">
                          <w:rPr>
                            <w:szCs w:val="21"/>
                          </w:rPr>
                          <w:t>月</w:t>
                        </w:r>
                        <w:r w:rsidRPr="001C59B3">
                          <w:rPr>
                            <w:rFonts w:hint="eastAsia"/>
                            <w:szCs w:val="21"/>
                          </w:rPr>
                          <w:t>29</w:t>
                        </w:r>
                        <w:r w:rsidRPr="001C59B3">
                          <w:rPr>
                            <w:szCs w:val="21"/>
                          </w:rPr>
                          <w:t>日</w:t>
                        </w:r>
                      </w:p>
                    </w:tc>
                  </w:sdtContent>
                </w:sdt>
              </w:tr>
            </w:sdtContent>
          </w:sdt>
          <w:sdt>
            <w:sdtPr>
              <w:rPr>
                <w:rFonts w:asciiTheme="minorHAnsi" w:eastAsiaTheme="minorEastAsia" w:hAnsiTheme="minorHAnsi" w:cstheme="minorBidi" w:hint="eastAsia"/>
                <w:kern w:val="2"/>
                <w:szCs w:val="21"/>
              </w:rPr>
              <w:alias w:val="限售股份变动情况明细"/>
              <w:tag w:val="_GBC_a1bef981fecc4e8d86294aa92b2c3bea"/>
              <w:id w:val="24720677"/>
              <w:lock w:val="sdtLocked"/>
            </w:sdtPr>
            <w:sdtContent>
              <w:tr w:rsidR="00F91732" w:rsidTr="005C6D2C">
                <w:sdt>
                  <w:sdtPr>
                    <w:rPr>
                      <w:rFonts w:asciiTheme="minorHAnsi" w:eastAsiaTheme="minorEastAsia" w:hAnsiTheme="minorHAnsi" w:cstheme="minorBidi" w:hint="eastAsia"/>
                      <w:kern w:val="2"/>
                      <w:szCs w:val="21"/>
                    </w:rPr>
                    <w:alias w:val="1"/>
                    <w:tag w:val="_GBC_0c7b94dd041e45c79da1654ecdbb8191"/>
                    <w:id w:val="24720669"/>
                    <w:lock w:val="sdtLocked"/>
                  </w:sdtPr>
                  <w:sdtEndPr>
                    <w:rPr>
                      <w:rFonts w:ascii="宋体" w:eastAsia="宋体" w:hAnsi="宋体" w:cs="宋体" w:hint="default"/>
                      <w:kern w:val="0"/>
                      <w:szCs w:val="24"/>
                    </w:rPr>
                  </w:sdtEndPr>
                  <w:sdtContent>
                    <w:tc>
                      <w:tcPr>
                        <w:tcW w:w="534" w:type="dxa"/>
                        <w:vAlign w:val="center"/>
                      </w:tcPr>
                      <w:p w:rsidR="00F91732" w:rsidRDefault="00F91732" w:rsidP="00F91732">
                        <w:pPr>
                          <w:jc w:val="center"/>
                          <w:rPr>
                            <w:szCs w:val="21"/>
                          </w:rPr>
                        </w:pPr>
                        <w:r>
                          <w:rPr>
                            <w:rFonts w:hint="eastAsia"/>
                          </w:rPr>
                          <w:t>4</w:t>
                        </w:r>
                      </w:p>
                    </w:tc>
                  </w:sdtContent>
                </w:sdt>
                <w:sdt>
                  <w:sdtPr>
                    <w:rPr>
                      <w:rFonts w:hint="eastAsia"/>
                      <w:szCs w:val="21"/>
                    </w:rPr>
                    <w:alias w:val="限售股份变动情况明细－股东名称"/>
                    <w:tag w:val="_GBC_896f32738e774889b45562ea42c92422"/>
                    <w:id w:val="24720670"/>
                    <w:lock w:val="sdtLocked"/>
                  </w:sdtPr>
                  <w:sdtEndPr>
                    <w:rPr>
                      <w:rFonts w:ascii="Times New Roman" w:hAnsi="Times New Roman" w:cs="Times New Roman"/>
                    </w:rPr>
                  </w:sdtEndPr>
                  <w:sdtContent>
                    <w:tc>
                      <w:tcPr>
                        <w:tcW w:w="1701" w:type="dxa"/>
                        <w:tcMar>
                          <w:left w:w="28" w:type="dxa"/>
                          <w:right w:w="28" w:type="dxa"/>
                        </w:tcMar>
                        <w:vAlign w:val="center"/>
                      </w:tcPr>
                      <w:p w:rsidR="00F91732" w:rsidRDefault="00F91732" w:rsidP="006D049E">
                        <w:pPr>
                          <w:rPr>
                            <w:szCs w:val="21"/>
                          </w:rPr>
                        </w:pPr>
                        <w:r w:rsidRPr="001521BE">
                          <w:rPr>
                            <w:rFonts w:asciiTheme="minorEastAsia" w:eastAsiaTheme="minorEastAsia" w:hAnsiTheme="minorEastAsia" w:cstheme="minorBidi" w:hint="eastAsia"/>
                            <w:kern w:val="2"/>
                            <w:szCs w:val="21"/>
                          </w:rPr>
                          <w:t>新华基金－民生银行－新华基金民生定增分级1号资产管理计划</w:t>
                        </w:r>
                        <w:r w:rsidR="00BF03B7" w:rsidRPr="001521BE">
                          <w:rPr>
                            <w:rFonts w:asciiTheme="minorEastAsia" w:eastAsiaTheme="minorEastAsia" w:hAnsiTheme="minorEastAsia" w:cstheme="minorBidi" w:hint="eastAsia"/>
                            <w:kern w:val="2"/>
                            <w:szCs w:val="21"/>
                          </w:rPr>
                          <w:t>（注1）</w:t>
                        </w:r>
                      </w:p>
                    </w:tc>
                  </w:sdtContent>
                </w:sdt>
                <w:sdt>
                  <w:sdtPr>
                    <w:rPr>
                      <w:rFonts w:hint="eastAsia"/>
                      <w:szCs w:val="21"/>
                    </w:rPr>
                    <w:alias w:val="限售股份变动情况明细－限售股份数量"/>
                    <w:tag w:val="_GBC_a60c657f9bcf4616b6886bac40b8c177"/>
                    <w:id w:val="24720671"/>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77,000,000</w:t>
                        </w:r>
                      </w:p>
                    </w:tc>
                  </w:sdtContent>
                </w:sdt>
                <w:sdt>
                  <w:sdtPr>
                    <w:rPr>
                      <w:rFonts w:hint="eastAsia"/>
                      <w:szCs w:val="21"/>
                    </w:rPr>
                    <w:alias w:val="限售股份变动情况明细－解除限售股份数量"/>
                    <w:tag w:val="_GBC_46462e860b5a4971a6d3519ea3d6acc0"/>
                    <w:id w:val="24720672"/>
                    <w:lock w:val="sdtLocked"/>
                  </w:sdtPr>
                  <w:sdtContent>
                    <w:tc>
                      <w:tcPr>
                        <w:tcW w:w="1417" w:type="dxa"/>
                        <w:tcMar>
                          <w:left w:w="28" w:type="dxa"/>
                          <w:right w:w="28" w:type="dxa"/>
                        </w:tcMar>
                        <w:vAlign w:val="center"/>
                      </w:tcPr>
                      <w:p w:rsidR="00F91732" w:rsidRDefault="00F91732" w:rsidP="006D049E">
                        <w:pPr>
                          <w:jc w:val="right"/>
                          <w:rPr>
                            <w:szCs w:val="21"/>
                          </w:rPr>
                        </w:pPr>
                        <w:r>
                          <w:rPr>
                            <w:rFonts w:hint="eastAsia"/>
                            <w:szCs w:val="21"/>
                          </w:rPr>
                          <w:t>77,000,000</w:t>
                        </w:r>
                      </w:p>
                    </w:tc>
                  </w:sdtContent>
                </w:sdt>
                <w:sdt>
                  <w:sdtPr>
                    <w:rPr>
                      <w:rFonts w:hint="eastAsia"/>
                      <w:szCs w:val="21"/>
                    </w:rPr>
                    <w:alias w:val="限售股份变动情况明细－增加限售股份数量"/>
                    <w:tag w:val="_GBC_b596925ee5b24bc9bddfd6e5c4519db0"/>
                    <w:id w:val="24720673"/>
                    <w:lock w:val="sdtLocked"/>
                  </w:sdtPr>
                  <w:sdtContent>
                    <w:tc>
                      <w:tcPr>
                        <w:tcW w:w="851"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674"/>
                    <w:lock w:val="sdtLocked"/>
                  </w:sdtPr>
                  <w:sdtContent>
                    <w:tc>
                      <w:tcPr>
                        <w:tcW w:w="1559"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原因"/>
                    <w:tag w:val="_GBC_fe3df267cc754b6a90370ac0ac339b1e"/>
                    <w:id w:val="24720675"/>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676"/>
                    <w:lock w:val="sdtLocked"/>
                  </w:sdtPr>
                  <w:sdtContent>
                    <w:tc>
                      <w:tcPr>
                        <w:tcW w:w="851" w:type="dxa"/>
                        <w:tcMar>
                          <w:left w:w="6" w:type="dxa"/>
                          <w:right w:w="28" w:type="dxa"/>
                        </w:tcMar>
                        <w:vAlign w:val="center"/>
                      </w:tcPr>
                      <w:p w:rsidR="00F91732" w:rsidRDefault="00F91732" w:rsidP="00382B5E">
                        <w:pPr>
                          <w:jc w:val="center"/>
                          <w:rPr>
                            <w:szCs w:val="21"/>
                          </w:rPr>
                        </w:pPr>
                        <w:r>
                          <w:rPr>
                            <w:rFonts w:hint="eastAsia"/>
                            <w:szCs w:val="21"/>
                          </w:rPr>
                          <w:t>2015年5月27日</w:t>
                        </w:r>
                      </w:p>
                    </w:tc>
                  </w:sdtContent>
                </w:sdt>
              </w:tr>
            </w:sdtContent>
          </w:sdt>
          <w:sdt>
            <w:sdtPr>
              <w:rPr>
                <w:rFonts w:asciiTheme="minorHAnsi" w:eastAsiaTheme="minorEastAsia" w:hAnsiTheme="minorHAnsi" w:cstheme="minorBidi" w:hint="eastAsia"/>
                <w:kern w:val="2"/>
                <w:szCs w:val="21"/>
              </w:rPr>
              <w:alias w:val="限售股份变动情况明细"/>
              <w:tag w:val="_GBC_a1bef981fecc4e8d86294aa92b2c3bea"/>
              <w:id w:val="24720686"/>
              <w:lock w:val="sdtLocked"/>
            </w:sdtPr>
            <w:sdtContent>
              <w:tr w:rsidR="00F91732" w:rsidTr="005C6D2C">
                <w:sdt>
                  <w:sdtPr>
                    <w:rPr>
                      <w:rFonts w:asciiTheme="minorHAnsi" w:eastAsiaTheme="minorEastAsia" w:hAnsiTheme="minorHAnsi" w:cstheme="minorBidi" w:hint="eastAsia"/>
                      <w:kern w:val="2"/>
                      <w:szCs w:val="21"/>
                    </w:rPr>
                    <w:alias w:val="1"/>
                    <w:tag w:val="_GBC_0c7b94dd041e45c79da1654ecdbb8191"/>
                    <w:id w:val="24720678"/>
                    <w:lock w:val="sdtLocked"/>
                  </w:sdtPr>
                  <w:sdtEndPr>
                    <w:rPr>
                      <w:rFonts w:ascii="宋体" w:eastAsia="宋体" w:hAnsi="宋体" w:cs="宋体" w:hint="default"/>
                      <w:kern w:val="0"/>
                      <w:szCs w:val="24"/>
                    </w:rPr>
                  </w:sdtEndPr>
                  <w:sdtContent>
                    <w:tc>
                      <w:tcPr>
                        <w:tcW w:w="534" w:type="dxa"/>
                        <w:vAlign w:val="center"/>
                      </w:tcPr>
                      <w:p w:rsidR="00F91732" w:rsidRDefault="00F91732" w:rsidP="00F91732">
                        <w:pPr>
                          <w:jc w:val="center"/>
                          <w:rPr>
                            <w:szCs w:val="21"/>
                          </w:rPr>
                        </w:pPr>
                        <w:r>
                          <w:rPr>
                            <w:rFonts w:hint="eastAsia"/>
                          </w:rPr>
                          <w:t>5</w:t>
                        </w:r>
                      </w:p>
                    </w:tc>
                  </w:sdtContent>
                </w:sdt>
                <w:sdt>
                  <w:sdtPr>
                    <w:rPr>
                      <w:rFonts w:hint="eastAsia"/>
                      <w:szCs w:val="21"/>
                    </w:rPr>
                    <w:alias w:val="限售股份变动情况明细－股东名称"/>
                    <w:tag w:val="_GBC_896f32738e774889b45562ea42c92422"/>
                    <w:id w:val="24720679"/>
                    <w:lock w:val="sdtLocked"/>
                  </w:sdtPr>
                  <w:sdtEndPr>
                    <w:rPr>
                      <w:rFonts w:ascii="Times New Roman" w:hAnsi="Times New Roman" w:cs="Times New Roman"/>
                    </w:rPr>
                  </w:sdtEndPr>
                  <w:sdtContent>
                    <w:tc>
                      <w:tcPr>
                        <w:tcW w:w="1701" w:type="dxa"/>
                        <w:tcMar>
                          <w:left w:w="28" w:type="dxa"/>
                          <w:right w:w="28" w:type="dxa"/>
                        </w:tcMar>
                        <w:vAlign w:val="center"/>
                      </w:tcPr>
                      <w:p w:rsidR="00F91732" w:rsidRDefault="00F91732" w:rsidP="006D049E">
                        <w:pPr>
                          <w:rPr>
                            <w:szCs w:val="21"/>
                          </w:rPr>
                        </w:pPr>
                        <w:r w:rsidRPr="001521BE">
                          <w:rPr>
                            <w:rFonts w:asciiTheme="minorEastAsia" w:eastAsiaTheme="minorEastAsia" w:hAnsiTheme="minorEastAsia" w:cstheme="minorBidi" w:hint="eastAsia"/>
                            <w:kern w:val="2"/>
                            <w:szCs w:val="21"/>
                          </w:rPr>
                          <w:t>国泰基金－浦发银行－国泰－金丰2号资产管理计划</w:t>
                        </w:r>
                        <w:r w:rsidR="00BF03B7" w:rsidRPr="001521BE">
                          <w:rPr>
                            <w:rFonts w:asciiTheme="minorEastAsia" w:eastAsiaTheme="minorEastAsia" w:hAnsiTheme="minorEastAsia" w:cstheme="minorBidi" w:hint="eastAsia"/>
                            <w:kern w:val="2"/>
                            <w:szCs w:val="21"/>
                          </w:rPr>
                          <w:t>（注2）</w:t>
                        </w:r>
                      </w:p>
                    </w:tc>
                  </w:sdtContent>
                </w:sdt>
                <w:sdt>
                  <w:sdtPr>
                    <w:rPr>
                      <w:rFonts w:hint="eastAsia"/>
                      <w:szCs w:val="21"/>
                    </w:rPr>
                    <w:alias w:val="限售股份变动情况明细－限售股份数量"/>
                    <w:tag w:val="_GBC_a60c657f9bcf4616b6886bac40b8c177"/>
                    <w:id w:val="24720680"/>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30,780,000</w:t>
                        </w:r>
                      </w:p>
                    </w:tc>
                  </w:sdtContent>
                </w:sdt>
                <w:sdt>
                  <w:sdtPr>
                    <w:rPr>
                      <w:rFonts w:hint="eastAsia"/>
                      <w:szCs w:val="21"/>
                    </w:rPr>
                    <w:alias w:val="限售股份变动情况明细－解除限售股份数量"/>
                    <w:tag w:val="_GBC_46462e860b5a4971a6d3519ea3d6acc0"/>
                    <w:id w:val="24720681"/>
                    <w:lock w:val="sdtLocked"/>
                  </w:sdtPr>
                  <w:sdtContent>
                    <w:tc>
                      <w:tcPr>
                        <w:tcW w:w="1417" w:type="dxa"/>
                        <w:tcMar>
                          <w:left w:w="28" w:type="dxa"/>
                          <w:right w:w="28" w:type="dxa"/>
                        </w:tcMar>
                        <w:vAlign w:val="center"/>
                      </w:tcPr>
                      <w:p w:rsidR="00F91732" w:rsidRDefault="00F91732" w:rsidP="006D049E">
                        <w:pPr>
                          <w:jc w:val="right"/>
                          <w:rPr>
                            <w:szCs w:val="21"/>
                          </w:rPr>
                        </w:pPr>
                        <w:r>
                          <w:rPr>
                            <w:rFonts w:hint="eastAsia"/>
                            <w:szCs w:val="21"/>
                          </w:rPr>
                          <w:t>30,780,000</w:t>
                        </w:r>
                      </w:p>
                    </w:tc>
                  </w:sdtContent>
                </w:sdt>
                <w:sdt>
                  <w:sdtPr>
                    <w:rPr>
                      <w:rFonts w:hint="eastAsia"/>
                      <w:szCs w:val="21"/>
                    </w:rPr>
                    <w:alias w:val="限售股份变动情况明细－增加限售股份数量"/>
                    <w:tag w:val="_GBC_b596925ee5b24bc9bddfd6e5c4519db0"/>
                    <w:id w:val="24720682"/>
                    <w:lock w:val="sdtLocked"/>
                  </w:sdtPr>
                  <w:sdtContent>
                    <w:tc>
                      <w:tcPr>
                        <w:tcW w:w="851" w:type="dxa"/>
                        <w:tcMar>
                          <w:left w:w="28" w:type="dxa"/>
                          <w:right w:w="28" w:type="dxa"/>
                        </w:tcMar>
                        <w:vAlign w:val="center"/>
                      </w:tcPr>
                      <w:p w:rsidR="00F91732" w:rsidRDefault="00C437DB"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683"/>
                    <w:lock w:val="sdtLocked"/>
                  </w:sdtPr>
                  <w:sdtContent>
                    <w:tc>
                      <w:tcPr>
                        <w:tcW w:w="1559"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原因"/>
                    <w:tag w:val="_GBC_fe3df267cc754b6a90370ac0ac339b1e"/>
                    <w:id w:val="24720684"/>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685"/>
                    <w:lock w:val="sdtLocked"/>
                  </w:sdtPr>
                  <w:sdtContent>
                    <w:tc>
                      <w:tcPr>
                        <w:tcW w:w="851" w:type="dxa"/>
                        <w:tcMar>
                          <w:left w:w="6" w:type="dxa"/>
                          <w:right w:w="28" w:type="dxa"/>
                        </w:tcMar>
                        <w:vAlign w:val="center"/>
                      </w:tcPr>
                      <w:p w:rsidR="00F91732" w:rsidRDefault="00F91732" w:rsidP="00382B5E">
                        <w:pPr>
                          <w:jc w:val="center"/>
                          <w:rPr>
                            <w:szCs w:val="21"/>
                          </w:rPr>
                        </w:pPr>
                        <w:r>
                          <w:rPr>
                            <w:rFonts w:hint="eastAsia"/>
                            <w:szCs w:val="21"/>
                          </w:rPr>
                          <w:t>2015年5月27日</w:t>
                        </w:r>
                      </w:p>
                    </w:tc>
                  </w:sdtContent>
                </w:sdt>
              </w:tr>
            </w:sdtContent>
          </w:sdt>
          <w:sdt>
            <w:sdtPr>
              <w:rPr>
                <w:rFonts w:asciiTheme="minorHAnsi" w:eastAsiaTheme="minorEastAsia" w:hAnsiTheme="minorHAnsi" w:cstheme="minorBidi" w:hint="eastAsia"/>
                <w:kern w:val="2"/>
                <w:szCs w:val="21"/>
              </w:rPr>
              <w:alias w:val="限售股份变动情况明细"/>
              <w:tag w:val="_GBC_a1bef981fecc4e8d86294aa92b2c3bea"/>
              <w:id w:val="24720695"/>
              <w:lock w:val="sdtLocked"/>
            </w:sdtPr>
            <w:sdtContent>
              <w:tr w:rsidR="00F91732" w:rsidTr="005C6D2C">
                <w:sdt>
                  <w:sdtPr>
                    <w:rPr>
                      <w:rFonts w:asciiTheme="minorHAnsi" w:eastAsiaTheme="minorEastAsia" w:hAnsiTheme="minorHAnsi" w:cstheme="minorBidi" w:hint="eastAsia"/>
                      <w:kern w:val="2"/>
                      <w:szCs w:val="21"/>
                    </w:rPr>
                    <w:alias w:val="1"/>
                    <w:tag w:val="_GBC_0c7b94dd041e45c79da1654ecdbb8191"/>
                    <w:id w:val="24720687"/>
                    <w:lock w:val="sdtLocked"/>
                  </w:sdtPr>
                  <w:sdtEndPr>
                    <w:rPr>
                      <w:rFonts w:ascii="宋体" w:eastAsia="宋体" w:hAnsi="宋体" w:cs="宋体" w:hint="default"/>
                      <w:kern w:val="0"/>
                      <w:szCs w:val="24"/>
                    </w:rPr>
                  </w:sdtEndPr>
                  <w:sdtContent>
                    <w:tc>
                      <w:tcPr>
                        <w:tcW w:w="534" w:type="dxa"/>
                        <w:vAlign w:val="center"/>
                      </w:tcPr>
                      <w:p w:rsidR="00F91732" w:rsidRDefault="00F91732" w:rsidP="00F91732">
                        <w:pPr>
                          <w:jc w:val="center"/>
                          <w:rPr>
                            <w:szCs w:val="21"/>
                          </w:rPr>
                        </w:pPr>
                        <w:r>
                          <w:rPr>
                            <w:rFonts w:hint="eastAsia"/>
                          </w:rPr>
                          <w:t>6</w:t>
                        </w:r>
                      </w:p>
                    </w:tc>
                  </w:sdtContent>
                </w:sdt>
                <w:sdt>
                  <w:sdtPr>
                    <w:rPr>
                      <w:rFonts w:hint="eastAsia"/>
                      <w:szCs w:val="21"/>
                    </w:rPr>
                    <w:alias w:val="限售股份变动情况明细－股东名称"/>
                    <w:tag w:val="_GBC_896f32738e774889b45562ea42c92422"/>
                    <w:id w:val="24720688"/>
                    <w:lock w:val="sdtLocked"/>
                  </w:sdtPr>
                  <w:sdtEndPr>
                    <w:rPr>
                      <w:rFonts w:ascii="Times New Roman" w:hAnsi="Times New Roman" w:cs="Times New Roman"/>
                    </w:rPr>
                  </w:sdtEndPr>
                  <w:sdtContent>
                    <w:tc>
                      <w:tcPr>
                        <w:tcW w:w="1701" w:type="dxa"/>
                        <w:tcMar>
                          <w:left w:w="28" w:type="dxa"/>
                          <w:right w:w="28" w:type="dxa"/>
                        </w:tcMar>
                        <w:vAlign w:val="center"/>
                      </w:tcPr>
                      <w:p w:rsidR="00F91732" w:rsidRDefault="00F91732" w:rsidP="006D049E">
                        <w:pPr>
                          <w:rPr>
                            <w:szCs w:val="21"/>
                          </w:rPr>
                        </w:pPr>
                        <w:r w:rsidRPr="001521BE">
                          <w:rPr>
                            <w:rFonts w:cstheme="minorBidi" w:hint="eastAsia"/>
                            <w:kern w:val="2"/>
                            <w:szCs w:val="21"/>
                          </w:rPr>
                          <w:t>国泰基金－浦发银行－国泰－金丰3号资产管理计划</w:t>
                        </w:r>
                        <w:r w:rsidR="00BF03B7" w:rsidRPr="001521BE">
                          <w:rPr>
                            <w:rFonts w:cstheme="minorBidi" w:hint="eastAsia"/>
                            <w:kern w:val="2"/>
                            <w:szCs w:val="21"/>
                          </w:rPr>
                          <w:t>（注2）</w:t>
                        </w:r>
                      </w:p>
                    </w:tc>
                  </w:sdtContent>
                </w:sdt>
                <w:sdt>
                  <w:sdtPr>
                    <w:rPr>
                      <w:rFonts w:hint="eastAsia"/>
                      <w:szCs w:val="21"/>
                    </w:rPr>
                    <w:alias w:val="限售股份变动情况明细－限售股份数量"/>
                    <w:tag w:val="_GBC_a60c657f9bcf4616b6886bac40b8c177"/>
                    <w:id w:val="24720689"/>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10,320,000</w:t>
                        </w:r>
                      </w:p>
                    </w:tc>
                  </w:sdtContent>
                </w:sdt>
                <w:sdt>
                  <w:sdtPr>
                    <w:rPr>
                      <w:rFonts w:hint="eastAsia"/>
                      <w:szCs w:val="21"/>
                    </w:rPr>
                    <w:alias w:val="限售股份变动情况明细－解除限售股份数量"/>
                    <w:tag w:val="_GBC_46462e860b5a4971a6d3519ea3d6acc0"/>
                    <w:id w:val="24720690"/>
                    <w:lock w:val="sdtLocked"/>
                  </w:sdtPr>
                  <w:sdtContent>
                    <w:tc>
                      <w:tcPr>
                        <w:tcW w:w="1417" w:type="dxa"/>
                        <w:tcMar>
                          <w:left w:w="28" w:type="dxa"/>
                          <w:right w:w="28" w:type="dxa"/>
                        </w:tcMar>
                        <w:vAlign w:val="center"/>
                      </w:tcPr>
                      <w:p w:rsidR="00F91732" w:rsidRDefault="00F91732" w:rsidP="006D049E">
                        <w:pPr>
                          <w:jc w:val="right"/>
                          <w:rPr>
                            <w:szCs w:val="21"/>
                          </w:rPr>
                        </w:pPr>
                        <w:r>
                          <w:rPr>
                            <w:rFonts w:hint="eastAsia"/>
                            <w:szCs w:val="21"/>
                          </w:rPr>
                          <w:t>10,320,000</w:t>
                        </w:r>
                      </w:p>
                    </w:tc>
                  </w:sdtContent>
                </w:sdt>
                <w:sdt>
                  <w:sdtPr>
                    <w:rPr>
                      <w:rFonts w:hint="eastAsia"/>
                      <w:szCs w:val="21"/>
                    </w:rPr>
                    <w:alias w:val="限售股份变动情况明细－增加限售股份数量"/>
                    <w:tag w:val="_GBC_b596925ee5b24bc9bddfd6e5c4519db0"/>
                    <w:id w:val="24720691"/>
                    <w:lock w:val="sdtLocked"/>
                  </w:sdtPr>
                  <w:sdtContent>
                    <w:tc>
                      <w:tcPr>
                        <w:tcW w:w="851"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692"/>
                    <w:lock w:val="sdtLocked"/>
                  </w:sdtPr>
                  <w:sdtContent>
                    <w:tc>
                      <w:tcPr>
                        <w:tcW w:w="1559"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原因"/>
                    <w:tag w:val="_GBC_fe3df267cc754b6a90370ac0ac339b1e"/>
                    <w:id w:val="24720693"/>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694"/>
                    <w:lock w:val="sdtLocked"/>
                  </w:sdtPr>
                  <w:sdtContent>
                    <w:tc>
                      <w:tcPr>
                        <w:tcW w:w="851" w:type="dxa"/>
                        <w:tcMar>
                          <w:left w:w="6" w:type="dxa"/>
                          <w:right w:w="28" w:type="dxa"/>
                        </w:tcMar>
                        <w:vAlign w:val="center"/>
                      </w:tcPr>
                      <w:p w:rsidR="00F91732" w:rsidRDefault="00F91732" w:rsidP="00382B5E">
                        <w:pPr>
                          <w:jc w:val="center"/>
                          <w:rPr>
                            <w:szCs w:val="21"/>
                          </w:rPr>
                        </w:pPr>
                        <w:r>
                          <w:rPr>
                            <w:rFonts w:hint="eastAsia"/>
                            <w:szCs w:val="21"/>
                          </w:rPr>
                          <w:t>2015年5月27日</w:t>
                        </w:r>
                      </w:p>
                    </w:tc>
                  </w:sdtContent>
                </w:sdt>
              </w:tr>
            </w:sdtContent>
          </w:sdt>
          <w:sdt>
            <w:sdtPr>
              <w:rPr>
                <w:rFonts w:asciiTheme="minorEastAsia" w:eastAsiaTheme="minorEastAsia" w:hAnsiTheme="minorEastAsia" w:cstheme="minorBidi" w:hint="eastAsia"/>
                <w:kern w:val="2"/>
                <w:szCs w:val="21"/>
              </w:rPr>
              <w:alias w:val="限售股份变动情况明细"/>
              <w:tag w:val="_GBC_a1bef981fecc4e8d86294aa92b2c3bea"/>
              <w:id w:val="24720704"/>
              <w:lock w:val="sdtLocked"/>
            </w:sdtPr>
            <w:sdtEndPr>
              <w:rPr>
                <w:rFonts w:asciiTheme="minorHAnsi" w:hAnsiTheme="minorHAnsi"/>
              </w:rPr>
            </w:sdtEndPr>
            <w:sdtContent>
              <w:tr w:rsidR="00F91732" w:rsidTr="005C6D2C">
                <w:sdt>
                  <w:sdtPr>
                    <w:rPr>
                      <w:rFonts w:asciiTheme="minorEastAsia" w:eastAsiaTheme="minorEastAsia" w:hAnsiTheme="minorEastAsia" w:cstheme="minorBidi" w:hint="eastAsia"/>
                      <w:kern w:val="2"/>
                      <w:szCs w:val="21"/>
                    </w:rPr>
                    <w:alias w:val="1"/>
                    <w:tag w:val="_GBC_0c7b94dd041e45c79da1654ecdbb8191"/>
                    <w:id w:val="24720696"/>
                    <w:lock w:val="sdtLocked"/>
                  </w:sdtPr>
                  <w:sdtEndPr>
                    <w:rPr>
                      <w:rFonts w:cs="宋体" w:hint="default"/>
                      <w:kern w:val="0"/>
                      <w:szCs w:val="24"/>
                    </w:rPr>
                  </w:sdtEndPr>
                  <w:sdtContent>
                    <w:tc>
                      <w:tcPr>
                        <w:tcW w:w="534" w:type="dxa"/>
                        <w:vAlign w:val="center"/>
                      </w:tcPr>
                      <w:p w:rsidR="00F91732" w:rsidRPr="001521BE" w:rsidRDefault="00F91732" w:rsidP="00F91732">
                        <w:pPr>
                          <w:jc w:val="center"/>
                          <w:rPr>
                            <w:rFonts w:asciiTheme="minorEastAsia" w:eastAsiaTheme="minorEastAsia" w:hAnsiTheme="minorEastAsia"/>
                            <w:szCs w:val="21"/>
                          </w:rPr>
                        </w:pPr>
                        <w:r w:rsidRPr="001521BE">
                          <w:rPr>
                            <w:rFonts w:asciiTheme="minorEastAsia" w:eastAsiaTheme="minorEastAsia" w:hAnsiTheme="minorEastAsia" w:hint="eastAsia"/>
                          </w:rPr>
                          <w:t>7</w:t>
                        </w:r>
                      </w:p>
                    </w:tc>
                  </w:sdtContent>
                </w:sdt>
                <w:sdt>
                  <w:sdtPr>
                    <w:rPr>
                      <w:rFonts w:asciiTheme="minorEastAsia" w:eastAsiaTheme="minorEastAsia" w:hAnsiTheme="minorEastAsia" w:hint="eastAsia"/>
                      <w:szCs w:val="21"/>
                    </w:rPr>
                    <w:alias w:val="限售股份变动情况明细－股东名称"/>
                    <w:tag w:val="_GBC_896f32738e774889b45562ea42c92422"/>
                    <w:id w:val="24720697"/>
                    <w:lock w:val="sdtLocked"/>
                  </w:sdtPr>
                  <w:sdtEndPr>
                    <w:rPr>
                      <w:rFonts w:cs="Times New Roman"/>
                    </w:rPr>
                  </w:sdtEndPr>
                  <w:sdtContent>
                    <w:tc>
                      <w:tcPr>
                        <w:tcW w:w="1701" w:type="dxa"/>
                        <w:tcMar>
                          <w:left w:w="28" w:type="dxa"/>
                          <w:right w:w="28" w:type="dxa"/>
                        </w:tcMar>
                        <w:vAlign w:val="center"/>
                      </w:tcPr>
                      <w:p w:rsidR="00F91732" w:rsidRPr="001521BE" w:rsidRDefault="00F91732" w:rsidP="006D049E">
                        <w:pPr>
                          <w:rPr>
                            <w:rFonts w:asciiTheme="minorEastAsia" w:eastAsiaTheme="minorEastAsia" w:hAnsiTheme="minorEastAsia"/>
                            <w:szCs w:val="21"/>
                          </w:rPr>
                        </w:pPr>
                        <w:r w:rsidRPr="001521BE">
                          <w:rPr>
                            <w:rFonts w:asciiTheme="minorEastAsia" w:eastAsiaTheme="minorEastAsia" w:hAnsiTheme="minorEastAsia" w:cstheme="minorBidi" w:hint="eastAsia"/>
                            <w:kern w:val="2"/>
                            <w:szCs w:val="21"/>
                          </w:rPr>
                          <w:t>中国农业银行－国泰金牛创新成长股票型证券投资基金</w:t>
                        </w:r>
                        <w:r w:rsidR="00BF03B7" w:rsidRPr="001521BE">
                          <w:rPr>
                            <w:rFonts w:asciiTheme="minorEastAsia" w:eastAsiaTheme="minorEastAsia" w:hAnsiTheme="minorEastAsia" w:cstheme="minorBidi" w:hint="eastAsia"/>
                            <w:kern w:val="2"/>
                            <w:szCs w:val="21"/>
                          </w:rPr>
                          <w:t>（注2）</w:t>
                        </w:r>
                      </w:p>
                    </w:tc>
                  </w:sdtContent>
                </w:sdt>
                <w:sdt>
                  <w:sdtPr>
                    <w:rPr>
                      <w:rFonts w:hint="eastAsia"/>
                      <w:szCs w:val="21"/>
                    </w:rPr>
                    <w:alias w:val="限售股份变动情况明细－限售股份数量"/>
                    <w:tag w:val="_GBC_a60c657f9bcf4616b6886bac40b8c177"/>
                    <w:id w:val="24720698"/>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5,200,000</w:t>
                        </w:r>
                      </w:p>
                    </w:tc>
                  </w:sdtContent>
                </w:sdt>
                <w:sdt>
                  <w:sdtPr>
                    <w:rPr>
                      <w:rFonts w:hint="eastAsia"/>
                      <w:szCs w:val="21"/>
                    </w:rPr>
                    <w:alias w:val="限售股份变动情况明细－解除限售股份数量"/>
                    <w:tag w:val="_GBC_46462e860b5a4971a6d3519ea3d6acc0"/>
                    <w:id w:val="24720699"/>
                    <w:lock w:val="sdtLocked"/>
                  </w:sdtPr>
                  <w:sdtContent>
                    <w:tc>
                      <w:tcPr>
                        <w:tcW w:w="1417" w:type="dxa"/>
                        <w:tcMar>
                          <w:left w:w="28" w:type="dxa"/>
                          <w:right w:w="28" w:type="dxa"/>
                        </w:tcMar>
                        <w:vAlign w:val="center"/>
                      </w:tcPr>
                      <w:p w:rsidR="00F91732" w:rsidRDefault="00F91732" w:rsidP="006D049E">
                        <w:pPr>
                          <w:jc w:val="right"/>
                          <w:rPr>
                            <w:szCs w:val="21"/>
                          </w:rPr>
                        </w:pPr>
                        <w:r>
                          <w:rPr>
                            <w:rFonts w:hint="eastAsia"/>
                            <w:szCs w:val="21"/>
                          </w:rPr>
                          <w:t>5,200,000</w:t>
                        </w:r>
                      </w:p>
                    </w:tc>
                  </w:sdtContent>
                </w:sdt>
                <w:sdt>
                  <w:sdtPr>
                    <w:rPr>
                      <w:rFonts w:hint="eastAsia"/>
                      <w:szCs w:val="21"/>
                    </w:rPr>
                    <w:alias w:val="限售股份变动情况明细－增加限售股份数量"/>
                    <w:tag w:val="_GBC_b596925ee5b24bc9bddfd6e5c4519db0"/>
                    <w:id w:val="24720700"/>
                    <w:lock w:val="sdtLocked"/>
                  </w:sdtPr>
                  <w:sdtContent>
                    <w:tc>
                      <w:tcPr>
                        <w:tcW w:w="851"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701"/>
                    <w:lock w:val="sdtLocked"/>
                  </w:sdtPr>
                  <w:sdtContent>
                    <w:tc>
                      <w:tcPr>
                        <w:tcW w:w="1559"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原因"/>
                    <w:tag w:val="_GBC_fe3df267cc754b6a90370ac0ac339b1e"/>
                    <w:id w:val="24720702"/>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703"/>
                    <w:lock w:val="sdtLocked"/>
                  </w:sdtPr>
                  <w:sdtContent>
                    <w:tc>
                      <w:tcPr>
                        <w:tcW w:w="851" w:type="dxa"/>
                        <w:tcMar>
                          <w:left w:w="6" w:type="dxa"/>
                          <w:right w:w="28" w:type="dxa"/>
                        </w:tcMar>
                        <w:vAlign w:val="center"/>
                      </w:tcPr>
                      <w:p w:rsidR="00F91732" w:rsidRDefault="00F91732" w:rsidP="00382B5E">
                        <w:pPr>
                          <w:jc w:val="center"/>
                          <w:rPr>
                            <w:szCs w:val="21"/>
                          </w:rPr>
                        </w:pPr>
                        <w:r>
                          <w:rPr>
                            <w:rFonts w:hint="eastAsia"/>
                            <w:szCs w:val="21"/>
                          </w:rPr>
                          <w:t>2015年5月27日</w:t>
                        </w:r>
                      </w:p>
                    </w:tc>
                  </w:sdtContent>
                </w:sdt>
              </w:tr>
            </w:sdtContent>
          </w:sdt>
          <w:sdt>
            <w:sdtPr>
              <w:rPr>
                <w:rFonts w:asciiTheme="minorHAnsi" w:eastAsiaTheme="minorEastAsia" w:hAnsiTheme="minorHAnsi" w:cstheme="minorBidi" w:hint="eastAsia"/>
                <w:kern w:val="2"/>
                <w:szCs w:val="21"/>
              </w:rPr>
              <w:alias w:val="限售股份变动情况明细"/>
              <w:tag w:val="_GBC_a1bef981fecc4e8d86294aa92b2c3bea"/>
              <w:id w:val="24720713"/>
              <w:lock w:val="sdtLocked"/>
            </w:sdtPr>
            <w:sdtContent>
              <w:tr w:rsidR="00F91732" w:rsidTr="005C6D2C">
                <w:sdt>
                  <w:sdtPr>
                    <w:rPr>
                      <w:rFonts w:asciiTheme="minorHAnsi" w:eastAsiaTheme="minorEastAsia" w:hAnsiTheme="minorHAnsi" w:cstheme="minorBidi" w:hint="eastAsia"/>
                      <w:kern w:val="2"/>
                      <w:szCs w:val="21"/>
                    </w:rPr>
                    <w:alias w:val="1"/>
                    <w:tag w:val="_GBC_0c7b94dd041e45c79da1654ecdbb8191"/>
                    <w:id w:val="24720705"/>
                    <w:lock w:val="sdtLocked"/>
                  </w:sdtPr>
                  <w:sdtEndPr>
                    <w:rPr>
                      <w:rFonts w:ascii="宋体" w:eastAsia="宋体" w:hAnsi="宋体" w:cs="宋体" w:hint="default"/>
                      <w:kern w:val="0"/>
                      <w:szCs w:val="24"/>
                    </w:rPr>
                  </w:sdtEndPr>
                  <w:sdtContent>
                    <w:tc>
                      <w:tcPr>
                        <w:tcW w:w="534" w:type="dxa"/>
                        <w:vAlign w:val="center"/>
                      </w:tcPr>
                      <w:p w:rsidR="00F91732" w:rsidRDefault="00F91732" w:rsidP="00F91732">
                        <w:pPr>
                          <w:jc w:val="center"/>
                          <w:rPr>
                            <w:szCs w:val="21"/>
                          </w:rPr>
                        </w:pPr>
                        <w:r>
                          <w:rPr>
                            <w:rFonts w:hint="eastAsia"/>
                          </w:rPr>
                          <w:t>8</w:t>
                        </w:r>
                      </w:p>
                    </w:tc>
                  </w:sdtContent>
                </w:sdt>
                <w:sdt>
                  <w:sdtPr>
                    <w:rPr>
                      <w:rFonts w:hint="eastAsia"/>
                      <w:szCs w:val="21"/>
                    </w:rPr>
                    <w:alias w:val="限售股份变动情况明细－股东名称"/>
                    <w:tag w:val="_GBC_896f32738e774889b45562ea42c92422"/>
                    <w:id w:val="24720706"/>
                    <w:lock w:val="sdtLocked"/>
                  </w:sdtPr>
                  <w:sdtEndPr>
                    <w:rPr>
                      <w:rFonts w:ascii="Times New Roman" w:hAnsi="Times New Roman" w:cs="Times New Roman"/>
                    </w:rPr>
                  </w:sdtEndPr>
                  <w:sdtContent>
                    <w:tc>
                      <w:tcPr>
                        <w:tcW w:w="1701" w:type="dxa"/>
                        <w:tcMar>
                          <w:left w:w="28" w:type="dxa"/>
                          <w:right w:w="28" w:type="dxa"/>
                        </w:tcMar>
                        <w:vAlign w:val="center"/>
                      </w:tcPr>
                      <w:p w:rsidR="00F91732" w:rsidRDefault="00F91732" w:rsidP="006D049E">
                        <w:pPr>
                          <w:rPr>
                            <w:szCs w:val="21"/>
                          </w:rPr>
                        </w:pPr>
                        <w:r w:rsidRPr="001521BE">
                          <w:rPr>
                            <w:rFonts w:asciiTheme="minorEastAsia" w:eastAsiaTheme="minorEastAsia" w:hAnsiTheme="minorEastAsia" w:cstheme="minorBidi" w:hint="eastAsia"/>
                            <w:kern w:val="2"/>
                            <w:szCs w:val="21"/>
                          </w:rPr>
                          <w:t>全国社保基金一一二组合</w:t>
                        </w:r>
                        <w:r w:rsidR="00BF03B7" w:rsidRPr="001521BE">
                          <w:rPr>
                            <w:rFonts w:asciiTheme="minorEastAsia" w:eastAsiaTheme="minorEastAsia" w:hAnsiTheme="minorEastAsia" w:cstheme="minorBidi" w:hint="eastAsia"/>
                            <w:kern w:val="2"/>
                            <w:szCs w:val="21"/>
                          </w:rPr>
                          <w:t>（注2）</w:t>
                        </w:r>
                      </w:p>
                    </w:tc>
                  </w:sdtContent>
                </w:sdt>
                <w:sdt>
                  <w:sdtPr>
                    <w:rPr>
                      <w:rFonts w:hint="eastAsia"/>
                      <w:szCs w:val="21"/>
                    </w:rPr>
                    <w:alias w:val="限售股份变动情况明细－限售股份数量"/>
                    <w:tag w:val="_GBC_a60c657f9bcf4616b6886bac40b8c177"/>
                    <w:id w:val="24720707"/>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10,500,000</w:t>
                        </w:r>
                      </w:p>
                    </w:tc>
                  </w:sdtContent>
                </w:sdt>
                <w:sdt>
                  <w:sdtPr>
                    <w:rPr>
                      <w:rFonts w:hint="eastAsia"/>
                      <w:szCs w:val="21"/>
                    </w:rPr>
                    <w:alias w:val="限售股份变动情况明细－解除限售股份数量"/>
                    <w:tag w:val="_GBC_46462e860b5a4971a6d3519ea3d6acc0"/>
                    <w:id w:val="24720708"/>
                    <w:lock w:val="sdtLocked"/>
                  </w:sdtPr>
                  <w:sdtContent>
                    <w:tc>
                      <w:tcPr>
                        <w:tcW w:w="1417" w:type="dxa"/>
                        <w:tcMar>
                          <w:left w:w="28" w:type="dxa"/>
                          <w:right w:w="28" w:type="dxa"/>
                        </w:tcMar>
                        <w:vAlign w:val="center"/>
                      </w:tcPr>
                      <w:p w:rsidR="00F91732" w:rsidRDefault="00F91732" w:rsidP="006D049E">
                        <w:pPr>
                          <w:jc w:val="right"/>
                          <w:rPr>
                            <w:szCs w:val="21"/>
                          </w:rPr>
                        </w:pPr>
                        <w:r>
                          <w:rPr>
                            <w:rFonts w:hint="eastAsia"/>
                            <w:szCs w:val="21"/>
                          </w:rPr>
                          <w:t>10,500,000</w:t>
                        </w:r>
                      </w:p>
                    </w:tc>
                  </w:sdtContent>
                </w:sdt>
                <w:sdt>
                  <w:sdtPr>
                    <w:rPr>
                      <w:rFonts w:hint="eastAsia"/>
                      <w:szCs w:val="21"/>
                    </w:rPr>
                    <w:alias w:val="限售股份变动情况明细－增加限售股份数量"/>
                    <w:tag w:val="_GBC_b596925ee5b24bc9bddfd6e5c4519db0"/>
                    <w:id w:val="24720709"/>
                    <w:lock w:val="sdtLocked"/>
                  </w:sdtPr>
                  <w:sdtContent>
                    <w:tc>
                      <w:tcPr>
                        <w:tcW w:w="851"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710"/>
                    <w:lock w:val="sdtLocked"/>
                  </w:sdtPr>
                  <w:sdtContent>
                    <w:tc>
                      <w:tcPr>
                        <w:tcW w:w="1559"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原因"/>
                    <w:tag w:val="_GBC_fe3df267cc754b6a90370ac0ac339b1e"/>
                    <w:id w:val="24720711"/>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712"/>
                    <w:lock w:val="sdtLocked"/>
                  </w:sdtPr>
                  <w:sdtContent>
                    <w:tc>
                      <w:tcPr>
                        <w:tcW w:w="851" w:type="dxa"/>
                        <w:tcMar>
                          <w:left w:w="6" w:type="dxa"/>
                          <w:right w:w="28" w:type="dxa"/>
                        </w:tcMar>
                        <w:vAlign w:val="center"/>
                      </w:tcPr>
                      <w:p w:rsidR="00F91732" w:rsidRDefault="00F91732" w:rsidP="00382B5E">
                        <w:pPr>
                          <w:jc w:val="center"/>
                          <w:rPr>
                            <w:szCs w:val="21"/>
                          </w:rPr>
                        </w:pPr>
                        <w:r>
                          <w:rPr>
                            <w:rFonts w:hint="eastAsia"/>
                            <w:szCs w:val="21"/>
                          </w:rPr>
                          <w:t>2015年5月27日</w:t>
                        </w:r>
                      </w:p>
                    </w:tc>
                  </w:sdtContent>
                </w:sdt>
              </w:tr>
            </w:sdtContent>
          </w:sdt>
          <w:sdt>
            <w:sdtPr>
              <w:rPr>
                <w:rFonts w:asciiTheme="minorEastAsia" w:eastAsiaTheme="minorEastAsia" w:hAnsiTheme="minorEastAsia" w:cstheme="minorBidi" w:hint="eastAsia"/>
                <w:kern w:val="2"/>
                <w:szCs w:val="21"/>
              </w:rPr>
              <w:alias w:val="限售股份变动情况明细"/>
              <w:tag w:val="_GBC_a1bef981fecc4e8d86294aa92b2c3bea"/>
              <w:id w:val="24720722"/>
              <w:lock w:val="sdtLocked"/>
            </w:sdtPr>
            <w:sdtEndPr>
              <w:rPr>
                <w:rFonts w:asciiTheme="minorHAnsi" w:hAnsiTheme="minorHAnsi"/>
              </w:rPr>
            </w:sdtEndPr>
            <w:sdtContent>
              <w:tr w:rsidR="00F91732" w:rsidTr="005C6D2C">
                <w:sdt>
                  <w:sdtPr>
                    <w:rPr>
                      <w:rFonts w:asciiTheme="minorEastAsia" w:eastAsiaTheme="minorEastAsia" w:hAnsiTheme="minorEastAsia" w:cstheme="minorBidi" w:hint="eastAsia"/>
                      <w:kern w:val="2"/>
                      <w:szCs w:val="21"/>
                    </w:rPr>
                    <w:alias w:val="1"/>
                    <w:tag w:val="_GBC_0c7b94dd041e45c79da1654ecdbb8191"/>
                    <w:id w:val="24720714"/>
                    <w:lock w:val="sdtLocked"/>
                  </w:sdtPr>
                  <w:sdtEndPr>
                    <w:rPr>
                      <w:rFonts w:cs="宋体" w:hint="default"/>
                      <w:kern w:val="0"/>
                      <w:szCs w:val="24"/>
                    </w:rPr>
                  </w:sdtEndPr>
                  <w:sdtContent>
                    <w:tc>
                      <w:tcPr>
                        <w:tcW w:w="534" w:type="dxa"/>
                        <w:vAlign w:val="center"/>
                      </w:tcPr>
                      <w:p w:rsidR="00F91732" w:rsidRPr="001521BE" w:rsidRDefault="00F91732" w:rsidP="00F91732">
                        <w:pPr>
                          <w:jc w:val="center"/>
                          <w:rPr>
                            <w:rFonts w:asciiTheme="minorEastAsia" w:eastAsiaTheme="minorEastAsia" w:hAnsiTheme="minorEastAsia"/>
                            <w:szCs w:val="21"/>
                          </w:rPr>
                        </w:pPr>
                        <w:r w:rsidRPr="001521BE">
                          <w:rPr>
                            <w:rFonts w:asciiTheme="minorEastAsia" w:eastAsiaTheme="minorEastAsia" w:hAnsiTheme="minorEastAsia" w:hint="eastAsia"/>
                          </w:rPr>
                          <w:t>9</w:t>
                        </w:r>
                      </w:p>
                    </w:tc>
                  </w:sdtContent>
                </w:sdt>
                <w:sdt>
                  <w:sdtPr>
                    <w:rPr>
                      <w:rFonts w:asciiTheme="minorEastAsia" w:eastAsiaTheme="minorEastAsia" w:hAnsiTheme="minorEastAsia" w:hint="eastAsia"/>
                      <w:szCs w:val="21"/>
                    </w:rPr>
                    <w:alias w:val="限售股份变动情况明细－股东名称"/>
                    <w:tag w:val="_GBC_896f32738e774889b45562ea42c92422"/>
                    <w:id w:val="24720715"/>
                    <w:lock w:val="sdtLocked"/>
                  </w:sdtPr>
                  <w:sdtEndPr>
                    <w:rPr>
                      <w:rFonts w:cs="Times New Roman"/>
                    </w:rPr>
                  </w:sdtEndPr>
                  <w:sdtContent>
                    <w:tc>
                      <w:tcPr>
                        <w:tcW w:w="1701" w:type="dxa"/>
                        <w:tcMar>
                          <w:left w:w="28" w:type="dxa"/>
                          <w:right w:w="28" w:type="dxa"/>
                        </w:tcMar>
                        <w:vAlign w:val="center"/>
                      </w:tcPr>
                      <w:p w:rsidR="00F91732" w:rsidRPr="001521BE" w:rsidRDefault="00F91732" w:rsidP="006D049E">
                        <w:pPr>
                          <w:rPr>
                            <w:rFonts w:asciiTheme="minorEastAsia" w:eastAsiaTheme="minorEastAsia" w:hAnsiTheme="minorEastAsia"/>
                            <w:szCs w:val="21"/>
                          </w:rPr>
                        </w:pPr>
                        <w:r w:rsidRPr="001521BE">
                          <w:rPr>
                            <w:rFonts w:asciiTheme="minorEastAsia" w:eastAsiaTheme="minorEastAsia" w:hAnsiTheme="minorEastAsia" w:cstheme="minorBidi" w:hint="eastAsia"/>
                            <w:kern w:val="2"/>
                            <w:szCs w:val="21"/>
                          </w:rPr>
                          <w:t>全国社保基金一一一组合</w:t>
                        </w:r>
                        <w:r w:rsidR="00BF03B7" w:rsidRPr="001521BE">
                          <w:rPr>
                            <w:rFonts w:asciiTheme="minorEastAsia" w:eastAsiaTheme="minorEastAsia" w:hAnsiTheme="minorEastAsia" w:cstheme="minorBidi" w:hint="eastAsia"/>
                            <w:kern w:val="2"/>
                            <w:szCs w:val="21"/>
                          </w:rPr>
                          <w:t>（注2）</w:t>
                        </w:r>
                      </w:p>
                    </w:tc>
                  </w:sdtContent>
                </w:sdt>
                <w:sdt>
                  <w:sdtPr>
                    <w:rPr>
                      <w:rFonts w:hint="eastAsia"/>
                      <w:szCs w:val="21"/>
                    </w:rPr>
                    <w:alias w:val="限售股份变动情况明细－限售股份数量"/>
                    <w:tag w:val="_GBC_a60c657f9bcf4616b6886bac40b8c177"/>
                    <w:id w:val="24720716"/>
                    <w:lock w:val="sdtLocked"/>
                  </w:sdtPr>
                  <w:sdtContent>
                    <w:tc>
                      <w:tcPr>
                        <w:tcW w:w="1559" w:type="dxa"/>
                        <w:tcMar>
                          <w:left w:w="6" w:type="dxa"/>
                          <w:right w:w="6" w:type="dxa"/>
                        </w:tcMar>
                        <w:vAlign w:val="center"/>
                      </w:tcPr>
                      <w:p w:rsidR="00F91732" w:rsidRDefault="00F91732" w:rsidP="006D049E">
                        <w:pPr>
                          <w:jc w:val="right"/>
                          <w:rPr>
                            <w:szCs w:val="21"/>
                          </w:rPr>
                        </w:pPr>
                        <w:r>
                          <w:rPr>
                            <w:rFonts w:hint="eastAsia"/>
                            <w:szCs w:val="21"/>
                          </w:rPr>
                          <w:t>8,200,000</w:t>
                        </w:r>
                      </w:p>
                    </w:tc>
                  </w:sdtContent>
                </w:sdt>
                <w:sdt>
                  <w:sdtPr>
                    <w:rPr>
                      <w:rFonts w:hint="eastAsia"/>
                      <w:szCs w:val="21"/>
                    </w:rPr>
                    <w:alias w:val="限售股份变动情况明细－解除限售股份数量"/>
                    <w:tag w:val="_GBC_46462e860b5a4971a6d3519ea3d6acc0"/>
                    <w:id w:val="24720717"/>
                    <w:lock w:val="sdtLocked"/>
                  </w:sdtPr>
                  <w:sdtContent>
                    <w:tc>
                      <w:tcPr>
                        <w:tcW w:w="1417" w:type="dxa"/>
                        <w:tcMar>
                          <w:left w:w="28" w:type="dxa"/>
                          <w:right w:w="28" w:type="dxa"/>
                        </w:tcMar>
                        <w:vAlign w:val="center"/>
                      </w:tcPr>
                      <w:p w:rsidR="00F91732" w:rsidRDefault="00F91732" w:rsidP="006D049E">
                        <w:pPr>
                          <w:jc w:val="right"/>
                          <w:rPr>
                            <w:szCs w:val="21"/>
                          </w:rPr>
                        </w:pPr>
                        <w:r>
                          <w:rPr>
                            <w:rFonts w:hint="eastAsia"/>
                            <w:szCs w:val="21"/>
                          </w:rPr>
                          <w:t>8,200,000</w:t>
                        </w:r>
                      </w:p>
                    </w:tc>
                  </w:sdtContent>
                </w:sdt>
                <w:sdt>
                  <w:sdtPr>
                    <w:rPr>
                      <w:rFonts w:hint="eastAsia"/>
                      <w:szCs w:val="21"/>
                    </w:rPr>
                    <w:alias w:val="限售股份变动情况明细－增加限售股份数量"/>
                    <w:tag w:val="_GBC_b596925ee5b24bc9bddfd6e5c4519db0"/>
                    <w:id w:val="24720718"/>
                    <w:lock w:val="sdtLocked"/>
                  </w:sdtPr>
                  <w:sdtContent>
                    <w:tc>
                      <w:tcPr>
                        <w:tcW w:w="851"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股份数量"/>
                    <w:tag w:val="_GBC_7589b9f2e3bf4e8098b2161ffb4be305"/>
                    <w:id w:val="24720719"/>
                    <w:lock w:val="sdtLocked"/>
                  </w:sdtPr>
                  <w:sdtContent>
                    <w:tc>
                      <w:tcPr>
                        <w:tcW w:w="1559" w:type="dxa"/>
                        <w:tcMar>
                          <w:left w:w="28" w:type="dxa"/>
                          <w:right w:w="28" w:type="dxa"/>
                        </w:tcMar>
                        <w:vAlign w:val="center"/>
                      </w:tcPr>
                      <w:p w:rsidR="00F91732" w:rsidRDefault="00753F75" w:rsidP="00155B68">
                        <w:pPr>
                          <w:jc w:val="right"/>
                          <w:rPr>
                            <w:szCs w:val="21"/>
                          </w:rPr>
                        </w:pPr>
                        <w:r>
                          <w:rPr>
                            <w:rFonts w:hint="eastAsia"/>
                            <w:szCs w:val="21"/>
                          </w:rPr>
                          <w:t>—</w:t>
                        </w:r>
                      </w:p>
                    </w:tc>
                  </w:sdtContent>
                </w:sdt>
                <w:sdt>
                  <w:sdtPr>
                    <w:rPr>
                      <w:rFonts w:hint="eastAsia"/>
                      <w:szCs w:val="21"/>
                    </w:rPr>
                    <w:alias w:val="限售股份变动情况明细－限售原因"/>
                    <w:tag w:val="_GBC_fe3df267cc754b6a90370ac0ac339b1e"/>
                    <w:id w:val="24720720"/>
                    <w:lock w:val="sdtLocked"/>
                  </w:sdtPr>
                  <w:sdtContent>
                    <w:tc>
                      <w:tcPr>
                        <w:tcW w:w="992" w:type="dxa"/>
                        <w:tcMar>
                          <w:left w:w="28" w:type="dxa"/>
                          <w:right w:w="28" w:type="dxa"/>
                        </w:tcMar>
                        <w:vAlign w:val="center"/>
                      </w:tcPr>
                      <w:p w:rsidR="00F91732" w:rsidRDefault="00F91732" w:rsidP="00382B5E">
                        <w:pPr>
                          <w:jc w:val="center"/>
                          <w:rPr>
                            <w:szCs w:val="21"/>
                          </w:rPr>
                        </w:pPr>
                        <w:r>
                          <w:rPr>
                            <w:rFonts w:hint="eastAsia"/>
                            <w:szCs w:val="21"/>
                          </w:rPr>
                          <w:t>非公开发行限售</w:t>
                        </w:r>
                      </w:p>
                    </w:tc>
                  </w:sdtContent>
                </w:sdt>
                <w:sdt>
                  <w:sdtPr>
                    <w:rPr>
                      <w:rFonts w:hint="eastAsia"/>
                      <w:szCs w:val="21"/>
                    </w:rPr>
                    <w:alias w:val="限售股份变动情况明细－解除限售日期"/>
                    <w:tag w:val="_GBC_6f91400c7b6245c784dffb5f33d03732"/>
                    <w:id w:val="24720721"/>
                    <w:lock w:val="sdtLocked"/>
                  </w:sdtPr>
                  <w:sdtContent>
                    <w:tc>
                      <w:tcPr>
                        <w:tcW w:w="851" w:type="dxa"/>
                        <w:tcMar>
                          <w:left w:w="6" w:type="dxa"/>
                          <w:right w:w="28" w:type="dxa"/>
                        </w:tcMar>
                        <w:vAlign w:val="center"/>
                      </w:tcPr>
                      <w:p w:rsidR="00F91732" w:rsidRDefault="00F91732" w:rsidP="00382B5E">
                        <w:pPr>
                          <w:jc w:val="center"/>
                          <w:rPr>
                            <w:szCs w:val="21"/>
                          </w:rPr>
                        </w:pPr>
                        <w:r>
                          <w:rPr>
                            <w:rFonts w:hint="eastAsia"/>
                            <w:szCs w:val="21"/>
                          </w:rPr>
                          <w:t>2015年5月27日</w:t>
                        </w:r>
                      </w:p>
                    </w:tc>
                  </w:sdtContent>
                </w:sdt>
              </w:tr>
            </w:sdtContent>
          </w:sdt>
          <w:tr w:rsidR="00F91732" w:rsidTr="005C6D2C">
            <w:tc>
              <w:tcPr>
                <w:tcW w:w="534" w:type="dxa"/>
                <w:vAlign w:val="center"/>
              </w:tcPr>
              <w:p w:rsidR="00F91732" w:rsidRPr="00204A85" w:rsidRDefault="00F91732" w:rsidP="006D049E">
                <w:pPr>
                  <w:jc w:val="center"/>
                  <w:rPr>
                    <w:b/>
                    <w:szCs w:val="21"/>
                  </w:rPr>
                </w:pPr>
              </w:p>
            </w:tc>
            <w:tc>
              <w:tcPr>
                <w:tcW w:w="1701" w:type="dxa"/>
                <w:tcMar>
                  <w:left w:w="57" w:type="dxa"/>
                  <w:right w:w="57" w:type="dxa"/>
                </w:tcMar>
                <w:vAlign w:val="center"/>
              </w:tcPr>
              <w:p w:rsidR="00F91732" w:rsidRPr="00204A85" w:rsidRDefault="00F91732" w:rsidP="006D049E">
                <w:pPr>
                  <w:jc w:val="center"/>
                  <w:rPr>
                    <w:b/>
                    <w:szCs w:val="21"/>
                  </w:rPr>
                </w:pPr>
                <w:r w:rsidRPr="00204A85">
                  <w:rPr>
                    <w:b/>
                    <w:szCs w:val="21"/>
                  </w:rPr>
                  <w:t>合计</w:t>
                </w:r>
              </w:p>
            </w:tc>
            <w:sdt>
              <w:sdtPr>
                <w:rPr>
                  <w:rFonts w:hint="eastAsia"/>
                  <w:b/>
                  <w:szCs w:val="21"/>
                </w:rPr>
                <w:alias w:val="限售股份变动情况中的限售股份数量合计"/>
                <w:tag w:val="_GBC_7b07e45e220541f99d21f7fd6cb275f4"/>
                <w:id w:val="24720723"/>
                <w:lock w:val="sdtLocked"/>
              </w:sdtPr>
              <w:sdtContent>
                <w:tc>
                  <w:tcPr>
                    <w:tcW w:w="1559" w:type="dxa"/>
                    <w:tcMar>
                      <w:left w:w="6" w:type="dxa"/>
                      <w:right w:w="6" w:type="dxa"/>
                    </w:tcMar>
                    <w:vAlign w:val="center"/>
                  </w:tcPr>
                  <w:p w:rsidR="00F91732" w:rsidRPr="00204A85" w:rsidRDefault="00F91732" w:rsidP="006D049E">
                    <w:pPr>
                      <w:jc w:val="right"/>
                      <w:rPr>
                        <w:b/>
                        <w:szCs w:val="21"/>
                      </w:rPr>
                    </w:pPr>
                    <w:r w:rsidRPr="00204A85">
                      <w:rPr>
                        <w:b/>
                        <w:szCs w:val="21"/>
                      </w:rPr>
                      <w:t>1,147,035,700</w:t>
                    </w:r>
                  </w:p>
                </w:tc>
              </w:sdtContent>
            </w:sdt>
            <w:sdt>
              <w:sdtPr>
                <w:rPr>
                  <w:rFonts w:hint="eastAsia"/>
                  <w:b/>
                  <w:szCs w:val="21"/>
                </w:rPr>
                <w:alias w:val="解除限售股份数量合计"/>
                <w:tag w:val="_GBC_c5bc74789bb84293a4e7870f2062562c"/>
                <w:id w:val="24720724"/>
                <w:lock w:val="sdtLocked"/>
              </w:sdtPr>
              <w:sdtContent>
                <w:tc>
                  <w:tcPr>
                    <w:tcW w:w="1417" w:type="dxa"/>
                    <w:tcMar>
                      <w:left w:w="57" w:type="dxa"/>
                      <w:right w:w="57" w:type="dxa"/>
                    </w:tcMar>
                    <w:vAlign w:val="center"/>
                  </w:tcPr>
                  <w:p w:rsidR="00F91732" w:rsidRPr="00204A85" w:rsidRDefault="00F91732" w:rsidP="006D049E">
                    <w:pPr>
                      <w:jc w:val="right"/>
                      <w:rPr>
                        <w:b/>
                        <w:szCs w:val="21"/>
                      </w:rPr>
                    </w:pPr>
                    <w:r w:rsidRPr="00204A85">
                      <w:rPr>
                        <w:b/>
                        <w:szCs w:val="21"/>
                      </w:rPr>
                      <w:t>142,000,000</w:t>
                    </w:r>
                  </w:p>
                </w:tc>
              </w:sdtContent>
            </w:sdt>
            <w:sdt>
              <w:sdtPr>
                <w:rPr>
                  <w:rFonts w:hint="eastAsia"/>
                  <w:b/>
                  <w:szCs w:val="21"/>
                </w:rPr>
                <w:alias w:val="增加限售股份数量合计"/>
                <w:tag w:val="_GBC_2bee9e71320748bb8b02087adae243af"/>
                <w:id w:val="24720725"/>
                <w:lock w:val="sdtLocked"/>
              </w:sdtPr>
              <w:sdtContent>
                <w:tc>
                  <w:tcPr>
                    <w:tcW w:w="851" w:type="dxa"/>
                    <w:tcMar>
                      <w:left w:w="57" w:type="dxa"/>
                      <w:right w:w="57" w:type="dxa"/>
                    </w:tcMar>
                    <w:vAlign w:val="center"/>
                  </w:tcPr>
                  <w:p w:rsidR="00F91732" w:rsidRPr="00204A85" w:rsidRDefault="00753F75" w:rsidP="00155B68">
                    <w:pPr>
                      <w:jc w:val="right"/>
                      <w:rPr>
                        <w:b/>
                        <w:szCs w:val="21"/>
                      </w:rPr>
                    </w:pPr>
                    <w:r>
                      <w:rPr>
                        <w:rFonts w:hint="eastAsia"/>
                        <w:szCs w:val="21"/>
                      </w:rPr>
                      <w:t>—</w:t>
                    </w:r>
                  </w:p>
                </w:tc>
              </w:sdtContent>
            </w:sdt>
            <w:sdt>
              <w:sdtPr>
                <w:rPr>
                  <w:rFonts w:hint="eastAsia"/>
                  <w:b/>
                  <w:szCs w:val="21"/>
                </w:rPr>
                <w:alias w:val="限售股份变动情况中的限售股份数量合计"/>
                <w:tag w:val="_GBC_0ef197a95fc24a06ae3f0015b8c991c8"/>
                <w:id w:val="24720726"/>
                <w:lock w:val="sdtLocked"/>
              </w:sdtPr>
              <w:sdtContent>
                <w:tc>
                  <w:tcPr>
                    <w:tcW w:w="1559" w:type="dxa"/>
                    <w:tcMar>
                      <w:left w:w="57" w:type="dxa"/>
                      <w:right w:w="57" w:type="dxa"/>
                    </w:tcMar>
                    <w:vAlign w:val="center"/>
                  </w:tcPr>
                  <w:p w:rsidR="00F91732" w:rsidRPr="00204A85" w:rsidRDefault="00F91732" w:rsidP="006D049E">
                    <w:pPr>
                      <w:jc w:val="right"/>
                      <w:rPr>
                        <w:b/>
                        <w:szCs w:val="21"/>
                      </w:rPr>
                    </w:pPr>
                    <w:r w:rsidRPr="00204A85">
                      <w:rPr>
                        <w:b/>
                        <w:szCs w:val="21"/>
                      </w:rPr>
                      <w:t>1,005,035,700</w:t>
                    </w:r>
                  </w:p>
                </w:tc>
              </w:sdtContent>
            </w:sdt>
            <w:tc>
              <w:tcPr>
                <w:tcW w:w="992" w:type="dxa"/>
                <w:tcMar>
                  <w:left w:w="57" w:type="dxa"/>
                  <w:right w:w="57" w:type="dxa"/>
                </w:tcMar>
                <w:vAlign w:val="center"/>
              </w:tcPr>
              <w:p w:rsidR="00F91732" w:rsidRPr="00204A85" w:rsidRDefault="00F91732" w:rsidP="00AC4D55">
                <w:pPr>
                  <w:jc w:val="center"/>
                  <w:rPr>
                    <w:b/>
                    <w:szCs w:val="21"/>
                  </w:rPr>
                </w:pPr>
                <w:r w:rsidRPr="00204A85">
                  <w:rPr>
                    <w:rFonts w:hint="eastAsia"/>
                    <w:b/>
                    <w:szCs w:val="21"/>
                  </w:rPr>
                  <w:t>/</w:t>
                </w:r>
              </w:p>
            </w:tc>
            <w:tc>
              <w:tcPr>
                <w:tcW w:w="851" w:type="dxa"/>
                <w:tcMar>
                  <w:left w:w="57" w:type="dxa"/>
                  <w:right w:w="57" w:type="dxa"/>
                </w:tcMar>
                <w:vAlign w:val="center"/>
              </w:tcPr>
              <w:p w:rsidR="00F91732" w:rsidRDefault="00F91732" w:rsidP="00AC4D55">
                <w:pPr>
                  <w:jc w:val="center"/>
                  <w:rPr>
                    <w:szCs w:val="21"/>
                  </w:rPr>
                </w:pPr>
                <w:r>
                  <w:rPr>
                    <w:rFonts w:hint="eastAsia"/>
                    <w:szCs w:val="21"/>
                  </w:rPr>
                  <w:t>/</w:t>
                </w:r>
              </w:p>
            </w:tc>
          </w:tr>
        </w:tbl>
        <w:p w:rsidR="00834E7B" w:rsidRDefault="00834E7B" w:rsidP="00CB3294">
          <w:pPr>
            <w:ind w:rightChars="46" w:right="97"/>
            <w:rPr>
              <w:szCs w:val="21"/>
            </w:rPr>
          </w:pPr>
          <w:r>
            <w:rPr>
              <w:rFonts w:cs="Arial" w:hint="eastAsia"/>
              <w:szCs w:val="21"/>
            </w:rPr>
            <w:t>1、</w:t>
          </w:r>
          <w:r>
            <w:rPr>
              <w:rFonts w:hint="eastAsia"/>
              <w:szCs w:val="21"/>
            </w:rPr>
            <w:t>新华基金管理有限公司以该公司管理的资产管理产品认购的本公司股份；</w:t>
          </w:r>
        </w:p>
        <w:p w:rsidR="00834E7B" w:rsidRDefault="00834E7B" w:rsidP="00CB3294">
          <w:pPr>
            <w:ind w:rightChars="46" w:right="97"/>
            <w:rPr>
              <w:szCs w:val="21"/>
            </w:rPr>
          </w:pPr>
          <w:r>
            <w:rPr>
              <w:rFonts w:hint="eastAsia"/>
              <w:szCs w:val="21"/>
            </w:rPr>
            <w:t>2、国泰基金管理有限公司以该公司管理的资产管理产品认购的本公司股份；</w:t>
          </w:r>
        </w:p>
        <w:p w:rsidR="00204A85" w:rsidRDefault="00834E7B" w:rsidP="00834E7B">
          <w:r>
            <w:rPr>
              <w:rFonts w:hint="eastAsia"/>
              <w:szCs w:val="21"/>
            </w:rPr>
            <w:t>3、除上述9家股东以外，公司无其他</w:t>
          </w:r>
          <w:r>
            <w:rPr>
              <w:szCs w:val="21"/>
            </w:rPr>
            <w:t>有限售条件股东</w:t>
          </w:r>
          <w:r>
            <w:rPr>
              <w:rFonts w:hint="eastAsia"/>
              <w:szCs w:val="21"/>
            </w:rPr>
            <w:t>。</w:t>
          </w:r>
        </w:p>
        <w:p w:rsidR="00704CAD" w:rsidRDefault="00422DCA">
          <w:pPr>
            <w:rPr>
              <w:rFonts w:asciiTheme="minorEastAsia" w:eastAsiaTheme="minorEastAsia" w:hAnsiTheme="minorEastAsia"/>
              <w:szCs w:val="21"/>
            </w:rPr>
          </w:pPr>
        </w:p>
      </w:sdtContent>
    </w:sdt>
    <w:p w:rsidR="00704CAD" w:rsidRDefault="00720895">
      <w:pPr>
        <w:pStyle w:val="2"/>
        <w:numPr>
          <w:ilvl w:val="0"/>
          <w:numId w:val="1"/>
        </w:numPr>
      </w:pPr>
      <w:r>
        <w:t>股东</w:t>
      </w:r>
      <w:bookmarkEnd w:id="59"/>
      <w:bookmarkEnd w:id="58"/>
      <w:r>
        <w:rPr>
          <w:rFonts w:hint="eastAsia"/>
        </w:rPr>
        <w:t>情况</w:t>
      </w:r>
    </w:p>
    <w:sdt>
      <w:sdtPr>
        <w:rPr>
          <w:rFonts w:ascii="宋体" w:hAnsi="宋体" w:cs="宋体"/>
          <w:b w:val="0"/>
          <w:bCs w:val="0"/>
          <w:kern w:val="0"/>
          <w:sz w:val="24"/>
          <w:szCs w:val="21"/>
        </w:rPr>
        <w:tag w:val="_GBC_09da2dadf6ff4f338a8987df58f0e8e7"/>
        <w:id w:val="24720729"/>
        <w:lock w:val="sdtLocked"/>
        <w:placeholder>
          <w:docPart w:val="GBC22222222222222222222222222222"/>
        </w:placeholder>
      </w:sdtPr>
      <w:sdtEndPr>
        <w:rPr>
          <w:sz w:val="21"/>
        </w:rPr>
      </w:sdtEndPr>
      <w:sdtContent>
        <w:p w:rsidR="00704CAD" w:rsidRDefault="00720895" w:rsidP="001C1A59">
          <w:pPr>
            <w:pStyle w:val="3"/>
            <w:numPr>
              <w:ilvl w:val="1"/>
              <w:numId w:val="13"/>
            </w:numPr>
            <w:rPr>
              <w:szCs w:val="21"/>
            </w:rPr>
          </w:pPr>
          <w:r>
            <w:rPr>
              <w:szCs w:val="21"/>
            </w:rPr>
            <w:t>股东总数</w:t>
          </w:r>
          <w:r>
            <w:rPr>
              <w:szCs w:val="21"/>
            </w:rPr>
            <w:t>:</w:t>
          </w:r>
        </w:p>
        <w:tbl>
          <w:tblPr>
            <w:tblStyle w:val="a6"/>
            <w:tblW w:w="0" w:type="auto"/>
            <w:tblLook w:val="04A0"/>
          </w:tblPr>
          <w:tblGrid>
            <w:gridCol w:w="4524"/>
            <w:gridCol w:w="4524"/>
          </w:tblGrid>
          <w:tr w:rsidR="00704CAD" w:rsidTr="00D65C6F">
            <w:tc>
              <w:tcPr>
                <w:tcW w:w="4524" w:type="dxa"/>
              </w:tcPr>
              <w:p w:rsidR="00704CAD" w:rsidRDefault="00720895">
                <w:pPr>
                  <w:rPr>
                    <w:szCs w:val="21"/>
                  </w:rPr>
                </w:pPr>
                <w:r>
                  <w:rPr>
                    <w:szCs w:val="21"/>
                  </w:rPr>
                  <w:t>截止报告期末股东总数(户)</w:t>
                </w:r>
              </w:p>
            </w:tc>
            <w:sdt>
              <w:sdtPr>
                <w:rPr>
                  <w:szCs w:val="21"/>
                </w:rPr>
                <w:alias w:val="报告期末股东总数"/>
                <w:tag w:val="_GBC_214f6a7c93ab4415a72cb2bfcc5c158e"/>
                <w:id w:val="24720728"/>
                <w:lock w:val="sdtLocked"/>
              </w:sdtPr>
              <w:sdtContent>
                <w:tc>
                  <w:tcPr>
                    <w:tcW w:w="4524" w:type="dxa"/>
                  </w:tcPr>
                  <w:p w:rsidR="00704CAD" w:rsidRDefault="00742AA7">
                    <w:pPr>
                      <w:jc w:val="right"/>
                      <w:rPr>
                        <w:szCs w:val="21"/>
                      </w:rPr>
                    </w:pPr>
                    <w:r>
                      <w:rPr>
                        <w:szCs w:val="21"/>
                      </w:rPr>
                      <w:t>155,191</w:t>
                    </w:r>
                  </w:p>
                </w:tc>
              </w:sdtContent>
            </w:sdt>
          </w:tr>
        </w:tbl>
      </w:sdtContent>
    </w:sdt>
    <w:p w:rsidR="008379D2" w:rsidRDefault="008379D2" w:rsidP="008379D2">
      <w:pPr>
        <w:rPr>
          <w:szCs w:val="21"/>
        </w:rPr>
      </w:pPr>
      <w:bookmarkStart w:id="60" w:name="_Toc342059485"/>
      <w:bookmarkStart w:id="61" w:name="_Toc342565998"/>
    </w:p>
    <w:p w:rsidR="00704CAD" w:rsidRDefault="00720895" w:rsidP="001C1A59">
      <w:pPr>
        <w:pStyle w:val="3"/>
        <w:numPr>
          <w:ilvl w:val="1"/>
          <w:numId w:val="13"/>
        </w:numPr>
      </w:pPr>
      <w:r>
        <w:rPr>
          <w:rFonts w:hint="eastAsia"/>
          <w:szCs w:val="21"/>
        </w:rPr>
        <w:t>截止报告期末前十名股东、前十名流通股东（或无限售条件股东）持股情况表</w:t>
      </w:r>
    </w:p>
    <w:sdt>
      <w:sdtPr>
        <w:rPr>
          <w:rFonts w:hint="eastAsia"/>
          <w:b/>
          <w:bCs/>
          <w:sz w:val="24"/>
          <w:szCs w:val="21"/>
        </w:rPr>
        <w:tag w:val="_GBC_e2e97c33442849af92fdd82d688dacf2"/>
        <w:id w:val="24720895"/>
        <w:lock w:val="sdtLocked"/>
        <w:placeholder>
          <w:docPart w:val="GBC22222222222222222222222222222"/>
        </w:placeholder>
      </w:sdtPr>
      <w:sdtEndPr>
        <w:rPr>
          <w:rFonts w:hint="default"/>
          <w:b w:val="0"/>
          <w:bCs w:val="0"/>
          <w:sz w:val="21"/>
          <w:szCs w:val="24"/>
        </w:rPr>
      </w:sdtEndPr>
      <w:sdtContent>
        <w:bookmarkEnd w:id="61" w:displacedByCustomXml="prev"/>
        <w:bookmarkEnd w:id="60" w:displacedByCustomXml="prev"/>
        <w:p w:rsidR="00704CAD" w:rsidRDefault="00720895">
          <w:pPr>
            <w:ind w:firstLineChars="1900" w:firstLine="4578"/>
            <w:jc w:val="right"/>
            <w:rPr>
              <w:szCs w:val="21"/>
            </w:rPr>
          </w:pPr>
          <w:r>
            <w:rPr>
              <w:bCs/>
              <w:szCs w:val="21"/>
            </w:rPr>
            <w:t>单位:</w:t>
          </w:r>
          <w:sdt>
            <w:sdtPr>
              <w:rPr>
                <w:bCs/>
                <w:szCs w:val="21"/>
              </w:rPr>
              <w:alias w:val="单位：前十名股东持股情况"/>
              <w:tag w:val="_GBC_183349ee7a2945edb745dcacd3e9f661"/>
              <w:id w:val="2472073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900"/>
            <w:gridCol w:w="1418"/>
            <w:gridCol w:w="760"/>
            <w:gridCol w:w="799"/>
            <w:gridCol w:w="709"/>
            <w:gridCol w:w="192"/>
            <w:gridCol w:w="1083"/>
            <w:gridCol w:w="477"/>
            <w:gridCol w:w="90"/>
            <w:gridCol w:w="567"/>
            <w:gridCol w:w="1054"/>
          </w:tblGrid>
          <w:tr w:rsidR="002B4709" w:rsidTr="00090F8B">
            <w:trPr>
              <w:cantSplit/>
            </w:trPr>
            <w:tc>
              <w:tcPr>
                <w:tcW w:w="9049" w:type="dxa"/>
                <w:gridSpan w:val="11"/>
                <w:shd w:val="clear" w:color="auto" w:fill="auto"/>
                <w:vAlign w:val="center"/>
              </w:tcPr>
              <w:p w:rsidR="002B4709" w:rsidRPr="00D472C4" w:rsidRDefault="002B4709" w:rsidP="00D472C4">
                <w:pPr>
                  <w:pStyle w:val="a8"/>
                  <w:jc w:val="center"/>
                  <w:rPr>
                    <w:rFonts w:ascii="宋体" w:hAnsi="宋体"/>
                    <w:b/>
                  </w:rPr>
                </w:pPr>
                <w:r w:rsidRPr="00D472C4">
                  <w:rPr>
                    <w:rFonts w:ascii="宋体" w:hAnsi="宋体"/>
                    <w:b/>
                  </w:rPr>
                  <w:lastRenderedPageBreak/>
                  <w:t>前十名股东持股情况</w:t>
                </w:r>
              </w:p>
            </w:tc>
          </w:tr>
          <w:tr w:rsidR="002B4709" w:rsidTr="00090F8B">
            <w:trPr>
              <w:cantSplit/>
            </w:trPr>
            <w:tc>
              <w:tcPr>
                <w:tcW w:w="1900" w:type="dxa"/>
                <w:vMerge w:val="restart"/>
                <w:shd w:val="clear" w:color="auto" w:fill="auto"/>
                <w:vAlign w:val="center"/>
              </w:tcPr>
              <w:p w:rsidR="002B4709" w:rsidRPr="00D472C4" w:rsidRDefault="002B4709" w:rsidP="00D472C4">
                <w:pPr>
                  <w:jc w:val="center"/>
                  <w:rPr>
                    <w:b/>
                    <w:szCs w:val="21"/>
                  </w:rPr>
                </w:pPr>
                <w:r w:rsidRPr="00D472C4">
                  <w:rPr>
                    <w:b/>
                    <w:szCs w:val="21"/>
                  </w:rPr>
                  <w:t>股东名称</w:t>
                </w:r>
              </w:p>
              <w:p w:rsidR="002B4709" w:rsidRPr="00D472C4" w:rsidRDefault="002B4709" w:rsidP="00D472C4">
                <w:pPr>
                  <w:jc w:val="center"/>
                  <w:rPr>
                    <w:b/>
                    <w:szCs w:val="21"/>
                  </w:rPr>
                </w:pPr>
                <w:r w:rsidRPr="00D472C4">
                  <w:rPr>
                    <w:rFonts w:hint="eastAsia"/>
                    <w:b/>
                    <w:szCs w:val="21"/>
                  </w:rPr>
                  <w:t>（全称）</w:t>
                </w:r>
              </w:p>
            </w:tc>
            <w:tc>
              <w:tcPr>
                <w:tcW w:w="1418" w:type="dxa"/>
                <w:vMerge w:val="restart"/>
                <w:shd w:val="clear" w:color="auto" w:fill="auto"/>
                <w:vAlign w:val="center"/>
              </w:tcPr>
              <w:p w:rsidR="002B4709" w:rsidRPr="00D472C4" w:rsidRDefault="002B4709" w:rsidP="00D472C4">
                <w:pPr>
                  <w:jc w:val="center"/>
                  <w:rPr>
                    <w:b/>
                    <w:szCs w:val="21"/>
                  </w:rPr>
                </w:pPr>
                <w:r w:rsidRPr="00D472C4">
                  <w:rPr>
                    <w:b/>
                    <w:szCs w:val="21"/>
                  </w:rPr>
                  <w:t>报告期内增减</w:t>
                </w:r>
              </w:p>
            </w:tc>
            <w:tc>
              <w:tcPr>
                <w:tcW w:w="1559" w:type="dxa"/>
                <w:gridSpan w:val="2"/>
                <w:vMerge w:val="restart"/>
                <w:shd w:val="clear" w:color="auto" w:fill="auto"/>
                <w:vAlign w:val="center"/>
              </w:tcPr>
              <w:p w:rsidR="002B4709" w:rsidRPr="00D472C4" w:rsidRDefault="002B4709" w:rsidP="00D472C4">
                <w:pPr>
                  <w:jc w:val="center"/>
                  <w:rPr>
                    <w:b/>
                    <w:szCs w:val="21"/>
                  </w:rPr>
                </w:pPr>
                <w:r w:rsidRPr="00D472C4">
                  <w:rPr>
                    <w:b/>
                    <w:szCs w:val="21"/>
                  </w:rPr>
                  <w:t>期末持股数量</w:t>
                </w:r>
              </w:p>
            </w:tc>
            <w:tc>
              <w:tcPr>
                <w:tcW w:w="709" w:type="dxa"/>
                <w:vMerge w:val="restart"/>
                <w:shd w:val="clear" w:color="auto" w:fill="auto"/>
                <w:vAlign w:val="center"/>
              </w:tcPr>
              <w:p w:rsidR="002B4709" w:rsidRPr="00D472C4" w:rsidRDefault="002B4709" w:rsidP="00D472C4">
                <w:pPr>
                  <w:jc w:val="center"/>
                  <w:rPr>
                    <w:b/>
                    <w:szCs w:val="21"/>
                  </w:rPr>
                </w:pPr>
                <w:r w:rsidRPr="00D472C4">
                  <w:rPr>
                    <w:b/>
                    <w:szCs w:val="21"/>
                  </w:rPr>
                  <w:t>比例(%)</w:t>
                </w:r>
              </w:p>
            </w:tc>
            <w:tc>
              <w:tcPr>
                <w:tcW w:w="1275" w:type="dxa"/>
                <w:gridSpan w:val="2"/>
                <w:vMerge w:val="restart"/>
                <w:shd w:val="clear" w:color="auto" w:fill="auto"/>
                <w:vAlign w:val="center"/>
              </w:tcPr>
              <w:p w:rsidR="002B4709" w:rsidRPr="00D472C4" w:rsidRDefault="002B4709" w:rsidP="00D472C4">
                <w:pPr>
                  <w:pStyle w:val="af0"/>
                  <w:rPr>
                    <w:rFonts w:ascii="宋体" w:hAnsi="宋体"/>
                    <w:b/>
                    <w:bCs/>
                    <w:color w:val="00B050"/>
                  </w:rPr>
                </w:pPr>
                <w:r w:rsidRPr="00D472C4">
                  <w:rPr>
                    <w:rFonts w:ascii="宋体" w:hAnsi="宋体"/>
                    <w:b/>
                    <w:bCs/>
                  </w:rPr>
                  <w:t>持有有限售条件股份数量</w:t>
                </w:r>
              </w:p>
            </w:tc>
            <w:tc>
              <w:tcPr>
                <w:tcW w:w="1134" w:type="dxa"/>
                <w:gridSpan w:val="3"/>
                <w:shd w:val="clear" w:color="auto" w:fill="auto"/>
                <w:vAlign w:val="center"/>
              </w:tcPr>
              <w:p w:rsidR="002B4709" w:rsidRPr="00D472C4" w:rsidRDefault="002B4709" w:rsidP="00D472C4">
                <w:pPr>
                  <w:jc w:val="center"/>
                  <w:rPr>
                    <w:b/>
                    <w:szCs w:val="21"/>
                  </w:rPr>
                </w:pPr>
                <w:r w:rsidRPr="00D472C4">
                  <w:rPr>
                    <w:b/>
                    <w:szCs w:val="21"/>
                  </w:rPr>
                  <w:t>质押或冻结情况</w:t>
                </w:r>
              </w:p>
            </w:tc>
            <w:tc>
              <w:tcPr>
                <w:tcW w:w="1054" w:type="dxa"/>
                <w:vMerge w:val="restart"/>
                <w:shd w:val="clear" w:color="auto" w:fill="auto"/>
                <w:vAlign w:val="center"/>
              </w:tcPr>
              <w:p w:rsidR="002B4709" w:rsidRPr="00D472C4" w:rsidRDefault="002B4709" w:rsidP="00D472C4">
                <w:pPr>
                  <w:jc w:val="center"/>
                  <w:rPr>
                    <w:b/>
                    <w:szCs w:val="21"/>
                  </w:rPr>
                </w:pPr>
                <w:r w:rsidRPr="00D472C4">
                  <w:rPr>
                    <w:b/>
                    <w:szCs w:val="21"/>
                  </w:rPr>
                  <w:t>股东</w:t>
                </w:r>
              </w:p>
              <w:p w:rsidR="002B4709" w:rsidRPr="00D472C4" w:rsidRDefault="002B4709" w:rsidP="00D472C4">
                <w:pPr>
                  <w:jc w:val="center"/>
                  <w:rPr>
                    <w:b/>
                    <w:szCs w:val="21"/>
                  </w:rPr>
                </w:pPr>
                <w:r w:rsidRPr="00D472C4">
                  <w:rPr>
                    <w:b/>
                    <w:szCs w:val="21"/>
                  </w:rPr>
                  <w:t>性质</w:t>
                </w:r>
              </w:p>
            </w:tc>
          </w:tr>
          <w:tr w:rsidR="00325630" w:rsidTr="00090F8B">
            <w:trPr>
              <w:cantSplit/>
            </w:trPr>
            <w:tc>
              <w:tcPr>
                <w:tcW w:w="1900" w:type="dxa"/>
                <w:vMerge/>
                <w:tcBorders>
                  <w:bottom w:val="single" w:sz="4" w:space="0" w:color="auto"/>
                </w:tcBorders>
                <w:shd w:val="clear" w:color="auto" w:fill="auto"/>
              </w:tcPr>
              <w:p w:rsidR="002B4709" w:rsidRDefault="002B4709" w:rsidP="00D472C4">
                <w:pPr>
                  <w:jc w:val="center"/>
                  <w:rPr>
                    <w:szCs w:val="21"/>
                  </w:rPr>
                </w:pPr>
              </w:p>
            </w:tc>
            <w:tc>
              <w:tcPr>
                <w:tcW w:w="1418" w:type="dxa"/>
                <w:vMerge/>
                <w:tcBorders>
                  <w:bottom w:val="single" w:sz="4" w:space="0" w:color="auto"/>
                </w:tcBorders>
                <w:shd w:val="clear" w:color="auto" w:fill="auto"/>
              </w:tcPr>
              <w:p w:rsidR="002B4709" w:rsidRDefault="002B4709" w:rsidP="00D472C4">
                <w:pPr>
                  <w:jc w:val="center"/>
                  <w:rPr>
                    <w:szCs w:val="21"/>
                  </w:rPr>
                </w:pPr>
              </w:p>
            </w:tc>
            <w:tc>
              <w:tcPr>
                <w:tcW w:w="1559" w:type="dxa"/>
                <w:gridSpan w:val="2"/>
                <w:vMerge/>
                <w:tcBorders>
                  <w:bottom w:val="single" w:sz="4" w:space="0" w:color="auto"/>
                </w:tcBorders>
                <w:shd w:val="clear" w:color="auto" w:fill="auto"/>
              </w:tcPr>
              <w:p w:rsidR="002B4709" w:rsidRDefault="002B4709" w:rsidP="00D472C4">
                <w:pPr>
                  <w:jc w:val="center"/>
                  <w:rPr>
                    <w:szCs w:val="21"/>
                  </w:rPr>
                </w:pPr>
              </w:p>
            </w:tc>
            <w:tc>
              <w:tcPr>
                <w:tcW w:w="709" w:type="dxa"/>
                <w:vMerge/>
                <w:tcBorders>
                  <w:bottom w:val="single" w:sz="4" w:space="0" w:color="auto"/>
                </w:tcBorders>
                <w:shd w:val="clear" w:color="auto" w:fill="auto"/>
              </w:tcPr>
              <w:p w:rsidR="002B4709" w:rsidRDefault="002B4709" w:rsidP="00D472C4">
                <w:pPr>
                  <w:jc w:val="center"/>
                  <w:rPr>
                    <w:szCs w:val="21"/>
                  </w:rPr>
                </w:pPr>
              </w:p>
            </w:tc>
            <w:tc>
              <w:tcPr>
                <w:tcW w:w="1275" w:type="dxa"/>
                <w:gridSpan w:val="2"/>
                <w:vMerge/>
                <w:tcBorders>
                  <w:bottom w:val="single" w:sz="4" w:space="0" w:color="auto"/>
                </w:tcBorders>
                <w:shd w:val="clear" w:color="auto" w:fill="auto"/>
              </w:tcPr>
              <w:p w:rsidR="002B4709" w:rsidRDefault="002B4709" w:rsidP="00D472C4">
                <w:pPr>
                  <w:jc w:val="center"/>
                  <w:rPr>
                    <w:szCs w:val="21"/>
                  </w:rPr>
                </w:pPr>
              </w:p>
            </w:tc>
            <w:tc>
              <w:tcPr>
                <w:tcW w:w="567" w:type="dxa"/>
                <w:gridSpan w:val="2"/>
                <w:tcBorders>
                  <w:bottom w:val="single" w:sz="4" w:space="0" w:color="auto"/>
                </w:tcBorders>
                <w:shd w:val="clear" w:color="auto" w:fill="auto"/>
                <w:vAlign w:val="center"/>
              </w:tcPr>
              <w:p w:rsidR="002B4709" w:rsidRPr="00D472C4" w:rsidRDefault="002B4709" w:rsidP="00D472C4">
                <w:pPr>
                  <w:jc w:val="center"/>
                  <w:rPr>
                    <w:b/>
                    <w:szCs w:val="21"/>
                  </w:rPr>
                </w:pPr>
                <w:r w:rsidRPr="00D472C4">
                  <w:rPr>
                    <w:b/>
                    <w:szCs w:val="21"/>
                  </w:rPr>
                  <w:t>股份</w:t>
                </w:r>
              </w:p>
              <w:p w:rsidR="002B4709" w:rsidRPr="00D472C4" w:rsidRDefault="002B4709" w:rsidP="00D472C4">
                <w:pPr>
                  <w:jc w:val="center"/>
                  <w:rPr>
                    <w:b/>
                    <w:szCs w:val="21"/>
                  </w:rPr>
                </w:pPr>
                <w:r w:rsidRPr="00D472C4">
                  <w:rPr>
                    <w:b/>
                    <w:szCs w:val="21"/>
                  </w:rPr>
                  <w:t>状态</w:t>
                </w:r>
              </w:p>
            </w:tc>
            <w:tc>
              <w:tcPr>
                <w:tcW w:w="567" w:type="dxa"/>
                <w:tcBorders>
                  <w:bottom w:val="single" w:sz="4" w:space="0" w:color="auto"/>
                </w:tcBorders>
                <w:shd w:val="clear" w:color="auto" w:fill="auto"/>
                <w:vAlign w:val="center"/>
              </w:tcPr>
              <w:p w:rsidR="002B4709" w:rsidRPr="00D472C4" w:rsidRDefault="002B4709" w:rsidP="00D472C4">
                <w:pPr>
                  <w:jc w:val="center"/>
                  <w:rPr>
                    <w:b/>
                    <w:szCs w:val="21"/>
                  </w:rPr>
                </w:pPr>
                <w:r w:rsidRPr="00D472C4">
                  <w:rPr>
                    <w:b/>
                    <w:szCs w:val="21"/>
                  </w:rPr>
                  <w:t>数量</w:t>
                </w:r>
              </w:p>
            </w:tc>
            <w:tc>
              <w:tcPr>
                <w:tcW w:w="1054" w:type="dxa"/>
                <w:vMerge/>
                <w:shd w:val="clear" w:color="auto" w:fill="auto"/>
              </w:tcPr>
              <w:p w:rsidR="002B4709" w:rsidRDefault="002B4709" w:rsidP="00D472C4">
                <w:pPr>
                  <w:jc w:val="center"/>
                  <w:rPr>
                    <w:szCs w:val="21"/>
                  </w:rPr>
                </w:pPr>
              </w:p>
            </w:tc>
          </w:tr>
          <w:sdt>
            <w:sdtPr>
              <w:rPr>
                <w:szCs w:val="21"/>
              </w:rPr>
              <w:alias w:val="前十名股东持股情况"/>
              <w:tag w:val="_GBC_e5e573a0c2d0459186a12614e08a86eb"/>
              <w:id w:val="24720739"/>
              <w:lock w:val="sdtLocked"/>
            </w:sdtPr>
            <w:sdtEndPr>
              <w:rPr>
                <w:color w:val="FF9900"/>
              </w:rPr>
            </w:sdtEndPr>
            <w:sdtContent>
              <w:tr w:rsidR="00090F8B" w:rsidTr="00090F8B">
                <w:trPr>
                  <w:cantSplit/>
                </w:trPr>
                <w:sdt>
                  <w:sdtPr>
                    <w:rPr>
                      <w:szCs w:val="21"/>
                    </w:rPr>
                    <w:alias w:val="前十名股东名称"/>
                    <w:tag w:val="_GBC_ed469c57da9f47c9b10af64a20155b01"/>
                    <w:id w:val="24720731"/>
                    <w:lock w:val="sdtLocked"/>
                  </w:sdtPr>
                  <w:sdtContent>
                    <w:tc>
                      <w:tcPr>
                        <w:tcW w:w="1900" w:type="dxa"/>
                        <w:shd w:val="clear" w:color="auto" w:fill="auto"/>
                        <w:vAlign w:val="center"/>
                      </w:tcPr>
                      <w:p w:rsidR="002B4709" w:rsidRDefault="002B4709" w:rsidP="00D472C4">
                        <w:pPr>
                          <w:rPr>
                            <w:szCs w:val="21"/>
                          </w:rPr>
                        </w:pPr>
                        <w:r>
                          <w:rPr>
                            <w:szCs w:val="21"/>
                          </w:rPr>
                          <w:t>深圳市招融投资控股有限公司</w:t>
                        </w:r>
                      </w:p>
                    </w:tc>
                  </w:sdtContent>
                </w:sdt>
                <w:sdt>
                  <w:sdtPr>
                    <w:rPr>
                      <w:szCs w:val="21"/>
                    </w:rPr>
                    <w:alias w:val="前十名股东报告期内增减"/>
                    <w:tag w:val="_GBC_7d05086464254c08ad4ac2546d74c954"/>
                    <w:id w:val="24720732"/>
                    <w:lock w:val="sdtLocked"/>
                  </w:sdtPr>
                  <w:sdtContent>
                    <w:tc>
                      <w:tcPr>
                        <w:tcW w:w="1418" w:type="dxa"/>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股东持有股份数量"/>
                    <w:tag w:val="_GBC_f2fadaf2d2234a95a6cbdba5df9be960"/>
                    <w:id w:val="24720733"/>
                    <w:lock w:val="sdtLocked"/>
                  </w:sdtPr>
                  <w:sdtContent>
                    <w:tc>
                      <w:tcPr>
                        <w:tcW w:w="1559" w:type="dxa"/>
                        <w:gridSpan w:val="2"/>
                        <w:shd w:val="clear" w:color="auto" w:fill="auto"/>
                        <w:vAlign w:val="center"/>
                      </w:tcPr>
                      <w:p w:rsidR="002B4709" w:rsidRDefault="002B4709" w:rsidP="00D472C4">
                        <w:pPr>
                          <w:jc w:val="right"/>
                          <w:rPr>
                            <w:szCs w:val="21"/>
                          </w:rPr>
                        </w:pPr>
                        <w:r>
                          <w:rPr>
                            <w:szCs w:val="21"/>
                          </w:rPr>
                          <w:t>1,435,110,665</w:t>
                        </w:r>
                      </w:p>
                    </w:tc>
                  </w:sdtContent>
                </w:sdt>
                <w:sdt>
                  <w:sdtPr>
                    <w:rPr>
                      <w:szCs w:val="21"/>
                    </w:rPr>
                    <w:alias w:val="前十名股东持股比例"/>
                    <w:tag w:val="_GBC_42e5ae1f4e604b3986e510f8fcc3aedc"/>
                    <w:id w:val="24720734"/>
                    <w:lock w:val="sdtLocked"/>
                  </w:sdtPr>
                  <w:sdtContent>
                    <w:tc>
                      <w:tcPr>
                        <w:tcW w:w="709" w:type="dxa"/>
                        <w:shd w:val="clear" w:color="auto" w:fill="auto"/>
                        <w:vAlign w:val="center"/>
                      </w:tcPr>
                      <w:p w:rsidR="002B4709" w:rsidRDefault="002B4709" w:rsidP="00D472C4">
                        <w:pPr>
                          <w:jc w:val="right"/>
                          <w:rPr>
                            <w:szCs w:val="21"/>
                          </w:rPr>
                        </w:pPr>
                        <w:r>
                          <w:rPr>
                            <w:szCs w:val="21"/>
                          </w:rPr>
                          <w:t>24.71</w:t>
                        </w:r>
                      </w:p>
                    </w:tc>
                  </w:sdtContent>
                </w:sdt>
                <w:sdt>
                  <w:sdtPr>
                    <w:rPr>
                      <w:szCs w:val="21"/>
                    </w:rPr>
                    <w:alias w:val="前十名股东持有有限售条件股份数量"/>
                    <w:tag w:val="_GBC_48a7b9d2efc5444a8d09294e686358ae"/>
                    <w:id w:val="24720735"/>
                    <w:lock w:val="sdtLocked"/>
                  </w:sdtPr>
                  <w:sdtContent>
                    <w:tc>
                      <w:tcPr>
                        <w:tcW w:w="1275" w:type="dxa"/>
                        <w:gridSpan w:val="2"/>
                        <w:shd w:val="clear" w:color="auto" w:fill="auto"/>
                        <w:vAlign w:val="center"/>
                      </w:tcPr>
                      <w:p w:rsidR="002B4709" w:rsidRDefault="002B4709" w:rsidP="00D472C4">
                        <w:pPr>
                          <w:jc w:val="right"/>
                          <w:rPr>
                            <w:szCs w:val="21"/>
                          </w:rPr>
                        </w:pPr>
                        <w:r>
                          <w:rPr>
                            <w:szCs w:val="21"/>
                          </w:rPr>
                          <w:t>815,308,642</w:t>
                        </w:r>
                      </w:p>
                    </w:tc>
                  </w:sdtContent>
                </w:sdt>
                <w:sdt>
                  <w:sdtPr>
                    <w:rPr>
                      <w:szCs w:val="21"/>
                    </w:rPr>
                    <w:alias w:val="前十名股东持有股份状态"/>
                    <w:tag w:val="_GBC_01a92129ba1b43ca854a1b584b962436"/>
                    <w:id w:val="247207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737"/>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7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国有法人</w:t>
                        </w:r>
                      </w:p>
                    </w:tc>
                  </w:sdtContent>
                </w:sdt>
              </w:tr>
            </w:sdtContent>
          </w:sdt>
          <w:sdt>
            <w:sdtPr>
              <w:rPr>
                <w:szCs w:val="21"/>
              </w:rPr>
              <w:alias w:val="前十名股东持股情况"/>
              <w:tag w:val="_GBC_e5e573a0c2d0459186a12614e08a86eb"/>
              <w:id w:val="24720748"/>
              <w:lock w:val="sdtLocked"/>
            </w:sdtPr>
            <w:sdtEndPr>
              <w:rPr>
                <w:color w:val="FF9900"/>
              </w:rPr>
            </w:sdtEndPr>
            <w:sdtContent>
              <w:tr w:rsidR="00090F8B" w:rsidTr="00090F8B">
                <w:trPr>
                  <w:cantSplit/>
                </w:trPr>
                <w:sdt>
                  <w:sdtPr>
                    <w:rPr>
                      <w:szCs w:val="21"/>
                    </w:rPr>
                    <w:alias w:val="前十名股东名称"/>
                    <w:tag w:val="_GBC_ed469c57da9f47c9b10af64a20155b01"/>
                    <w:id w:val="24720740"/>
                    <w:lock w:val="sdtLocked"/>
                  </w:sdtPr>
                  <w:sdtContent>
                    <w:tc>
                      <w:tcPr>
                        <w:tcW w:w="1900" w:type="dxa"/>
                        <w:shd w:val="clear" w:color="auto" w:fill="auto"/>
                        <w:vAlign w:val="center"/>
                      </w:tcPr>
                      <w:p w:rsidR="002B4709" w:rsidRDefault="002B4709" w:rsidP="00D472C4">
                        <w:pPr>
                          <w:rPr>
                            <w:szCs w:val="21"/>
                          </w:rPr>
                        </w:pPr>
                        <w:r>
                          <w:rPr>
                            <w:szCs w:val="21"/>
                          </w:rPr>
                          <w:t>深圳市集盛投资发展有限公司</w:t>
                        </w:r>
                      </w:p>
                    </w:tc>
                  </w:sdtContent>
                </w:sdt>
                <w:sdt>
                  <w:sdtPr>
                    <w:rPr>
                      <w:szCs w:val="21"/>
                    </w:rPr>
                    <w:alias w:val="前十名股东报告期内增减"/>
                    <w:tag w:val="_GBC_7d05086464254c08ad4ac2546d74c954"/>
                    <w:id w:val="24720741"/>
                    <w:lock w:val="sdtLocked"/>
                  </w:sdtPr>
                  <w:sdtContent>
                    <w:tc>
                      <w:tcPr>
                        <w:tcW w:w="1418" w:type="dxa"/>
                        <w:shd w:val="clear" w:color="auto" w:fill="auto"/>
                        <w:vAlign w:val="center"/>
                      </w:tcPr>
                      <w:p w:rsidR="002B4709" w:rsidRDefault="002B4709" w:rsidP="00155B68">
                        <w:pPr>
                          <w:jc w:val="right"/>
                          <w:rPr>
                            <w:szCs w:val="21"/>
                          </w:rPr>
                        </w:pPr>
                        <w:r>
                          <w:rPr>
                            <w:szCs w:val="21"/>
                          </w:rPr>
                          <w:t>  </w:t>
                        </w:r>
                        <w:r w:rsidR="00090F8B">
                          <w:rPr>
                            <w:rFonts w:hint="eastAsia"/>
                            <w:szCs w:val="21"/>
                          </w:rPr>
                          <w:t>—</w:t>
                        </w:r>
                      </w:p>
                    </w:tc>
                  </w:sdtContent>
                </w:sdt>
                <w:sdt>
                  <w:sdtPr>
                    <w:rPr>
                      <w:szCs w:val="21"/>
                    </w:rPr>
                    <w:alias w:val="股东持有股份数量"/>
                    <w:tag w:val="_GBC_f2fadaf2d2234a95a6cbdba5df9be960"/>
                    <w:id w:val="24720742"/>
                    <w:lock w:val="sdtLocked"/>
                  </w:sdtPr>
                  <w:sdtContent>
                    <w:tc>
                      <w:tcPr>
                        <w:tcW w:w="1559" w:type="dxa"/>
                        <w:gridSpan w:val="2"/>
                        <w:shd w:val="clear" w:color="auto" w:fill="auto"/>
                        <w:vAlign w:val="center"/>
                      </w:tcPr>
                      <w:p w:rsidR="002B4709" w:rsidRDefault="002B4709" w:rsidP="00D472C4">
                        <w:pPr>
                          <w:jc w:val="right"/>
                          <w:rPr>
                            <w:szCs w:val="21"/>
                          </w:rPr>
                        </w:pPr>
                        <w:r>
                          <w:rPr>
                            <w:szCs w:val="21"/>
                          </w:rPr>
                          <w:t>1,341,378,000</w:t>
                        </w:r>
                      </w:p>
                    </w:tc>
                  </w:sdtContent>
                </w:sdt>
                <w:sdt>
                  <w:sdtPr>
                    <w:rPr>
                      <w:szCs w:val="21"/>
                    </w:rPr>
                    <w:alias w:val="前十名股东持股比例"/>
                    <w:tag w:val="_GBC_42e5ae1f4e604b3986e510f8fcc3aedc"/>
                    <w:id w:val="24720743"/>
                    <w:lock w:val="sdtLocked"/>
                  </w:sdtPr>
                  <w:sdtContent>
                    <w:tc>
                      <w:tcPr>
                        <w:tcW w:w="709" w:type="dxa"/>
                        <w:shd w:val="clear" w:color="auto" w:fill="auto"/>
                        <w:vAlign w:val="center"/>
                      </w:tcPr>
                      <w:p w:rsidR="002B4709" w:rsidRDefault="002B4709" w:rsidP="00D472C4">
                        <w:pPr>
                          <w:jc w:val="right"/>
                          <w:rPr>
                            <w:szCs w:val="21"/>
                          </w:rPr>
                        </w:pPr>
                        <w:r>
                          <w:rPr>
                            <w:szCs w:val="21"/>
                          </w:rPr>
                          <w:t>23.09</w:t>
                        </w:r>
                      </w:p>
                    </w:tc>
                  </w:sdtContent>
                </w:sdt>
                <w:sdt>
                  <w:sdtPr>
                    <w:rPr>
                      <w:szCs w:val="21"/>
                    </w:rPr>
                    <w:alias w:val="前十名股东持有有限售条件股份数量"/>
                    <w:tag w:val="_GBC_48a7b9d2efc5444a8d09294e686358ae"/>
                    <w:id w:val="24720744"/>
                    <w:lock w:val="sdtLocked"/>
                  </w:sdtPr>
                  <w:sdtContent>
                    <w:tc>
                      <w:tcPr>
                        <w:tcW w:w="1275" w:type="dxa"/>
                        <w:gridSpan w:val="2"/>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前十名股东持有股份状态"/>
                    <w:tag w:val="_GBC_01a92129ba1b43ca854a1b584b962436"/>
                    <w:id w:val="247207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746"/>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7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国有法人</w:t>
                        </w:r>
                      </w:p>
                    </w:tc>
                  </w:sdtContent>
                </w:sdt>
              </w:tr>
            </w:sdtContent>
          </w:sdt>
          <w:sdt>
            <w:sdtPr>
              <w:rPr>
                <w:szCs w:val="21"/>
              </w:rPr>
              <w:alias w:val="前十名股东持股情况"/>
              <w:tag w:val="_GBC_e5e573a0c2d0459186a12614e08a86eb"/>
              <w:id w:val="24720757"/>
              <w:lock w:val="sdtLocked"/>
            </w:sdtPr>
            <w:sdtEndPr>
              <w:rPr>
                <w:color w:val="FF9900"/>
              </w:rPr>
            </w:sdtEndPr>
            <w:sdtContent>
              <w:tr w:rsidR="00090F8B" w:rsidTr="00090F8B">
                <w:trPr>
                  <w:cantSplit/>
                </w:trPr>
                <w:sdt>
                  <w:sdtPr>
                    <w:rPr>
                      <w:szCs w:val="21"/>
                    </w:rPr>
                    <w:alias w:val="前十名股东名称"/>
                    <w:tag w:val="_GBC_ed469c57da9f47c9b10af64a20155b01"/>
                    <w:id w:val="24720749"/>
                    <w:lock w:val="sdtLocked"/>
                  </w:sdtPr>
                  <w:sdtContent>
                    <w:tc>
                      <w:tcPr>
                        <w:tcW w:w="1900" w:type="dxa"/>
                        <w:shd w:val="clear" w:color="auto" w:fill="auto"/>
                        <w:vAlign w:val="center"/>
                      </w:tcPr>
                      <w:p w:rsidR="002B4709" w:rsidRDefault="002B4709" w:rsidP="00D472C4">
                        <w:pPr>
                          <w:rPr>
                            <w:szCs w:val="21"/>
                          </w:rPr>
                        </w:pPr>
                        <w:r>
                          <w:rPr>
                            <w:szCs w:val="21"/>
                          </w:rPr>
                          <w:t>中国远洋运输(集团)总公司</w:t>
                        </w:r>
                      </w:p>
                    </w:tc>
                  </w:sdtContent>
                </w:sdt>
                <w:sdt>
                  <w:sdtPr>
                    <w:rPr>
                      <w:szCs w:val="21"/>
                    </w:rPr>
                    <w:alias w:val="前十名股东报告期内增减"/>
                    <w:tag w:val="_GBC_7d05086464254c08ad4ac2546d74c954"/>
                    <w:id w:val="24720750"/>
                    <w:lock w:val="sdtLocked"/>
                  </w:sdtPr>
                  <w:sdtContent>
                    <w:tc>
                      <w:tcPr>
                        <w:tcW w:w="1418" w:type="dxa"/>
                        <w:shd w:val="clear" w:color="auto" w:fill="auto"/>
                        <w:vAlign w:val="center"/>
                      </w:tcPr>
                      <w:p w:rsidR="002B4709" w:rsidRDefault="002B4709" w:rsidP="00D472C4">
                        <w:pPr>
                          <w:jc w:val="right"/>
                          <w:rPr>
                            <w:szCs w:val="21"/>
                          </w:rPr>
                        </w:pPr>
                        <w:r>
                          <w:rPr>
                            <w:szCs w:val="21"/>
                          </w:rPr>
                          <w:t>-232,311,852</w:t>
                        </w:r>
                      </w:p>
                    </w:tc>
                  </w:sdtContent>
                </w:sdt>
                <w:sdt>
                  <w:sdtPr>
                    <w:rPr>
                      <w:szCs w:val="21"/>
                    </w:rPr>
                    <w:alias w:val="股东持有股份数量"/>
                    <w:tag w:val="_GBC_f2fadaf2d2234a95a6cbdba5df9be960"/>
                    <w:id w:val="24720751"/>
                    <w:lock w:val="sdtLocked"/>
                  </w:sdtPr>
                  <w:sdtContent>
                    <w:tc>
                      <w:tcPr>
                        <w:tcW w:w="1559" w:type="dxa"/>
                        <w:gridSpan w:val="2"/>
                        <w:shd w:val="clear" w:color="auto" w:fill="auto"/>
                        <w:vAlign w:val="center"/>
                      </w:tcPr>
                      <w:p w:rsidR="002B4709" w:rsidRDefault="002B4709" w:rsidP="00D472C4">
                        <w:pPr>
                          <w:jc w:val="right"/>
                          <w:rPr>
                            <w:szCs w:val="21"/>
                          </w:rPr>
                        </w:pPr>
                        <w:r>
                          <w:rPr>
                            <w:szCs w:val="21"/>
                          </w:rPr>
                          <w:t>398,093,374</w:t>
                        </w:r>
                      </w:p>
                    </w:tc>
                  </w:sdtContent>
                </w:sdt>
                <w:sdt>
                  <w:sdtPr>
                    <w:rPr>
                      <w:szCs w:val="21"/>
                    </w:rPr>
                    <w:alias w:val="前十名股东持股比例"/>
                    <w:tag w:val="_GBC_42e5ae1f4e604b3986e510f8fcc3aedc"/>
                    <w:id w:val="24720752"/>
                    <w:lock w:val="sdtLocked"/>
                  </w:sdtPr>
                  <w:sdtContent>
                    <w:tc>
                      <w:tcPr>
                        <w:tcW w:w="709" w:type="dxa"/>
                        <w:shd w:val="clear" w:color="auto" w:fill="auto"/>
                        <w:vAlign w:val="center"/>
                      </w:tcPr>
                      <w:p w:rsidR="002B4709" w:rsidRDefault="002B4709" w:rsidP="00D472C4">
                        <w:pPr>
                          <w:jc w:val="right"/>
                          <w:rPr>
                            <w:szCs w:val="21"/>
                          </w:rPr>
                        </w:pPr>
                        <w:r>
                          <w:rPr>
                            <w:szCs w:val="21"/>
                          </w:rPr>
                          <w:t>6.85</w:t>
                        </w:r>
                      </w:p>
                    </w:tc>
                  </w:sdtContent>
                </w:sdt>
                <w:sdt>
                  <w:sdtPr>
                    <w:rPr>
                      <w:szCs w:val="21"/>
                    </w:rPr>
                    <w:alias w:val="前十名股东持有有限售条件股份数量"/>
                    <w:tag w:val="_GBC_48a7b9d2efc5444a8d09294e686358ae"/>
                    <w:id w:val="24720753"/>
                    <w:lock w:val="sdtLocked"/>
                  </w:sdtPr>
                  <w:sdtContent>
                    <w:tc>
                      <w:tcPr>
                        <w:tcW w:w="1275" w:type="dxa"/>
                        <w:gridSpan w:val="2"/>
                        <w:shd w:val="clear" w:color="auto" w:fill="auto"/>
                        <w:vAlign w:val="center"/>
                      </w:tcPr>
                      <w:p w:rsidR="002B4709" w:rsidRDefault="002B4709" w:rsidP="00D472C4">
                        <w:pPr>
                          <w:jc w:val="right"/>
                          <w:rPr>
                            <w:szCs w:val="21"/>
                          </w:rPr>
                        </w:pPr>
                        <w:r>
                          <w:rPr>
                            <w:szCs w:val="21"/>
                          </w:rPr>
                          <w:t>124,453,374</w:t>
                        </w:r>
                      </w:p>
                    </w:tc>
                  </w:sdtContent>
                </w:sdt>
                <w:sdt>
                  <w:sdtPr>
                    <w:rPr>
                      <w:szCs w:val="21"/>
                    </w:rPr>
                    <w:alias w:val="前十名股东持有股份状态"/>
                    <w:tag w:val="_GBC_01a92129ba1b43ca854a1b584b962436"/>
                    <w:id w:val="247207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755"/>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7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国有法人</w:t>
                        </w:r>
                      </w:p>
                    </w:tc>
                  </w:sdtContent>
                </w:sdt>
              </w:tr>
            </w:sdtContent>
          </w:sdt>
          <w:sdt>
            <w:sdtPr>
              <w:rPr>
                <w:szCs w:val="21"/>
              </w:rPr>
              <w:alias w:val="前十名股东持股情况"/>
              <w:tag w:val="_GBC_e5e573a0c2d0459186a12614e08a86eb"/>
              <w:id w:val="24720766"/>
              <w:lock w:val="sdtLocked"/>
            </w:sdtPr>
            <w:sdtEndPr>
              <w:rPr>
                <w:color w:val="FF9900"/>
              </w:rPr>
            </w:sdtEndPr>
            <w:sdtContent>
              <w:tr w:rsidR="00090F8B" w:rsidTr="00090F8B">
                <w:trPr>
                  <w:cantSplit/>
                </w:trPr>
                <w:sdt>
                  <w:sdtPr>
                    <w:rPr>
                      <w:szCs w:val="21"/>
                    </w:rPr>
                    <w:alias w:val="前十名股东名称"/>
                    <w:tag w:val="_GBC_ed469c57da9f47c9b10af64a20155b01"/>
                    <w:id w:val="24720758"/>
                    <w:lock w:val="sdtLocked"/>
                  </w:sdtPr>
                  <w:sdtContent>
                    <w:tc>
                      <w:tcPr>
                        <w:tcW w:w="1900" w:type="dxa"/>
                        <w:shd w:val="clear" w:color="auto" w:fill="auto"/>
                        <w:vAlign w:val="center"/>
                      </w:tcPr>
                      <w:p w:rsidR="002B4709" w:rsidRDefault="002B4709" w:rsidP="00D472C4">
                        <w:pPr>
                          <w:rPr>
                            <w:szCs w:val="21"/>
                          </w:rPr>
                        </w:pPr>
                        <w:r>
                          <w:rPr>
                            <w:szCs w:val="21"/>
                          </w:rPr>
                          <w:t>河北港口集团有限公司</w:t>
                        </w:r>
                      </w:p>
                    </w:tc>
                  </w:sdtContent>
                </w:sdt>
                <w:sdt>
                  <w:sdtPr>
                    <w:rPr>
                      <w:szCs w:val="21"/>
                    </w:rPr>
                    <w:alias w:val="前十名股东报告期内增减"/>
                    <w:tag w:val="_GBC_7d05086464254c08ad4ac2546d74c954"/>
                    <w:id w:val="24720759"/>
                    <w:lock w:val="sdtLocked"/>
                  </w:sdtPr>
                  <w:sdtContent>
                    <w:tc>
                      <w:tcPr>
                        <w:tcW w:w="1418" w:type="dxa"/>
                        <w:shd w:val="clear" w:color="auto" w:fill="auto"/>
                        <w:vAlign w:val="center"/>
                      </w:tcPr>
                      <w:p w:rsidR="002B4709" w:rsidRDefault="002B4709" w:rsidP="00D472C4">
                        <w:pPr>
                          <w:jc w:val="right"/>
                          <w:rPr>
                            <w:szCs w:val="21"/>
                          </w:rPr>
                        </w:pPr>
                        <w:r>
                          <w:rPr>
                            <w:szCs w:val="21"/>
                          </w:rPr>
                          <w:t>-25,000,010</w:t>
                        </w:r>
                      </w:p>
                    </w:tc>
                  </w:sdtContent>
                </w:sdt>
                <w:sdt>
                  <w:sdtPr>
                    <w:rPr>
                      <w:szCs w:val="21"/>
                    </w:rPr>
                    <w:alias w:val="股东持有股份数量"/>
                    <w:tag w:val="_GBC_f2fadaf2d2234a95a6cbdba5df9be960"/>
                    <w:id w:val="24720760"/>
                    <w:lock w:val="sdtLocked"/>
                  </w:sdtPr>
                  <w:sdtContent>
                    <w:tc>
                      <w:tcPr>
                        <w:tcW w:w="1559" w:type="dxa"/>
                        <w:gridSpan w:val="2"/>
                        <w:shd w:val="clear" w:color="auto" w:fill="auto"/>
                        <w:vAlign w:val="center"/>
                      </w:tcPr>
                      <w:p w:rsidR="002B4709" w:rsidRDefault="002B4709" w:rsidP="00D472C4">
                        <w:pPr>
                          <w:jc w:val="right"/>
                          <w:rPr>
                            <w:szCs w:val="21"/>
                          </w:rPr>
                        </w:pPr>
                        <w:r>
                          <w:rPr>
                            <w:szCs w:val="21"/>
                          </w:rPr>
                          <w:t>265,400,958</w:t>
                        </w:r>
                      </w:p>
                    </w:tc>
                  </w:sdtContent>
                </w:sdt>
                <w:sdt>
                  <w:sdtPr>
                    <w:rPr>
                      <w:szCs w:val="21"/>
                    </w:rPr>
                    <w:alias w:val="前十名股东持股比例"/>
                    <w:tag w:val="_GBC_42e5ae1f4e604b3986e510f8fcc3aedc"/>
                    <w:id w:val="24720761"/>
                    <w:lock w:val="sdtLocked"/>
                  </w:sdtPr>
                  <w:sdtContent>
                    <w:tc>
                      <w:tcPr>
                        <w:tcW w:w="709" w:type="dxa"/>
                        <w:shd w:val="clear" w:color="auto" w:fill="auto"/>
                        <w:vAlign w:val="center"/>
                      </w:tcPr>
                      <w:p w:rsidR="002B4709" w:rsidRDefault="002B4709" w:rsidP="00D472C4">
                        <w:pPr>
                          <w:jc w:val="right"/>
                          <w:rPr>
                            <w:szCs w:val="21"/>
                          </w:rPr>
                        </w:pPr>
                        <w:r>
                          <w:rPr>
                            <w:szCs w:val="21"/>
                          </w:rPr>
                          <w:t>4.57</w:t>
                        </w:r>
                      </w:p>
                    </w:tc>
                  </w:sdtContent>
                </w:sdt>
                <w:sdt>
                  <w:sdtPr>
                    <w:rPr>
                      <w:szCs w:val="21"/>
                    </w:rPr>
                    <w:alias w:val="前十名股东持有有限售条件股份数量"/>
                    <w:tag w:val="_GBC_48a7b9d2efc5444a8d09294e686358ae"/>
                    <w:id w:val="24720762"/>
                    <w:lock w:val="sdtLocked"/>
                  </w:sdtPr>
                  <w:sdtContent>
                    <w:tc>
                      <w:tcPr>
                        <w:tcW w:w="1275" w:type="dxa"/>
                        <w:gridSpan w:val="2"/>
                        <w:shd w:val="clear" w:color="auto" w:fill="auto"/>
                        <w:vAlign w:val="center"/>
                      </w:tcPr>
                      <w:p w:rsidR="002B4709" w:rsidRDefault="002B4709" w:rsidP="00D472C4">
                        <w:pPr>
                          <w:jc w:val="right"/>
                          <w:rPr>
                            <w:szCs w:val="21"/>
                          </w:rPr>
                        </w:pPr>
                        <w:r>
                          <w:rPr>
                            <w:szCs w:val="21"/>
                          </w:rPr>
                          <w:t>65,273,684</w:t>
                        </w:r>
                      </w:p>
                    </w:tc>
                  </w:sdtContent>
                </w:sdt>
                <w:sdt>
                  <w:sdtPr>
                    <w:rPr>
                      <w:szCs w:val="21"/>
                    </w:rPr>
                    <w:alias w:val="前十名股东持有股份状态"/>
                    <w:tag w:val="_GBC_01a92129ba1b43ca854a1b584b962436"/>
                    <w:id w:val="247207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764"/>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7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国有法人</w:t>
                        </w:r>
                      </w:p>
                    </w:tc>
                  </w:sdtContent>
                </w:sdt>
              </w:tr>
            </w:sdtContent>
          </w:sdt>
          <w:sdt>
            <w:sdtPr>
              <w:rPr>
                <w:szCs w:val="21"/>
              </w:rPr>
              <w:alias w:val="前十名股东持股情况"/>
              <w:tag w:val="_GBC_e5e573a0c2d0459186a12614e08a86eb"/>
              <w:id w:val="24720775"/>
              <w:lock w:val="sdtLocked"/>
            </w:sdtPr>
            <w:sdtEndPr>
              <w:rPr>
                <w:color w:val="FF9900"/>
              </w:rPr>
            </w:sdtEndPr>
            <w:sdtContent>
              <w:tr w:rsidR="00090F8B" w:rsidTr="00090F8B">
                <w:trPr>
                  <w:cantSplit/>
                </w:trPr>
                <w:sdt>
                  <w:sdtPr>
                    <w:rPr>
                      <w:szCs w:val="21"/>
                    </w:rPr>
                    <w:alias w:val="前十名股东名称"/>
                    <w:tag w:val="_GBC_ed469c57da9f47c9b10af64a20155b01"/>
                    <w:id w:val="24720767"/>
                    <w:lock w:val="sdtLocked"/>
                  </w:sdtPr>
                  <w:sdtContent>
                    <w:tc>
                      <w:tcPr>
                        <w:tcW w:w="1900" w:type="dxa"/>
                        <w:shd w:val="clear" w:color="auto" w:fill="auto"/>
                        <w:vAlign w:val="center"/>
                      </w:tcPr>
                      <w:p w:rsidR="002B4709" w:rsidRDefault="002B4709" w:rsidP="00D472C4">
                        <w:pPr>
                          <w:rPr>
                            <w:szCs w:val="21"/>
                          </w:rPr>
                        </w:pPr>
                        <w:r>
                          <w:rPr>
                            <w:szCs w:val="21"/>
                          </w:rPr>
                          <w:t>中国交通建设股份有限公司</w:t>
                        </w:r>
                      </w:p>
                    </w:tc>
                  </w:sdtContent>
                </w:sdt>
                <w:sdt>
                  <w:sdtPr>
                    <w:rPr>
                      <w:szCs w:val="21"/>
                    </w:rPr>
                    <w:alias w:val="前十名股东报告期内增减"/>
                    <w:tag w:val="_GBC_7d05086464254c08ad4ac2546d74c954"/>
                    <w:id w:val="24720768"/>
                    <w:lock w:val="sdtLocked"/>
                  </w:sdtPr>
                  <w:sdtContent>
                    <w:tc>
                      <w:tcPr>
                        <w:tcW w:w="1418" w:type="dxa"/>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股东持有股份数量"/>
                    <w:tag w:val="_GBC_f2fadaf2d2234a95a6cbdba5df9be960"/>
                    <w:id w:val="24720769"/>
                    <w:lock w:val="sdtLocked"/>
                  </w:sdtPr>
                  <w:sdtContent>
                    <w:tc>
                      <w:tcPr>
                        <w:tcW w:w="1559" w:type="dxa"/>
                        <w:gridSpan w:val="2"/>
                        <w:shd w:val="clear" w:color="auto" w:fill="auto"/>
                        <w:vAlign w:val="center"/>
                      </w:tcPr>
                      <w:p w:rsidR="002B4709" w:rsidRDefault="002B4709" w:rsidP="00D472C4">
                        <w:pPr>
                          <w:jc w:val="right"/>
                          <w:rPr>
                            <w:szCs w:val="21"/>
                          </w:rPr>
                        </w:pPr>
                        <w:r>
                          <w:rPr>
                            <w:szCs w:val="21"/>
                          </w:rPr>
                          <w:t>214,297,546</w:t>
                        </w:r>
                      </w:p>
                    </w:tc>
                  </w:sdtContent>
                </w:sdt>
                <w:sdt>
                  <w:sdtPr>
                    <w:rPr>
                      <w:szCs w:val="21"/>
                    </w:rPr>
                    <w:alias w:val="前十名股东持股比例"/>
                    <w:tag w:val="_GBC_42e5ae1f4e604b3986e510f8fcc3aedc"/>
                    <w:id w:val="24720770"/>
                    <w:lock w:val="sdtLocked"/>
                  </w:sdtPr>
                  <w:sdtContent>
                    <w:tc>
                      <w:tcPr>
                        <w:tcW w:w="709" w:type="dxa"/>
                        <w:shd w:val="clear" w:color="auto" w:fill="auto"/>
                        <w:vAlign w:val="center"/>
                      </w:tcPr>
                      <w:p w:rsidR="002B4709" w:rsidRDefault="002B4709" w:rsidP="00D472C4">
                        <w:pPr>
                          <w:jc w:val="right"/>
                          <w:rPr>
                            <w:szCs w:val="21"/>
                          </w:rPr>
                        </w:pPr>
                        <w:r>
                          <w:rPr>
                            <w:szCs w:val="21"/>
                          </w:rPr>
                          <w:t>3.69</w:t>
                        </w:r>
                      </w:p>
                    </w:tc>
                  </w:sdtContent>
                </w:sdt>
                <w:sdt>
                  <w:sdtPr>
                    <w:rPr>
                      <w:szCs w:val="21"/>
                    </w:rPr>
                    <w:alias w:val="前十名股东持有有限售条件股份数量"/>
                    <w:tag w:val="_GBC_48a7b9d2efc5444a8d09294e686358ae"/>
                    <w:id w:val="24720771"/>
                    <w:lock w:val="sdtLocked"/>
                  </w:sdtPr>
                  <w:sdtContent>
                    <w:tc>
                      <w:tcPr>
                        <w:tcW w:w="1275" w:type="dxa"/>
                        <w:gridSpan w:val="2"/>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前十名股东持有股份状态"/>
                    <w:tag w:val="_GBC_01a92129ba1b43ca854a1b584b962436"/>
                    <w:id w:val="247207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773"/>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7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国有法人</w:t>
                        </w:r>
                      </w:p>
                    </w:tc>
                  </w:sdtContent>
                </w:sdt>
              </w:tr>
            </w:sdtContent>
          </w:sdt>
          <w:sdt>
            <w:sdtPr>
              <w:rPr>
                <w:szCs w:val="21"/>
              </w:rPr>
              <w:alias w:val="前十名股东持股情况"/>
              <w:tag w:val="_GBC_e5e573a0c2d0459186a12614e08a86eb"/>
              <w:id w:val="24720784"/>
              <w:lock w:val="sdtLocked"/>
            </w:sdtPr>
            <w:sdtEndPr>
              <w:rPr>
                <w:color w:val="FF9900"/>
              </w:rPr>
            </w:sdtEndPr>
            <w:sdtContent>
              <w:tr w:rsidR="00090F8B" w:rsidTr="00090F8B">
                <w:trPr>
                  <w:cantSplit/>
                </w:trPr>
                <w:sdt>
                  <w:sdtPr>
                    <w:rPr>
                      <w:szCs w:val="21"/>
                    </w:rPr>
                    <w:alias w:val="前十名股东名称"/>
                    <w:tag w:val="_GBC_ed469c57da9f47c9b10af64a20155b01"/>
                    <w:id w:val="24720776"/>
                    <w:lock w:val="sdtLocked"/>
                  </w:sdtPr>
                  <w:sdtContent>
                    <w:tc>
                      <w:tcPr>
                        <w:tcW w:w="1900" w:type="dxa"/>
                        <w:shd w:val="clear" w:color="auto" w:fill="auto"/>
                        <w:vAlign w:val="center"/>
                      </w:tcPr>
                      <w:p w:rsidR="002B4709" w:rsidRDefault="002B4709" w:rsidP="00D472C4">
                        <w:pPr>
                          <w:rPr>
                            <w:szCs w:val="21"/>
                          </w:rPr>
                        </w:pPr>
                        <w:r>
                          <w:rPr>
                            <w:szCs w:val="21"/>
                          </w:rPr>
                          <w:t>招商局轮船股份有限公司</w:t>
                        </w:r>
                      </w:p>
                    </w:tc>
                  </w:sdtContent>
                </w:sdt>
                <w:sdt>
                  <w:sdtPr>
                    <w:rPr>
                      <w:szCs w:val="21"/>
                    </w:rPr>
                    <w:alias w:val="前十名股东报告期内增减"/>
                    <w:tag w:val="_GBC_7d05086464254c08ad4ac2546d74c954"/>
                    <w:id w:val="24720777"/>
                    <w:lock w:val="sdtLocked"/>
                  </w:sdtPr>
                  <w:sdtContent>
                    <w:tc>
                      <w:tcPr>
                        <w:tcW w:w="1418" w:type="dxa"/>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股东持有股份数量"/>
                    <w:tag w:val="_GBC_f2fadaf2d2234a95a6cbdba5df9be960"/>
                    <w:id w:val="24720778"/>
                    <w:lock w:val="sdtLocked"/>
                  </w:sdtPr>
                  <w:sdtContent>
                    <w:tc>
                      <w:tcPr>
                        <w:tcW w:w="1559" w:type="dxa"/>
                        <w:gridSpan w:val="2"/>
                        <w:shd w:val="clear" w:color="auto" w:fill="auto"/>
                        <w:vAlign w:val="center"/>
                      </w:tcPr>
                      <w:p w:rsidR="002B4709" w:rsidRDefault="002B4709" w:rsidP="00D472C4">
                        <w:pPr>
                          <w:jc w:val="right"/>
                          <w:rPr>
                            <w:szCs w:val="21"/>
                          </w:rPr>
                        </w:pPr>
                        <w:r>
                          <w:rPr>
                            <w:szCs w:val="21"/>
                          </w:rPr>
                          <w:t>177,244,952</w:t>
                        </w:r>
                      </w:p>
                    </w:tc>
                  </w:sdtContent>
                </w:sdt>
                <w:sdt>
                  <w:sdtPr>
                    <w:rPr>
                      <w:szCs w:val="21"/>
                    </w:rPr>
                    <w:alias w:val="前十名股东持股比例"/>
                    <w:tag w:val="_GBC_42e5ae1f4e604b3986e510f8fcc3aedc"/>
                    <w:id w:val="24720779"/>
                    <w:lock w:val="sdtLocked"/>
                  </w:sdtPr>
                  <w:sdtContent>
                    <w:tc>
                      <w:tcPr>
                        <w:tcW w:w="709" w:type="dxa"/>
                        <w:shd w:val="clear" w:color="auto" w:fill="auto"/>
                        <w:vAlign w:val="center"/>
                      </w:tcPr>
                      <w:p w:rsidR="002B4709" w:rsidRDefault="002B4709" w:rsidP="00D472C4">
                        <w:pPr>
                          <w:jc w:val="right"/>
                          <w:rPr>
                            <w:szCs w:val="21"/>
                          </w:rPr>
                        </w:pPr>
                        <w:r>
                          <w:rPr>
                            <w:szCs w:val="21"/>
                          </w:rPr>
                          <w:t>3.05</w:t>
                        </w:r>
                      </w:p>
                    </w:tc>
                  </w:sdtContent>
                </w:sdt>
                <w:sdt>
                  <w:sdtPr>
                    <w:rPr>
                      <w:szCs w:val="21"/>
                    </w:rPr>
                    <w:alias w:val="前十名股东持有有限售条件股份数量"/>
                    <w:tag w:val="_GBC_48a7b9d2efc5444a8d09294e686358ae"/>
                    <w:id w:val="24720780"/>
                    <w:lock w:val="sdtLocked"/>
                  </w:sdtPr>
                  <w:sdtContent>
                    <w:tc>
                      <w:tcPr>
                        <w:tcW w:w="1275" w:type="dxa"/>
                        <w:gridSpan w:val="2"/>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前十名股东持有股份状态"/>
                    <w:tag w:val="_GBC_01a92129ba1b43ca854a1b584b962436"/>
                    <w:id w:val="2472078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782"/>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7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国有法人</w:t>
                        </w:r>
                      </w:p>
                    </w:tc>
                  </w:sdtContent>
                </w:sdt>
              </w:tr>
            </w:sdtContent>
          </w:sdt>
          <w:sdt>
            <w:sdtPr>
              <w:rPr>
                <w:szCs w:val="21"/>
              </w:rPr>
              <w:alias w:val="前十名股东持股情况"/>
              <w:tag w:val="_GBC_e5e573a0c2d0459186a12614e08a86eb"/>
              <w:id w:val="24720793"/>
              <w:lock w:val="sdtLocked"/>
            </w:sdtPr>
            <w:sdtEndPr>
              <w:rPr>
                <w:color w:val="FF9900"/>
              </w:rPr>
            </w:sdtEndPr>
            <w:sdtContent>
              <w:tr w:rsidR="00090F8B" w:rsidTr="00090F8B">
                <w:trPr>
                  <w:cantSplit/>
                </w:trPr>
                <w:sdt>
                  <w:sdtPr>
                    <w:rPr>
                      <w:szCs w:val="21"/>
                    </w:rPr>
                    <w:alias w:val="前十名股东名称"/>
                    <w:tag w:val="_GBC_ed469c57da9f47c9b10af64a20155b01"/>
                    <w:id w:val="24720785"/>
                    <w:lock w:val="sdtLocked"/>
                  </w:sdtPr>
                  <w:sdtContent>
                    <w:tc>
                      <w:tcPr>
                        <w:tcW w:w="1900" w:type="dxa"/>
                        <w:shd w:val="clear" w:color="auto" w:fill="auto"/>
                        <w:vAlign w:val="center"/>
                      </w:tcPr>
                      <w:p w:rsidR="002B4709" w:rsidRDefault="002B4709" w:rsidP="00D472C4">
                        <w:pPr>
                          <w:rPr>
                            <w:szCs w:val="21"/>
                          </w:rPr>
                        </w:pPr>
                        <w:r>
                          <w:rPr>
                            <w:szCs w:val="21"/>
                          </w:rPr>
                          <w:t>深圳华强新城市发展有限公司</w:t>
                        </w:r>
                      </w:p>
                    </w:tc>
                  </w:sdtContent>
                </w:sdt>
                <w:sdt>
                  <w:sdtPr>
                    <w:rPr>
                      <w:szCs w:val="21"/>
                    </w:rPr>
                    <w:alias w:val="前十名股东报告期内增减"/>
                    <w:tag w:val="_GBC_7d05086464254c08ad4ac2546d74c954"/>
                    <w:id w:val="24720786"/>
                    <w:lock w:val="sdtLocked"/>
                  </w:sdtPr>
                  <w:sdtContent>
                    <w:tc>
                      <w:tcPr>
                        <w:tcW w:w="1418" w:type="dxa"/>
                        <w:shd w:val="clear" w:color="auto" w:fill="auto"/>
                        <w:vAlign w:val="center"/>
                      </w:tcPr>
                      <w:p w:rsidR="002B4709" w:rsidRDefault="002B4709" w:rsidP="00155B68">
                        <w:pPr>
                          <w:jc w:val="right"/>
                          <w:rPr>
                            <w:szCs w:val="21"/>
                          </w:rPr>
                        </w:pPr>
                        <w:r>
                          <w:rPr>
                            <w:szCs w:val="21"/>
                          </w:rPr>
                          <w:t> </w:t>
                        </w:r>
                        <w:r w:rsidR="00090F8B">
                          <w:rPr>
                            <w:rFonts w:hint="eastAsia"/>
                            <w:szCs w:val="21"/>
                          </w:rPr>
                          <w:t>—</w:t>
                        </w:r>
                      </w:p>
                    </w:tc>
                  </w:sdtContent>
                </w:sdt>
                <w:sdt>
                  <w:sdtPr>
                    <w:rPr>
                      <w:szCs w:val="21"/>
                    </w:rPr>
                    <w:alias w:val="股东持有股份数量"/>
                    <w:tag w:val="_GBC_f2fadaf2d2234a95a6cbdba5df9be960"/>
                    <w:id w:val="24720787"/>
                    <w:lock w:val="sdtLocked"/>
                  </w:sdtPr>
                  <w:sdtContent>
                    <w:tc>
                      <w:tcPr>
                        <w:tcW w:w="1559" w:type="dxa"/>
                        <w:gridSpan w:val="2"/>
                        <w:shd w:val="clear" w:color="auto" w:fill="auto"/>
                        <w:vAlign w:val="center"/>
                      </w:tcPr>
                      <w:p w:rsidR="002B4709" w:rsidRDefault="002B4709" w:rsidP="00D472C4">
                        <w:pPr>
                          <w:jc w:val="right"/>
                          <w:rPr>
                            <w:szCs w:val="21"/>
                          </w:rPr>
                        </w:pPr>
                        <w:r>
                          <w:rPr>
                            <w:szCs w:val="21"/>
                          </w:rPr>
                          <w:t>77,799,613</w:t>
                        </w:r>
                      </w:p>
                    </w:tc>
                  </w:sdtContent>
                </w:sdt>
                <w:sdt>
                  <w:sdtPr>
                    <w:rPr>
                      <w:szCs w:val="21"/>
                    </w:rPr>
                    <w:alias w:val="前十名股东持股比例"/>
                    <w:tag w:val="_GBC_42e5ae1f4e604b3986e510f8fcc3aedc"/>
                    <w:id w:val="24720788"/>
                    <w:lock w:val="sdtLocked"/>
                  </w:sdtPr>
                  <w:sdtContent>
                    <w:tc>
                      <w:tcPr>
                        <w:tcW w:w="709" w:type="dxa"/>
                        <w:shd w:val="clear" w:color="auto" w:fill="auto"/>
                        <w:vAlign w:val="center"/>
                      </w:tcPr>
                      <w:p w:rsidR="002B4709" w:rsidRDefault="002B4709" w:rsidP="00D472C4">
                        <w:pPr>
                          <w:jc w:val="right"/>
                          <w:rPr>
                            <w:szCs w:val="21"/>
                          </w:rPr>
                        </w:pPr>
                        <w:r>
                          <w:rPr>
                            <w:szCs w:val="21"/>
                          </w:rPr>
                          <w:t>1.34</w:t>
                        </w:r>
                      </w:p>
                    </w:tc>
                  </w:sdtContent>
                </w:sdt>
                <w:sdt>
                  <w:sdtPr>
                    <w:rPr>
                      <w:szCs w:val="21"/>
                    </w:rPr>
                    <w:alias w:val="前十名股东持有有限售条件股份数量"/>
                    <w:tag w:val="_GBC_48a7b9d2efc5444a8d09294e686358ae"/>
                    <w:id w:val="24720789"/>
                    <w:lock w:val="sdtLocked"/>
                  </w:sdtPr>
                  <w:sdtContent>
                    <w:tc>
                      <w:tcPr>
                        <w:tcW w:w="1275" w:type="dxa"/>
                        <w:gridSpan w:val="2"/>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前十名股东持有股份状态"/>
                    <w:tag w:val="_GBC_01a92129ba1b43ca854a1b584b962436"/>
                    <w:id w:val="2472079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791"/>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7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境内非国有法人</w:t>
                        </w:r>
                      </w:p>
                    </w:tc>
                  </w:sdtContent>
                </w:sdt>
              </w:tr>
            </w:sdtContent>
          </w:sdt>
          <w:sdt>
            <w:sdtPr>
              <w:rPr>
                <w:szCs w:val="21"/>
              </w:rPr>
              <w:alias w:val="前十名股东持股情况"/>
              <w:tag w:val="_GBC_e5e573a0c2d0459186a12614e08a86eb"/>
              <w:id w:val="24720802"/>
              <w:lock w:val="sdtLocked"/>
            </w:sdtPr>
            <w:sdtEndPr>
              <w:rPr>
                <w:color w:val="FF9900"/>
              </w:rPr>
            </w:sdtEndPr>
            <w:sdtContent>
              <w:tr w:rsidR="00090F8B" w:rsidTr="00090F8B">
                <w:trPr>
                  <w:cantSplit/>
                </w:trPr>
                <w:sdt>
                  <w:sdtPr>
                    <w:rPr>
                      <w:szCs w:val="21"/>
                    </w:rPr>
                    <w:alias w:val="前十名股东名称"/>
                    <w:tag w:val="_GBC_ed469c57da9f47c9b10af64a20155b01"/>
                    <w:id w:val="24720794"/>
                    <w:lock w:val="sdtLocked"/>
                  </w:sdtPr>
                  <w:sdtContent>
                    <w:tc>
                      <w:tcPr>
                        <w:tcW w:w="1900" w:type="dxa"/>
                        <w:shd w:val="clear" w:color="auto" w:fill="auto"/>
                        <w:vAlign w:val="center"/>
                      </w:tcPr>
                      <w:p w:rsidR="002B4709" w:rsidRDefault="002B4709" w:rsidP="00D472C4">
                        <w:pPr>
                          <w:rPr>
                            <w:szCs w:val="21"/>
                          </w:rPr>
                        </w:pPr>
                        <w:r>
                          <w:rPr>
                            <w:szCs w:val="21"/>
                          </w:rPr>
                          <w:t>中国工商银行股份有限公司－申万菱信中证申万证券行业指数分级证券投资基金</w:t>
                        </w:r>
                      </w:p>
                    </w:tc>
                  </w:sdtContent>
                </w:sdt>
                <w:sdt>
                  <w:sdtPr>
                    <w:rPr>
                      <w:szCs w:val="21"/>
                    </w:rPr>
                    <w:alias w:val="前十名股东报告期内增减"/>
                    <w:tag w:val="_GBC_7d05086464254c08ad4ac2546d74c954"/>
                    <w:id w:val="24720795"/>
                    <w:lock w:val="sdtLocked"/>
                  </w:sdtPr>
                  <w:sdtContent>
                    <w:tc>
                      <w:tcPr>
                        <w:tcW w:w="1418" w:type="dxa"/>
                        <w:shd w:val="clear" w:color="auto" w:fill="auto"/>
                        <w:vAlign w:val="center"/>
                      </w:tcPr>
                      <w:p w:rsidR="002B4709" w:rsidRDefault="002B4709" w:rsidP="00D472C4">
                        <w:pPr>
                          <w:jc w:val="right"/>
                          <w:rPr>
                            <w:szCs w:val="21"/>
                          </w:rPr>
                        </w:pPr>
                        <w:r>
                          <w:rPr>
                            <w:szCs w:val="21"/>
                          </w:rPr>
                          <w:t>64,637,752</w:t>
                        </w:r>
                      </w:p>
                    </w:tc>
                  </w:sdtContent>
                </w:sdt>
                <w:sdt>
                  <w:sdtPr>
                    <w:rPr>
                      <w:szCs w:val="21"/>
                    </w:rPr>
                    <w:alias w:val="股东持有股份数量"/>
                    <w:tag w:val="_GBC_f2fadaf2d2234a95a6cbdba5df9be960"/>
                    <w:id w:val="24720796"/>
                    <w:lock w:val="sdtLocked"/>
                  </w:sdtPr>
                  <w:sdtContent>
                    <w:tc>
                      <w:tcPr>
                        <w:tcW w:w="1559" w:type="dxa"/>
                        <w:gridSpan w:val="2"/>
                        <w:shd w:val="clear" w:color="auto" w:fill="auto"/>
                        <w:vAlign w:val="center"/>
                      </w:tcPr>
                      <w:p w:rsidR="002B4709" w:rsidRDefault="002B4709" w:rsidP="00D472C4">
                        <w:pPr>
                          <w:jc w:val="right"/>
                          <w:rPr>
                            <w:szCs w:val="21"/>
                          </w:rPr>
                        </w:pPr>
                        <w:r>
                          <w:rPr>
                            <w:szCs w:val="21"/>
                          </w:rPr>
                          <w:t>64,637,752</w:t>
                        </w:r>
                      </w:p>
                    </w:tc>
                  </w:sdtContent>
                </w:sdt>
                <w:sdt>
                  <w:sdtPr>
                    <w:rPr>
                      <w:szCs w:val="21"/>
                    </w:rPr>
                    <w:alias w:val="前十名股东持股比例"/>
                    <w:tag w:val="_GBC_42e5ae1f4e604b3986e510f8fcc3aedc"/>
                    <w:id w:val="24720797"/>
                    <w:lock w:val="sdtLocked"/>
                  </w:sdtPr>
                  <w:sdtContent>
                    <w:tc>
                      <w:tcPr>
                        <w:tcW w:w="709" w:type="dxa"/>
                        <w:shd w:val="clear" w:color="auto" w:fill="auto"/>
                        <w:vAlign w:val="center"/>
                      </w:tcPr>
                      <w:p w:rsidR="002B4709" w:rsidRDefault="002B4709" w:rsidP="00D472C4">
                        <w:pPr>
                          <w:jc w:val="right"/>
                          <w:rPr>
                            <w:szCs w:val="21"/>
                          </w:rPr>
                        </w:pPr>
                        <w:r>
                          <w:rPr>
                            <w:szCs w:val="21"/>
                          </w:rPr>
                          <w:t>1.11</w:t>
                        </w:r>
                      </w:p>
                    </w:tc>
                  </w:sdtContent>
                </w:sdt>
                <w:sdt>
                  <w:sdtPr>
                    <w:rPr>
                      <w:szCs w:val="21"/>
                    </w:rPr>
                    <w:alias w:val="前十名股东持有有限售条件股份数量"/>
                    <w:tag w:val="_GBC_48a7b9d2efc5444a8d09294e686358ae"/>
                    <w:id w:val="24720798"/>
                    <w:lock w:val="sdtLocked"/>
                  </w:sdtPr>
                  <w:sdtContent>
                    <w:tc>
                      <w:tcPr>
                        <w:tcW w:w="1275" w:type="dxa"/>
                        <w:gridSpan w:val="2"/>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前十名股东持有股份状态"/>
                    <w:tag w:val="_GBC_01a92129ba1b43ca854a1b584b962436"/>
                    <w:id w:val="247207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800"/>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8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其他</w:t>
                        </w:r>
                      </w:p>
                    </w:tc>
                  </w:sdtContent>
                </w:sdt>
              </w:tr>
            </w:sdtContent>
          </w:sdt>
          <w:sdt>
            <w:sdtPr>
              <w:rPr>
                <w:szCs w:val="21"/>
              </w:rPr>
              <w:alias w:val="前十名股东持股情况"/>
              <w:tag w:val="_GBC_e5e573a0c2d0459186a12614e08a86eb"/>
              <w:id w:val="24720811"/>
              <w:lock w:val="sdtLocked"/>
            </w:sdtPr>
            <w:sdtEndPr>
              <w:rPr>
                <w:color w:val="FF9900"/>
              </w:rPr>
            </w:sdtEndPr>
            <w:sdtContent>
              <w:tr w:rsidR="00090F8B" w:rsidTr="00090F8B">
                <w:trPr>
                  <w:cantSplit/>
                </w:trPr>
                <w:sdt>
                  <w:sdtPr>
                    <w:rPr>
                      <w:szCs w:val="21"/>
                    </w:rPr>
                    <w:alias w:val="前十名股东名称"/>
                    <w:tag w:val="_GBC_ed469c57da9f47c9b10af64a20155b01"/>
                    <w:id w:val="24720803"/>
                    <w:lock w:val="sdtLocked"/>
                  </w:sdtPr>
                  <w:sdtContent>
                    <w:tc>
                      <w:tcPr>
                        <w:tcW w:w="1900" w:type="dxa"/>
                        <w:shd w:val="clear" w:color="auto" w:fill="auto"/>
                        <w:vAlign w:val="center"/>
                      </w:tcPr>
                      <w:p w:rsidR="002B4709" w:rsidRDefault="002B4709" w:rsidP="00D472C4">
                        <w:pPr>
                          <w:rPr>
                            <w:szCs w:val="21"/>
                          </w:rPr>
                        </w:pPr>
                        <w:r>
                          <w:rPr>
                            <w:szCs w:val="21"/>
                          </w:rPr>
                          <w:t>中海(海南)海盛船务股份有限公司</w:t>
                        </w:r>
                      </w:p>
                    </w:tc>
                  </w:sdtContent>
                </w:sdt>
                <w:sdt>
                  <w:sdtPr>
                    <w:rPr>
                      <w:szCs w:val="21"/>
                    </w:rPr>
                    <w:alias w:val="前十名股东报告期内增减"/>
                    <w:tag w:val="_GBC_7d05086464254c08ad4ac2546d74c954"/>
                    <w:id w:val="24720804"/>
                    <w:lock w:val="sdtLocked"/>
                  </w:sdtPr>
                  <w:sdtContent>
                    <w:tc>
                      <w:tcPr>
                        <w:tcW w:w="1418" w:type="dxa"/>
                        <w:shd w:val="clear" w:color="auto" w:fill="auto"/>
                        <w:vAlign w:val="center"/>
                      </w:tcPr>
                      <w:p w:rsidR="002B4709" w:rsidRDefault="002B4709" w:rsidP="00D472C4">
                        <w:pPr>
                          <w:jc w:val="right"/>
                          <w:rPr>
                            <w:szCs w:val="21"/>
                          </w:rPr>
                        </w:pPr>
                        <w:r>
                          <w:rPr>
                            <w:szCs w:val="21"/>
                          </w:rPr>
                          <w:t>-8,000,000</w:t>
                        </w:r>
                      </w:p>
                    </w:tc>
                  </w:sdtContent>
                </w:sdt>
                <w:sdt>
                  <w:sdtPr>
                    <w:rPr>
                      <w:szCs w:val="21"/>
                    </w:rPr>
                    <w:alias w:val="股东持有股份数量"/>
                    <w:tag w:val="_GBC_f2fadaf2d2234a95a6cbdba5df9be960"/>
                    <w:id w:val="24720805"/>
                    <w:lock w:val="sdtLocked"/>
                  </w:sdtPr>
                  <w:sdtContent>
                    <w:tc>
                      <w:tcPr>
                        <w:tcW w:w="1559" w:type="dxa"/>
                        <w:gridSpan w:val="2"/>
                        <w:shd w:val="clear" w:color="auto" w:fill="auto"/>
                        <w:vAlign w:val="center"/>
                      </w:tcPr>
                      <w:p w:rsidR="002B4709" w:rsidRDefault="002B4709" w:rsidP="00D472C4">
                        <w:pPr>
                          <w:jc w:val="right"/>
                          <w:rPr>
                            <w:szCs w:val="21"/>
                          </w:rPr>
                        </w:pPr>
                        <w:r>
                          <w:rPr>
                            <w:szCs w:val="21"/>
                          </w:rPr>
                          <w:t>46,923,000</w:t>
                        </w:r>
                      </w:p>
                    </w:tc>
                  </w:sdtContent>
                </w:sdt>
                <w:sdt>
                  <w:sdtPr>
                    <w:rPr>
                      <w:szCs w:val="21"/>
                    </w:rPr>
                    <w:alias w:val="前十名股东持股比例"/>
                    <w:tag w:val="_GBC_42e5ae1f4e604b3986e510f8fcc3aedc"/>
                    <w:id w:val="24720806"/>
                    <w:lock w:val="sdtLocked"/>
                  </w:sdtPr>
                  <w:sdtContent>
                    <w:tc>
                      <w:tcPr>
                        <w:tcW w:w="709" w:type="dxa"/>
                        <w:shd w:val="clear" w:color="auto" w:fill="auto"/>
                        <w:vAlign w:val="center"/>
                      </w:tcPr>
                      <w:p w:rsidR="002B4709" w:rsidRDefault="002B4709" w:rsidP="00D472C4">
                        <w:pPr>
                          <w:jc w:val="right"/>
                          <w:rPr>
                            <w:szCs w:val="21"/>
                          </w:rPr>
                        </w:pPr>
                        <w:r>
                          <w:rPr>
                            <w:szCs w:val="21"/>
                          </w:rPr>
                          <w:t>0.81</w:t>
                        </w:r>
                      </w:p>
                    </w:tc>
                  </w:sdtContent>
                </w:sdt>
                <w:sdt>
                  <w:sdtPr>
                    <w:rPr>
                      <w:szCs w:val="21"/>
                    </w:rPr>
                    <w:alias w:val="前十名股东持有有限售条件股份数量"/>
                    <w:tag w:val="_GBC_48a7b9d2efc5444a8d09294e686358ae"/>
                    <w:id w:val="24720807"/>
                    <w:lock w:val="sdtLocked"/>
                  </w:sdtPr>
                  <w:sdtContent>
                    <w:tc>
                      <w:tcPr>
                        <w:tcW w:w="1275" w:type="dxa"/>
                        <w:gridSpan w:val="2"/>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前十名股东持有股份状态"/>
                    <w:tag w:val="_GBC_01a92129ba1b43ca854a1b584b962436"/>
                    <w:id w:val="247208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809"/>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8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国有法人</w:t>
                        </w:r>
                      </w:p>
                    </w:tc>
                  </w:sdtContent>
                </w:sdt>
              </w:tr>
            </w:sdtContent>
          </w:sdt>
          <w:sdt>
            <w:sdtPr>
              <w:rPr>
                <w:szCs w:val="21"/>
              </w:rPr>
              <w:alias w:val="前十名股东持股情况"/>
              <w:tag w:val="_GBC_e5e573a0c2d0459186a12614e08a86eb"/>
              <w:id w:val="24720820"/>
              <w:lock w:val="sdtLocked"/>
            </w:sdtPr>
            <w:sdtEndPr>
              <w:rPr>
                <w:color w:val="FF9900"/>
              </w:rPr>
            </w:sdtEndPr>
            <w:sdtContent>
              <w:tr w:rsidR="00090F8B" w:rsidTr="00090F8B">
                <w:trPr>
                  <w:cantSplit/>
                </w:trPr>
                <w:sdt>
                  <w:sdtPr>
                    <w:rPr>
                      <w:szCs w:val="21"/>
                    </w:rPr>
                    <w:alias w:val="前十名股东名称"/>
                    <w:tag w:val="_GBC_ed469c57da9f47c9b10af64a20155b01"/>
                    <w:id w:val="24720812"/>
                    <w:lock w:val="sdtLocked"/>
                  </w:sdtPr>
                  <w:sdtContent>
                    <w:tc>
                      <w:tcPr>
                        <w:tcW w:w="1900" w:type="dxa"/>
                        <w:shd w:val="clear" w:color="auto" w:fill="auto"/>
                        <w:vAlign w:val="center"/>
                      </w:tcPr>
                      <w:p w:rsidR="002B4709" w:rsidRDefault="002B4709" w:rsidP="00D472C4">
                        <w:pPr>
                          <w:rPr>
                            <w:szCs w:val="21"/>
                          </w:rPr>
                        </w:pPr>
                        <w:r>
                          <w:rPr>
                            <w:szCs w:val="21"/>
                          </w:rPr>
                          <w:t>光大证券股份有限公司客户信用交易担保证券账户</w:t>
                        </w:r>
                      </w:p>
                    </w:tc>
                  </w:sdtContent>
                </w:sdt>
                <w:sdt>
                  <w:sdtPr>
                    <w:rPr>
                      <w:szCs w:val="21"/>
                    </w:rPr>
                    <w:alias w:val="前十名股东报告期内增减"/>
                    <w:tag w:val="_GBC_7d05086464254c08ad4ac2546d74c954"/>
                    <w:id w:val="24720813"/>
                    <w:lock w:val="sdtLocked"/>
                  </w:sdtPr>
                  <w:sdtContent>
                    <w:tc>
                      <w:tcPr>
                        <w:tcW w:w="1418" w:type="dxa"/>
                        <w:shd w:val="clear" w:color="auto" w:fill="auto"/>
                        <w:vAlign w:val="center"/>
                      </w:tcPr>
                      <w:p w:rsidR="002B4709" w:rsidRDefault="002B4709" w:rsidP="00D472C4">
                        <w:pPr>
                          <w:jc w:val="right"/>
                          <w:rPr>
                            <w:szCs w:val="21"/>
                          </w:rPr>
                        </w:pPr>
                        <w:r>
                          <w:rPr>
                            <w:szCs w:val="21"/>
                          </w:rPr>
                          <w:t>24,052,316</w:t>
                        </w:r>
                      </w:p>
                    </w:tc>
                  </w:sdtContent>
                </w:sdt>
                <w:sdt>
                  <w:sdtPr>
                    <w:rPr>
                      <w:szCs w:val="21"/>
                    </w:rPr>
                    <w:alias w:val="股东持有股份数量"/>
                    <w:tag w:val="_GBC_f2fadaf2d2234a95a6cbdba5df9be960"/>
                    <w:id w:val="24720814"/>
                    <w:lock w:val="sdtLocked"/>
                  </w:sdtPr>
                  <w:sdtContent>
                    <w:tc>
                      <w:tcPr>
                        <w:tcW w:w="1559" w:type="dxa"/>
                        <w:gridSpan w:val="2"/>
                        <w:shd w:val="clear" w:color="auto" w:fill="auto"/>
                        <w:vAlign w:val="center"/>
                      </w:tcPr>
                      <w:p w:rsidR="002B4709" w:rsidRDefault="002B4709" w:rsidP="00D472C4">
                        <w:pPr>
                          <w:jc w:val="right"/>
                          <w:rPr>
                            <w:szCs w:val="21"/>
                          </w:rPr>
                        </w:pPr>
                        <w:r>
                          <w:rPr>
                            <w:szCs w:val="21"/>
                          </w:rPr>
                          <w:t>43,765,040</w:t>
                        </w:r>
                      </w:p>
                    </w:tc>
                  </w:sdtContent>
                </w:sdt>
                <w:sdt>
                  <w:sdtPr>
                    <w:rPr>
                      <w:szCs w:val="21"/>
                    </w:rPr>
                    <w:alias w:val="前十名股东持股比例"/>
                    <w:tag w:val="_GBC_42e5ae1f4e604b3986e510f8fcc3aedc"/>
                    <w:id w:val="24720815"/>
                    <w:lock w:val="sdtLocked"/>
                  </w:sdtPr>
                  <w:sdtContent>
                    <w:tc>
                      <w:tcPr>
                        <w:tcW w:w="709" w:type="dxa"/>
                        <w:shd w:val="clear" w:color="auto" w:fill="auto"/>
                        <w:vAlign w:val="center"/>
                      </w:tcPr>
                      <w:p w:rsidR="002B4709" w:rsidRDefault="002B4709" w:rsidP="00D472C4">
                        <w:pPr>
                          <w:jc w:val="right"/>
                          <w:rPr>
                            <w:szCs w:val="21"/>
                          </w:rPr>
                        </w:pPr>
                        <w:r>
                          <w:rPr>
                            <w:szCs w:val="21"/>
                          </w:rPr>
                          <w:t>0.75</w:t>
                        </w:r>
                      </w:p>
                    </w:tc>
                  </w:sdtContent>
                </w:sdt>
                <w:sdt>
                  <w:sdtPr>
                    <w:rPr>
                      <w:szCs w:val="21"/>
                    </w:rPr>
                    <w:alias w:val="前十名股东持有有限售条件股份数量"/>
                    <w:tag w:val="_GBC_48a7b9d2efc5444a8d09294e686358ae"/>
                    <w:id w:val="24720816"/>
                    <w:lock w:val="sdtLocked"/>
                  </w:sdtPr>
                  <w:sdtContent>
                    <w:tc>
                      <w:tcPr>
                        <w:tcW w:w="1275" w:type="dxa"/>
                        <w:gridSpan w:val="2"/>
                        <w:shd w:val="clear" w:color="auto" w:fill="auto"/>
                        <w:vAlign w:val="center"/>
                      </w:tcPr>
                      <w:p w:rsidR="002B4709" w:rsidRDefault="00090F8B" w:rsidP="00155B68">
                        <w:pPr>
                          <w:jc w:val="right"/>
                          <w:rPr>
                            <w:szCs w:val="21"/>
                          </w:rPr>
                        </w:pPr>
                        <w:r>
                          <w:rPr>
                            <w:szCs w:val="21"/>
                          </w:rPr>
                          <w:t> </w:t>
                        </w:r>
                        <w:r>
                          <w:rPr>
                            <w:rFonts w:hint="eastAsia"/>
                            <w:szCs w:val="21"/>
                          </w:rPr>
                          <w:t>—</w:t>
                        </w:r>
                      </w:p>
                    </w:tc>
                  </w:sdtContent>
                </w:sdt>
                <w:sdt>
                  <w:sdtPr>
                    <w:rPr>
                      <w:szCs w:val="21"/>
                    </w:rPr>
                    <w:alias w:val="前十名股东持有股份状态"/>
                    <w:tag w:val="_GBC_01a92129ba1b43ca854a1b584b962436"/>
                    <w:id w:val="247208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67" w:type="dxa"/>
                        <w:gridSpan w:val="2"/>
                        <w:shd w:val="clear" w:color="auto" w:fill="auto"/>
                        <w:vAlign w:val="center"/>
                      </w:tcPr>
                      <w:p w:rsidR="002B4709" w:rsidRDefault="002B4709" w:rsidP="00D472C4">
                        <w:pPr>
                          <w:jc w:val="center"/>
                          <w:rPr>
                            <w:color w:val="FF9900"/>
                            <w:szCs w:val="21"/>
                          </w:rPr>
                        </w:pPr>
                        <w:r>
                          <w:rPr>
                            <w:szCs w:val="21"/>
                          </w:rPr>
                          <w:t>无</w:t>
                        </w:r>
                      </w:p>
                    </w:tc>
                  </w:sdtContent>
                </w:sdt>
                <w:sdt>
                  <w:sdtPr>
                    <w:rPr>
                      <w:szCs w:val="21"/>
                    </w:rPr>
                    <w:alias w:val="前十名股东持有股份质押或冻结数量"/>
                    <w:tag w:val="_GBC_334b18c7eafe4e94b8998432ad16211e"/>
                    <w:id w:val="24720818"/>
                    <w:lock w:val="sdtLocked"/>
                  </w:sdtPr>
                  <w:sdtContent>
                    <w:tc>
                      <w:tcPr>
                        <w:tcW w:w="567" w:type="dxa"/>
                        <w:shd w:val="clear" w:color="auto" w:fill="auto"/>
                        <w:vAlign w:val="center"/>
                      </w:tcPr>
                      <w:p w:rsidR="002B4709" w:rsidRDefault="00090F8B" w:rsidP="00155B68">
                        <w:pPr>
                          <w:jc w:val="right"/>
                          <w:rPr>
                            <w:color w:val="FF9900"/>
                            <w:szCs w:val="21"/>
                          </w:rPr>
                        </w:pPr>
                        <w:r>
                          <w:rPr>
                            <w:rFonts w:hint="eastAsia"/>
                            <w:szCs w:val="21"/>
                          </w:rPr>
                          <w:t>—</w:t>
                        </w:r>
                      </w:p>
                    </w:tc>
                  </w:sdtContent>
                </w:sdt>
                <w:sdt>
                  <w:sdtPr>
                    <w:rPr>
                      <w:szCs w:val="21"/>
                    </w:rPr>
                    <w:alias w:val="前十名股东的股东性质"/>
                    <w:tag w:val="_GBC_24f077081ff9491cb037157c35d29ced"/>
                    <w:id w:val="247208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54" w:type="dxa"/>
                        <w:shd w:val="clear" w:color="auto" w:fill="auto"/>
                        <w:vAlign w:val="center"/>
                      </w:tcPr>
                      <w:p w:rsidR="002B4709" w:rsidRDefault="002B4709" w:rsidP="00D472C4">
                        <w:pPr>
                          <w:jc w:val="center"/>
                          <w:rPr>
                            <w:color w:val="FF9900"/>
                            <w:szCs w:val="21"/>
                          </w:rPr>
                        </w:pPr>
                        <w:r>
                          <w:rPr>
                            <w:szCs w:val="21"/>
                          </w:rPr>
                          <w:t>其他</w:t>
                        </w:r>
                      </w:p>
                    </w:tc>
                  </w:sdtContent>
                </w:sdt>
              </w:tr>
            </w:sdtContent>
          </w:sdt>
          <w:tr w:rsidR="002B4709" w:rsidTr="00090F8B">
            <w:trPr>
              <w:cantSplit/>
            </w:trPr>
            <w:tc>
              <w:tcPr>
                <w:tcW w:w="9049" w:type="dxa"/>
                <w:gridSpan w:val="11"/>
                <w:shd w:val="clear" w:color="auto" w:fill="auto"/>
              </w:tcPr>
              <w:p w:rsidR="002B4709" w:rsidRPr="00D472C4" w:rsidRDefault="002B4709" w:rsidP="00D472C4">
                <w:pPr>
                  <w:jc w:val="center"/>
                  <w:rPr>
                    <w:b/>
                    <w:color w:val="FF9900"/>
                    <w:szCs w:val="21"/>
                  </w:rPr>
                </w:pPr>
                <w:r w:rsidRPr="00D472C4">
                  <w:rPr>
                    <w:b/>
                    <w:szCs w:val="21"/>
                  </w:rPr>
                  <w:t>前十名无限售条件股东持股情况</w:t>
                </w:r>
              </w:p>
            </w:tc>
          </w:tr>
          <w:tr w:rsidR="002B4709" w:rsidTr="00090F8B">
            <w:trPr>
              <w:cantSplit/>
            </w:trPr>
            <w:tc>
              <w:tcPr>
                <w:tcW w:w="4078" w:type="dxa"/>
                <w:gridSpan w:val="3"/>
                <w:vMerge w:val="restart"/>
                <w:shd w:val="clear" w:color="auto" w:fill="auto"/>
                <w:vAlign w:val="center"/>
              </w:tcPr>
              <w:p w:rsidR="002B4709" w:rsidRPr="00D472C4" w:rsidRDefault="002B4709" w:rsidP="00D472C4">
                <w:pPr>
                  <w:jc w:val="center"/>
                  <w:rPr>
                    <w:b/>
                    <w:color w:val="FF9900"/>
                    <w:szCs w:val="21"/>
                  </w:rPr>
                </w:pPr>
                <w:r w:rsidRPr="00D472C4">
                  <w:rPr>
                    <w:b/>
                    <w:szCs w:val="21"/>
                  </w:rPr>
                  <w:t>股东名称</w:t>
                </w:r>
              </w:p>
            </w:tc>
            <w:tc>
              <w:tcPr>
                <w:tcW w:w="1700" w:type="dxa"/>
                <w:gridSpan w:val="3"/>
                <w:vMerge w:val="restart"/>
                <w:shd w:val="clear" w:color="auto" w:fill="auto"/>
                <w:vAlign w:val="center"/>
              </w:tcPr>
              <w:p w:rsidR="002B4709" w:rsidRPr="00D472C4" w:rsidRDefault="002B4709" w:rsidP="00D472C4">
                <w:pPr>
                  <w:jc w:val="center"/>
                  <w:rPr>
                    <w:b/>
                    <w:color w:val="FF9900"/>
                    <w:szCs w:val="21"/>
                  </w:rPr>
                </w:pPr>
                <w:r w:rsidRPr="00D472C4">
                  <w:rPr>
                    <w:b/>
                    <w:szCs w:val="21"/>
                  </w:rPr>
                  <w:t>持有无限售条件流通股的数量</w:t>
                </w:r>
              </w:p>
            </w:tc>
            <w:tc>
              <w:tcPr>
                <w:tcW w:w="3271" w:type="dxa"/>
                <w:gridSpan w:val="5"/>
                <w:tcBorders>
                  <w:bottom w:val="single" w:sz="4" w:space="0" w:color="auto"/>
                </w:tcBorders>
                <w:shd w:val="clear" w:color="auto" w:fill="auto"/>
                <w:vAlign w:val="center"/>
              </w:tcPr>
              <w:p w:rsidR="002B4709" w:rsidRPr="00D472C4" w:rsidRDefault="002B4709" w:rsidP="00D472C4">
                <w:pPr>
                  <w:jc w:val="center"/>
                  <w:rPr>
                    <w:b/>
                    <w:color w:val="FF9900"/>
                    <w:szCs w:val="21"/>
                  </w:rPr>
                </w:pPr>
                <w:r w:rsidRPr="00D472C4">
                  <w:rPr>
                    <w:b/>
                    <w:szCs w:val="21"/>
                  </w:rPr>
                  <w:t>股份种类</w:t>
                </w:r>
                <w:r w:rsidRPr="00D472C4">
                  <w:rPr>
                    <w:rFonts w:hint="eastAsia"/>
                    <w:b/>
                    <w:szCs w:val="21"/>
                  </w:rPr>
                  <w:t>及数量</w:t>
                </w:r>
              </w:p>
            </w:tc>
          </w:tr>
          <w:tr w:rsidR="002B4709" w:rsidTr="00090F8B">
            <w:trPr>
              <w:cantSplit/>
            </w:trPr>
            <w:tc>
              <w:tcPr>
                <w:tcW w:w="4078" w:type="dxa"/>
                <w:gridSpan w:val="3"/>
                <w:vMerge/>
                <w:shd w:val="clear" w:color="auto" w:fill="auto"/>
                <w:vAlign w:val="center"/>
              </w:tcPr>
              <w:p w:rsidR="002B4709" w:rsidRDefault="002B4709" w:rsidP="00D472C4">
                <w:pPr>
                  <w:jc w:val="center"/>
                  <w:rPr>
                    <w:color w:val="FF9900"/>
                    <w:szCs w:val="21"/>
                  </w:rPr>
                </w:pPr>
              </w:p>
            </w:tc>
            <w:tc>
              <w:tcPr>
                <w:tcW w:w="1700" w:type="dxa"/>
                <w:gridSpan w:val="3"/>
                <w:vMerge/>
                <w:shd w:val="clear" w:color="auto" w:fill="auto"/>
                <w:vAlign w:val="center"/>
              </w:tcPr>
              <w:p w:rsidR="002B4709" w:rsidRDefault="002B4709" w:rsidP="00D472C4">
                <w:pPr>
                  <w:jc w:val="center"/>
                  <w:rPr>
                    <w:color w:val="FF9900"/>
                    <w:szCs w:val="21"/>
                  </w:rPr>
                </w:pPr>
              </w:p>
            </w:tc>
            <w:tc>
              <w:tcPr>
                <w:tcW w:w="1560" w:type="dxa"/>
                <w:gridSpan w:val="2"/>
                <w:shd w:val="clear" w:color="auto" w:fill="auto"/>
                <w:vAlign w:val="center"/>
              </w:tcPr>
              <w:p w:rsidR="002B4709" w:rsidRPr="00D472C4" w:rsidRDefault="002B4709" w:rsidP="00D472C4">
                <w:pPr>
                  <w:jc w:val="center"/>
                  <w:rPr>
                    <w:b/>
                    <w:color w:val="008000"/>
                    <w:szCs w:val="21"/>
                  </w:rPr>
                </w:pPr>
                <w:r w:rsidRPr="00D472C4">
                  <w:rPr>
                    <w:rFonts w:hint="eastAsia"/>
                    <w:b/>
                    <w:szCs w:val="21"/>
                  </w:rPr>
                  <w:t>种类</w:t>
                </w:r>
              </w:p>
            </w:tc>
            <w:tc>
              <w:tcPr>
                <w:tcW w:w="1711" w:type="dxa"/>
                <w:gridSpan w:val="3"/>
                <w:shd w:val="clear" w:color="auto" w:fill="auto"/>
                <w:vAlign w:val="center"/>
              </w:tcPr>
              <w:p w:rsidR="002B4709" w:rsidRPr="00D472C4" w:rsidRDefault="002B4709" w:rsidP="00D472C4">
                <w:pPr>
                  <w:jc w:val="center"/>
                  <w:rPr>
                    <w:b/>
                    <w:color w:val="008000"/>
                    <w:szCs w:val="21"/>
                  </w:rPr>
                </w:pPr>
                <w:r w:rsidRPr="00D472C4">
                  <w:rPr>
                    <w:rFonts w:hint="eastAsia"/>
                    <w:b/>
                    <w:szCs w:val="21"/>
                  </w:rPr>
                  <w:t>数量</w:t>
                </w:r>
              </w:p>
            </w:tc>
          </w:tr>
          <w:sdt>
            <w:sdtPr>
              <w:rPr>
                <w:szCs w:val="21"/>
              </w:rPr>
              <w:alias w:val="前十名无限售条件股东持股情况"/>
              <w:tag w:val="_GBC_bdf9ba9c220841a985eb73c8b88eee12"/>
              <w:id w:val="24720825"/>
              <w:lock w:val="sdtLocked"/>
            </w:sdtPr>
            <w:sdtContent>
              <w:tr w:rsidR="002B4709" w:rsidTr="00090F8B">
                <w:trPr>
                  <w:cantSplit/>
                </w:trPr>
                <w:sdt>
                  <w:sdtPr>
                    <w:rPr>
                      <w:szCs w:val="21"/>
                    </w:rPr>
                    <w:alias w:val="前十名无限售条件股东的名称"/>
                    <w:tag w:val="_GBC_5f2d6be2b7644a52837ed9191dfd1317"/>
                    <w:id w:val="24720821"/>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深圳市集盛投资发展有限公司</w:t>
                        </w:r>
                      </w:p>
                    </w:tc>
                  </w:sdtContent>
                </w:sdt>
                <w:sdt>
                  <w:sdtPr>
                    <w:rPr>
                      <w:szCs w:val="21"/>
                    </w:rPr>
                    <w:alias w:val="前十名无限售条件股东期末持有流通股的数量"/>
                    <w:tag w:val="_GBC_b9df9ce1db9b43d4b89f053e83561d5f"/>
                    <w:id w:val="24720822"/>
                    <w:lock w:val="sdtLocked"/>
                  </w:sdtPr>
                  <w:sdtContent>
                    <w:tc>
                      <w:tcPr>
                        <w:tcW w:w="1700" w:type="dxa"/>
                        <w:gridSpan w:val="3"/>
                        <w:shd w:val="clear" w:color="auto" w:fill="auto"/>
                        <w:vAlign w:val="center"/>
                      </w:tcPr>
                      <w:p w:rsidR="002B4709" w:rsidRDefault="00FB0ED2" w:rsidP="002B4709">
                        <w:pPr>
                          <w:jc w:val="right"/>
                          <w:rPr>
                            <w:szCs w:val="21"/>
                          </w:rPr>
                        </w:pPr>
                        <w:r>
                          <w:rPr>
                            <w:szCs w:val="21"/>
                          </w:rPr>
                          <w:t>1,341,378,000</w:t>
                        </w:r>
                      </w:p>
                    </w:tc>
                  </w:sdtContent>
                </w:sdt>
                <w:sdt>
                  <w:sdtPr>
                    <w:rPr>
                      <w:bCs/>
                      <w:szCs w:val="21"/>
                    </w:rPr>
                    <w:alias w:val="前十名无限售条件股东期末持有流通股的种类"/>
                    <w:tag w:val="_GBC_cb183bb9734e478790b78890ad5e01f5"/>
                    <w:id w:val="247208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24"/>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1,341,378,000</w:t>
                        </w:r>
                      </w:p>
                    </w:tc>
                  </w:sdtContent>
                </w:sdt>
              </w:tr>
            </w:sdtContent>
          </w:sdt>
          <w:sdt>
            <w:sdtPr>
              <w:rPr>
                <w:szCs w:val="21"/>
              </w:rPr>
              <w:alias w:val="前十名无限售条件股东持股情况"/>
              <w:tag w:val="_GBC_bdf9ba9c220841a985eb73c8b88eee12"/>
              <w:id w:val="24720830"/>
              <w:lock w:val="sdtLocked"/>
            </w:sdtPr>
            <w:sdtContent>
              <w:tr w:rsidR="002B4709" w:rsidTr="00090F8B">
                <w:trPr>
                  <w:cantSplit/>
                </w:trPr>
                <w:sdt>
                  <w:sdtPr>
                    <w:rPr>
                      <w:szCs w:val="21"/>
                    </w:rPr>
                    <w:alias w:val="前十名无限售条件股东的名称"/>
                    <w:tag w:val="_GBC_5f2d6be2b7644a52837ed9191dfd1317"/>
                    <w:id w:val="24720826"/>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深圳市招融投资控股有限公司</w:t>
                        </w:r>
                      </w:p>
                    </w:tc>
                  </w:sdtContent>
                </w:sdt>
                <w:sdt>
                  <w:sdtPr>
                    <w:rPr>
                      <w:szCs w:val="21"/>
                    </w:rPr>
                    <w:alias w:val="前十名无限售条件股东期末持有流通股的数量"/>
                    <w:tag w:val="_GBC_b9df9ce1db9b43d4b89f053e83561d5f"/>
                    <w:id w:val="24720827"/>
                    <w:lock w:val="sdtLocked"/>
                  </w:sdtPr>
                  <w:sdtContent>
                    <w:tc>
                      <w:tcPr>
                        <w:tcW w:w="1700" w:type="dxa"/>
                        <w:gridSpan w:val="3"/>
                        <w:shd w:val="clear" w:color="auto" w:fill="auto"/>
                        <w:vAlign w:val="center"/>
                      </w:tcPr>
                      <w:p w:rsidR="002B4709" w:rsidRDefault="00FB0ED2" w:rsidP="002B4709">
                        <w:pPr>
                          <w:jc w:val="right"/>
                          <w:rPr>
                            <w:szCs w:val="21"/>
                          </w:rPr>
                        </w:pPr>
                        <w:r>
                          <w:rPr>
                            <w:szCs w:val="21"/>
                          </w:rPr>
                          <w:t>619,802,023</w:t>
                        </w:r>
                      </w:p>
                    </w:tc>
                  </w:sdtContent>
                </w:sdt>
                <w:sdt>
                  <w:sdtPr>
                    <w:rPr>
                      <w:bCs/>
                      <w:szCs w:val="21"/>
                    </w:rPr>
                    <w:alias w:val="前十名无限售条件股东期末持有流通股的种类"/>
                    <w:tag w:val="_GBC_cb183bb9734e478790b78890ad5e01f5"/>
                    <w:id w:val="247208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29"/>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619,802,023</w:t>
                        </w:r>
                      </w:p>
                    </w:tc>
                  </w:sdtContent>
                </w:sdt>
              </w:tr>
            </w:sdtContent>
          </w:sdt>
          <w:sdt>
            <w:sdtPr>
              <w:rPr>
                <w:szCs w:val="21"/>
              </w:rPr>
              <w:alias w:val="前十名无限售条件股东持股情况"/>
              <w:tag w:val="_GBC_bdf9ba9c220841a985eb73c8b88eee12"/>
              <w:id w:val="24720835"/>
              <w:lock w:val="sdtLocked"/>
            </w:sdtPr>
            <w:sdtContent>
              <w:tr w:rsidR="002B4709" w:rsidTr="00090F8B">
                <w:trPr>
                  <w:cantSplit/>
                </w:trPr>
                <w:sdt>
                  <w:sdtPr>
                    <w:rPr>
                      <w:szCs w:val="21"/>
                    </w:rPr>
                    <w:alias w:val="前十名无限售条件股东的名称"/>
                    <w:tag w:val="_GBC_5f2d6be2b7644a52837ed9191dfd1317"/>
                    <w:id w:val="24720831"/>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中国远洋运输</w:t>
                        </w:r>
                        <w:r>
                          <w:rPr>
                            <w:szCs w:val="21"/>
                          </w:rPr>
                          <w:t>(集团)总公司</w:t>
                        </w:r>
                      </w:p>
                    </w:tc>
                  </w:sdtContent>
                </w:sdt>
                <w:sdt>
                  <w:sdtPr>
                    <w:rPr>
                      <w:szCs w:val="21"/>
                    </w:rPr>
                    <w:alias w:val="前十名无限售条件股东期末持有流通股的数量"/>
                    <w:tag w:val="_GBC_b9df9ce1db9b43d4b89f053e83561d5f"/>
                    <w:id w:val="24720832"/>
                    <w:lock w:val="sdtLocked"/>
                  </w:sdtPr>
                  <w:sdtContent>
                    <w:tc>
                      <w:tcPr>
                        <w:tcW w:w="1700" w:type="dxa"/>
                        <w:gridSpan w:val="3"/>
                        <w:shd w:val="clear" w:color="auto" w:fill="auto"/>
                        <w:vAlign w:val="center"/>
                      </w:tcPr>
                      <w:p w:rsidR="002B4709" w:rsidRDefault="00FB0ED2" w:rsidP="002B4709">
                        <w:pPr>
                          <w:jc w:val="right"/>
                          <w:rPr>
                            <w:szCs w:val="21"/>
                          </w:rPr>
                        </w:pPr>
                        <w:r>
                          <w:rPr>
                            <w:szCs w:val="21"/>
                          </w:rPr>
                          <w:t>273,640,000</w:t>
                        </w:r>
                      </w:p>
                    </w:tc>
                  </w:sdtContent>
                </w:sdt>
                <w:sdt>
                  <w:sdtPr>
                    <w:rPr>
                      <w:bCs/>
                      <w:szCs w:val="21"/>
                    </w:rPr>
                    <w:alias w:val="前十名无限售条件股东期末持有流通股的种类"/>
                    <w:tag w:val="_GBC_cb183bb9734e478790b78890ad5e01f5"/>
                    <w:id w:val="2472083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34"/>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273,640,000</w:t>
                        </w:r>
                      </w:p>
                    </w:tc>
                  </w:sdtContent>
                </w:sdt>
              </w:tr>
            </w:sdtContent>
          </w:sdt>
          <w:sdt>
            <w:sdtPr>
              <w:rPr>
                <w:szCs w:val="21"/>
              </w:rPr>
              <w:alias w:val="前十名无限售条件股东持股情况"/>
              <w:tag w:val="_GBC_bdf9ba9c220841a985eb73c8b88eee12"/>
              <w:id w:val="24720840"/>
              <w:lock w:val="sdtLocked"/>
            </w:sdtPr>
            <w:sdtContent>
              <w:tr w:rsidR="002B4709" w:rsidTr="00090F8B">
                <w:trPr>
                  <w:cantSplit/>
                </w:trPr>
                <w:sdt>
                  <w:sdtPr>
                    <w:rPr>
                      <w:szCs w:val="21"/>
                    </w:rPr>
                    <w:alias w:val="前十名无限售条件股东的名称"/>
                    <w:tag w:val="_GBC_5f2d6be2b7644a52837ed9191dfd1317"/>
                    <w:id w:val="24720836"/>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中国交通建设股份有限公司</w:t>
                        </w:r>
                      </w:p>
                    </w:tc>
                  </w:sdtContent>
                </w:sdt>
                <w:sdt>
                  <w:sdtPr>
                    <w:rPr>
                      <w:szCs w:val="21"/>
                    </w:rPr>
                    <w:alias w:val="前十名无限售条件股东期末持有流通股的数量"/>
                    <w:tag w:val="_GBC_b9df9ce1db9b43d4b89f053e83561d5f"/>
                    <w:id w:val="24720837"/>
                    <w:lock w:val="sdtLocked"/>
                  </w:sdtPr>
                  <w:sdtContent>
                    <w:tc>
                      <w:tcPr>
                        <w:tcW w:w="1700" w:type="dxa"/>
                        <w:gridSpan w:val="3"/>
                        <w:shd w:val="clear" w:color="auto" w:fill="auto"/>
                        <w:vAlign w:val="center"/>
                      </w:tcPr>
                      <w:p w:rsidR="002B4709" w:rsidRDefault="00FB0ED2" w:rsidP="002B4709">
                        <w:pPr>
                          <w:jc w:val="right"/>
                          <w:rPr>
                            <w:szCs w:val="21"/>
                          </w:rPr>
                        </w:pPr>
                        <w:r>
                          <w:rPr>
                            <w:szCs w:val="21"/>
                          </w:rPr>
                          <w:t>214,297,546</w:t>
                        </w:r>
                      </w:p>
                    </w:tc>
                  </w:sdtContent>
                </w:sdt>
                <w:sdt>
                  <w:sdtPr>
                    <w:rPr>
                      <w:bCs/>
                      <w:szCs w:val="21"/>
                    </w:rPr>
                    <w:alias w:val="前十名无限售条件股东期末持有流通股的种类"/>
                    <w:tag w:val="_GBC_cb183bb9734e478790b78890ad5e01f5"/>
                    <w:id w:val="247208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39"/>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214,297,546</w:t>
                        </w:r>
                      </w:p>
                    </w:tc>
                  </w:sdtContent>
                </w:sdt>
              </w:tr>
            </w:sdtContent>
          </w:sdt>
          <w:sdt>
            <w:sdtPr>
              <w:rPr>
                <w:szCs w:val="21"/>
              </w:rPr>
              <w:alias w:val="前十名无限售条件股东持股情况"/>
              <w:tag w:val="_GBC_bdf9ba9c220841a985eb73c8b88eee12"/>
              <w:id w:val="24720845"/>
              <w:lock w:val="sdtLocked"/>
            </w:sdtPr>
            <w:sdtContent>
              <w:tr w:rsidR="002B4709" w:rsidTr="00090F8B">
                <w:trPr>
                  <w:cantSplit/>
                </w:trPr>
                <w:sdt>
                  <w:sdtPr>
                    <w:rPr>
                      <w:szCs w:val="21"/>
                    </w:rPr>
                    <w:alias w:val="前十名无限售条件股东的名称"/>
                    <w:tag w:val="_GBC_5f2d6be2b7644a52837ed9191dfd1317"/>
                    <w:id w:val="24720841"/>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河北港口集团有限公司</w:t>
                        </w:r>
                      </w:p>
                    </w:tc>
                  </w:sdtContent>
                </w:sdt>
                <w:sdt>
                  <w:sdtPr>
                    <w:rPr>
                      <w:szCs w:val="21"/>
                    </w:rPr>
                    <w:alias w:val="前十名无限售条件股东期末持有流通股的数量"/>
                    <w:tag w:val="_GBC_b9df9ce1db9b43d4b89f053e83561d5f"/>
                    <w:id w:val="24720842"/>
                    <w:lock w:val="sdtLocked"/>
                  </w:sdtPr>
                  <w:sdtContent>
                    <w:tc>
                      <w:tcPr>
                        <w:tcW w:w="1700" w:type="dxa"/>
                        <w:gridSpan w:val="3"/>
                        <w:shd w:val="clear" w:color="auto" w:fill="auto"/>
                        <w:vAlign w:val="center"/>
                      </w:tcPr>
                      <w:p w:rsidR="002B4709" w:rsidRDefault="00FB0ED2" w:rsidP="002B4709">
                        <w:pPr>
                          <w:jc w:val="right"/>
                          <w:rPr>
                            <w:szCs w:val="21"/>
                          </w:rPr>
                        </w:pPr>
                        <w:r>
                          <w:rPr>
                            <w:szCs w:val="21"/>
                          </w:rPr>
                          <w:t>200,127,274</w:t>
                        </w:r>
                      </w:p>
                    </w:tc>
                  </w:sdtContent>
                </w:sdt>
                <w:sdt>
                  <w:sdtPr>
                    <w:rPr>
                      <w:bCs/>
                      <w:szCs w:val="21"/>
                    </w:rPr>
                    <w:alias w:val="前十名无限售条件股东期末持有流通股的种类"/>
                    <w:tag w:val="_GBC_cb183bb9734e478790b78890ad5e01f5"/>
                    <w:id w:val="247208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44"/>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200,127,274</w:t>
                        </w:r>
                      </w:p>
                    </w:tc>
                  </w:sdtContent>
                </w:sdt>
              </w:tr>
            </w:sdtContent>
          </w:sdt>
          <w:sdt>
            <w:sdtPr>
              <w:rPr>
                <w:szCs w:val="21"/>
              </w:rPr>
              <w:alias w:val="前十名无限售条件股东持股情况"/>
              <w:tag w:val="_GBC_bdf9ba9c220841a985eb73c8b88eee12"/>
              <w:id w:val="24720850"/>
              <w:lock w:val="sdtLocked"/>
            </w:sdtPr>
            <w:sdtContent>
              <w:tr w:rsidR="002B4709" w:rsidTr="00090F8B">
                <w:trPr>
                  <w:cantSplit/>
                </w:trPr>
                <w:sdt>
                  <w:sdtPr>
                    <w:rPr>
                      <w:szCs w:val="21"/>
                    </w:rPr>
                    <w:alias w:val="前十名无限售条件股东的名称"/>
                    <w:tag w:val="_GBC_5f2d6be2b7644a52837ed9191dfd1317"/>
                    <w:id w:val="24720846"/>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招商局轮船股份有限公司</w:t>
                        </w:r>
                      </w:p>
                    </w:tc>
                  </w:sdtContent>
                </w:sdt>
                <w:sdt>
                  <w:sdtPr>
                    <w:rPr>
                      <w:szCs w:val="21"/>
                    </w:rPr>
                    <w:alias w:val="前十名无限售条件股东期末持有流通股的数量"/>
                    <w:tag w:val="_GBC_b9df9ce1db9b43d4b89f053e83561d5f"/>
                    <w:id w:val="24720847"/>
                    <w:lock w:val="sdtLocked"/>
                  </w:sdtPr>
                  <w:sdtContent>
                    <w:tc>
                      <w:tcPr>
                        <w:tcW w:w="1700" w:type="dxa"/>
                        <w:gridSpan w:val="3"/>
                        <w:shd w:val="clear" w:color="auto" w:fill="auto"/>
                        <w:vAlign w:val="center"/>
                      </w:tcPr>
                      <w:p w:rsidR="002B4709" w:rsidRDefault="00FB0ED2" w:rsidP="002B4709">
                        <w:pPr>
                          <w:jc w:val="right"/>
                          <w:rPr>
                            <w:szCs w:val="21"/>
                          </w:rPr>
                        </w:pPr>
                        <w:r>
                          <w:rPr>
                            <w:szCs w:val="21"/>
                          </w:rPr>
                          <w:t>177,244,952</w:t>
                        </w:r>
                      </w:p>
                    </w:tc>
                  </w:sdtContent>
                </w:sdt>
                <w:sdt>
                  <w:sdtPr>
                    <w:rPr>
                      <w:bCs/>
                      <w:szCs w:val="21"/>
                    </w:rPr>
                    <w:alias w:val="前十名无限售条件股东期末持有流通股的种类"/>
                    <w:tag w:val="_GBC_cb183bb9734e478790b78890ad5e01f5"/>
                    <w:id w:val="247208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49"/>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177,244,952</w:t>
                        </w:r>
                      </w:p>
                    </w:tc>
                  </w:sdtContent>
                </w:sdt>
              </w:tr>
            </w:sdtContent>
          </w:sdt>
          <w:sdt>
            <w:sdtPr>
              <w:rPr>
                <w:szCs w:val="21"/>
              </w:rPr>
              <w:alias w:val="前十名无限售条件股东持股情况"/>
              <w:tag w:val="_GBC_bdf9ba9c220841a985eb73c8b88eee12"/>
              <w:id w:val="24720855"/>
              <w:lock w:val="sdtLocked"/>
            </w:sdtPr>
            <w:sdtContent>
              <w:tr w:rsidR="002B4709" w:rsidTr="00090F8B">
                <w:trPr>
                  <w:cantSplit/>
                </w:trPr>
                <w:sdt>
                  <w:sdtPr>
                    <w:rPr>
                      <w:szCs w:val="21"/>
                    </w:rPr>
                    <w:alias w:val="前十名无限售条件股东的名称"/>
                    <w:tag w:val="_GBC_5f2d6be2b7644a52837ed9191dfd1317"/>
                    <w:id w:val="24720851"/>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深圳华强新城市发展有限公司</w:t>
                        </w:r>
                      </w:p>
                    </w:tc>
                  </w:sdtContent>
                </w:sdt>
                <w:sdt>
                  <w:sdtPr>
                    <w:rPr>
                      <w:szCs w:val="21"/>
                    </w:rPr>
                    <w:alias w:val="前十名无限售条件股东期末持有流通股的数量"/>
                    <w:tag w:val="_GBC_b9df9ce1db9b43d4b89f053e83561d5f"/>
                    <w:id w:val="24720852"/>
                    <w:lock w:val="sdtLocked"/>
                  </w:sdtPr>
                  <w:sdtContent>
                    <w:tc>
                      <w:tcPr>
                        <w:tcW w:w="1700" w:type="dxa"/>
                        <w:gridSpan w:val="3"/>
                        <w:shd w:val="clear" w:color="auto" w:fill="auto"/>
                        <w:vAlign w:val="center"/>
                      </w:tcPr>
                      <w:p w:rsidR="002B4709" w:rsidRDefault="00FB0ED2" w:rsidP="002B4709">
                        <w:pPr>
                          <w:jc w:val="right"/>
                          <w:rPr>
                            <w:szCs w:val="21"/>
                          </w:rPr>
                        </w:pPr>
                        <w:r>
                          <w:rPr>
                            <w:szCs w:val="21"/>
                          </w:rPr>
                          <w:t>77,799,613</w:t>
                        </w:r>
                      </w:p>
                    </w:tc>
                  </w:sdtContent>
                </w:sdt>
                <w:sdt>
                  <w:sdtPr>
                    <w:rPr>
                      <w:bCs/>
                      <w:szCs w:val="21"/>
                    </w:rPr>
                    <w:alias w:val="前十名无限售条件股东期末持有流通股的种类"/>
                    <w:tag w:val="_GBC_cb183bb9734e478790b78890ad5e01f5"/>
                    <w:id w:val="2472085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54"/>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77,799,613</w:t>
                        </w:r>
                      </w:p>
                    </w:tc>
                  </w:sdtContent>
                </w:sdt>
              </w:tr>
            </w:sdtContent>
          </w:sdt>
          <w:sdt>
            <w:sdtPr>
              <w:rPr>
                <w:szCs w:val="21"/>
              </w:rPr>
              <w:alias w:val="前十名无限售条件股东持股情况"/>
              <w:tag w:val="_GBC_bdf9ba9c220841a985eb73c8b88eee12"/>
              <w:id w:val="24720860"/>
              <w:lock w:val="sdtLocked"/>
            </w:sdtPr>
            <w:sdtContent>
              <w:tr w:rsidR="002B4709" w:rsidTr="00090F8B">
                <w:trPr>
                  <w:cantSplit/>
                </w:trPr>
                <w:sdt>
                  <w:sdtPr>
                    <w:rPr>
                      <w:szCs w:val="21"/>
                    </w:rPr>
                    <w:alias w:val="前十名无限售条件股东的名称"/>
                    <w:tag w:val="_GBC_5f2d6be2b7644a52837ed9191dfd1317"/>
                    <w:id w:val="24720856"/>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中国工商银行股份有限公司－申万菱信中证申万证券行业指数分级证券投资基金</w:t>
                        </w:r>
                      </w:p>
                    </w:tc>
                  </w:sdtContent>
                </w:sdt>
                <w:sdt>
                  <w:sdtPr>
                    <w:rPr>
                      <w:szCs w:val="21"/>
                    </w:rPr>
                    <w:alias w:val="前十名无限售条件股东期末持有流通股的数量"/>
                    <w:tag w:val="_GBC_b9df9ce1db9b43d4b89f053e83561d5f"/>
                    <w:id w:val="24720857"/>
                    <w:lock w:val="sdtLocked"/>
                  </w:sdtPr>
                  <w:sdtContent>
                    <w:tc>
                      <w:tcPr>
                        <w:tcW w:w="1700" w:type="dxa"/>
                        <w:gridSpan w:val="3"/>
                        <w:shd w:val="clear" w:color="auto" w:fill="auto"/>
                        <w:vAlign w:val="center"/>
                      </w:tcPr>
                      <w:p w:rsidR="002B4709" w:rsidRDefault="00FB0ED2" w:rsidP="002B4709">
                        <w:pPr>
                          <w:jc w:val="right"/>
                          <w:rPr>
                            <w:szCs w:val="21"/>
                          </w:rPr>
                        </w:pPr>
                        <w:r>
                          <w:rPr>
                            <w:szCs w:val="21"/>
                          </w:rPr>
                          <w:t>64,637,752</w:t>
                        </w:r>
                      </w:p>
                    </w:tc>
                  </w:sdtContent>
                </w:sdt>
                <w:sdt>
                  <w:sdtPr>
                    <w:rPr>
                      <w:bCs/>
                      <w:szCs w:val="21"/>
                    </w:rPr>
                    <w:alias w:val="前十名无限售条件股东期末持有流通股的种类"/>
                    <w:tag w:val="_GBC_cb183bb9734e478790b78890ad5e01f5"/>
                    <w:id w:val="247208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59"/>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64,637,752</w:t>
                        </w:r>
                      </w:p>
                    </w:tc>
                  </w:sdtContent>
                </w:sdt>
              </w:tr>
            </w:sdtContent>
          </w:sdt>
          <w:sdt>
            <w:sdtPr>
              <w:rPr>
                <w:szCs w:val="21"/>
              </w:rPr>
              <w:alias w:val="前十名无限售条件股东持股情况"/>
              <w:tag w:val="_GBC_bdf9ba9c220841a985eb73c8b88eee12"/>
              <w:id w:val="24720865"/>
              <w:lock w:val="sdtLocked"/>
            </w:sdtPr>
            <w:sdtContent>
              <w:tr w:rsidR="002B4709" w:rsidTr="00090F8B">
                <w:trPr>
                  <w:cantSplit/>
                </w:trPr>
                <w:sdt>
                  <w:sdtPr>
                    <w:rPr>
                      <w:szCs w:val="21"/>
                    </w:rPr>
                    <w:alias w:val="前十名无限售条件股东的名称"/>
                    <w:tag w:val="_GBC_5f2d6be2b7644a52837ed9191dfd1317"/>
                    <w:id w:val="24720861"/>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中海</w:t>
                        </w:r>
                        <w:r>
                          <w:rPr>
                            <w:szCs w:val="21"/>
                          </w:rPr>
                          <w:t>(海南)海盛船务股份有限公司</w:t>
                        </w:r>
                      </w:p>
                    </w:tc>
                  </w:sdtContent>
                </w:sdt>
                <w:sdt>
                  <w:sdtPr>
                    <w:rPr>
                      <w:szCs w:val="21"/>
                    </w:rPr>
                    <w:alias w:val="前十名无限售条件股东期末持有流通股的数量"/>
                    <w:tag w:val="_GBC_b9df9ce1db9b43d4b89f053e83561d5f"/>
                    <w:id w:val="24720862"/>
                    <w:lock w:val="sdtLocked"/>
                  </w:sdtPr>
                  <w:sdtContent>
                    <w:tc>
                      <w:tcPr>
                        <w:tcW w:w="1700" w:type="dxa"/>
                        <w:gridSpan w:val="3"/>
                        <w:shd w:val="clear" w:color="auto" w:fill="auto"/>
                        <w:vAlign w:val="center"/>
                      </w:tcPr>
                      <w:p w:rsidR="002B4709" w:rsidRDefault="00FB0ED2" w:rsidP="002B4709">
                        <w:pPr>
                          <w:jc w:val="right"/>
                          <w:rPr>
                            <w:szCs w:val="21"/>
                          </w:rPr>
                        </w:pPr>
                        <w:r>
                          <w:rPr>
                            <w:szCs w:val="21"/>
                          </w:rPr>
                          <w:t>46,923,000</w:t>
                        </w:r>
                      </w:p>
                    </w:tc>
                  </w:sdtContent>
                </w:sdt>
                <w:sdt>
                  <w:sdtPr>
                    <w:rPr>
                      <w:bCs/>
                      <w:szCs w:val="21"/>
                    </w:rPr>
                    <w:alias w:val="前十名无限售条件股东期末持有流通股的种类"/>
                    <w:tag w:val="_GBC_cb183bb9734e478790b78890ad5e01f5"/>
                    <w:id w:val="247208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64"/>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46,923,000</w:t>
                        </w:r>
                      </w:p>
                    </w:tc>
                  </w:sdtContent>
                </w:sdt>
              </w:tr>
            </w:sdtContent>
          </w:sdt>
          <w:sdt>
            <w:sdtPr>
              <w:rPr>
                <w:szCs w:val="21"/>
              </w:rPr>
              <w:alias w:val="前十名无限售条件股东持股情况"/>
              <w:tag w:val="_GBC_bdf9ba9c220841a985eb73c8b88eee12"/>
              <w:id w:val="24720870"/>
              <w:lock w:val="sdtLocked"/>
            </w:sdtPr>
            <w:sdtContent>
              <w:tr w:rsidR="002B4709" w:rsidTr="00090F8B">
                <w:trPr>
                  <w:cantSplit/>
                </w:trPr>
                <w:sdt>
                  <w:sdtPr>
                    <w:rPr>
                      <w:szCs w:val="21"/>
                    </w:rPr>
                    <w:alias w:val="前十名无限售条件股东的名称"/>
                    <w:tag w:val="_GBC_5f2d6be2b7644a52837ed9191dfd1317"/>
                    <w:id w:val="24720866"/>
                    <w:lock w:val="sdtLocked"/>
                  </w:sdtPr>
                  <w:sdtContent>
                    <w:tc>
                      <w:tcPr>
                        <w:tcW w:w="4078" w:type="dxa"/>
                        <w:gridSpan w:val="3"/>
                        <w:shd w:val="clear" w:color="auto" w:fill="auto"/>
                        <w:vAlign w:val="center"/>
                      </w:tcPr>
                      <w:p w:rsidR="002B4709" w:rsidRDefault="00FB0ED2" w:rsidP="002B4709">
                        <w:pPr>
                          <w:jc w:val="both"/>
                          <w:rPr>
                            <w:szCs w:val="21"/>
                          </w:rPr>
                        </w:pPr>
                        <w:r>
                          <w:rPr>
                            <w:rFonts w:hint="eastAsia"/>
                            <w:szCs w:val="21"/>
                          </w:rPr>
                          <w:t>光大证券股份有限公司客户信用交易担保证券账户</w:t>
                        </w:r>
                      </w:p>
                    </w:tc>
                  </w:sdtContent>
                </w:sdt>
                <w:sdt>
                  <w:sdtPr>
                    <w:rPr>
                      <w:szCs w:val="21"/>
                    </w:rPr>
                    <w:alias w:val="前十名无限售条件股东期末持有流通股的数量"/>
                    <w:tag w:val="_GBC_b9df9ce1db9b43d4b89f053e83561d5f"/>
                    <w:id w:val="24720867"/>
                    <w:lock w:val="sdtLocked"/>
                  </w:sdtPr>
                  <w:sdtContent>
                    <w:tc>
                      <w:tcPr>
                        <w:tcW w:w="1700" w:type="dxa"/>
                        <w:gridSpan w:val="3"/>
                        <w:shd w:val="clear" w:color="auto" w:fill="auto"/>
                        <w:vAlign w:val="center"/>
                      </w:tcPr>
                      <w:p w:rsidR="002B4709" w:rsidRDefault="00FB0ED2" w:rsidP="002B4709">
                        <w:pPr>
                          <w:jc w:val="right"/>
                          <w:rPr>
                            <w:szCs w:val="21"/>
                          </w:rPr>
                        </w:pPr>
                        <w:r>
                          <w:rPr>
                            <w:szCs w:val="21"/>
                          </w:rPr>
                          <w:t>43,765,040</w:t>
                        </w:r>
                      </w:p>
                    </w:tc>
                  </w:sdtContent>
                </w:sdt>
                <w:sdt>
                  <w:sdtPr>
                    <w:rPr>
                      <w:bCs/>
                      <w:szCs w:val="21"/>
                    </w:rPr>
                    <w:alias w:val="前十名无限售条件股东期末持有流通股的种类"/>
                    <w:tag w:val="_GBC_cb183bb9734e478790b78890ad5e01f5"/>
                    <w:id w:val="247208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60" w:type="dxa"/>
                        <w:gridSpan w:val="2"/>
                        <w:shd w:val="clear" w:color="auto" w:fill="auto"/>
                        <w:vAlign w:val="center"/>
                      </w:tcPr>
                      <w:p w:rsidR="002B4709" w:rsidRDefault="002B4709" w:rsidP="002B4709">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4720869"/>
                    <w:lock w:val="sdtLocked"/>
                  </w:sdtPr>
                  <w:sdtContent>
                    <w:tc>
                      <w:tcPr>
                        <w:tcW w:w="1711" w:type="dxa"/>
                        <w:gridSpan w:val="3"/>
                        <w:shd w:val="clear" w:color="auto" w:fill="auto"/>
                        <w:vAlign w:val="center"/>
                      </w:tcPr>
                      <w:p w:rsidR="002B4709" w:rsidRDefault="00FB0ED2" w:rsidP="002B4709">
                        <w:pPr>
                          <w:jc w:val="right"/>
                          <w:rPr>
                            <w:color w:val="FF9900"/>
                            <w:szCs w:val="21"/>
                          </w:rPr>
                        </w:pPr>
                        <w:r>
                          <w:rPr>
                            <w:szCs w:val="21"/>
                          </w:rPr>
                          <w:t>43,765,040</w:t>
                        </w:r>
                      </w:p>
                    </w:tc>
                  </w:sdtContent>
                </w:sdt>
              </w:tr>
            </w:sdtContent>
          </w:sdt>
          <w:tr w:rsidR="002B4709" w:rsidTr="00090F8B">
            <w:trPr>
              <w:cantSplit/>
            </w:trPr>
            <w:tc>
              <w:tcPr>
                <w:tcW w:w="4078" w:type="dxa"/>
                <w:gridSpan w:val="3"/>
                <w:shd w:val="clear" w:color="auto" w:fill="auto"/>
                <w:vAlign w:val="center"/>
              </w:tcPr>
              <w:p w:rsidR="002B4709" w:rsidRDefault="002B4709" w:rsidP="002B4709">
                <w:pPr>
                  <w:jc w:val="both"/>
                  <w:rPr>
                    <w:szCs w:val="21"/>
                  </w:rPr>
                </w:pPr>
                <w:r>
                  <w:rPr>
                    <w:szCs w:val="21"/>
                  </w:rPr>
                  <w:t>上述股东关联关系或一致行动的说明</w:t>
                </w:r>
              </w:p>
            </w:tc>
            <w:tc>
              <w:tcPr>
                <w:tcW w:w="4971" w:type="dxa"/>
                <w:gridSpan w:val="8"/>
                <w:shd w:val="clear" w:color="auto" w:fill="auto"/>
              </w:tcPr>
              <w:p w:rsidR="002B4709" w:rsidRDefault="00422DCA" w:rsidP="00D472C4">
                <w:pPr>
                  <w:rPr>
                    <w:color w:val="FFC000"/>
                    <w:szCs w:val="21"/>
                  </w:rPr>
                </w:pPr>
                <w:sdt>
                  <w:sdtPr>
                    <w:rPr>
                      <w:rFonts w:hint="eastAsia"/>
                      <w:szCs w:val="21"/>
                    </w:rPr>
                    <w:alias w:val="股东关联关系或一致行动的说明"/>
                    <w:tag w:val="_GBC_296611a39fea4f9a8a40824e70ac1774"/>
                    <w:id w:val="24720871"/>
                    <w:lock w:val="sdtLocked"/>
                  </w:sdtPr>
                  <w:sdtContent>
                    <w:r w:rsidR="002B4709">
                      <w:rPr>
                        <w:rFonts w:hint="eastAsia"/>
                        <w:szCs w:val="21"/>
                      </w:rPr>
                      <w:t>上述前10名股东中，招融投资、集盛投资、招商局轮船均为本公司实际控制人招商局集团控制的子公司。</w:t>
                    </w:r>
                  </w:sdtContent>
                </w:sdt>
              </w:p>
            </w:tc>
          </w:tr>
        </w:tbl>
        <w:p w:rsidR="00F150E9" w:rsidRDefault="009B3F42" w:rsidP="003A0284">
          <w:pPr>
            <w:spacing w:beforeLines="50"/>
          </w:pPr>
          <w:r>
            <w:rPr>
              <w:rFonts w:hint="eastAsia"/>
            </w:rPr>
            <w:t>注：</w:t>
          </w:r>
          <w:r w:rsidR="00C73AA9">
            <w:rPr>
              <w:rFonts w:hint="eastAsia"/>
              <w:szCs w:val="21"/>
            </w:rPr>
            <w:t>中国远洋运输</w:t>
          </w:r>
          <w:r w:rsidR="00C73AA9">
            <w:rPr>
              <w:szCs w:val="21"/>
            </w:rPr>
            <w:t>(集团)总公司</w:t>
          </w:r>
          <w:r w:rsidRPr="00C73AA9">
            <w:rPr>
              <w:rFonts w:hint="eastAsia"/>
              <w:szCs w:val="21"/>
            </w:rPr>
            <w:t>通过定向资产管理计划持有公司11,680,900股，占</w:t>
          </w:r>
          <w:r w:rsidR="005E64FA">
            <w:rPr>
              <w:rFonts w:hint="eastAsia"/>
              <w:szCs w:val="21"/>
            </w:rPr>
            <w:t>公司</w:t>
          </w:r>
          <w:r w:rsidRPr="00C73AA9">
            <w:rPr>
              <w:rFonts w:hint="eastAsia"/>
              <w:szCs w:val="21"/>
            </w:rPr>
            <w:t>总股本的0.201%。</w:t>
          </w:r>
          <w:r w:rsidR="00C73AA9" w:rsidRPr="00C73AA9">
            <w:rPr>
              <w:rFonts w:hint="eastAsia"/>
              <w:szCs w:val="21"/>
            </w:rPr>
            <w:t>中国远洋运输</w:t>
          </w:r>
          <w:r w:rsidR="00C73AA9" w:rsidRPr="00C73AA9">
            <w:rPr>
              <w:szCs w:val="21"/>
            </w:rPr>
            <w:t>(集团)总公司</w:t>
          </w:r>
          <w:r w:rsidRPr="00C73AA9">
            <w:rPr>
              <w:rFonts w:hint="eastAsia"/>
              <w:szCs w:val="21"/>
            </w:rPr>
            <w:t>直接和间接合计持有公司409,774,274股，占总股本的7.055%。</w:t>
          </w:r>
        </w:p>
        <w:p w:rsidR="009B3F42" w:rsidRDefault="009B3F42"/>
        <w:p w:rsidR="00704CAD" w:rsidRDefault="00720895">
          <w:pPr>
            <w:rPr>
              <w:bCs/>
              <w:szCs w:val="21"/>
            </w:rPr>
          </w:pPr>
          <w:r>
            <w:rPr>
              <w:szCs w:val="21"/>
            </w:rPr>
            <w:lastRenderedPageBreak/>
            <w:t>有限售条件股东持股数量及限售条件</w:t>
          </w:r>
        </w:p>
        <w:p w:rsidR="004E2C18" w:rsidRDefault="00720895">
          <w:pPr>
            <w:jc w:val="right"/>
            <w:rPr>
              <w:szCs w:val="21"/>
            </w:rPr>
          </w:pPr>
          <w:r>
            <w:rPr>
              <w:szCs w:val="21"/>
            </w:rPr>
            <w:t>单位：</w:t>
          </w:r>
          <w:sdt>
            <w:sdtPr>
              <w:rPr>
                <w:szCs w:val="21"/>
              </w:rPr>
              <w:alias w:val="单位：前十名有限售条件股东持股数量及限售条件"/>
              <w:tag w:val="_GBC_78052001466c477184499f6c6e00f24a"/>
              <w:id w:val="2472087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5"/>
            <w:gridCol w:w="1699"/>
            <w:gridCol w:w="1417"/>
            <w:gridCol w:w="1842"/>
            <w:gridCol w:w="1419"/>
            <w:gridCol w:w="2277"/>
          </w:tblGrid>
          <w:tr w:rsidR="004E2C18" w:rsidTr="00292C08">
            <w:trPr>
              <w:cantSplit/>
              <w:tblHeader/>
            </w:trPr>
            <w:tc>
              <w:tcPr>
                <w:tcW w:w="218" w:type="pct"/>
                <w:vMerge w:val="restart"/>
                <w:shd w:val="clear" w:color="auto" w:fill="auto"/>
                <w:vAlign w:val="center"/>
              </w:tcPr>
              <w:p w:rsidR="004E2C18" w:rsidRPr="00D472C4" w:rsidRDefault="004E2C18" w:rsidP="00D472C4">
                <w:pPr>
                  <w:jc w:val="center"/>
                  <w:rPr>
                    <w:b/>
                    <w:szCs w:val="21"/>
                  </w:rPr>
                </w:pPr>
                <w:r w:rsidRPr="00D472C4">
                  <w:rPr>
                    <w:b/>
                    <w:szCs w:val="21"/>
                  </w:rPr>
                  <w:t>序号</w:t>
                </w:r>
              </w:p>
            </w:tc>
            <w:tc>
              <w:tcPr>
                <w:tcW w:w="939" w:type="pct"/>
                <w:vMerge w:val="restart"/>
                <w:shd w:val="clear" w:color="auto" w:fill="auto"/>
                <w:vAlign w:val="center"/>
              </w:tcPr>
              <w:p w:rsidR="004E2C18" w:rsidRPr="00D472C4" w:rsidRDefault="004E2C18" w:rsidP="00D472C4">
                <w:pPr>
                  <w:jc w:val="center"/>
                  <w:rPr>
                    <w:b/>
                    <w:szCs w:val="21"/>
                  </w:rPr>
                </w:pPr>
                <w:r w:rsidRPr="00D472C4">
                  <w:rPr>
                    <w:b/>
                    <w:szCs w:val="21"/>
                  </w:rPr>
                  <w:t>有限售条件股东名称</w:t>
                </w:r>
              </w:p>
            </w:tc>
            <w:tc>
              <w:tcPr>
                <w:tcW w:w="783" w:type="pct"/>
                <w:vMerge w:val="restart"/>
                <w:shd w:val="clear" w:color="auto" w:fill="auto"/>
                <w:vAlign w:val="center"/>
              </w:tcPr>
              <w:p w:rsidR="004E2C18" w:rsidRPr="00D472C4" w:rsidRDefault="004E2C18" w:rsidP="00D472C4">
                <w:pPr>
                  <w:jc w:val="center"/>
                  <w:rPr>
                    <w:b/>
                    <w:szCs w:val="21"/>
                  </w:rPr>
                </w:pPr>
                <w:r w:rsidRPr="00D472C4">
                  <w:rPr>
                    <w:b/>
                    <w:szCs w:val="21"/>
                  </w:rPr>
                  <w:t>持有的有限售条件股份数量</w:t>
                </w:r>
              </w:p>
            </w:tc>
            <w:tc>
              <w:tcPr>
                <w:tcW w:w="1802" w:type="pct"/>
                <w:gridSpan w:val="2"/>
                <w:shd w:val="clear" w:color="auto" w:fill="auto"/>
                <w:vAlign w:val="center"/>
              </w:tcPr>
              <w:p w:rsidR="004E2C18" w:rsidRPr="00D472C4" w:rsidRDefault="004E2C18" w:rsidP="00CB3294">
                <w:pPr>
                  <w:ind w:firstLineChars="300" w:firstLine="632"/>
                  <w:jc w:val="center"/>
                  <w:rPr>
                    <w:b/>
                    <w:szCs w:val="21"/>
                  </w:rPr>
                </w:pPr>
                <w:r w:rsidRPr="00D472C4">
                  <w:rPr>
                    <w:b/>
                    <w:szCs w:val="21"/>
                  </w:rPr>
                  <w:t>有限售条件股份可上市交易情况</w:t>
                </w:r>
              </w:p>
            </w:tc>
            <w:tc>
              <w:tcPr>
                <w:tcW w:w="1258" w:type="pct"/>
                <w:vMerge w:val="restart"/>
                <w:shd w:val="clear" w:color="auto" w:fill="auto"/>
                <w:vAlign w:val="center"/>
              </w:tcPr>
              <w:p w:rsidR="004E2C18" w:rsidRPr="00D472C4" w:rsidRDefault="004E2C18" w:rsidP="00D472C4">
                <w:pPr>
                  <w:jc w:val="center"/>
                  <w:rPr>
                    <w:b/>
                    <w:szCs w:val="21"/>
                  </w:rPr>
                </w:pPr>
                <w:r w:rsidRPr="00D472C4">
                  <w:rPr>
                    <w:b/>
                    <w:szCs w:val="21"/>
                  </w:rPr>
                  <w:t>限售条件</w:t>
                </w:r>
              </w:p>
            </w:tc>
          </w:tr>
          <w:tr w:rsidR="004E2C18" w:rsidTr="00292C08">
            <w:trPr>
              <w:cantSplit/>
              <w:tblHeader/>
            </w:trPr>
            <w:tc>
              <w:tcPr>
                <w:tcW w:w="218" w:type="pct"/>
                <w:vMerge/>
                <w:shd w:val="clear" w:color="auto" w:fill="auto"/>
              </w:tcPr>
              <w:p w:rsidR="004E2C18" w:rsidRPr="00D472C4" w:rsidRDefault="004E2C18" w:rsidP="00D472C4">
                <w:pPr>
                  <w:jc w:val="center"/>
                  <w:rPr>
                    <w:b/>
                    <w:szCs w:val="21"/>
                  </w:rPr>
                </w:pPr>
              </w:p>
            </w:tc>
            <w:tc>
              <w:tcPr>
                <w:tcW w:w="939" w:type="pct"/>
                <w:vMerge/>
                <w:shd w:val="clear" w:color="auto" w:fill="auto"/>
              </w:tcPr>
              <w:p w:rsidR="004E2C18" w:rsidRPr="00D472C4" w:rsidRDefault="004E2C18" w:rsidP="00D472C4">
                <w:pPr>
                  <w:jc w:val="center"/>
                  <w:rPr>
                    <w:b/>
                    <w:szCs w:val="21"/>
                  </w:rPr>
                </w:pPr>
              </w:p>
            </w:tc>
            <w:tc>
              <w:tcPr>
                <w:tcW w:w="783" w:type="pct"/>
                <w:vMerge/>
                <w:shd w:val="clear" w:color="auto" w:fill="auto"/>
              </w:tcPr>
              <w:p w:rsidR="004E2C18" w:rsidRPr="00D472C4" w:rsidRDefault="004E2C18" w:rsidP="00D472C4">
                <w:pPr>
                  <w:jc w:val="center"/>
                  <w:rPr>
                    <w:b/>
                    <w:szCs w:val="21"/>
                  </w:rPr>
                </w:pPr>
              </w:p>
            </w:tc>
            <w:tc>
              <w:tcPr>
                <w:tcW w:w="1018" w:type="pct"/>
                <w:shd w:val="clear" w:color="auto" w:fill="auto"/>
                <w:vAlign w:val="center"/>
              </w:tcPr>
              <w:p w:rsidR="004E2C18" w:rsidRPr="00D472C4" w:rsidRDefault="004E2C18" w:rsidP="00D472C4">
                <w:pPr>
                  <w:jc w:val="center"/>
                  <w:rPr>
                    <w:b/>
                    <w:szCs w:val="21"/>
                  </w:rPr>
                </w:pPr>
                <w:r w:rsidRPr="00D472C4">
                  <w:rPr>
                    <w:b/>
                    <w:szCs w:val="21"/>
                  </w:rPr>
                  <w:t>可上市交易时间</w:t>
                </w:r>
              </w:p>
            </w:tc>
            <w:tc>
              <w:tcPr>
                <w:tcW w:w="784" w:type="pct"/>
                <w:shd w:val="clear" w:color="auto" w:fill="auto"/>
                <w:vAlign w:val="center"/>
              </w:tcPr>
              <w:p w:rsidR="004E2C18" w:rsidRPr="00D472C4" w:rsidRDefault="004E2C18" w:rsidP="00D472C4">
                <w:pPr>
                  <w:jc w:val="center"/>
                  <w:rPr>
                    <w:b/>
                    <w:szCs w:val="21"/>
                  </w:rPr>
                </w:pPr>
                <w:r w:rsidRPr="00D472C4">
                  <w:rPr>
                    <w:b/>
                    <w:szCs w:val="21"/>
                  </w:rPr>
                  <w:t>新增可上市交易股份数量</w:t>
                </w:r>
              </w:p>
            </w:tc>
            <w:tc>
              <w:tcPr>
                <w:tcW w:w="1258" w:type="pct"/>
                <w:vMerge/>
                <w:shd w:val="clear" w:color="auto" w:fill="auto"/>
              </w:tcPr>
              <w:p w:rsidR="004E2C18" w:rsidRDefault="004E2C18" w:rsidP="00D472C4">
                <w:pPr>
                  <w:jc w:val="center"/>
                  <w:rPr>
                    <w:szCs w:val="21"/>
                  </w:rPr>
                </w:pPr>
              </w:p>
            </w:tc>
          </w:tr>
          <w:sdt>
            <w:sdtPr>
              <w:rPr>
                <w:rFonts w:ascii="宋体" w:eastAsiaTheme="minorEastAsia" w:hAnsi="宋体" w:cs="宋体"/>
                <w:kern w:val="0"/>
                <w:sz w:val="24"/>
                <w:szCs w:val="24"/>
              </w:rPr>
              <w:alias w:val="前十名有限售条件股东持股数量及限售条件"/>
              <w:tag w:val="_GBC_d83126645d914b698dcf917d0bed5194"/>
              <w:id w:val="24720879"/>
              <w:lock w:val="sdtLocked"/>
            </w:sdtPr>
            <w:sdtEndPr>
              <w:rPr>
                <w:rFonts w:eastAsia="宋体"/>
                <w:sz w:val="21"/>
              </w:rPr>
            </w:sdtEndPr>
            <w:sdtContent>
              <w:tr w:rsidR="004E2C18" w:rsidTr="00D472C4">
                <w:trPr>
                  <w:cantSplit/>
                  <w:trHeight w:val="345"/>
                </w:trPr>
                <w:tc>
                  <w:tcPr>
                    <w:tcW w:w="218" w:type="pct"/>
                    <w:shd w:val="clear" w:color="auto" w:fill="auto"/>
                    <w:vAlign w:val="center"/>
                  </w:tcPr>
                  <w:sdt>
                    <w:sdtPr>
                      <w:rPr>
                        <w:rFonts w:ascii="宋体" w:hAnsi="宋体" w:cs="宋体"/>
                        <w:kern w:val="0"/>
                        <w:sz w:val="24"/>
                        <w:szCs w:val="24"/>
                      </w:rPr>
                      <w:tag w:val="_GBC_c2e092c5ba764f50be59b11b7c36dded"/>
                      <w:id w:val="24720873"/>
                      <w:lock w:val="sdtLocked"/>
                    </w:sdtPr>
                    <w:sdtEndPr>
                      <w:rPr>
                        <w:rFonts w:cs="Times New Roman"/>
                        <w:kern w:val="2"/>
                        <w:sz w:val="21"/>
                        <w:szCs w:val="21"/>
                      </w:rPr>
                    </w:sdtEndPr>
                    <w:sdtContent>
                      <w:p w:rsidR="004E2C18" w:rsidRDefault="004E2C18" w:rsidP="00D472C4">
                        <w:pPr>
                          <w:pStyle w:val="a8"/>
                          <w:rPr>
                            <w:rFonts w:ascii="宋体" w:hAnsi="宋体"/>
                          </w:rPr>
                        </w:pPr>
                        <w:r>
                          <w:rPr>
                            <w:rFonts w:ascii="宋体" w:hAnsi="宋体"/>
                          </w:rPr>
                          <w:t>1</w:t>
                        </w:r>
                      </w:p>
                    </w:sdtContent>
                  </w:sdt>
                </w:tc>
                <w:sdt>
                  <w:sdtPr>
                    <w:rPr>
                      <w:szCs w:val="21"/>
                    </w:rPr>
                    <w:alias w:val="前十名有限售条件股东名称"/>
                    <w:tag w:val="_GBC_7ef285d502294b5c9460512289243956"/>
                    <w:id w:val="24720874"/>
                    <w:lock w:val="sdtLocked"/>
                  </w:sdtPr>
                  <w:sdtContent>
                    <w:tc>
                      <w:tcPr>
                        <w:tcW w:w="939" w:type="pct"/>
                        <w:shd w:val="clear" w:color="auto" w:fill="auto"/>
                        <w:vAlign w:val="center"/>
                      </w:tcPr>
                      <w:p w:rsidR="004E2C18" w:rsidRDefault="004E2C18" w:rsidP="00D472C4">
                        <w:pPr>
                          <w:rPr>
                            <w:szCs w:val="21"/>
                          </w:rPr>
                        </w:pPr>
                        <w:r>
                          <w:rPr>
                            <w:rFonts w:hint="eastAsia"/>
                            <w:szCs w:val="21"/>
                          </w:rPr>
                          <w:t>深圳市招融投资控股有限公司</w:t>
                        </w:r>
                      </w:p>
                    </w:tc>
                  </w:sdtContent>
                </w:sdt>
                <w:sdt>
                  <w:sdtPr>
                    <w:rPr>
                      <w:szCs w:val="21"/>
                    </w:rPr>
                    <w:alias w:val="前十名有限售条件股东持有的有限售条件股份数量"/>
                    <w:tag w:val="_GBC_d899503b8fd54d0f9d5b70d1893aa57c"/>
                    <w:id w:val="24720875"/>
                    <w:lock w:val="sdtLocked"/>
                  </w:sdtPr>
                  <w:sdtContent>
                    <w:tc>
                      <w:tcPr>
                        <w:tcW w:w="783" w:type="pct"/>
                        <w:shd w:val="clear" w:color="auto" w:fill="auto"/>
                        <w:vAlign w:val="center"/>
                      </w:tcPr>
                      <w:p w:rsidR="004E2C18" w:rsidRDefault="004E2C18" w:rsidP="00D472C4">
                        <w:pPr>
                          <w:rPr>
                            <w:szCs w:val="21"/>
                          </w:rPr>
                        </w:pPr>
                        <w:r>
                          <w:rPr>
                            <w:szCs w:val="21"/>
                          </w:rPr>
                          <w:t>815,308,642</w:t>
                        </w:r>
                      </w:p>
                    </w:tc>
                  </w:sdtContent>
                </w:sdt>
                <w:sdt>
                  <w:sdtPr>
                    <w:rPr>
                      <w:szCs w:val="21"/>
                    </w:rPr>
                    <w:alias w:val="前十名有限售条件股东持有的有限售条件股份可上市交易时间"/>
                    <w:tag w:val="_GBC_bebff3b5048a420084a12546f22d743f"/>
                    <w:id w:val="24720876"/>
                    <w:lock w:val="sdtLocked"/>
                  </w:sdtPr>
                  <w:sdtContent>
                    <w:tc>
                      <w:tcPr>
                        <w:tcW w:w="1018" w:type="pct"/>
                        <w:shd w:val="clear" w:color="auto" w:fill="auto"/>
                        <w:vAlign w:val="center"/>
                      </w:tcPr>
                      <w:p w:rsidR="004E2C18" w:rsidRDefault="004E2C18" w:rsidP="00D472C4">
                        <w:pPr>
                          <w:rPr>
                            <w:szCs w:val="21"/>
                          </w:rPr>
                        </w:pPr>
                        <w:r>
                          <w:rPr>
                            <w:szCs w:val="21"/>
                          </w:rPr>
                          <w:t>2019年5月27日</w:t>
                        </w:r>
                      </w:p>
                    </w:tc>
                  </w:sdtContent>
                </w:sdt>
                <w:sdt>
                  <w:sdtPr>
                    <w:rPr>
                      <w:szCs w:val="21"/>
                    </w:rPr>
                    <w:alias w:val="前十名有限售条件股东新增可上市交易股份数量"/>
                    <w:tag w:val="_GBC_69a883662d6d484784759372d13ffc37"/>
                    <w:id w:val="24720877"/>
                    <w:lock w:val="sdtLocked"/>
                  </w:sdtPr>
                  <w:sdtContent>
                    <w:tc>
                      <w:tcPr>
                        <w:tcW w:w="784" w:type="pct"/>
                        <w:shd w:val="clear" w:color="auto" w:fill="auto"/>
                        <w:vAlign w:val="center"/>
                      </w:tcPr>
                      <w:p w:rsidR="004E2C18" w:rsidRDefault="00E828CF" w:rsidP="00E828CF">
                        <w:pPr>
                          <w:jc w:val="center"/>
                          <w:rPr>
                            <w:szCs w:val="21"/>
                          </w:rPr>
                        </w:pPr>
                        <w:r>
                          <w:rPr>
                            <w:rFonts w:hint="eastAsia"/>
                            <w:szCs w:val="21"/>
                          </w:rPr>
                          <w:t>—</w:t>
                        </w:r>
                      </w:p>
                    </w:tc>
                  </w:sdtContent>
                </w:sdt>
                <w:sdt>
                  <w:sdtPr>
                    <w:rPr>
                      <w:szCs w:val="21"/>
                    </w:rPr>
                    <w:alias w:val="前十名有限售条件股东限售条件"/>
                    <w:tag w:val="_GBC_390987292bd14b749fe0ae995d5b4272"/>
                    <w:id w:val="24720878"/>
                    <w:lock w:val="sdtLocked"/>
                  </w:sdtPr>
                  <w:sdtContent>
                    <w:tc>
                      <w:tcPr>
                        <w:tcW w:w="1258" w:type="pct"/>
                        <w:shd w:val="clear" w:color="auto" w:fill="auto"/>
                        <w:vAlign w:val="center"/>
                      </w:tcPr>
                      <w:p w:rsidR="004E2C18" w:rsidRDefault="004E2C18" w:rsidP="00D472C4">
                        <w:pPr>
                          <w:rPr>
                            <w:szCs w:val="21"/>
                          </w:rPr>
                        </w:pPr>
                        <w:r>
                          <w:rPr>
                            <w:rFonts w:hint="eastAsia"/>
                            <w:szCs w:val="21"/>
                          </w:rPr>
                          <w:t>所认购的公司</w:t>
                        </w:r>
                        <w:r>
                          <w:rPr>
                            <w:szCs w:val="21"/>
                          </w:rPr>
                          <w:t>2014年非公开发行股票股份自发行结束之日起60个月内不得转让。</w:t>
                        </w:r>
                      </w:p>
                    </w:tc>
                  </w:sdtContent>
                </w:sdt>
              </w:tr>
            </w:sdtContent>
          </w:sdt>
          <w:sdt>
            <w:sdtPr>
              <w:rPr>
                <w:rFonts w:ascii="宋体" w:eastAsiaTheme="minorEastAsia" w:hAnsi="宋体" w:cs="宋体"/>
                <w:kern w:val="0"/>
                <w:sz w:val="24"/>
                <w:szCs w:val="24"/>
              </w:rPr>
              <w:alias w:val="前十名有限售条件股东持股数量及限售条件"/>
              <w:tag w:val="_GBC_d83126645d914b698dcf917d0bed5194"/>
              <w:id w:val="24720886"/>
              <w:lock w:val="sdtLocked"/>
            </w:sdtPr>
            <w:sdtEndPr>
              <w:rPr>
                <w:rFonts w:eastAsia="宋体"/>
                <w:sz w:val="21"/>
              </w:rPr>
            </w:sdtEndPr>
            <w:sdtContent>
              <w:tr w:rsidR="004E2C18" w:rsidTr="00D472C4">
                <w:trPr>
                  <w:cantSplit/>
                  <w:trHeight w:val="345"/>
                </w:trPr>
                <w:tc>
                  <w:tcPr>
                    <w:tcW w:w="218" w:type="pct"/>
                    <w:shd w:val="clear" w:color="auto" w:fill="auto"/>
                    <w:vAlign w:val="center"/>
                  </w:tcPr>
                  <w:sdt>
                    <w:sdtPr>
                      <w:rPr>
                        <w:rFonts w:ascii="宋体" w:hAnsi="宋体" w:cs="宋体"/>
                        <w:kern w:val="0"/>
                        <w:sz w:val="24"/>
                        <w:szCs w:val="24"/>
                      </w:rPr>
                      <w:tag w:val="_GBC_c2e092c5ba764f50be59b11b7c36dded"/>
                      <w:id w:val="24720880"/>
                      <w:lock w:val="sdtLocked"/>
                    </w:sdtPr>
                    <w:sdtEndPr>
                      <w:rPr>
                        <w:rFonts w:cs="Times New Roman"/>
                        <w:kern w:val="2"/>
                        <w:sz w:val="21"/>
                        <w:szCs w:val="21"/>
                      </w:rPr>
                    </w:sdtEndPr>
                    <w:sdtContent>
                      <w:p w:rsidR="004E2C18" w:rsidRDefault="004E2C18" w:rsidP="00D472C4">
                        <w:pPr>
                          <w:pStyle w:val="a8"/>
                          <w:rPr>
                            <w:rFonts w:ascii="宋体" w:hAnsi="宋体"/>
                          </w:rPr>
                        </w:pPr>
                        <w:r>
                          <w:rPr>
                            <w:rFonts w:ascii="宋体" w:hAnsi="宋体"/>
                          </w:rPr>
                          <w:t>2</w:t>
                        </w:r>
                      </w:p>
                    </w:sdtContent>
                  </w:sdt>
                </w:tc>
                <w:sdt>
                  <w:sdtPr>
                    <w:rPr>
                      <w:szCs w:val="21"/>
                    </w:rPr>
                    <w:alias w:val="前十名有限售条件股东名称"/>
                    <w:tag w:val="_GBC_7ef285d502294b5c9460512289243956"/>
                    <w:id w:val="24720881"/>
                    <w:lock w:val="sdtLocked"/>
                  </w:sdtPr>
                  <w:sdtContent>
                    <w:tc>
                      <w:tcPr>
                        <w:tcW w:w="939" w:type="pct"/>
                        <w:shd w:val="clear" w:color="auto" w:fill="auto"/>
                        <w:vAlign w:val="center"/>
                      </w:tcPr>
                      <w:p w:rsidR="004E2C18" w:rsidRDefault="004E2C18" w:rsidP="00D472C4">
                        <w:pPr>
                          <w:rPr>
                            <w:szCs w:val="21"/>
                          </w:rPr>
                        </w:pPr>
                        <w:r>
                          <w:rPr>
                            <w:rFonts w:hint="eastAsia"/>
                            <w:szCs w:val="21"/>
                          </w:rPr>
                          <w:t>中国远洋运输（集团）总公司</w:t>
                        </w:r>
                      </w:p>
                    </w:tc>
                  </w:sdtContent>
                </w:sdt>
                <w:sdt>
                  <w:sdtPr>
                    <w:rPr>
                      <w:szCs w:val="21"/>
                    </w:rPr>
                    <w:alias w:val="前十名有限售条件股东持有的有限售条件股份数量"/>
                    <w:tag w:val="_GBC_d899503b8fd54d0f9d5b70d1893aa57c"/>
                    <w:id w:val="24720882"/>
                    <w:lock w:val="sdtLocked"/>
                  </w:sdtPr>
                  <w:sdtContent>
                    <w:tc>
                      <w:tcPr>
                        <w:tcW w:w="783" w:type="pct"/>
                        <w:shd w:val="clear" w:color="auto" w:fill="auto"/>
                        <w:vAlign w:val="center"/>
                      </w:tcPr>
                      <w:p w:rsidR="004E2C18" w:rsidRDefault="004E2C18" w:rsidP="00D472C4">
                        <w:pPr>
                          <w:rPr>
                            <w:szCs w:val="21"/>
                          </w:rPr>
                        </w:pPr>
                        <w:r>
                          <w:rPr>
                            <w:szCs w:val="21"/>
                          </w:rPr>
                          <w:t>124,453,374</w:t>
                        </w:r>
                      </w:p>
                    </w:tc>
                  </w:sdtContent>
                </w:sdt>
                <w:sdt>
                  <w:sdtPr>
                    <w:rPr>
                      <w:szCs w:val="21"/>
                    </w:rPr>
                    <w:alias w:val="前十名有限售条件股东持有的有限售条件股份可上市交易时间"/>
                    <w:tag w:val="_GBC_bebff3b5048a420084a12546f22d743f"/>
                    <w:id w:val="24720883"/>
                    <w:lock w:val="sdtLocked"/>
                  </w:sdtPr>
                  <w:sdtContent>
                    <w:tc>
                      <w:tcPr>
                        <w:tcW w:w="1018" w:type="pct"/>
                        <w:shd w:val="clear" w:color="auto" w:fill="auto"/>
                        <w:vAlign w:val="center"/>
                      </w:tcPr>
                      <w:p w:rsidR="004E2C18" w:rsidRDefault="004E2C18" w:rsidP="00D472C4">
                        <w:pPr>
                          <w:rPr>
                            <w:szCs w:val="21"/>
                          </w:rPr>
                        </w:pPr>
                        <w:r>
                          <w:rPr>
                            <w:szCs w:val="21"/>
                          </w:rPr>
                          <w:t>2017年5月29日</w:t>
                        </w:r>
                      </w:p>
                    </w:tc>
                  </w:sdtContent>
                </w:sdt>
                <w:sdt>
                  <w:sdtPr>
                    <w:rPr>
                      <w:szCs w:val="21"/>
                    </w:rPr>
                    <w:alias w:val="前十名有限售条件股东新增可上市交易股份数量"/>
                    <w:tag w:val="_GBC_69a883662d6d484784759372d13ffc37"/>
                    <w:id w:val="24720884"/>
                    <w:lock w:val="sdtLocked"/>
                  </w:sdtPr>
                  <w:sdtContent>
                    <w:tc>
                      <w:tcPr>
                        <w:tcW w:w="784" w:type="pct"/>
                        <w:shd w:val="clear" w:color="auto" w:fill="auto"/>
                        <w:vAlign w:val="center"/>
                      </w:tcPr>
                      <w:p w:rsidR="004E2C18" w:rsidRDefault="00E828CF" w:rsidP="00E828CF">
                        <w:pPr>
                          <w:jc w:val="center"/>
                          <w:rPr>
                            <w:szCs w:val="21"/>
                          </w:rPr>
                        </w:pPr>
                        <w:r>
                          <w:rPr>
                            <w:rFonts w:hint="eastAsia"/>
                            <w:szCs w:val="21"/>
                          </w:rPr>
                          <w:t>—</w:t>
                        </w:r>
                      </w:p>
                    </w:tc>
                  </w:sdtContent>
                </w:sdt>
                <w:sdt>
                  <w:sdtPr>
                    <w:rPr>
                      <w:szCs w:val="21"/>
                    </w:rPr>
                    <w:alias w:val="前十名有限售条件股东限售条件"/>
                    <w:tag w:val="_GBC_390987292bd14b749fe0ae995d5b4272"/>
                    <w:id w:val="24720885"/>
                    <w:lock w:val="sdtLocked"/>
                  </w:sdtPr>
                  <w:sdtContent>
                    <w:tc>
                      <w:tcPr>
                        <w:tcW w:w="1258" w:type="pct"/>
                        <w:shd w:val="clear" w:color="auto" w:fill="auto"/>
                        <w:vAlign w:val="center"/>
                      </w:tcPr>
                      <w:p w:rsidR="004E2C18" w:rsidRDefault="004E2C18" w:rsidP="00D472C4">
                        <w:pPr>
                          <w:rPr>
                            <w:szCs w:val="21"/>
                          </w:rPr>
                        </w:pPr>
                        <w:r>
                          <w:rPr>
                            <w:rFonts w:hint="eastAsia"/>
                            <w:szCs w:val="21"/>
                          </w:rPr>
                          <w:t>所认购的公司</w:t>
                        </w:r>
                        <w:r>
                          <w:rPr>
                            <w:szCs w:val="21"/>
                          </w:rPr>
                          <w:t>2014年非公开发行股票股份自发行结束之日起36个月内不得转让。</w:t>
                        </w:r>
                      </w:p>
                    </w:tc>
                  </w:sdtContent>
                </w:sdt>
              </w:tr>
            </w:sdtContent>
          </w:sdt>
          <w:sdt>
            <w:sdtPr>
              <w:rPr>
                <w:rFonts w:ascii="宋体" w:eastAsiaTheme="minorEastAsia" w:hAnsi="宋体" w:cs="宋体"/>
                <w:kern w:val="0"/>
                <w:sz w:val="24"/>
                <w:szCs w:val="24"/>
              </w:rPr>
              <w:alias w:val="前十名有限售条件股东持股数量及限售条件"/>
              <w:tag w:val="_GBC_d83126645d914b698dcf917d0bed5194"/>
              <w:id w:val="24720893"/>
              <w:lock w:val="sdtLocked"/>
            </w:sdtPr>
            <w:sdtEndPr>
              <w:rPr>
                <w:rFonts w:eastAsia="宋体"/>
                <w:sz w:val="21"/>
              </w:rPr>
            </w:sdtEndPr>
            <w:sdtContent>
              <w:tr w:rsidR="004E2C18" w:rsidTr="00D472C4">
                <w:trPr>
                  <w:cantSplit/>
                  <w:trHeight w:val="345"/>
                </w:trPr>
                <w:tc>
                  <w:tcPr>
                    <w:tcW w:w="218" w:type="pct"/>
                    <w:shd w:val="clear" w:color="auto" w:fill="auto"/>
                    <w:vAlign w:val="center"/>
                  </w:tcPr>
                  <w:sdt>
                    <w:sdtPr>
                      <w:rPr>
                        <w:rFonts w:ascii="宋体" w:hAnsi="宋体" w:cs="宋体"/>
                        <w:kern w:val="0"/>
                        <w:sz w:val="24"/>
                        <w:szCs w:val="24"/>
                      </w:rPr>
                      <w:tag w:val="_GBC_c2e092c5ba764f50be59b11b7c36dded"/>
                      <w:id w:val="24720887"/>
                      <w:lock w:val="sdtLocked"/>
                    </w:sdtPr>
                    <w:sdtEndPr>
                      <w:rPr>
                        <w:rFonts w:cs="Times New Roman"/>
                        <w:kern w:val="2"/>
                        <w:sz w:val="21"/>
                        <w:szCs w:val="21"/>
                      </w:rPr>
                    </w:sdtEndPr>
                    <w:sdtContent>
                      <w:p w:rsidR="004E2C18" w:rsidRDefault="004E2C18" w:rsidP="00D472C4">
                        <w:pPr>
                          <w:pStyle w:val="a8"/>
                          <w:rPr>
                            <w:rFonts w:ascii="宋体" w:hAnsi="宋体"/>
                          </w:rPr>
                        </w:pPr>
                        <w:r>
                          <w:rPr>
                            <w:rFonts w:ascii="宋体" w:hAnsi="宋体"/>
                          </w:rPr>
                          <w:t>3</w:t>
                        </w:r>
                      </w:p>
                    </w:sdtContent>
                  </w:sdt>
                </w:tc>
                <w:sdt>
                  <w:sdtPr>
                    <w:rPr>
                      <w:szCs w:val="21"/>
                    </w:rPr>
                    <w:alias w:val="前十名有限售条件股东名称"/>
                    <w:tag w:val="_GBC_7ef285d502294b5c9460512289243956"/>
                    <w:id w:val="24720888"/>
                    <w:lock w:val="sdtLocked"/>
                  </w:sdtPr>
                  <w:sdtContent>
                    <w:tc>
                      <w:tcPr>
                        <w:tcW w:w="939" w:type="pct"/>
                        <w:shd w:val="clear" w:color="auto" w:fill="auto"/>
                        <w:vAlign w:val="center"/>
                      </w:tcPr>
                      <w:p w:rsidR="004E2C18" w:rsidRDefault="004E2C18" w:rsidP="00D472C4">
                        <w:pPr>
                          <w:rPr>
                            <w:szCs w:val="21"/>
                          </w:rPr>
                        </w:pPr>
                        <w:r>
                          <w:rPr>
                            <w:rFonts w:hint="eastAsia"/>
                            <w:szCs w:val="21"/>
                          </w:rPr>
                          <w:t>河北港口集团有限公司</w:t>
                        </w:r>
                      </w:p>
                    </w:tc>
                  </w:sdtContent>
                </w:sdt>
                <w:sdt>
                  <w:sdtPr>
                    <w:rPr>
                      <w:szCs w:val="21"/>
                    </w:rPr>
                    <w:alias w:val="前十名有限售条件股东持有的有限售条件股份数量"/>
                    <w:tag w:val="_GBC_d899503b8fd54d0f9d5b70d1893aa57c"/>
                    <w:id w:val="24720889"/>
                    <w:lock w:val="sdtLocked"/>
                  </w:sdtPr>
                  <w:sdtContent>
                    <w:tc>
                      <w:tcPr>
                        <w:tcW w:w="783" w:type="pct"/>
                        <w:shd w:val="clear" w:color="auto" w:fill="auto"/>
                        <w:vAlign w:val="center"/>
                      </w:tcPr>
                      <w:p w:rsidR="004E2C18" w:rsidRDefault="004E2C18" w:rsidP="00D472C4">
                        <w:pPr>
                          <w:rPr>
                            <w:szCs w:val="21"/>
                          </w:rPr>
                        </w:pPr>
                        <w:r>
                          <w:rPr>
                            <w:szCs w:val="21"/>
                          </w:rPr>
                          <w:t>65,273,684</w:t>
                        </w:r>
                      </w:p>
                    </w:tc>
                  </w:sdtContent>
                </w:sdt>
                <w:sdt>
                  <w:sdtPr>
                    <w:rPr>
                      <w:szCs w:val="21"/>
                    </w:rPr>
                    <w:alias w:val="前十名有限售条件股东持有的有限售条件股份可上市交易时间"/>
                    <w:tag w:val="_GBC_bebff3b5048a420084a12546f22d743f"/>
                    <w:id w:val="24720890"/>
                    <w:lock w:val="sdtLocked"/>
                  </w:sdtPr>
                  <w:sdtContent>
                    <w:tc>
                      <w:tcPr>
                        <w:tcW w:w="1018" w:type="pct"/>
                        <w:shd w:val="clear" w:color="auto" w:fill="auto"/>
                        <w:vAlign w:val="center"/>
                      </w:tcPr>
                      <w:p w:rsidR="004E2C18" w:rsidRDefault="004E2C18" w:rsidP="00D472C4">
                        <w:pPr>
                          <w:rPr>
                            <w:szCs w:val="21"/>
                          </w:rPr>
                        </w:pPr>
                        <w:r>
                          <w:rPr>
                            <w:szCs w:val="21"/>
                          </w:rPr>
                          <w:t>2017年5月29日</w:t>
                        </w:r>
                      </w:p>
                    </w:tc>
                  </w:sdtContent>
                </w:sdt>
                <w:sdt>
                  <w:sdtPr>
                    <w:rPr>
                      <w:szCs w:val="21"/>
                    </w:rPr>
                    <w:alias w:val="前十名有限售条件股东新增可上市交易股份数量"/>
                    <w:tag w:val="_GBC_69a883662d6d484784759372d13ffc37"/>
                    <w:id w:val="24720891"/>
                    <w:lock w:val="sdtLocked"/>
                  </w:sdtPr>
                  <w:sdtContent>
                    <w:tc>
                      <w:tcPr>
                        <w:tcW w:w="784" w:type="pct"/>
                        <w:shd w:val="clear" w:color="auto" w:fill="auto"/>
                        <w:vAlign w:val="center"/>
                      </w:tcPr>
                      <w:p w:rsidR="004E2C18" w:rsidRDefault="00E828CF" w:rsidP="00E828CF">
                        <w:pPr>
                          <w:jc w:val="center"/>
                          <w:rPr>
                            <w:szCs w:val="21"/>
                          </w:rPr>
                        </w:pPr>
                        <w:r>
                          <w:rPr>
                            <w:rFonts w:hint="eastAsia"/>
                            <w:szCs w:val="21"/>
                          </w:rPr>
                          <w:t>—</w:t>
                        </w:r>
                      </w:p>
                    </w:tc>
                  </w:sdtContent>
                </w:sdt>
                <w:sdt>
                  <w:sdtPr>
                    <w:rPr>
                      <w:szCs w:val="21"/>
                    </w:rPr>
                    <w:alias w:val="前十名有限售条件股东限售条件"/>
                    <w:tag w:val="_GBC_390987292bd14b749fe0ae995d5b4272"/>
                    <w:id w:val="24720892"/>
                    <w:lock w:val="sdtLocked"/>
                  </w:sdtPr>
                  <w:sdtContent>
                    <w:tc>
                      <w:tcPr>
                        <w:tcW w:w="1258" w:type="pct"/>
                        <w:shd w:val="clear" w:color="auto" w:fill="auto"/>
                        <w:vAlign w:val="center"/>
                      </w:tcPr>
                      <w:p w:rsidR="004E2C18" w:rsidRDefault="004E2C18" w:rsidP="00D472C4">
                        <w:pPr>
                          <w:rPr>
                            <w:szCs w:val="21"/>
                          </w:rPr>
                        </w:pPr>
                        <w:r>
                          <w:rPr>
                            <w:rFonts w:hint="eastAsia"/>
                            <w:szCs w:val="21"/>
                          </w:rPr>
                          <w:t>所认购的公司</w:t>
                        </w:r>
                        <w:r>
                          <w:rPr>
                            <w:szCs w:val="21"/>
                          </w:rPr>
                          <w:t>2014年非公开发行股票股份自发行结束之日起36个月内不得转让。</w:t>
                        </w:r>
                      </w:p>
                    </w:tc>
                  </w:sdtContent>
                </w:sdt>
              </w:tr>
            </w:sdtContent>
          </w:sdt>
          <w:tr w:rsidR="004E2C18" w:rsidRPr="004E2C18" w:rsidTr="004E2C18">
            <w:trPr>
              <w:cantSplit/>
            </w:trPr>
            <w:tc>
              <w:tcPr>
                <w:tcW w:w="1157" w:type="pct"/>
                <w:gridSpan w:val="2"/>
                <w:shd w:val="clear" w:color="auto" w:fill="auto"/>
              </w:tcPr>
              <w:p w:rsidR="004E2C18" w:rsidRDefault="004E2C18" w:rsidP="00CB3294">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c9a67d41cd134e45a94a4684667e6c0d"/>
                <w:id w:val="24720894"/>
                <w:lock w:val="sdtLocked"/>
              </w:sdtPr>
              <w:sdtContent>
                <w:tc>
                  <w:tcPr>
                    <w:tcW w:w="3843" w:type="pct"/>
                    <w:gridSpan w:val="4"/>
                    <w:shd w:val="clear" w:color="auto" w:fill="auto"/>
                    <w:vAlign w:val="center"/>
                  </w:tcPr>
                  <w:p w:rsidR="004E2C18" w:rsidRDefault="004E2C18" w:rsidP="00C72F10">
                    <w:pPr>
                      <w:ind w:rightChars="46" w:right="97"/>
                      <w:jc w:val="center"/>
                      <w:rPr>
                        <w:rFonts w:cs="Arial"/>
                        <w:color w:val="0000FF"/>
                        <w:szCs w:val="21"/>
                      </w:rPr>
                    </w:pPr>
                    <w:r>
                      <w:rPr>
                        <w:rFonts w:cs="Arial" w:hint="eastAsia"/>
                        <w:szCs w:val="21"/>
                      </w:rPr>
                      <w:t>无。</w:t>
                    </w:r>
                  </w:p>
                </w:tc>
              </w:sdtContent>
            </w:sdt>
          </w:tr>
        </w:tbl>
        <w:p w:rsidR="00704CAD" w:rsidRPr="004E2C18" w:rsidRDefault="00422DCA" w:rsidP="004E2C18"/>
      </w:sdtContent>
    </w:sdt>
    <w:bookmarkStart w:id="62" w:name="_Toc342059487" w:displacedByCustomXml="next"/>
    <w:bookmarkStart w:id="63" w:name="_Toc342566000" w:displacedByCustomXml="next"/>
    <w:sdt>
      <w:sdtPr>
        <w:rPr>
          <w:rFonts w:ascii="宋体" w:hAnsi="宋体" w:cs="宋体"/>
          <w:b w:val="0"/>
          <w:bCs w:val="0"/>
          <w:kern w:val="0"/>
          <w:sz w:val="24"/>
          <w:szCs w:val="21"/>
        </w:rPr>
        <w:tag w:val="_GBC_3c40ce9e2c5d47148fa6cad1b27c860a"/>
        <w:id w:val="24720897"/>
        <w:lock w:val="sdtLocked"/>
        <w:placeholder>
          <w:docPart w:val="GBC22222222222222222222222222222"/>
        </w:placeholder>
      </w:sdtPr>
      <w:sdtEndPr>
        <w:rPr>
          <w:rFonts w:hint="eastAsia"/>
          <w:sz w:val="21"/>
        </w:rPr>
      </w:sdtEndPr>
      <w:sdtContent>
        <w:p w:rsidR="00704CAD" w:rsidRDefault="00720895" w:rsidP="001C1A59">
          <w:pPr>
            <w:pStyle w:val="3"/>
            <w:numPr>
              <w:ilvl w:val="1"/>
              <w:numId w:val="13"/>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
            <w:tag w:val="_GBC_6c89b5c31b0246208d772e01fbc3bfdc"/>
            <w:id w:val="24720896"/>
            <w:lock w:val="sdtLocked"/>
            <w:placeholder>
              <w:docPart w:val="GBC22222222222222222222222222222"/>
            </w:placeholder>
          </w:sdtPr>
          <w:sdtContent>
            <w:p w:rsidR="006E6526" w:rsidRDefault="00422DCA" w:rsidP="00E233DB">
              <w:r>
                <w:fldChar w:fldCharType="begin"/>
              </w:r>
              <w:r w:rsidR="00E233DB">
                <w:instrText xml:space="preserve"> MACROBUTTON  SnrToggleCheckbox □适用 </w:instrText>
              </w:r>
              <w:r>
                <w:fldChar w:fldCharType="end"/>
              </w:r>
              <w:r>
                <w:fldChar w:fldCharType="begin"/>
              </w:r>
              <w:r w:rsidR="00E233DB">
                <w:instrText xml:space="preserve"> MACROBUTTON  SnrToggleCheckbox √不适用 </w:instrText>
              </w:r>
              <w:r>
                <w:fldChar w:fldCharType="end"/>
              </w:r>
            </w:p>
            <w:p w:rsidR="00704CAD" w:rsidRPr="006E6526" w:rsidRDefault="00422DCA" w:rsidP="00E233DB"/>
          </w:sdtContent>
        </w:sdt>
      </w:sdtContent>
    </w:sdt>
    <w:bookmarkEnd w:id="63"/>
    <w:bookmarkEnd w:id="62"/>
    <w:p w:rsidR="00704CAD" w:rsidRDefault="00720895">
      <w:pPr>
        <w:pStyle w:val="2"/>
        <w:numPr>
          <w:ilvl w:val="0"/>
          <w:numId w:val="1"/>
        </w:numPr>
      </w:pPr>
      <w:r>
        <w:rPr>
          <w:rFonts w:hint="eastAsia"/>
        </w:rPr>
        <w:t>控股股东或实际控制人变更情况</w:t>
      </w:r>
    </w:p>
    <w:sdt>
      <w:sdtPr>
        <w:rPr>
          <w:color w:val="0000FF"/>
          <w:szCs w:val="21"/>
          <w:bdr w:val="single" w:sz="4" w:space="0" w:color="auto"/>
        </w:rPr>
        <w:alias w:val="控股股东及实际控制人变更情况"/>
        <w:tag w:val="_GBC_9c6e5b0cf1d448fda0bbb628fe23df7b"/>
        <w:id w:val="24720899"/>
        <w:lock w:val="sdtLocked"/>
        <w:placeholder>
          <w:docPart w:val="GBC22222222222222222222222222222"/>
        </w:placeholder>
      </w:sdtPr>
      <w:sdtEndPr>
        <w:rPr>
          <w:color w:val="auto"/>
          <w:szCs w:val="24"/>
          <w:bdr w:val="none" w:sz="0" w:space="0" w:color="auto"/>
        </w:rPr>
      </w:sdtEndPr>
      <w:sdtContent>
        <w:sdt>
          <w:sdtPr>
            <w:alias w:val="是否适用：控股股东及实际控制人变更情况"/>
            <w:tag w:val="_GBC_dc99ad0da14b45aebe4874aea68ced08"/>
            <w:id w:val="18561712"/>
            <w:lock w:val="sdtLocked"/>
          </w:sdtPr>
          <w:sdtContent>
            <w:p w:rsidR="005D263D" w:rsidRDefault="005D263D" w:rsidP="005D263D">
              <w:pPr>
                <w:kinsoku w:val="0"/>
                <w:overflowPunct w:val="0"/>
                <w:autoSpaceDE w:val="0"/>
                <w:autoSpaceDN w:val="0"/>
                <w:adjustRightInd w:val="0"/>
                <w:snapToGrid w:val="0"/>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D263D" w:rsidRDefault="005D263D" w:rsidP="005D263D">
          <w:pPr>
            <w:kinsoku w:val="0"/>
            <w:overflowPunct w:val="0"/>
            <w:autoSpaceDE w:val="0"/>
            <w:autoSpaceDN w:val="0"/>
            <w:adjustRightInd w:val="0"/>
            <w:snapToGrid w:val="0"/>
            <w:rPr>
              <w:rFonts w:hint="eastAsia"/>
            </w:rPr>
          </w:pPr>
        </w:p>
        <w:p w:rsidR="00704CAD" w:rsidRPr="005D263D" w:rsidRDefault="00422DCA" w:rsidP="005D263D">
          <w:pPr>
            <w:kinsoku w:val="0"/>
            <w:overflowPunct w:val="0"/>
            <w:autoSpaceDE w:val="0"/>
            <w:autoSpaceDN w:val="0"/>
            <w:adjustRightInd w:val="0"/>
            <w:snapToGrid w:val="0"/>
          </w:pPr>
        </w:p>
      </w:sdtContent>
    </w:sdt>
    <w:p w:rsidR="00704CAD" w:rsidRDefault="00720895">
      <w:pPr>
        <w:pStyle w:val="10"/>
        <w:numPr>
          <w:ilvl w:val="0"/>
          <w:numId w:val="3"/>
        </w:numPr>
        <w:spacing w:before="0" w:after="0"/>
      </w:pPr>
      <w:bookmarkStart w:id="64" w:name="_Toc342566003"/>
      <w:bookmarkStart w:id="65" w:name="_Toc421545515"/>
      <w:r>
        <w:rPr>
          <w:rFonts w:hint="eastAsia"/>
        </w:rPr>
        <w:t>董事、监事、高级管理人员</w:t>
      </w:r>
      <w:bookmarkEnd w:id="64"/>
      <w:bookmarkEnd w:id="65"/>
    </w:p>
    <w:p w:rsidR="00704CAD" w:rsidRDefault="00720895">
      <w:pPr>
        <w:pStyle w:val="2"/>
        <w:numPr>
          <w:ilvl w:val="0"/>
          <w:numId w:val="5"/>
        </w:numPr>
      </w:pPr>
      <w:bookmarkStart w:id="66" w:name="_Toc342057944"/>
      <w:bookmarkStart w:id="67" w:name="_Toc342566004"/>
      <w:r>
        <w:rPr>
          <w:rFonts w:hint="eastAsia"/>
        </w:rPr>
        <w:t>持股变动情况</w:t>
      </w:r>
    </w:p>
    <w:sdt>
      <w:sdtPr>
        <w:rPr>
          <w:rFonts w:ascii="宋体" w:hAnsi="宋体" w:cs="宋体"/>
          <w:b w:val="0"/>
          <w:bCs w:val="0"/>
          <w:kern w:val="0"/>
          <w:sz w:val="24"/>
          <w:szCs w:val="21"/>
        </w:rPr>
        <w:tag w:val="_GBC_e58d505116064e9a9bbb1ef428ef8355"/>
        <w:id w:val="24720902"/>
        <w:lock w:val="sdtLocked"/>
        <w:placeholder>
          <w:docPart w:val="GBC22222222222222222222222222222"/>
        </w:placeholder>
      </w:sdtPr>
      <w:sdtEndPr>
        <w:rPr>
          <w:sz w:val="21"/>
          <w:szCs w:val="24"/>
        </w:rPr>
      </w:sdtEndPr>
      <w:sdtContent>
        <w:p w:rsidR="00704CAD" w:rsidRDefault="00720895" w:rsidP="001C1A59">
          <w:pPr>
            <w:pStyle w:val="3"/>
            <w:numPr>
              <w:ilvl w:val="2"/>
              <w:numId w:val="14"/>
            </w:numPr>
          </w:pPr>
          <w:r>
            <w:rPr>
              <w:szCs w:val="21"/>
            </w:rPr>
            <w:t>现任</w:t>
          </w:r>
          <w:r>
            <w:t>及报告期内离任董事、监事和高级管理人员持股变动情况</w:t>
          </w:r>
        </w:p>
        <w:sdt>
          <w:sdtPr>
            <w:alias w:val="是否适用：董事、监事和高级管理人员持股变动"/>
            <w:tag w:val="_GBC_cab4a70070624282b5dbfa259683567a"/>
            <w:id w:val="24720901"/>
            <w:lock w:val="sdtLocked"/>
            <w:placeholder>
              <w:docPart w:val="GBC22222222222222222222222222222"/>
            </w:placeholder>
          </w:sdtPr>
          <w:sdtContent>
            <w:p w:rsidR="009127DD" w:rsidRDefault="00422DCA" w:rsidP="009127DD">
              <w:r>
                <w:fldChar w:fldCharType="begin"/>
              </w:r>
              <w:r w:rsidR="009127DD">
                <w:instrText xml:space="preserve"> MACROBUTTON  SnrToggleCheckbox □适用 </w:instrText>
              </w:r>
              <w:r>
                <w:fldChar w:fldCharType="end"/>
              </w:r>
              <w:r>
                <w:fldChar w:fldCharType="begin"/>
              </w:r>
              <w:r w:rsidR="009127DD">
                <w:instrText xml:space="preserve"> MACROBUTTON  SnrToggleCheckbox √不适用 </w:instrText>
              </w:r>
              <w:r>
                <w:fldChar w:fldCharType="end"/>
              </w:r>
            </w:p>
          </w:sdtContent>
        </w:sdt>
        <w:p w:rsidR="00704CAD" w:rsidRPr="009127DD" w:rsidRDefault="00422DCA" w:rsidP="009127DD"/>
      </w:sdtContent>
    </w:sdt>
    <w:p w:rsidR="00704CAD" w:rsidRDefault="00720895" w:rsidP="001C1A59">
      <w:pPr>
        <w:pStyle w:val="3"/>
        <w:numPr>
          <w:ilvl w:val="2"/>
          <w:numId w:val="14"/>
        </w:numPr>
        <w:rPr>
          <w:szCs w:val="21"/>
        </w:rPr>
      </w:pPr>
      <w:bookmarkStart w:id="68" w:name="_Toc342057945"/>
      <w:bookmarkStart w:id="69" w:name="_Toc342566005"/>
      <w:bookmarkEnd w:id="66"/>
      <w:bookmarkEnd w:id="67"/>
      <w:r>
        <w:rPr>
          <w:rFonts w:hint="eastAsia"/>
          <w:szCs w:val="21"/>
        </w:rPr>
        <w:t>董事、监事、高级管理人员报告期内被授予的股权激励情况</w:t>
      </w:r>
      <w:bookmarkEnd w:id="68"/>
      <w:bookmarkEnd w:id="69"/>
    </w:p>
    <w:p w:rsidR="00D472C4" w:rsidRDefault="00422DCA" w:rsidP="00D472C4">
      <w:pPr>
        <w:kinsoku w:val="0"/>
        <w:overflowPunct w:val="0"/>
        <w:autoSpaceDE w:val="0"/>
        <w:autoSpaceDN w:val="0"/>
        <w:adjustRightInd w:val="0"/>
        <w:snapToGrid w:val="0"/>
      </w:pPr>
      <w:sdt>
        <w:sdtPr>
          <w:rPr>
            <w:rFonts w:hint="eastAsia"/>
            <w:szCs w:val="21"/>
          </w:rPr>
          <w:alias w:val="是否适用：董事、监事、高级管理人员报告期内被授予的股权激励情况"/>
          <w:tag w:val="_GBC_5e03d8a5861f421c9589bfe1991d9bd3"/>
          <w:id w:val="24720903"/>
          <w:lock w:val="sdtLocked"/>
          <w:placeholder>
            <w:docPart w:val="GBC22222222222222222222222222222"/>
          </w:placeholder>
        </w:sdtPr>
        <w:sdtContent>
          <w:r>
            <w:rPr>
              <w:szCs w:val="21"/>
            </w:rPr>
            <w:fldChar w:fldCharType="begin"/>
          </w:r>
          <w:r w:rsidR="00D472C4">
            <w:rPr>
              <w:szCs w:val="21"/>
            </w:rPr>
            <w:instrText>MACROBUTTON  SnrToggleCheckbox □适用</w:instrText>
          </w:r>
          <w:r>
            <w:rPr>
              <w:szCs w:val="21"/>
            </w:rPr>
            <w:fldChar w:fldCharType="end"/>
          </w:r>
          <w:r>
            <w:rPr>
              <w:szCs w:val="21"/>
            </w:rPr>
            <w:fldChar w:fldCharType="begin"/>
          </w:r>
          <w:r w:rsidR="00D472C4">
            <w:rPr>
              <w:szCs w:val="21"/>
            </w:rPr>
            <w:instrText xml:space="preserve"> MACROBUTTON  SnrToggleCheckbox √不适用 </w:instrText>
          </w:r>
          <w:r>
            <w:rPr>
              <w:szCs w:val="21"/>
            </w:rPr>
            <w:fldChar w:fldCharType="end"/>
          </w:r>
        </w:sdtContent>
      </w:sdt>
    </w:p>
    <w:p w:rsidR="00704CAD" w:rsidRDefault="00704CAD"/>
    <w:sdt>
      <w:sdtPr>
        <w:rPr>
          <w:rFonts w:ascii="宋体" w:hAnsi="宋体" w:cs="宋体"/>
          <w:b w:val="0"/>
          <w:bCs w:val="0"/>
          <w:kern w:val="0"/>
          <w:sz w:val="24"/>
          <w:szCs w:val="24"/>
        </w:rPr>
        <w:tag w:val="_GBC_478a7e57d3f44a4db69f59b0ecdc0d6c"/>
        <w:id w:val="24720905"/>
        <w:lock w:val="sdtLocked"/>
        <w:placeholder>
          <w:docPart w:val="GBC22222222222222222222222222222"/>
        </w:placeholder>
      </w:sdtPr>
      <w:sdtEndPr>
        <w:rPr>
          <w:sz w:val="21"/>
        </w:rPr>
      </w:sdtEndPr>
      <w:sdtContent>
        <w:p w:rsidR="00704CAD" w:rsidRDefault="00720895">
          <w:pPr>
            <w:pStyle w:val="2"/>
            <w:numPr>
              <w:ilvl w:val="0"/>
              <w:numId w:val="5"/>
            </w:numPr>
          </w:pPr>
          <w:r>
            <w:t>公司董事、监事、高级管理人员变动情况</w:t>
          </w:r>
        </w:p>
        <w:sdt>
          <w:sdtPr>
            <w:alias w:val="是否适用：公司董事、监事、高级管理人员变动情况"/>
            <w:tag w:val="_GBC_2e7490aebd574adcb36625801f8c35be"/>
            <w:id w:val="24720904"/>
            <w:lock w:val="sdtLocked"/>
            <w:placeholder>
              <w:docPart w:val="GBC22222222222222222222222222222"/>
            </w:placeholder>
          </w:sdtPr>
          <w:sdtContent>
            <w:p w:rsidR="005C6D2C" w:rsidRDefault="00422DCA" w:rsidP="007374C4">
              <w:r>
                <w:fldChar w:fldCharType="begin"/>
              </w:r>
              <w:r w:rsidR="007374C4">
                <w:instrText xml:space="preserve"> MACROBUTTON  SnrToggleCheckbox □适用 </w:instrText>
              </w:r>
              <w:r>
                <w:fldChar w:fldCharType="end"/>
              </w:r>
              <w:r>
                <w:fldChar w:fldCharType="begin"/>
              </w:r>
              <w:r w:rsidR="007374C4">
                <w:instrText xml:space="preserve"> MACROBUTTON  SnrToggleCheckbox √不适用 </w:instrText>
              </w:r>
              <w:r>
                <w:fldChar w:fldCharType="end"/>
              </w:r>
            </w:p>
            <w:p w:rsidR="007374C4" w:rsidRDefault="00422DCA" w:rsidP="007374C4"/>
          </w:sdtContent>
        </w:sdt>
      </w:sdtContent>
    </w:sdt>
    <w:p w:rsidR="007374C4" w:rsidRPr="007374C4" w:rsidRDefault="007374C4">
      <w:pPr>
        <w:rPr>
          <w:szCs w:val="21"/>
        </w:rPr>
      </w:pPr>
      <w:r>
        <w:rPr>
          <w:rFonts w:hint="eastAsia"/>
          <w:szCs w:val="21"/>
        </w:rPr>
        <w:t>注：李宗军先生于2015年7月1日起任公司副总裁，聘期至公司第五届董事会届满之日。</w:t>
      </w:r>
    </w:p>
    <w:p w:rsidR="005C6D2C" w:rsidRDefault="005C6D2C">
      <w:r>
        <w:br w:type="page"/>
      </w:r>
    </w:p>
    <w:p w:rsidR="00DE031E" w:rsidRDefault="001C1A59">
      <w:pPr>
        <w:pStyle w:val="10"/>
        <w:numPr>
          <w:ilvl w:val="0"/>
          <w:numId w:val="3"/>
        </w:numPr>
        <w:rPr>
          <w:rFonts w:ascii="宋体" w:eastAsia="宋体" w:hAnsi="宋体"/>
          <w:bCs w:val="0"/>
          <w:szCs w:val="28"/>
        </w:rPr>
      </w:pPr>
      <w:bookmarkStart w:id="70" w:name="_Toc421545516"/>
      <w:r>
        <w:rPr>
          <w:rFonts w:ascii="宋体" w:eastAsia="宋体" w:hAnsi="宋体"/>
          <w:bCs w:val="0"/>
          <w:szCs w:val="28"/>
        </w:rPr>
        <w:lastRenderedPageBreak/>
        <w:t>财务报告</w:t>
      </w:r>
      <w:bookmarkEnd w:id="70"/>
    </w:p>
    <w:sdt>
      <w:sdtPr>
        <w:rPr>
          <w:rFonts w:ascii="宋体" w:hAnsi="宋体" w:cs="宋体" w:hint="eastAsia"/>
          <w:b w:val="0"/>
          <w:bCs w:val="0"/>
          <w:kern w:val="0"/>
          <w:szCs w:val="24"/>
        </w:rPr>
        <w:tag w:val="_GBC_3c4b7d00409449a2b71d41277e7bd042"/>
        <w:id w:val="24720907"/>
        <w:lock w:val="sdtLocked"/>
        <w:placeholder>
          <w:docPart w:val="GBC22222222222222222222222222222"/>
        </w:placeholder>
      </w:sdtPr>
      <w:sdtContent>
        <w:p w:rsidR="00DE031E" w:rsidRDefault="001C1A59" w:rsidP="009950AC">
          <w:pPr>
            <w:pStyle w:val="2"/>
            <w:numPr>
              <w:ilvl w:val="0"/>
              <w:numId w:val="30"/>
            </w:numPr>
            <w:rPr>
              <w:rFonts w:ascii="宋体" w:hAnsi="宋体"/>
            </w:rPr>
          </w:pPr>
          <w:r>
            <w:rPr>
              <w:rFonts w:hint="eastAsia"/>
            </w:rPr>
            <w:t>审计</w:t>
          </w:r>
          <w:r>
            <w:rPr>
              <w:rFonts w:ascii="宋体" w:hAnsi="宋体" w:hint="eastAsia"/>
            </w:rPr>
            <w:t>报告</w:t>
          </w:r>
        </w:p>
        <w:sdt>
          <w:sdtPr>
            <w:alias w:val="是否适用：审计报告"/>
            <w:tag w:val="_GBC_ab3baa239c8e49028749e405002e0a02"/>
            <w:id w:val="24720906"/>
            <w:lock w:val="sdtLocked"/>
            <w:placeholder>
              <w:docPart w:val="GBC22222222222222222222222222222"/>
            </w:placeholder>
          </w:sdtPr>
          <w:sdtContent>
            <w:p w:rsidR="00DE031E" w:rsidRDefault="00422DCA" w:rsidP="00DE031E">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Content>
    </w:sdt>
    <w:p w:rsidR="00DE031E" w:rsidRDefault="00DE031E"/>
    <w:p w:rsidR="00DE031E" w:rsidRDefault="001C1A59" w:rsidP="009950AC">
      <w:pPr>
        <w:pStyle w:val="2"/>
        <w:numPr>
          <w:ilvl w:val="0"/>
          <w:numId w:val="30"/>
        </w:numPr>
        <w:rPr>
          <w:rFonts w:ascii="宋体" w:hAnsi="宋体"/>
        </w:rPr>
      </w:pPr>
      <w:r>
        <w:rPr>
          <w:rFonts w:ascii="宋体" w:hAnsi="宋体" w:hint="eastAsia"/>
        </w:rPr>
        <w:t>财务报表</w:t>
      </w:r>
    </w:p>
    <w:sdt>
      <w:sdtPr>
        <w:rPr>
          <w:szCs w:val="21"/>
        </w:rPr>
        <w:tag w:val="_GBC_f3d43b26b5d34a4c88db3cb7d81650cc"/>
        <w:id w:val="24721321"/>
        <w:lock w:val="sdtLocked"/>
        <w:placeholder>
          <w:docPart w:val="GBC22222222222222222222222222222"/>
        </w:placeholder>
      </w:sdtPr>
      <w:sdtContent>
        <w:sdt>
          <w:sdtPr>
            <w:rPr>
              <w:rFonts w:hint="eastAsia"/>
              <w:b/>
              <w:szCs w:val="21"/>
            </w:rPr>
            <w:tag w:val="_GBC_b84409e42f904bdab44813a972d54149"/>
            <w:id w:val="24721115"/>
            <w:lock w:val="sdtLocked"/>
            <w:placeholder>
              <w:docPart w:val="GBC22222222222222222222222222222"/>
            </w:placeholder>
          </w:sdtPr>
          <w:sdtEndPr>
            <w:rPr>
              <w:rFonts w:hint="default"/>
              <w:bCs/>
              <w:color w:val="008000"/>
              <w:u w:val="single"/>
            </w:rPr>
          </w:sdtEndPr>
          <w:sdtContent>
            <w:p w:rsidR="00DE031E" w:rsidRDefault="001C1A59">
              <w:pPr>
                <w:snapToGrid w:val="0"/>
                <w:jc w:val="center"/>
                <w:rPr>
                  <w:b/>
                  <w:szCs w:val="21"/>
                </w:rPr>
              </w:pPr>
              <w:r>
                <w:rPr>
                  <w:rFonts w:hint="eastAsia"/>
                  <w:b/>
                  <w:szCs w:val="21"/>
                </w:rPr>
                <w:t>合并资产负债表（未经审计）</w:t>
              </w:r>
            </w:p>
            <w:p w:rsidR="00DE031E" w:rsidRDefault="001C1A59">
              <w:pPr>
                <w:snapToGrid w:val="0"/>
                <w:spacing w:line="240" w:lineRule="atLeast"/>
                <w:jc w:val="center"/>
                <w:rPr>
                  <w:b/>
                  <w:szCs w:val="21"/>
                </w:rPr>
              </w:pPr>
              <w:r>
                <w:rPr>
                  <w:szCs w:val="21"/>
                </w:rPr>
                <w:t>201</w:t>
              </w:r>
              <w:r>
                <w:rPr>
                  <w:rFonts w:hint="eastAsia"/>
                  <w:szCs w:val="21"/>
                </w:rPr>
                <w:t>5</w:t>
              </w:r>
              <w:r>
                <w:rPr>
                  <w:szCs w:val="21"/>
                </w:rPr>
                <w:t>年</w:t>
              </w:r>
              <w:r>
                <w:rPr>
                  <w:rFonts w:hint="eastAsia"/>
                  <w:szCs w:val="21"/>
                </w:rPr>
                <w:t>6</w:t>
              </w:r>
              <w:r>
                <w:rPr>
                  <w:szCs w:val="21"/>
                </w:rPr>
                <w:t>月3</w:t>
              </w:r>
              <w:r>
                <w:rPr>
                  <w:rFonts w:hint="eastAsia"/>
                  <w:szCs w:val="21"/>
                </w:rPr>
                <w:t>0</w:t>
              </w:r>
              <w:r>
                <w:rPr>
                  <w:szCs w:val="21"/>
                </w:rPr>
                <w:t>日</w:t>
              </w:r>
            </w:p>
            <w:p w:rsidR="00DE031E" w:rsidRDefault="001C1A59">
              <w:pPr>
                <w:rPr>
                  <w:szCs w:val="21"/>
                </w:rPr>
              </w:pPr>
              <w:r>
                <w:rPr>
                  <w:szCs w:val="21"/>
                </w:rPr>
                <w:t xml:space="preserve">编制单位: </w:t>
              </w:r>
              <w:sdt>
                <w:sdtPr>
                  <w:rPr>
                    <w:szCs w:val="21"/>
                  </w:rPr>
                  <w:alias w:val="公司法定中文名称"/>
                  <w:tag w:val="_GBC_76dae7aa62d842859c05c05e750163c2"/>
                  <w:id w:val="24720908"/>
                  <w:lock w:val="sdtLocked"/>
                  <w:placeholder>
                    <w:docPart w:val="GBC22222222222222222222222222222"/>
                  </w:placeholder>
                  <w:dataBinding w:prefixMappings="xmlns:clcid-cgi='clcid-cgi'" w:xpath="/*/clcid-cgi:GongSiFaDingZhongWenMingCheng" w:storeItemID="{89EBAB94-44A0-46A2-B712-30D997D04A6D}"/>
                  <w:text/>
                </w:sdtPr>
                <w:sdtContent>
                  <w:r>
                    <w:rPr>
                      <w:rFonts w:hint="eastAsia"/>
                      <w:szCs w:val="21"/>
                    </w:rPr>
                    <w:t>招商证券股份有限公司</w:t>
                  </w:r>
                </w:sdtContent>
              </w:sdt>
            </w:p>
            <w:p w:rsidR="00DE031E" w:rsidRDefault="001C1A59">
              <w:pPr>
                <w:jc w:val="right"/>
                <w:rPr>
                  <w:szCs w:val="21"/>
                </w:rPr>
              </w:pPr>
              <w:r>
                <w:rPr>
                  <w:szCs w:val="21"/>
                </w:rPr>
                <w:t>单位:</w:t>
              </w:r>
              <w:sdt>
                <w:sdtPr>
                  <w:rPr>
                    <w:szCs w:val="21"/>
                  </w:rPr>
                  <w:alias w:val="单位：合并资产负债表"/>
                  <w:tag w:val="_GBC_710dced47e5943589779e071c78c5512"/>
                  <w:id w:val="247209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247209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08" w:type="pct"/>
                <w:jc w:val="center"/>
                <w:tblBorders>
                  <w:top w:val="single" w:sz="4" w:space="0" w:color="auto"/>
                  <w:left w:val="single" w:sz="4" w:space="0" w:color="auto"/>
                  <w:bottom w:val="single" w:sz="4" w:space="0" w:color="auto"/>
                  <w:right w:val="single" w:sz="4" w:space="0" w:color="auto"/>
                </w:tblBorders>
                <w:tblLayout w:type="fixed"/>
                <w:tblLook w:val="0000"/>
              </w:tblPr>
              <w:tblGrid>
                <w:gridCol w:w="4499"/>
                <w:gridCol w:w="851"/>
                <w:gridCol w:w="2127"/>
                <w:gridCol w:w="2129"/>
              </w:tblGrid>
              <w:tr w:rsidR="00DE031E" w:rsidTr="00AC0410">
                <w:trPr>
                  <w:tblHeader/>
                  <w:jc w:val="center"/>
                </w:trPr>
                <w:tc>
                  <w:tcPr>
                    <w:tcW w:w="234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center"/>
                      <w:rPr>
                        <w:b/>
                      </w:rPr>
                    </w:pPr>
                    <w:r>
                      <w:rPr>
                        <w:b/>
                      </w:rPr>
                      <w:t>项目</w:t>
                    </w:r>
                  </w:p>
                </w:tc>
                <w:tc>
                  <w:tcPr>
                    <w:tcW w:w="443"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rPr>
                    </w:pPr>
                    <w:r>
                      <w:rPr>
                        <w:rFonts w:hint="eastAsia"/>
                        <w:b/>
                      </w:rPr>
                      <w:t>附注</w:t>
                    </w:r>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center"/>
                      <w:rPr>
                        <w:b/>
                        <w:szCs w:val="18"/>
                      </w:rPr>
                    </w:pPr>
                    <w:r>
                      <w:rPr>
                        <w:b/>
                      </w:rPr>
                      <w:t>期末余额</w:t>
                    </w:r>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center"/>
                      <w:rPr>
                        <w:b/>
                        <w:szCs w:val="18"/>
                      </w:rPr>
                    </w:pPr>
                    <w:r>
                      <w:rPr>
                        <w:rFonts w:hint="eastAsia"/>
                        <w:b/>
                      </w:rPr>
                      <w:t>期初</w:t>
                    </w:r>
                    <w:r>
                      <w:rPr>
                        <w:b/>
                      </w:rPr>
                      <w:t>余额</w:t>
                    </w:r>
                  </w:p>
                </w:tc>
              </w:tr>
              <w:tr w:rsidR="00DE031E" w:rsidTr="00DE031E">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rPr>
                        <w:b/>
                        <w:bCs/>
                      </w:rPr>
                    </w:pPr>
                    <w:r>
                      <w:rPr>
                        <w:b/>
                        <w:bCs/>
                      </w:rPr>
                      <w:t>资产：</w:t>
                    </w:r>
                  </w:p>
                </w:tc>
                <w:tc>
                  <w:tcPr>
                    <w:tcW w:w="443" w:type="pct"/>
                    <w:tcBorders>
                      <w:top w:val="outset" w:sz="6" w:space="0" w:color="auto"/>
                      <w:left w:val="outset" w:sz="6" w:space="0" w:color="auto"/>
                      <w:bottom w:val="outset" w:sz="6" w:space="0" w:color="auto"/>
                      <w:right w:val="outset" w:sz="6" w:space="0" w:color="auto"/>
                    </w:tcBorders>
                  </w:tcPr>
                  <w:p w:rsidR="00DE031E" w:rsidRDefault="00DE031E" w:rsidP="00DE031E">
                    <w:pPr>
                      <w:rPr>
                        <w:b/>
                        <w:color w:val="FF00FF"/>
                      </w:rPr>
                    </w:pPr>
                  </w:p>
                </w:tc>
                <w:tc>
                  <w:tcPr>
                    <w:tcW w:w="1107" w:type="pct"/>
                    <w:tcBorders>
                      <w:top w:val="outset" w:sz="6" w:space="0" w:color="auto"/>
                      <w:left w:val="outset" w:sz="6" w:space="0" w:color="auto"/>
                      <w:bottom w:val="outset" w:sz="6" w:space="0" w:color="auto"/>
                      <w:right w:val="outset" w:sz="6" w:space="0" w:color="auto"/>
                    </w:tcBorders>
                  </w:tcPr>
                  <w:p w:rsidR="00DE031E" w:rsidRDefault="00DE031E" w:rsidP="00DE031E">
                    <w:pPr>
                      <w:rPr>
                        <w:b/>
                        <w:color w:val="FF00FF"/>
                      </w:rPr>
                    </w:pPr>
                  </w:p>
                </w:tc>
                <w:tc>
                  <w:tcPr>
                    <w:tcW w:w="1108" w:type="pct"/>
                    <w:tcBorders>
                      <w:top w:val="outset" w:sz="6" w:space="0" w:color="auto"/>
                      <w:left w:val="outset" w:sz="6" w:space="0" w:color="auto"/>
                      <w:bottom w:val="outset" w:sz="6" w:space="0" w:color="auto"/>
                      <w:right w:val="outset" w:sz="6" w:space="0" w:color="auto"/>
                    </w:tcBorders>
                  </w:tcPr>
                  <w:p w:rsidR="00DE031E" w:rsidRDefault="00DE031E" w:rsidP="00DE031E">
                    <w:pPr>
                      <w:rPr>
                        <w:b/>
                        <w:color w:val="FF00FF"/>
                      </w:rPr>
                    </w:pPr>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货币资金</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货币资金"/>
                        <w:tag w:val="_GBC_c84193b3d6e0446c9bbfc826cc53bc42"/>
                        <w:id w:val="24720911"/>
                        <w:lock w:val="sdtLocked"/>
                      </w:sdtPr>
                      <w:sdtContent>
                        <w:r w:rsidR="001C1A59">
                          <w:rPr>
                            <w:rFonts w:hint="eastAsia"/>
                            <w:color w:val="000000" w:themeColor="text1"/>
                            <w:szCs w:val="21"/>
                          </w:rPr>
                          <w:t>七、1</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Pr="00995AF4" w:rsidRDefault="00422DCA" w:rsidP="00DE031E">
                    <w:pPr>
                      <w:jc w:val="right"/>
                      <w:rPr>
                        <w:szCs w:val="21"/>
                      </w:rPr>
                    </w:pPr>
                    <w:sdt>
                      <w:sdtPr>
                        <w:rPr>
                          <w:rFonts w:hint="eastAsia"/>
                          <w:szCs w:val="21"/>
                        </w:rPr>
                        <w:alias w:val="货币资金"/>
                        <w:tag w:val="_GBC_f5114c24b95c440abf60eb15887a0d44"/>
                        <w:id w:val="24720912"/>
                        <w:lock w:val="sdtLocked"/>
                      </w:sdtPr>
                      <w:sdtContent>
                        <w:r w:rsidR="001C1A59" w:rsidRPr="00995AF4">
                          <w:rPr>
                            <w:szCs w:val="21"/>
                          </w:rPr>
                          <w:t>129,225,249,570.04</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货币资金"/>
                        <w:tag w:val="_GBC_22d4a4fb71a04849afd9d486689fd50d"/>
                        <w:id w:val="24720913"/>
                        <w:lock w:val="sdtLocked"/>
                      </w:sdtPr>
                      <w:sdtContent>
                        <w:r w:rsidR="001C1A59">
                          <w:rPr>
                            <w:rFonts w:hint="eastAsia"/>
                            <w:szCs w:val="21"/>
                          </w:rPr>
                          <w:t>54,866,893,638.48</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其中：</w:t>
                    </w:r>
                    <w:r>
                      <w:rPr>
                        <w:rFonts w:hint="eastAsia"/>
                      </w:rPr>
                      <w:t>客户存款</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color w:val="000000" w:themeColor="text1"/>
                          <w:szCs w:val="21"/>
                        </w:rPr>
                        <w:alias w:val="附注_客户存款"/>
                        <w:tag w:val="_GBC_43650968c260492f806ed724530a67ff"/>
                        <w:id w:val="24720914"/>
                        <w:lock w:val="sdtLocked"/>
                        <w:showingPlcHdr/>
                      </w:sdtPr>
                      <w:sdtContent>
                        <w:r w:rsidR="001C1A59">
                          <w:rPr>
                            <w:rFonts w:hint="eastAsia"/>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Pr="00995AF4" w:rsidRDefault="00422DCA" w:rsidP="00DE031E">
                    <w:pPr>
                      <w:jc w:val="right"/>
                      <w:rPr>
                        <w:szCs w:val="21"/>
                      </w:rPr>
                    </w:pPr>
                    <w:sdt>
                      <w:sdtPr>
                        <w:rPr>
                          <w:szCs w:val="21"/>
                        </w:rPr>
                        <w:alias w:val="客户存款"/>
                        <w:tag w:val="_GBC_cb3ed967bd6a437f8a29872c6cdef27b"/>
                        <w:id w:val="24720915"/>
                        <w:lock w:val="sdtLocked"/>
                      </w:sdtPr>
                      <w:sdtContent>
                        <w:r w:rsidR="001C1A59" w:rsidRPr="00995AF4">
                          <w:rPr>
                            <w:szCs w:val="21"/>
                          </w:rPr>
                          <w:t>112,520,512,161.13</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客户存款"/>
                        <w:tag w:val="_GBC_512fac45ff0f4933af02433d1710cf8d"/>
                        <w:id w:val="24720916"/>
                        <w:lock w:val="sdtLocked"/>
                      </w:sdtPr>
                      <w:sdtContent>
                        <w:r w:rsidR="001C1A59">
                          <w:rPr>
                            <w:szCs w:val="21"/>
                          </w:rPr>
                          <w:t>47,486,938,045.51</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结算备付金</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结算备付金"/>
                        <w:tag w:val="_GBC_653385e81df142e4bf96d29e80b22ced"/>
                        <w:id w:val="24720917"/>
                        <w:lock w:val="sdtLocked"/>
                      </w:sdtPr>
                      <w:sdtContent>
                        <w:r w:rsidR="001C1A59">
                          <w:rPr>
                            <w:rFonts w:hint="eastAsia"/>
                            <w:color w:val="000000" w:themeColor="text1"/>
                            <w:szCs w:val="21"/>
                          </w:rPr>
                          <w:t>七、2</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结算备付金"/>
                        <w:tag w:val="_GBC_982b3b9adf804f71a2b82eac92dd4149"/>
                        <w:id w:val="24720918"/>
                        <w:lock w:val="sdtLocked"/>
                      </w:sdtPr>
                      <w:sdtContent>
                        <w:r w:rsidR="001C1A59">
                          <w:rPr>
                            <w:rFonts w:hint="eastAsia"/>
                            <w:szCs w:val="21"/>
                          </w:rPr>
                          <w:t>24,774,448,840.92</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结算备付金"/>
                        <w:tag w:val="_GBC_b1dd115aeb3a4601a7ca6cac5824826d"/>
                        <w:id w:val="24720919"/>
                        <w:lock w:val="sdtLocked"/>
                      </w:sdtPr>
                      <w:sdtContent>
                        <w:r w:rsidR="001C1A59">
                          <w:rPr>
                            <w:rFonts w:hint="eastAsia"/>
                            <w:szCs w:val="21"/>
                          </w:rPr>
                          <w:t>12,191,800,738.04</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其中：客户备付金</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客户备付金"/>
                        <w:tag w:val="_GBC_88cff1ecfbc84d7ebc2bc0381d362487"/>
                        <w:id w:val="24720920"/>
                        <w:lock w:val="sdtLocked"/>
                        <w:showingPlcHdr/>
                      </w:sdtPr>
                      <w:sdtContent>
                        <w:r w:rsidR="001C1A59">
                          <w:rPr>
                            <w:rFonts w:hint="eastAsia"/>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客户备付金"/>
                        <w:tag w:val="_GBC_7cc7f00c841a431797f40a396d91b0cd"/>
                        <w:id w:val="24720921"/>
                        <w:lock w:val="sdtLocked"/>
                      </w:sdtPr>
                      <w:sdtContent>
                        <w:r w:rsidR="001C1A59">
                          <w:rPr>
                            <w:rFonts w:hint="eastAsia"/>
                            <w:szCs w:val="21"/>
                          </w:rPr>
                          <w:t>22,855,353,410.25</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客户备付金"/>
                        <w:tag w:val="_GBC_30368aaf70f14f738a5630353907843e"/>
                        <w:id w:val="24720922"/>
                        <w:lock w:val="sdtLocked"/>
                      </w:sdtPr>
                      <w:sdtContent>
                        <w:r w:rsidR="001C1A59">
                          <w:rPr>
                            <w:rFonts w:hint="eastAsia"/>
                            <w:szCs w:val="21"/>
                          </w:rPr>
                          <w:t>11,033,050,511.03</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拆出资金</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拆出资金"/>
                        <w:tag w:val="_GBC_e43813cf801f4d54a1febbdc4aee6611"/>
                        <w:id w:val="24720923"/>
                        <w:lock w:val="sdtLocked"/>
                        <w:showingPlcHdr/>
                      </w:sdtPr>
                      <w:sdtContent>
                        <w:r w:rsidR="001C1A59">
                          <w:rPr>
                            <w:rFonts w:hint="eastAsia"/>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出资金"/>
                        <w:tag w:val="_GBC_240869f88ac546efabc2d96c87dc5a9a"/>
                        <w:id w:val="24720924"/>
                        <w:lock w:val="sdtLocked"/>
                      </w:sdtP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出资金"/>
                        <w:tag w:val="_GBC_fec726c17aee40a685343f41cee7ee95"/>
                        <w:id w:val="24720925"/>
                        <w:lock w:val="sdtLocked"/>
                      </w:sdtPr>
                      <w:sdtContent/>
                    </w:sdt>
                  </w:p>
                </w:tc>
              </w:tr>
              <w:tr w:rsidR="00DE031E" w:rsidTr="00BC5401">
                <w:trPr>
                  <w:trHeight w:val="262"/>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融出资金</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color w:val="000000" w:themeColor="text1"/>
                          <w:szCs w:val="21"/>
                        </w:rPr>
                        <w:alias w:val="附注_融出资金账面余额"/>
                        <w:tag w:val="_GBC_18736ee93c4d493c9b432283becc8bbf"/>
                        <w:id w:val="24720926"/>
                        <w:lock w:val="sdtLocked"/>
                      </w:sdtPr>
                      <w:sdtContent>
                        <w:r w:rsidR="001C1A59">
                          <w:rPr>
                            <w:rFonts w:hint="eastAsia"/>
                            <w:color w:val="000000" w:themeColor="text1"/>
                            <w:szCs w:val="21"/>
                          </w:rPr>
                          <w:t>七、3</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融出资金账面余额"/>
                        <w:tag w:val="_GBC_51ec77a2fb034f29bf7a76d1be0a9940"/>
                        <w:id w:val="24720927"/>
                        <w:lock w:val="sdtLocked"/>
                      </w:sdtPr>
                      <w:sdtContent>
                        <w:r w:rsidR="001C1A59">
                          <w:rPr>
                            <w:szCs w:val="21"/>
                          </w:rPr>
                          <w:t>114,825,448,408.34</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融出资金账面余额"/>
                        <w:tag w:val="_GBC_67ca5d670a8642a8bef2ee5bedbe32b3"/>
                        <w:id w:val="24720928"/>
                        <w:lock w:val="sdtLocked"/>
                      </w:sdtPr>
                      <w:sdtContent>
                        <w:r w:rsidR="001C1A59">
                          <w:rPr>
                            <w:szCs w:val="21"/>
                          </w:rPr>
                          <w:t>58,595,164,547.26</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以公允价值计量且其变动计入当期损益的金融资产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以公允价值计量且其变动计入当期损益的金融资产"/>
                        <w:tag w:val="_GBC_32a57e66c8b54e77906d4c3ebc572aec"/>
                        <w:id w:val="24720929"/>
                        <w:lock w:val="sdtLocked"/>
                      </w:sdtPr>
                      <w:sdtContent>
                        <w:r w:rsidR="001C1A59">
                          <w:rPr>
                            <w:rFonts w:hint="eastAsia"/>
                            <w:color w:val="000000" w:themeColor="text1"/>
                            <w:szCs w:val="21"/>
                          </w:rPr>
                          <w:t>七、4</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资产"/>
                        <w:tag w:val="_GBC_66a75b9e868a4d17aab26b0718a76ff3"/>
                        <w:id w:val="24720930"/>
                        <w:lock w:val="sdtLocked"/>
                      </w:sdtPr>
                      <w:sdtContent>
                        <w:r w:rsidR="001C1A59">
                          <w:rPr>
                            <w:rFonts w:hint="eastAsia"/>
                            <w:szCs w:val="21"/>
                          </w:rPr>
                          <w:t>55,366,849,496.45</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资产"/>
                        <w:tag w:val="_GBC_46031ac5ee0a4535b97e20d37f340eed"/>
                        <w:id w:val="24720931"/>
                        <w:lock w:val="sdtLocked"/>
                      </w:sdtPr>
                      <w:sdtContent>
                        <w:r w:rsidR="001C1A59">
                          <w:rPr>
                            <w:rFonts w:hint="eastAsia"/>
                            <w:szCs w:val="21"/>
                          </w:rPr>
                          <w:t>36,121,668,050.87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衍生金融资产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衍生金融资产"/>
                        <w:tag w:val="_GBC_81842c2933a8429ba6c1d782a85d3ed1"/>
                        <w:id w:val="24720932"/>
                        <w:lock w:val="sdtLocked"/>
                      </w:sdtPr>
                      <w:sdtContent>
                        <w:r w:rsidR="001C1A59">
                          <w:rPr>
                            <w:rFonts w:hint="eastAsia"/>
                            <w:color w:val="000000" w:themeColor="text1"/>
                            <w:szCs w:val="21"/>
                          </w:rPr>
                          <w:t>七、6</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资产"/>
                        <w:tag w:val="_GBC_c0db446b6b1d486eba5e7484fdd8a61c"/>
                        <w:id w:val="24720933"/>
                        <w:lock w:val="sdtLocked"/>
                      </w:sdtPr>
                      <w:sdtContent>
                        <w:r w:rsidR="001C1A59">
                          <w:rPr>
                            <w:rFonts w:hint="eastAsia"/>
                            <w:szCs w:val="21"/>
                          </w:rPr>
                          <w:t>855,196,391.76</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资产"/>
                        <w:tag w:val="_GBC_e078ce9f27074b8ca15488aec8d0e76e"/>
                        <w:id w:val="24720934"/>
                        <w:lock w:val="sdtLocked"/>
                      </w:sdtPr>
                      <w:sdtContent>
                        <w:r w:rsidR="001C1A59">
                          <w:rPr>
                            <w:rFonts w:hint="eastAsia"/>
                            <w:szCs w:val="21"/>
                          </w:rPr>
                          <w:t>12,015,035.74</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买入返售金融资产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买入返售金融资产"/>
                        <w:tag w:val="_GBC_0d4e1ee454bf4693a9fe98a6c7b69af2"/>
                        <w:id w:val="24720935"/>
                        <w:lock w:val="sdtLocked"/>
                      </w:sdtPr>
                      <w:sdtContent>
                        <w:r w:rsidR="001C1A59">
                          <w:rPr>
                            <w:rFonts w:hint="eastAsia"/>
                            <w:color w:val="000000" w:themeColor="text1"/>
                            <w:szCs w:val="21"/>
                          </w:rPr>
                          <w:t>七、7</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买入返售金融资产"/>
                        <w:tag w:val="_GBC_9d49d1a25d83471182cecb265caedfbb"/>
                        <w:id w:val="24720936"/>
                        <w:lock w:val="sdtLocked"/>
                      </w:sdtPr>
                      <w:sdtContent>
                        <w:r w:rsidR="001C1A59">
                          <w:rPr>
                            <w:rFonts w:hint="eastAsia"/>
                            <w:szCs w:val="21"/>
                          </w:rPr>
                          <w:t>13,032,488,250.70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买入返售金融资产"/>
                        <w:tag w:val="_GBC_69d848fe9319466a94e28e52f13043e5"/>
                        <w:id w:val="24720937"/>
                        <w:lock w:val="sdtLocked"/>
                      </w:sdtPr>
                      <w:sdtContent>
                        <w:r w:rsidR="001C1A59">
                          <w:rPr>
                            <w:rFonts w:hint="eastAsia"/>
                            <w:szCs w:val="21"/>
                          </w:rPr>
                          <w:t>7,544,698,525.53</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应收款项</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color w:val="000000" w:themeColor="text1"/>
                          <w:szCs w:val="21"/>
                        </w:rPr>
                        <w:alias w:val="附注_应收款项"/>
                        <w:tag w:val="_GBC_2e49b4349ab047cbae048823aa1683b6"/>
                        <w:id w:val="24720938"/>
                        <w:lock w:val="sdtLocked"/>
                      </w:sdtPr>
                      <w:sdtContent>
                        <w:r w:rsidR="001C1A59">
                          <w:rPr>
                            <w:rFonts w:hint="eastAsia"/>
                            <w:color w:val="000000" w:themeColor="text1"/>
                            <w:szCs w:val="21"/>
                          </w:rPr>
                          <w:t>七、8</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收款项"/>
                        <w:tag w:val="_GBC_b5c9bf6d3b654ebaabefeef13dea6c8e"/>
                        <w:id w:val="24720939"/>
                        <w:lock w:val="sdtLocked"/>
                      </w:sdtPr>
                      <w:sdtContent>
                        <w:r w:rsidR="001C1A59">
                          <w:rPr>
                            <w:szCs w:val="21"/>
                          </w:rPr>
                          <w:t>3,799,156,931.51</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收款项"/>
                        <w:tag w:val="_GBC_9e00ff1711174c00908628f05a32ce5a"/>
                        <w:id w:val="24720940"/>
                        <w:lock w:val="sdtLocked"/>
                      </w:sdtPr>
                      <w:sdtContent>
                        <w:r w:rsidR="001C1A59">
                          <w:rPr>
                            <w:szCs w:val="21"/>
                          </w:rPr>
                          <w:t>2,066,943,222.53</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应收利息</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应收利息"/>
                        <w:tag w:val="_GBC_660edb0cf9ad4d458d8b2aca12a62a3b"/>
                        <w:id w:val="24720941"/>
                        <w:lock w:val="sdtLocked"/>
                      </w:sdtPr>
                      <w:sdtContent>
                        <w:r w:rsidR="001C1A59">
                          <w:rPr>
                            <w:rFonts w:hint="eastAsia"/>
                            <w:color w:val="000000" w:themeColor="text1"/>
                            <w:szCs w:val="21"/>
                          </w:rPr>
                          <w:t>七、9</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收利息"/>
                        <w:tag w:val="_GBC_b30ab239dac14055a5ee93b171d1d3f6"/>
                        <w:id w:val="24720942"/>
                        <w:lock w:val="sdtLocked"/>
                      </w:sdtPr>
                      <w:sdtContent>
                        <w:r w:rsidR="001C1A59">
                          <w:rPr>
                            <w:rFonts w:hint="eastAsia"/>
                            <w:szCs w:val="21"/>
                          </w:rPr>
                          <w:t>863,096,647.83</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收利息"/>
                        <w:tag w:val="_GBC_ec43e645963347f4b5a1b35266ba71dd"/>
                        <w:id w:val="24720943"/>
                        <w:lock w:val="sdtLocked"/>
                      </w:sdtPr>
                      <w:sdtContent>
                        <w:r w:rsidR="001C1A59">
                          <w:rPr>
                            <w:rFonts w:hint="eastAsia"/>
                            <w:szCs w:val="21"/>
                          </w:rPr>
                          <w:t>399,423,388.12</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存出保证金</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存出保证金"/>
                        <w:tag w:val="_GBC_d94058c9392a4f03929f062eb1c31d9b"/>
                        <w:id w:val="24720944"/>
                        <w:lock w:val="sdtLocked"/>
                      </w:sdtPr>
                      <w:sdtContent>
                        <w:r w:rsidR="001C1A59">
                          <w:rPr>
                            <w:rFonts w:hint="eastAsia"/>
                            <w:color w:val="000000" w:themeColor="text1"/>
                            <w:szCs w:val="21"/>
                          </w:rPr>
                          <w:t>七、10</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存出保证金"/>
                        <w:tag w:val="_GBC_5042235a536c4e6796479cd9ada97e85"/>
                        <w:id w:val="24720945"/>
                        <w:lock w:val="sdtLocked"/>
                      </w:sdtPr>
                      <w:sdtContent>
                        <w:r w:rsidR="001C1A59">
                          <w:rPr>
                            <w:rFonts w:hint="eastAsia"/>
                            <w:szCs w:val="21"/>
                          </w:rPr>
                          <w:t>693,286,364.58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存出保证金"/>
                        <w:tag w:val="_GBC_414a67274d684abcb8a034555034f938"/>
                        <w:id w:val="24720946"/>
                        <w:lock w:val="sdtLocked"/>
                      </w:sdtPr>
                      <w:sdtContent>
                        <w:r w:rsidR="001C1A59">
                          <w:rPr>
                            <w:rFonts w:hint="eastAsia"/>
                            <w:szCs w:val="21"/>
                          </w:rPr>
                          <w:t>244,680,057.67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应收股利</w:t>
                    </w:r>
                  </w:p>
                </w:tc>
                <w:sdt>
                  <w:sdtPr>
                    <w:rPr>
                      <w:color w:val="000000" w:themeColor="text1"/>
                      <w:szCs w:val="21"/>
                    </w:rPr>
                    <w:alias w:val="附注_应收股利"/>
                    <w:tag w:val="_GBC_1cfbbc54eb0f48abb86c4a1c5d886755"/>
                    <w:id w:val="24720947"/>
                    <w:lock w:val="sdtLocked"/>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000000" w:themeColor="text1"/>
                            <w:szCs w:val="21"/>
                          </w:rPr>
                          <w:t>七、11</w:t>
                        </w:r>
                      </w:p>
                    </w:tc>
                  </w:sdtContent>
                </w:sdt>
                <w:sdt>
                  <w:sdtPr>
                    <w:rPr>
                      <w:szCs w:val="21"/>
                    </w:rPr>
                    <w:alias w:val="应收股利"/>
                    <w:tag w:val="_GBC_43684a2a440347b780c2d29b30b603d4"/>
                    <w:id w:val="24720948"/>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70,424,968.65</w:t>
                        </w:r>
                      </w:p>
                    </w:tc>
                  </w:sdtContent>
                </w:sdt>
                <w:sdt>
                  <w:sdtPr>
                    <w:rPr>
                      <w:szCs w:val="21"/>
                    </w:rPr>
                    <w:alias w:val="应收股利"/>
                    <w:tag w:val="_GBC_1c1b111d1fa24752ba93fccfb46c05f0"/>
                    <w:id w:val="24720949"/>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shd w:val="clear" w:color="auto" w:fill="FFFFFF"/>
                      </w:rPr>
                      <w:t>划分为持有待售的资产</w:t>
                    </w:r>
                  </w:p>
                </w:tc>
                <w:sdt>
                  <w:sdtPr>
                    <w:rPr>
                      <w:color w:val="000000" w:themeColor="text1"/>
                      <w:szCs w:val="21"/>
                    </w:rPr>
                    <w:alias w:val="附注_划分为持有待售的资产"/>
                    <w:tag w:val="_GBC_2c921cde07534161bcbcb7614cbbeb9d"/>
                    <w:id w:val="24720950"/>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划分为持有待售的资产"/>
                    <w:tag w:val="_GBC_a700d8cfe89d414cacb203ddf2125683"/>
                    <w:id w:val="24720951"/>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划分为持有待售的资产"/>
                    <w:tag w:val="_GBC_78a7a5412215464388d45b0805eac976"/>
                    <w:id w:val="24720952"/>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可供出售金融资产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可供出售金融资产"/>
                        <w:tag w:val="_GBC_3e00b8160acb470ba2c1aad1ead1d205"/>
                        <w:id w:val="24720953"/>
                        <w:lock w:val="sdtLocked"/>
                      </w:sdtPr>
                      <w:sdtContent>
                        <w:r w:rsidR="001C1A59">
                          <w:rPr>
                            <w:rFonts w:hint="eastAsia"/>
                            <w:color w:val="000000" w:themeColor="text1"/>
                            <w:szCs w:val="21"/>
                          </w:rPr>
                          <w:t>七、12</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可供出售金融资产"/>
                        <w:tag w:val="_GBC_c53319f67414476e919c1e4d108c7783"/>
                        <w:id w:val="24720954"/>
                        <w:lock w:val="sdtLocked"/>
                      </w:sdtPr>
                      <w:sdtContent>
                        <w:r w:rsidR="001C1A59">
                          <w:rPr>
                            <w:rFonts w:hint="eastAsia"/>
                            <w:szCs w:val="21"/>
                          </w:rPr>
                          <w:t>14,446,051,847.18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可供出售金融资产"/>
                        <w:tag w:val="_GBC_76a4d965480c4de29828a3347b35303f"/>
                        <w:id w:val="24720955"/>
                        <w:lock w:val="sdtLocked"/>
                      </w:sdtPr>
                      <w:sdtContent>
                        <w:r w:rsidR="001C1A59">
                          <w:rPr>
                            <w:rFonts w:hint="eastAsia"/>
                            <w:szCs w:val="21"/>
                          </w:rPr>
                          <w:t>14,878,004,663.97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持有至到期投资</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持有至到期投资"/>
                        <w:tag w:val="_GBC_e558c893f9d8415d92081bd7ed80752f"/>
                        <w:id w:val="24720956"/>
                        <w:lock w:val="sdtLocked"/>
                        <w:showingPlcHdr/>
                      </w:sdtPr>
                      <w:sdtContent>
                        <w:r w:rsidR="001C1A59">
                          <w:rPr>
                            <w:rFonts w:hint="eastAsia"/>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持有至到期投资"/>
                        <w:tag w:val="_GBC_e65dc64fb23a43feb28a44e737334156"/>
                        <w:id w:val="24720957"/>
                        <w:lock w:val="sdtLocked"/>
                        <w:showingPlcHdr/>
                      </w:sdtP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持有至到期投资"/>
                        <w:tag w:val="_GBC_3002726394d64deea287f162fb886cf0"/>
                        <w:id w:val="24720958"/>
                        <w:lock w:val="sdtLocked"/>
                      </w:sdtP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长期应收款</w:t>
                    </w:r>
                  </w:p>
                </w:tc>
                <w:sdt>
                  <w:sdtPr>
                    <w:rPr>
                      <w:color w:val="000000" w:themeColor="text1"/>
                      <w:szCs w:val="21"/>
                    </w:rPr>
                    <w:alias w:val="附注_长期应收款"/>
                    <w:tag w:val="_GBC_33f1cda9315344a68edc944e4fc2870b"/>
                    <w:id w:val="24720959"/>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长期应收款"/>
                    <w:tag w:val="_GBC_5a6955139baf4f77ac89650d541fee1e"/>
                    <w:id w:val="24720960"/>
                    <w:lock w:val="sdtLocked"/>
                    <w:showingPlcHdr/>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长期应收款"/>
                    <w:tag w:val="_GBC_8ee593322c78454ea3904870c85fb128"/>
                    <w:id w:val="24720961"/>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trHeight w:val="277"/>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长期股权投资</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长期股权投资"/>
                        <w:tag w:val="_GBC_095baa54d262407394382e7ac6b55c33"/>
                        <w:id w:val="24720962"/>
                        <w:lock w:val="sdtLocked"/>
                      </w:sdtPr>
                      <w:sdtContent>
                        <w:r w:rsidR="001C1A59">
                          <w:rPr>
                            <w:rFonts w:hint="eastAsia"/>
                            <w:color w:val="000000" w:themeColor="text1"/>
                            <w:szCs w:val="21"/>
                          </w:rPr>
                          <w:t>七、13</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股权投资"/>
                        <w:tag w:val="_GBC_10cb8751235d41bdb9601c7300ff7258"/>
                        <w:id w:val="24720963"/>
                        <w:lock w:val="sdtLocked"/>
                      </w:sdtPr>
                      <w:sdtContent>
                        <w:r w:rsidR="001C1A59">
                          <w:rPr>
                            <w:rFonts w:hint="eastAsia"/>
                            <w:szCs w:val="21"/>
                          </w:rPr>
                          <w:t>4,653,150,963.75</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股权投资"/>
                        <w:tag w:val="_GBC_e935db3d108a4b86ab7f3df2e8a2ec75"/>
                        <w:id w:val="24720964"/>
                        <w:lock w:val="sdtLocked"/>
                      </w:sdtPr>
                      <w:sdtContent>
                        <w:r w:rsidR="001C1A59">
                          <w:rPr>
                            <w:rFonts w:hint="eastAsia"/>
                            <w:szCs w:val="21"/>
                          </w:rPr>
                          <w:t>4,455,434,854.18</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投资性房地产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投资性房地产"/>
                        <w:tag w:val="_GBC_1d8e7e6deece445892f63cae88c273b8"/>
                        <w:id w:val="24720965"/>
                        <w:lock w:val="sdtLocked"/>
                      </w:sdtPr>
                      <w:sdtContent>
                        <w:r w:rsidR="001C1A59">
                          <w:rPr>
                            <w:rFonts w:hint="eastAsia"/>
                            <w:color w:val="000000" w:themeColor="text1"/>
                            <w:szCs w:val="21"/>
                          </w:rPr>
                          <w:t>七、14</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投资性房地产"/>
                        <w:tag w:val="_GBC_d0c64922cf004264918e920c3003dd63"/>
                        <w:id w:val="24720966"/>
                        <w:lock w:val="sdtLocked"/>
                      </w:sdtPr>
                      <w:sdtContent>
                        <w:r w:rsidR="001C1A59">
                          <w:rPr>
                            <w:rFonts w:hint="eastAsia"/>
                            <w:szCs w:val="21"/>
                          </w:rPr>
                          <w:t>5,380,050.89</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投资性房地产"/>
                        <w:tag w:val="_GBC_6fc17d0404a8489f83a7f9aacdb2c8fa"/>
                        <w:id w:val="24720967"/>
                        <w:lock w:val="sdtLocked"/>
                      </w:sdtPr>
                      <w:sdtContent>
                        <w:r w:rsidR="001C1A59">
                          <w:rPr>
                            <w:rFonts w:hint="eastAsia"/>
                            <w:szCs w:val="21"/>
                          </w:rPr>
                          <w:t>5,789,966.03</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固定资产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固定资产净额"/>
                        <w:tag w:val="_GBC_6b040732698d4432984b2d208b789456"/>
                        <w:id w:val="24720968"/>
                        <w:lock w:val="sdtLocked"/>
                      </w:sdtPr>
                      <w:sdtContent>
                        <w:r w:rsidR="001C1A59">
                          <w:rPr>
                            <w:rFonts w:hint="eastAsia"/>
                            <w:color w:val="000000" w:themeColor="text1"/>
                            <w:szCs w:val="21"/>
                          </w:rPr>
                          <w:t>七、15</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固定资产净额"/>
                        <w:tag w:val="_GBC_2e61865ab5a448afbf66e4e54b958d0b"/>
                        <w:id w:val="24720969"/>
                        <w:lock w:val="sdtLocked"/>
                      </w:sdtPr>
                      <w:sdtContent>
                        <w:r w:rsidR="001C1A59">
                          <w:rPr>
                            <w:rFonts w:hint="eastAsia"/>
                            <w:szCs w:val="21"/>
                          </w:rPr>
                          <w:t>380,395,944.80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固定资产净额"/>
                        <w:tag w:val="_GBC_0658325c67264a7a8411c4cc5bd4c9e9"/>
                        <w:id w:val="24720970"/>
                        <w:lock w:val="sdtLocked"/>
                      </w:sdtPr>
                      <w:sdtContent>
                        <w:r w:rsidR="001C1A59">
                          <w:rPr>
                            <w:rFonts w:hint="eastAsia"/>
                            <w:szCs w:val="21"/>
                          </w:rPr>
                          <w:t>367,552,905.59</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在建工程</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color w:val="000000" w:themeColor="text1"/>
                          <w:szCs w:val="21"/>
                        </w:rPr>
                        <w:alias w:val="附注_在建工程"/>
                        <w:tag w:val="_GBC_43ac2beab8784094aa110c974e9fa973"/>
                        <w:id w:val="24720971"/>
                        <w:lock w:val="sdtLocked"/>
                      </w:sdtPr>
                      <w:sdtContent>
                        <w:r w:rsidR="001C1A59">
                          <w:rPr>
                            <w:rFonts w:hint="eastAsia"/>
                            <w:color w:val="000000" w:themeColor="text1"/>
                            <w:szCs w:val="21"/>
                          </w:rPr>
                          <w:t>七、16</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在建工程"/>
                        <w:tag w:val="_GBC_81dc3e1808204bc39a6ccaa318bcf94b"/>
                        <w:id w:val="24720972"/>
                        <w:lock w:val="sdtLocked"/>
                      </w:sdtPr>
                      <w:sdtContent>
                        <w:r w:rsidR="001C1A59">
                          <w:rPr>
                            <w:szCs w:val="21"/>
                          </w:rPr>
                          <w:t>978,861,590.20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在建工程"/>
                        <w:tag w:val="_GBC_1562d35845e54817b4d155bceec33ed1"/>
                        <w:id w:val="24720973"/>
                        <w:lock w:val="sdtLocked"/>
                      </w:sdtPr>
                      <w:sdtContent>
                        <w:r w:rsidR="001C1A59">
                          <w:rPr>
                            <w:szCs w:val="21"/>
                          </w:rPr>
                          <w:t>930,413,674.59</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无形资产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无形资产"/>
                        <w:tag w:val="_GBC_80045823db3f40bc84c8db0b4134565b"/>
                        <w:id w:val="24720974"/>
                        <w:lock w:val="sdtLocked"/>
                      </w:sdtPr>
                      <w:sdtContent>
                        <w:r w:rsidR="001C1A59">
                          <w:rPr>
                            <w:rFonts w:hint="eastAsia"/>
                            <w:color w:val="000000" w:themeColor="text1"/>
                            <w:szCs w:val="21"/>
                          </w:rPr>
                          <w:t>七、17</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无形资产"/>
                        <w:tag w:val="_GBC_29207b2c8e8743ceb9584dee1420f379"/>
                        <w:id w:val="24720975"/>
                        <w:lock w:val="sdtLocked"/>
                      </w:sdtPr>
                      <w:sdtContent>
                        <w:r w:rsidR="001C1A59">
                          <w:rPr>
                            <w:rFonts w:hint="eastAsia"/>
                            <w:szCs w:val="21"/>
                          </w:rPr>
                          <w:t>24,462,347.46</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无形资产"/>
                        <w:tag w:val="_GBC_cc269f56f492407895c69441d111cb33"/>
                        <w:id w:val="24720976"/>
                        <w:lock w:val="sdtLocked"/>
                      </w:sdtPr>
                      <w:sdtContent>
                        <w:r w:rsidR="001C1A59">
                          <w:rPr>
                            <w:rFonts w:hint="eastAsia"/>
                            <w:szCs w:val="21"/>
                          </w:rPr>
                          <w:t>23,242,224.47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开发支出</w:t>
                    </w:r>
                  </w:p>
                </w:tc>
                <w:sdt>
                  <w:sdtPr>
                    <w:rPr>
                      <w:color w:val="000000" w:themeColor="text1"/>
                      <w:szCs w:val="21"/>
                    </w:rPr>
                    <w:alias w:val="附注_开发支出"/>
                    <w:tag w:val="_GBC_aef1c994402f4eaa9491d2c73c9548d3"/>
                    <w:id w:val="24720977"/>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开发支出"/>
                    <w:tag w:val="_GBC_9ebe93a3966843c1a0dc309b0c9242d7"/>
                    <w:id w:val="24720978"/>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开发支出"/>
                    <w:tag w:val="_GBC_16fb994e764c4e4dbf776aafe04545b7"/>
                    <w:id w:val="24720979"/>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商誉</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商誉"/>
                        <w:tag w:val="_GBC_6c93f23870a344c7b2a33101b1030868"/>
                        <w:id w:val="24720980"/>
                        <w:lock w:val="sdtLocked"/>
                      </w:sdtPr>
                      <w:sdtContent>
                        <w:r w:rsidR="001C1A59">
                          <w:rPr>
                            <w:rFonts w:hint="eastAsia"/>
                            <w:color w:val="000000" w:themeColor="text1"/>
                            <w:szCs w:val="21"/>
                          </w:rPr>
                          <w:t>七、18</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商誉"/>
                        <w:tag w:val="_GBC_f88d91b341bc47b7901468d5984e8ad7"/>
                        <w:id w:val="24720981"/>
                        <w:lock w:val="sdtLocked"/>
                      </w:sdtPr>
                      <w:sdtContent>
                        <w:r w:rsidR="001C1A59">
                          <w:rPr>
                            <w:szCs w:val="21"/>
                          </w:rPr>
                          <w:t>9,670,605.55</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商誉"/>
                        <w:tag w:val="_GBC_c299079dcc8e45439e1d55f46c72d02e"/>
                        <w:id w:val="24720982"/>
                        <w:lock w:val="sdtLocked"/>
                      </w:sdtPr>
                      <w:sdtContent>
                        <w:r w:rsidR="001C1A59">
                          <w:rPr>
                            <w:szCs w:val="21"/>
                          </w:rPr>
                          <w:t>9,670,605.55</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长期待摊费用</w:t>
                    </w:r>
                  </w:p>
                </w:tc>
                <w:sdt>
                  <w:sdtPr>
                    <w:rPr>
                      <w:color w:val="000000" w:themeColor="text1"/>
                      <w:szCs w:val="21"/>
                    </w:rPr>
                    <w:alias w:val="附注_长期待摊费用"/>
                    <w:tag w:val="_GBC_f6d2edd4e8a74c5ebf0117edaf2ee9ba"/>
                    <w:id w:val="24720983"/>
                    <w:lock w:val="sdtLocked"/>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000000" w:themeColor="text1"/>
                            <w:szCs w:val="21"/>
                          </w:rPr>
                          <w:t>七、19</w:t>
                        </w:r>
                      </w:p>
                    </w:tc>
                  </w:sdtContent>
                </w:sdt>
                <w:sdt>
                  <w:sdtPr>
                    <w:rPr>
                      <w:szCs w:val="21"/>
                    </w:rPr>
                    <w:alias w:val="长期待摊费用"/>
                    <w:tag w:val="_GBC_56152c29000d4cc7be193dc0220c71e6"/>
                    <w:id w:val="24720984"/>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146,030,873.15</w:t>
                        </w:r>
                      </w:p>
                    </w:tc>
                  </w:sdtContent>
                </w:sdt>
                <w:sdt>
                  <w:sdtPr>
                    <w:rPr>
                      <w:szCs w:val="21"/>
                    </w:rPr>
                    <w:alias w:val="长期待摊费用"/>
                    <w:tag w:val="_GBC_a9b1eca8de704e5eb3fa8bb0d1f17d74"/>
                    <w:id w:val="24720985"/>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168,406,407.15</w:t>
                        </w: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递延所得税资产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递延税款借项合计"/>
                        <w:tag w:val="_GBC_a71bc917d58846ae8659a59ed71ee430"/>
                        <w:id w:val="24720986"/>
                        <w:lock w:val="sdtLocked"/>
                      </w:sdtPr>
                      <w:sdtContent>
                        <w:r w:rsidR="001C1A59">
                          <w:rPr>
                            <w:rFonts w:hint="eastAsia"/>
                            <w:color w:val="000000" w:themeColor="text1"/>
                            <w:szCs w:val="21"/>
                          </w:rPr>
                          <w:t>七、20</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借项合计"/>
                        <w:tag w:val="_GBC_0ec1a3e44b7345f0adb2797fcdf26a10"/>
                        <w:id w:val="24720987"/>
                        <w:lock w:val="sdtLocked"/>
                      </w:sdtPr>
                      <w:sdtContent>
                        <w:r w:rsidR="001C1A59">
                          <w:rPr>
                            <w:rFonts w:hint="eastAsia"/>
                            <w:szCs w:val="21"/>
                          </w:rPr>
                          <w:t>481,583,547.39</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借项合计"/>
                        <w:tag w:val="_GBC_d77e2d14456a4cd08a7d8f20658b74df"/>
                        <w:id w:val="24720988"/>
                        <w:lock w:val="sdtLocked"/>
                      </w:sdtPr>
                      <w:sdtContent>
                        <w:r w:rsidR="001C1A59">
                          <w:rPr>
                            <w:rFonts w:hint="eastAsia"/>
                            <w:szCs w:val="21"/>
                          </w:rPr>
                          <w:t>370,135,810.21</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其他资产</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其他资产"/>
                        <w:tag w:val="_GBC_2b758a1da50146be83471583b6a09fa5"/>
                        <w:id w:val="24720989"/>
                        <w:lock w:val="sdtLocked"/>
                      </w:sdtPr>
                      <w:sdtContent>
                        <w:r w:rsidR="001C1A59">
                          <w:rPr>
                            <w:rFonts w:hint="eastAsia"/>
                            <w:color w:val="000000" w:themeColor="text1"/>
                            <w:szCs w:val="21"/>
                          </w:rPr>
                          <w:t>七、21</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资产"/>
                        <w:tag w:val="_GBC_ce0c11f623de4f928e8a85f6d593d90f"/>
                        <w:id w:val="24720990"/>
                        <w:lock w:val="sdtLocked"/>
                      </w:sdtPr>
                      <w:sdtContent>
                        <w:r w:rsidR="001C1A59">
                          <w:rPr>
                            <w:szCs w:val="21"/>
                          </w:rPr>
                          <w:t>163,415,172.73</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资产"/>
                        <w:tag w:val="_GBC_78af4693ce164dd582a66c4c220370d4"/>
                        <w:id w:val="24720991"/>
                        <w:lock w:val="sdtLocked"/>
                      </w:sdtPr>
                      <w:sdtContent>
                        <w:r w:rsidR="001C1A59">
                          <w:rPr>
                            <w:rFonts w:hint="eastAsia"/>
                            <w:szCs w:val="21"/>
                          </w:rPr>
                          <w:t>156,112,181.77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400" w:firstLine="843"/>
                      <w:rPr>
                        <w:b/>
                      </w:rPr>
                    </w:pPr>
                    <w:r w:rsidRPr="00626623">
                      <w:rPr>
                        <w:b/>
                      </w:rPr>
                      <w:t>资产总计</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BC5401">
                    <w:pPr>
                      <w:jc w:val="both"/>
                      <w:rPr>
                        <w:b/>
                        <w:color w:val="000000" w:themeColor="text1"/>
                        <w:szCs w:val="21"/>
                      </w:rPr>
                    </w:pPr>
                    <w:sdt>
                      <w:sdtPr>
                        <w:rPr>
                          <w:rFonts w:hint="eastAsia"/>
                          <w:b/>
                          <w:color w:val="000000" w:themeColor="text1"/>
                          <w:szCs w:val="21"/>
                        </w:rPr>
                        <w:alias w:val="附注_资产总计"/>
                        <w:tag w:val="_GBC_1cc3bc96023c49c48f7294c912d6fe30"/>
                        <w:id w:val="24720992"/>
                        <w:lock w:val="sdtLocked"/>
                        <w:showingPlcHdr/>
                      </w:sdtPr>
                      <w:sdtContent>
                        <w:r w:rsidR="001C1A59" w:rsidRPr="00626623">
                          <w:rPr>
                            <w:rFonts w:hint="eastAsia"/>
                            <w:b/>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资产总计"/>
                        <w:tag w:val="_GBC_acd36882c0ae4bfb8122d38709184d27"/>
                        <w:id w:val="24720993"/>
                        <w:lock w:val="sdtLocked"/>
                      </w:sdtPr>
                      <w:sdtContent>
                        <w:r w:rsidR="001C1A59" w:rsidRPr="00626623">
                          <w:rPr>
                            <w:rFonts w:hint="eastAsia"/>
                            <w:b/>
                            <w:szCs w:val="21"/>
                          </w:rPr>
                          <w:t>364,794,648,813.88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资产总计"/>
                        <w:tag w:val="_GBC_2160fccacf8d441d954722e73c560136"/>
                        <w:id w:val="24720994"/>
                        <w:lock w:val="sdtLocked"/>
                      </w:sdtPr>
                      <w:sdtContent>
                        <w:r w:rsidR="001C1A59" w:rsidRPr="00626623">
                          <w:rPr>
                            <w:rFonts w:hint="eastAsia"/>
                            <w:b/>
                            <w:szCs w:val="21"/>
                          </w:rPr>
                          <w:t>193,408,050,497.75</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r>
                      <w:rPr>
                        <w:b/>
                        <w:bCs/>
                      </w:rPr>
                      <w:t>负债：</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DE031E" w:rsidP="00BC5401">
                    <w:pPr>
                      <w:jc w:val="both"/>
                      <w:rPr>
                        <w:color w:val="000000" w:themeColor="text1"/>
                        <w:szCs w:val="21"/>
                      </w:rPr>
                    </w:pPr>
                  </w:p>
                </w:tc>
                <w:tc>
                  <w:tcPr>
                    <w:tcW w:w="1107" w:type="pct"/>
                    <w:tcBorders>
                      <w:top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短期借款</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短期借款"/>
                        <w:tag w:val="_GBC_ece34115b44f48bdb1188f23384602e9"/>
                        <w:id w:val="24720995"/>
                        <w:lock w:val="sdtLocked"/>
                      </w:sdtPr>
                      <w:sdtContent>
                        <w:r w:rsidR="001C1A59">
                          <w:rPr>
                            <w:rFonts w:hint="eastAsia"/>
                            <w:color w:val="000000" w:themeColor="text1"/>
                            <w:szCs w:val="21"/>
                          </w:rPr>
                          <w:t>七、23</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短期借款"/>
                        <w:tag w:val="_GBC_7fed2b841baf4ea2827e8c3f4170c18d"/>
                        <w:id w:val="24720996"/>
                        <w:lock w:val="sdtLocked"/>
                      </w:sdtPr>
                      <w:sdtContent>
                        <w:r w:rsidR="001C1A59">
                          <w:rPr>
                            <w:rFonts w:hint="eastAsia"/>
                            <w:szCs w:val="21"/>
                          </w:rPr>
                          <w:t>4,307,204,862.48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短期借款"/>
                        <w:tag w:val="_GBC_f1e73f55856846018075f414377fb06a"/>
                        <w:id w:val="24720997"/>
                        <w:lock w:val="sdtLocked"/>
                      </w:sdtPr>
                      <w:sdtContent>
                        <w:r w:rsidR="001C1A59">
                          <w:rPr>
                            <w:rFonts w:hint="eastAsia"/>
                            <w:szCs w:val="21"/>
                          </w:rPr>
                          <w:t>2,843,876,350.00</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应付短期融资款</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color w:val="000000" w:themeColor="text1"/>
                          <w:szCs w:val="21"/>
                        </w:rPr>
                        <w:alias w:val="附注_应付短期融资款"/>
                        <w:tag w:val="_GBC_a22d2140209a47dda6fc60398181ef2a"/>
                        <w:id w:val="24720998"/>
                        <w:lock w:val="sdtLocked"/>
                      </w:sdtPr>
                      <w:sdtContent>
                        <w:r w:rsidR="001C1A59">
                          <w:rPr>
                            <w:rFonts w:hint="eastAsia"/>
                            <w:color w:val="000000" w:themeColor="text1"/>
                            <w:szCs w:val="21"/>
                          </w:rPr>
                          <w:t>七、24</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短期融资款"/>
                        <w:tag w:val="_GBC_24f1f82060dc46bf96f8796453e34bc6"/>
                        <w:id w:val="24720999"/>
                        <w:lock w:val="sdtLocked"/>
                      </w:sdtPr>
                      <w:sdtContent>
                        <w:r w:rsidR="001C1A59">
                          <w:rPr>
                            <w:szCs w:val="21"/>
                          </w:rPr>
                          <w:t>44,849,030,000.00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短期融资款"/>
                        <w:tag w:val="_GBC_dfab2757284c4eb5aa354e29ea873b05"/>
                        <w:id w:val="24721000"/>
                        <w:lock w:val="sdtLocked"/>
                      </w:sdtPr>
                      <w:sdtContent>
                        <w:r w:rsidR="001C1A59">
                          <w:rPr>
                            <w:szCs w:val="21"/>
                          </w:rPr>
                          <w:t>14,363,147,014.00</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拆入资金</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拆入资金"/>
                        <w:tag w:val="_GBC_7e63117a9fca49818cde1c45a2797531"/>
                        <w:id w:val="24721001"/>
                        <w:lock w:val="sdtLocked"/>
                      </w:sdtPr>
                      <w:sdtContent>
                        <w:r w:rsidR="001C1A59">
                          <w:rPr>
                            <w:rFonts w:hint="eastAsia"/>
                            <w:color w:val="000000" w:themeColor="text1"/>
                            <w:szCs w:val="21"/>
                          </w:rPr>
                          <w:t>七、25</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入资金"/>
                        <w:tag w:val="_GBC_8e304a7a39e24bd4b0002c01bd0c334e"/>
                        <w:id w:val="24721002"/>
                        <w:lock w:val="sdtLocked"/>
                      </w:sdtPr>
                      <w:sdtContent>
                        <w:r w:rsidR="001C1A59">
                          <w:rPr>
                            <w:rFonts w:hint="eastAsia"/>
                            <w:szCs w:val="21"/>
                          </w:rPr>
                          <w:t>1,000,000,000.00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入资金"/>
                        <w:tag w:val="_GBC_c4bafd10715d453aa5cd3128aee3d83f"/>
                        <w:id w:val="24721003"/>
                        <w:lock w:val="sdtLocked"/>
                      </w:sdtPr>
                      <w:sdtContent>
                        <w:r w:rsidR="001C1A59">
                          <w:rPr>
                            <w:rFonts w:hint="eastAsia"/>
                            <w:szCs w:val="21"/>
                          </w:rPr>
                          <w:t>4,600,000,000.00</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以公允价值计量且其变动计入当期损益的金融负债</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以公允价值计量且其变动计入当期损益的金融负债"/>
                        <w:tag w:val="_GBC_91cfd27041804121bdf5c3fb8d507b81"/>
                        <w:id w:val="24721004"/>
                        <w:lock w:val="sdtLocked"/>
                      </w:sdtPr>
                      <w:sdtContent>
                        <w:r w:rsidR="001C1A59">
                          <w:rPr>
                            <w:rFonts w:hint="eastAsia"/>
                            <w:color w:val="000000" w:themeColor="text1"/>
                            <w:szCs w:val="21"/>
                          </w:rPr>
                          <w:t>七、26</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负债"/>
                        <w:tag w:val="_GBC_1077c35454d04333acb1cdc59f3857a4"/>
                        <w:id w:val="24721005"/>
                        <w:lock w:val="sdtLocked"/>
                      </w:sdtPr>
                      <w:sdtContent>
                        <w:r w:rsidR="001C1A59">
                          <w:rPr>
                            <w:rFonts w:hint="eastAsia"/>
                            <w:szCs w:val="21"/>
                          </w:rPr>
                          <w:t>230,317,935.19</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负债"/>
                        <w:tag w:val="_GBC_8ced6a71093147ffa313e2ea68f25b28"/>
                        <w:id w:val="24721006"/>
                        <w:lock w:val="sdtLocked"/>
                      </w:sdtPr>
                      <w:sdtContent>
                        <w:r w:rsidR="001C1A59">
                          <w:rPr>
                            <w:rFonts w:hint="eastAsia"/>
                            <w:szCs w:val="21"/>
                          </w:rPr>
                          <w:t>210,696,936.54</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衍生金融负债</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衍生金融负债"/>
                        <w:tag w:val="_GBC_afb59b2e7997403c94d8369233451b9a"/>
                        <w:id w:val="24721007"/>
                        <w:lock w:val="sdtLocked"/>
                      </w:sdtPr>
                      <w:sdtContent>
                        <w:r w:rsidR="001C1A59">
                          <w:rPr>
                            <w:rFonts w:hint="eastAsia"/>
                            <w:color w:val="000000" w:themeColor="text1"/>
                            <w:szCs w:val="21"/>
                          </w:rPr>
                          <w:t>七、6</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负债"/>
                        <w:tag w:val="_GBC_e245785d0eae482282c37981927f0f9d"/>
                        <w:id w:val="24721008"/>
                        <w:lock w:val="sdtLocked"/>
                      </w:sdtPr>
                      <w:sdtContent>
                        <w:r w:rsidR="001C1A59">
                          <w:rPr>
                            <w:rFonts w:hint="eastAsia"/>
                            <w:szCs w:val="21"/>
                          </w:rPr>
                          <w:t>3,528,695,735.73</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负债"/>
                        <w:tag w:val="_GBC_424769b3659c4357b272b453c71a99ef"/>
                        <w:id w:val="24721009"/>
                        <w:lock w:val="sdtLocked"/>
                      </w:sdtPr>
                      <w:sdtContent>
                        <w:r w:rsidR="001C1A59">
                          <w:rPr>
                            <w:rFonts w:hint="eastAsia"/>
                            <w:szCs w:val="21"/>
                          </w:rPr>
                          <w:t>849,865,227.37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lastRenderedPageBreak/>
                      <w:t>卖出回购金融资产款</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卖出回购金融资产款"/>
                        <w:tag w:val="_GBC_7c6aa30de69f4d99a5d8076f1be7e582"/>
                        <w:id w:val="24721010"/>
                        <w:lock w:val="sdtLocked"/>
                      </w:sdtPr>
                      <w:sdtContent>
                        <w:r w:rsidR="001C1A59">
                          <w:rPr>
                            <w:rFonts w:hint="eastAsia"/>
                            <w:color w:val="000000" w:themeColor="text1"/>
                            <w:szCs w:val="21"/>
                          </w:rPr>
                          <w:t>七、27</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卖出回购金融资产款"/>
                        <w:tag w:val="_GBC_35e6c75790254770aa945c251226ef81"/>
                        <w:id w:val="24721011"/>
                        <w:lock w:val="sdtLocked"/>
                      </w:sdtPr>
                      <w:sdtContent>
                        <w:r w:rsidR="001C1A59">
                          <w:rPr>
                            <w:rFonts w:hint="eastAsia"/>
                            <w:szCs w:val="21"/>
                          </w:rPr>
                          <w:t>59,262,473,190.06</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卖出回购金融资产款"/>
                        <w:tag w:val="_GBC_95707307a7274288b7821372a45bf2e4"/>
                        <w:id w:val="24721012"/>
                        <w:lock w:val="sdtLocked"/>
                      </w:sdtPr>
                      <w:sdtContent>
                        <w:r w:rsidR="001C1A59">
                          <w:rPr>
                            <w:rFonts w:hint="eastAsia"/>
                            <w:szCs w:val="21"/>
                          </w:rPr>
                          <w:t>49,138,515,787.62</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代理买卖证券款</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代理买卖证券款"/>
                        <w:tag w:val="_GBC_40453ac448a544ca8b4bd3e937d71a4b"/>
                        <w:id w:val="24721013"/>
                        <w:lock w:val="sdtLocked"/>
                      </w:sdtPr>
                      <w:sdtContent>
                        <w:r w:rsidR="001C1A59">
                          <w:rPr>
                            <w:rFonts w:hint="eastAsia"/>
                            <w:color w:val="000000" w:themeColor="text1"/>
                            <w:szCs w:val="21"/>
                          </w:rPr>
                          <w:t>七、28</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买卖证券款"/>
                        <w:tag w:val="_GBC_9074815050974564bb110e66995d0aa0"/>
                        <w:id w:val="24721014"/>
                        <w:lock w:val="sdtLocked"/>
                      </w:sdtPr>
                      <w:sdtContent>
                        <w:r w:rsidR="001C1A59">
                          <w:rPr>
                            <w:rFonts w:hint="eastAsia"/>
                            <w:szCs w:val="21"/>
                          </w:rPr>
                          <w:t>112,387,975,548.73</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买卖证券款"/>
                        <w:tag w:val="_GBC_fe26810dae6b4b559e50feddda8a65ac"/>
                        <w:id w:val="24721015"/>
                        <w:lock w:val="sdtLocked"/>
                      </w:sdtPr>
                      <w:sdtContent>
                        <w:r w:rsidR="001C1A59">
                          <w:rPr>
                            <w:rFonts w:hint="eastAsia"/>
                            <w:szCs w:val="21"/>
                          </w:rPr>
                          <w:t>50,650,100,104.14</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代理承销证券款</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代理承销证券款"/>
                        <w:tag w:val="_GBC_08a9bb672eeb4666a4ddc8304c7bdb49"/>
                        <w:id w:val="24721016"/>
                        <w:lock w:val="sdtLocked"/>
                      </w:sdtPr>
                      <w:sdtContent>
                        <w:r w:rsidR="001C1A59">
                          <w:rPr>
                            <w:rFonts w:hint="eastAsia"/>
                            <w:color w:val="000000" w:themeColor="text1"/>
                            <w:szCs w:val="21"/>
                          </w:rPr>
                          <w:t>七、29</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承销证券款"/>
                        <w:tag w:val="_GBC_d39146ae9fe7482a88fe83f0b36576ba"/>
                        <w:id w:val="24721017"/>
                        <w:lock w:val="sdtLocked"/>
                      </w:sdtPr>
                      <w:sdtContent>
                        <w:r w:rsidR="001C1A59">
                          <w:rPr>
                            <w:rFonts w:hint="eastAsia"/>
                            <w:szCs w:val="21"/>
                          </w:rPr>
                          <w:t>70,000,000.00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承销证券款"/>
                        <w:tag w:val="_GBC_d70b457a6fe641aaa5071750a057ed0a"/>
                        <w:id w:val="24721018"/>
                        <w:lock w:val="sdtLocked"/>
                      </w:sdtP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信用交易代理买卖证券款</w:t>
                    </w:r>
                  </w:p>
                </w:tc>
                <w:sdt>
                  <w:sdtPr>
                    <w:rPr>
                      <w:color w:val="000000" w:themeColor="text1"/>
                      <w:szCs w:val="21"/>
                    </w:rPr>
                    <w:alias w:val="附注_信用交易代理买卖证券款"/>
                    <w:tag w:val="_GBC_785c0953789c47ef9a128db98b4647ac"/>
                    <w:id w:val="24721019"/>
                    <w:lock w:val="sdtLocked"/>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000000" w:themeColor="text1"/>
                            <w:szCs w:val="21"/>
                          </w:rPr>
                          <w:t>七、30</w:t>
                        </w:r>
                      </w:p>
                    </w:tc>
                  </w:sdtContent>
                </w:sdt>
                <w:sdt>
                  <w:sdtPr>
                    <w:rPr>
                      <w:szCs w:val="21"/>
                    </w:rPr>
                    <w:alias w:val="信用交易代理买卖证券款"/>
                    <w:tag w:val="_GBC_b47649cae7944b74bcf2fdc1c377c85f"/>
                    <w:id w:val="24721020"/>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21,149,176,358.85</w:t>
                        </w:r>
                      </w:p>
                    </w:tc>
                  </w:sdtContent>
                </w:sdt>
                <w:sdt>
                  <w:sdtPr>
                    <w:rPr>
                      <w:szCs w:val="21"/>
                    </w:rPr>
                    <w:alias w:val="信用交易代理买卖证券款"/>
                    <w:tag w:val="_GBC_5e3bfee2827e42649143f6d47b8303bb"/>
                    <w:id w:val="24721021"/>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7,044,122,574.21</w:t>
                        </w: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应付职工薪酬</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应付职工薪酬"/>
                        <w:tag w:val="_GBC_52e5de1e75934ade8fa5e438a1f252b8"/>
                        <w:id w:val="24721022"/>
                        <w:lock w:val="sdtLocked"/>
                      </w:sdtPr>
                      <w:sdtContent>
                        <w:r w:rsidR="001C1A59">
                          <w:rPr>
                            <w:rFonts w:hint="eastAsia"/>
                            <w:color w:val="000000" w:themeColor="text1"/>
                            <w:szCs w:val="21"/>
                          </w:rPr>
                          <w:t>七、33</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职工薪酬"/>
                        <w:tag w:val="_GBC_12e81bfb0ad44c4db87b9dd07537bfb6"/>
                        <w:id w:val="24721023"/>
                        <w:lock w:val="sdtLocked"/>
                      </w:sdtPr>
                      <w:sdtContent>
                        <w:r w:rsidR="001C1A59">
                          <w:rPr>
                            <w:rFonts w:hint="eastAsia"/>
                            <w:szCs w:val="21"/>
                          </w:rPr>
                          <w:t>5,454,105,186.10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职工薪酬"/>
                        <w:tag w:val="_GBC_1fdaa6e38da54583911bf736ed5945a9"/>
                        <w:id w:val="24721024"/>
                        <w:lock w:val="sdtLocked"/>
                      </w:sdtPr>
                      <w:sdtContent>
                        <w:r w:rsidR="001C1A59">
                          <w:rPr>
                            <w:rFonts w:hint="eastAsia"/>
                            <w:szCs w:val="21"/>
                          </w:rPr>
                          <w:t>1,856,345,000.00</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应交税费</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应交税金"/>
                        <w:tag w:val="_GBC_9c0a6837aa1b463494ab6ac830319128"/>
                        <w:id w:val="24721025"/>
                        <w:lock w:val="sdtLocked"/>
                      </w:sdtPr>
                      <w:sdtContent>
                        <w:r w:rsidR="001C1A59">
                          <w:rPr>
                            <w:rFonts w:hint="eastAsia"/>
                            <w:color w:val="000000" w:themeColor="text1"/>
                            <w:szCs w:val="21"/>
                          </w:rPr>
                          <w:t>七、34</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交税金"/>
                        <w:tag w:val="_GBC_fab5a3ff5b6a49d88f5a29d3ddd6f42a"/>
                        <w:id w:val="24721026"/>
                        <w:lock w:val="sdtLocked"/>
                      </w:sdtPr>
                      <w:sdtContent>
                        <w:r w:rsidR="001C1A59">
                          <w:rPr>
                            <w:rFonts w:hint="eastAsia"/>
                            <w:szCs w:val="21"/>
                          </w:rPr>
                          <w:t>1,379,687,019.69</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交税金"/>
                        <w:tag w:val="_GBC_ade36902698a47ddbf8022cf68ef6138"/>
                        <w:id w:val="24721027"/>
                        <w:lock w:val="sdtLocked"/>
                      </w:sdtPr>
                      <w:sdtContent>
                        <w:r w:rsidR="001C1A59">
                          <w:rPr>
                            <w:rFonts w:hint="eastAsia"/>
                            <w:szCs w:val="21"/>
                          </w:rPr>
                          <w:t>547,195,071.78</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应付款项</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color w:val="000000" w:themeColor="text1"/>
                          <w:szCs w:val="21"/>
                        </w:rPr>
                        <w:alias w:val="附注_应付款项"/>
                        <w:tag w:val="_GBC_1050915a0846459a9dbf6416b2969f0c"/>
                        <w:id w:val="24721028"/>
                        <w:lock w:val="sdtLocked"/>
                      </w:sdtPr>
                      <w:sdtContent>
                        <w:r w:rsidR="001C1A59">
                          <w:rPr>
                            <w:rFonts w:hint="eastAsia"/>
                            <w:color w:val="000000" w:themeColor="text1"/>
                            <w:szCs w:val="21"/>
                          </w:rPr>
                          <w:t>七、32</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款项"/>
                        <w:tag w:val="_GBC_b12aa85b554d4b9785dfb097fcc4a8d6"/>
                        <w:id w:val="24721029"/>
                        <w:lock w:val="sdtLocked"/>
                      </w:sdtPr>
                      <w:sdtContent>
                        <w:r w:rsidR="001C1A59">
                          <w:rPr>
                            <w:szCs w:val="21"/>
                          </w:rPr>
                          <w:t>8,952,572,889.75</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款项"/>
                        <w:tag w:val="_GBC_ba413f6a5d3444359eefa6dd91aa5da7"/>
                        <w:id w:val="24721030"/>
                        <w:lock w:val="sdtLocked"/>
                      </w:sdtPr>
                      <w:sdtContent>
                        <w:r w:rsidR="001C1A59">
                          <w:rPr>
                            <w:szCs w:val="21"/>
                          </w:rPr>
                          <w:t>6,433,395,464.16</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应付利息</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应付利息"/>
                        <w:tag w:val="_GBC_8c1ce35d00fc4cb4a3e877b0ab99eee5"/>
                        <w:id w:val="24721031"/>
                        <w:lock w:val="sdtLocked"/>
                      </w:sdtPr>
                      <w:sdtContent>
                        <w:r w:rsidR="001C1A59">
                          <w:rPr>
                            <w:rFonts w:hint="eastAsia"/>
                            <w:color w:val="000000" w:themeColor="text1"/>
                            <w:szCs w:val="21"/>
                          </w:rPr>
                          <w:t>七、35</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利息"/>
                        <w:tag w:val="_GBC_4f6e3eef40054e59a8428e74d68d2202"/>
                        <w:id w:val="24721032"/>
                        <w:lock w:val="sdtLocked"/>
                      </w:sdtPr>
                      <w:sdtContent>
                        <w:r w:rsidR="001C1A59">
                          <w:rPr>
                            <w:rFonts w:hint="eastAsia"/>
                            <w:szCs w:val="21"/>
                          </w:rPr>
                          <w:t>1,322,059,383.22</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利息"/>
                        <w:tag w:val="_GBC_730cfa546e2f42668efda1ffa3bf8ef9"/>
                        <w:id w:val="24721033"/>
                        <w:lock w:val="sdtLocked"/>
                      </w:sdtPr>
                      <w:sdtContent>
                        <w:r w:rsidR="001C1A59">
                          <w:rPr>
                            <w:rFonts w:hint="eastAsia"/>
                            <w:szCs w:val="21"/>
                          </w:rPr>
                          <w:t>570,963,712.93</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应付股利</w:t>
                    </w:r>
                  </w:p>
                </w:tc>
                <w:sdt>
                  <w:sdtPr>
                    <w:rPr>
                      <w:color w:val="000000" w:themeColor="text1"/>
                      <w:szCs w:val="21"/>
                    </w:rPr>
                    <w:alias w:val="附注_应付股利"/>
                    <w:tag w:val="_GBC_75f055b229c4430aa8d874595a8c2f4c"/>
                    <w:id w:val="24721034"/>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应付股利"/>
                    <w:tag w:val="_GBC_6faaa779d22b4b6eb2077a3b8fde17ef"/>
                    <w:id w:val="24721035"/>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应付股利"/>
                    <w:tag w:val="_GBC_559c423553d24ef29b68f982357af95f"/>
                    <w:id w:val="24721036"/>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划分为持有待售的负债</w:t>
                    </w:r>
                  </w:p>
                </w:tc>
                <w:sdt>
                  <w:sdtPr>
                    <w:rPr>
                      <w:color w:val="000000" w:themeColor="text1"/>
                      <w:szCs w:val="21"/>
                    </w:rPr>
                    <w:alias w:val="附注_划分为持有待售的负债"/>
                    <w:tag w:val="_GBC_d276644b49ca40b3a603c15c433f0785"/>
                    <w:id w:val="24721037"/>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划分为持有待售的负债"/>
                    <w:tag w:val="_GBC_63c199db626b4e61ad13846b668bac9d"/>
                    <w:id w:val="24721038"/>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划分为持有待售的负债"/>
                    <w:tag w:val="_GBC_4ab343ae0b9d439aabf63ecc5efbdfdd"/>
                    <w:id w:val="24721039"/>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预计负债</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预计负债"/>
                        <w:tag w:val="_GBC_24237a7569654bbbadd4d1e9ceaf9a06"/>
                        <w:id w:val="24721040"/>
                        <w:lock w:val="sdtLocked"/>
                      </w:sdtPr>
                      <w:sdtContent>
                        <w:r w:rsidR="001C1A59">
                          <w:rPr>
                            <w:rFonts w:hint="eastAsia"/>
                            <w:color w:val="000000" w:themeColor="text1"/>
                            <w:szCs w:val="21"/>
                          </w:rPr>
                          <w:t>七、39</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预计负债"/>
                        <w:tag w:val="_GBC_4a042732deb348b1918af6db88f73196"/>
                        <w:id w:val="24721041"/>
                        <w:lock w:val="sdtLocked"/>
                      </w:sdtPr>
                      <w:sdtContent>
                        <w:r w:rsidR="001C1A59">
                          <w:rPr>
                            <w:rFonts w:hint="eastAsia"/>
                            <w:szCs w:val="21"/>
                          </w:rPr>
                          <w:t>117,774.00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预计负债"/>
                        <w:tag w:val="_GBC_cb83b932aaea4d19b814df917f4da7fa"/>
                        <w:id w:val="24721042"/>
                        <w:lock w:val="sdtLocked"/>
                      </w:sdtPr>
                      <w:sdtContent>
                        <w:r w:rsidR="001C1A59">
                          <w:rPr>
                            <w:rFonts w:hint="eastAsia"/>
                            <w:szCs w:val="21"/>
                          </w:rPr>
                          <w:t>117,774.00</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长期借款</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长期借款"/>
                        <w:tag w:val="_GBC_22dfbee208514edd8d4ffb19f4a629ed"/>
                        <w:id w:val="24721043"/>
                        <w:lock w:val="sdtLocked"/>
                      </w:sdtPr>
                      <w:sdtContent>
                        <w:r w:rsidR="001C1A59">
                          <w:rPr>
                            <w:rFonts w:hint="eastAsia"/>
                            <w:color w:val="000000" w:themeColor="text1"/>
                            <w:szCs w:val="21"/>
                          </w:rPr>
                          <w:t>七、36</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借款"/>
                        <w:tag w:val="_GBC_48d5e4f558114634863d303e225094a9"/>
                        <w:id w:val="24721044"/>
                        <w:lock w:val="sdtLocked"/>
                      </w:sdtPr>
                      <w:sdtContent>
                        <w:r w:rsidR="001C1A59">
                          <w:rPr>
                            <w:rFonts w:hint="eastAsia"/>
                            <w:szCs w:val="21"/>
                          </w:rPr>
                          <w:t>399,927,970.82</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借款"/>
                        <w:tag w:val="_GBC_542b62b5d3af43fc998d015304093e41"/>
                        <w:id w:val="24721045"/>
                        <w:lock w:val="sdtLocked"/>
                      </w:sdtPr>
                      <w:sdtContent>
                        <w:r w:rsidR="001C1A59">
                          <w:rPr>
                            <w:rFonts w:hint="eastAsia"/>
                            <w:szCs w:val="21"/>
                          </w:rPr>
                          <w:t>295,495,755.48</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应付债券</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应付债券"/>
                        <w:tag w:val="_GBC_683fa27dd6d64496b4164b2612b1d398"/>
                        <w:id w:val="24721046"/>
                        <w:lock w:val="sdtLocked"/>
                      </w:sdtPr>
                      <w:sdtContent>
                        <w:r w:rsidR="001C1A59">
                          <w:rPr>
                            <w:rFonts w:hint="eastAsia"/>
                            <w:color w:val="000000" w:themeColor="text1"/>
                            <w:szCs w:val="21"/>
                          </w:rPr>
                          <w:t>七、37</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债券"/>
                        <w:tag w:val="_GBC_8f4379782d114043a2c046bcf5886e77"/>
                        <w:id w:val="24721047"/>
                        <w:lock w:val="sdtLocked"/>
                      </w:sdtPr>
                      <w:sdtContent>
                        <w:r w:rsidR="001C1A59">
                          <w:rPr>
                            <w:rFonts w:hint="eastAsia"/>
                            <w:szCs w:val="21"/>
                          </w:rPr>
                          <w:t>50,458,367,066.70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债券"/>
                        <w:tag w:val="_GBC_088ad7964a8f431db847dee54736bc0d"/>
                        <w:id w:val="24721048"/>
                        <w:lock w:val="sdtLocked"/>
                      </w:sdtPr>
                      <w:sdtContent>
                        <w:r w:rsidR="001C1A59">
                          <w:rPr>
                            <w:rFonts w:hint="eastAsia"/>
                            <w:szCs w:val="21"/>
                          </w:rPr>
                          <w:t>9,982,485,805.80</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长期应付款</w:t>
                    </w:r>
                  </w:p>
                </w:tc>
                <w:sdt>
                  <w:sdtPr>
                    <w:rPr>
                      <w:color w:val="000000" w:themeColor="text1"/>
                      <w:szCs w:val="21"/>
                    </w:rPr>
                    <w:alias w:val="附注_长期应付款"/>
                    <w:tag w:val="_GBC_05a65c528a0c46df850beedc139fe6a2"/>
                    <w:id w:val="24721049"/>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长期应付款"/>
                    <w:tag w:val="_GBC_7bce7e306fcf497d9357c2ad25568849"/>
                    <w:id w:val="24721050"/>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长期应付款"/>
                    <w:tag w:val="_GBC_ffb29621e563421facc6480eb59e635b"/>
                    <w:id w:val="24721051"/>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长期应付职工薪酬</w:t>
                    </w:r>
                  </w:p>
                </w:tc>
                <w:sdt>
                  <w:sdtPr>
                    <w:rPr>
                      <w:color w:val="000000" w:themeColor="text1"/>
                      <w:szCs w:val="21"/>
                    </w:rPr>
                    <w:alias w:val="附注_长期应付职工薪酬"/>
                    <w:tag w:val="_GBC_73894e9c486f47e4b4c8afd1ac23a878"/>
                    <w:id w:val="24721052"/>
                    <w:lock w:val="sdtLocked"/>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000000" w:themeColor="text1"/>
                            <w:szCs w:val="21"/>
                          </w:rPr>
                          <w:t>七、38</w:t>
                        </w:r>
                      </w:p>
                    </w:tc>
                  </w:sdtContent>
                </w:sdt>
                <w:sdt>
                  <w:sdtPr>
                    <w:rPr>
                      <w:szCs w:val="21"/>
                    </w:rPr>
                    <w:alias w:val="长期应付职工薪酬"/>
                    <w:tag w:val="_GBC_cb15bb72c3b94f32be3039b8b0e358fa"/>
                    <w:id w:val="24721053"/>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787,540,000.00</w:t>
                        </w:r>
                      </w:p>
                    </w:tc>
                  </w:sdtContent>
                </w:sdt>
                <w:sdt>
                  <w:sdtPr>
                    <w:rPr>
                      <w:szCs w:val="21"/>
                    </w:rPr>
                    <w:alias w:val="长期应付职工薪酬"/>
                    <w:tag w:val="_GBC_d253f8e4ee1a4102bb0fde6a0c95a5e5"/>
                    <w:id w:val="24721054"/>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1,813,598,899.06</w:t>
                        </w: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专项应付款</w:t>
                    </w:r>
                  </w:p>
                </w:tc>
                <w:sdt>
                  <w:sdtPr>
                    <w:rPr>
                      <w:color w:val="000000" w:themeColor="text1"/>
                      <w:szCs w:val="21"/>
                    </w:rPr>
                    <w:alias w:val="附注_专项应付款"/>
                    <w:tag w:val="_GBC_eab901294fbd4338b76bff5c6a83873f"/>
                    <w:id w:val="24721055"/>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专项应付款"/>
                    <w:tag w:val="_GBC_278fb593088e4c90a43447ddce283f43"/>
                    <w:id w:val="24721056"/>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专项应付款"/>
                    <w:tag w:val="_GBC_0a46b520f217421fa648756f295ab2fe"/>
                    <w:id w:val="24721057"/>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递延所得税负债</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递延税款贷项合计"/>
                        <w:tag w:val="_GBC_60459bb761bd4226a269853fbce292a7"/>
                        <w:id w:val="24721058"/>
                        <w:lock w:val="sdtLocked"/>
                      </w:sdtPr>
                      <w:sdtContent>
                        <w:r w:rsidR="001C1A59">
                          <w:rPr>
                            <w:rFonts w:hint="eastAsia"/>
                            <w:color w:val="000000" w:themeColor="text1"/>
                            <w:szCs w:val="21"/>
                          </w:rPr>
                          <w:t>七、20</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贷项合计"/>
                        <w:tag w:val="_GBC_990e22d91fc345fc9f86af6ddf8635b9"/>
                        <w:id w:val="24721059"/>
                        <w:lock w:val="sdtLocked"/>
                      </w:sdtPr>
                      <w:sdtContent>
                        <w:r w:rsidR="001C1A59">
                          <w:rPr>
                            <w:rFonts w:hint="eastAsia"/>
                            <w:szCs w:val="21"/>
                          </w:rPr>
                          <w:t>1,114,433,173.58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贷项合计"/>
                        <w:tag w:val="_GBC_45dd5e5c63d846ccb4a5267e409987b4"/>
                        <w:id w:val="24721060"/>
                        <w:lock w:val="sdtLocked"/>
                      </w:sdtPr>
                      <w:sdtContent>
                        <w:r w:rsidR="001C1A59">
                          <w:rPr>
                            <w:rFonts w:hint="eastAsia"/>
                            <w:szCs w:val="21"/>
                          </w:rPr>
                          <w:t>359,672,716.44</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递延收益</w:t>
                    </w:r>
                  </w:p>
                </w:tc>
                <w:sdt>
                  <w:sdtPr>
                    <w:rPr>
                      <w:color w:val="000000" w:themeColor="text1"/>
                      <w:szCs w:val="21"/>
                    </w:rPr>
                    <w:alias w:val="附注_递延收益"/>
                    <w:tag w:val="_GBC_5ea4f83f85a2450db4f918860e9e2496"/>
                    <w:id w:val="24721061"/>
                    <w:lock w:val="sdtLocked"/>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000000" w:themeColor="text1"/>
                            <w:szCs w:val="21"/>
                          </w:rPr>
                          <w:t>七、40</w:t>
                        </w:r>
                      </w:p>
                    </w:tc>
                  </w:sdtContent>
                </w:sdt>
                <w:sdt>
                  <w:sdtPr>
                    <w:rPr>
                      <w:szCs w:val="21"/>
                    </w:rPr>
                    <w:alias w:val="递延收益"/>
                    <w:tag w:val="_GBC_f4d9c980b6bd4b7ba951d50ea0bc69d6"/>
                    <w:id w:val="24721062"/>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126,000,000.00</w:t>
                        </w:r>
                      </w:p>
                    </w:tc>
                  </w:sdtContent>
                </w:sdt>
                <w:sdt>
                  <w:sdtPr>
                    <w:rPr>
                      <w:szCs w:val="21"/>
                    </w:rPr>
                    <w:alias w:val="递延收益"/>
                    <w:tag w:val="_GBC_696c3572cdcd460aa3466e9b6734a6c4"/>
                    <w:id w:val="24721063"/>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126,000,000.00</w:t>
                        </w: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其他负债</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其他负债"/>
                        <w:tag w:val="_GBC_bd34773506ac4bfbbb5cff59a2b51d0a"/>
                        <w:id w:val="24721064"/>
                        <w:lock w:val="sdtLocked"/>
                      </w:sdtPr>
                      <w:sdtContent>
                        <w:r w:rsidR="001C1A59">
                          <w:rPr>
                            <w:rFonts w:hint="eastAsia"/>
                            <w:color w:val="000000" w:themeColor="text1"/>
                            <w:szCs w:val="21"/>
                          </w:rPr>
                          <w:t>七、41</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负债"/>
                        <w:tag w:val="_GBC_a8855391fbbf484298a5acdc9500435c"/>
                        <w:id w:val="24721065"/>
                        <w:lock w:val="sdtLocked"/>
                      </w:sdtPr>
                      <w:sdtContent>
                        <w:r w:rsidR="001C1A59">
                          <w:rPr>
                            <w:rFonts w:hint="eastAsia"/>
                            <w:szCs w:val="21"/>
                          </w:rPr>
                          <w:t>156,351,963.90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负债"/>
                        <w:tag w:val="_GBC_bef49b4970884f6aa10da9ab86120cba"/>
                        <w:id w:val="24721066"/>
                        <w:lock w:val="sdtLocked"/>
                      </w:sdtPr>
                      <w:sdtContent>
                        <w:r w:rsidR="001C1A59">
                          <w:rPr>
                            <w:rFonts w:hint="eastAsia"/>
                            <w:szCs w:val="21"/>
                          </w:rPr>
                          <w:t>126,295,148.56</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rPr>
                    </w:pPr>
                    <w:r w:rsidRPr="00626623">
                      <w:rPr>
                        <w:b/>
                      </w:rPr>
                      <w:t>负债合计</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BC5401">
                    <w:pPr>
                      <w:jc w:val="both"/>
                      <w:rPr>
                        <w:b/>
                        <w:color w:val="000000" w:themeColor="text1"/>
                        <w:szCs w:val="21"/>
                      </w:rPr>
                    </w:pPr>
                    <w:sdt>
                      <w:sdtPr>
                        <w:rPr>
                          <w:rFonts w:hint="eastAsia"/>
                          <w:b/>
                          <w:color w:val="000000" w:themeColor="text1"/>
                          <w:szCs w:val="21"/>
                        </w:rPr>
                        <w:alias w:val="附注_负债合计"/>
                        <w:tag w:val="_GBC_0b4a6d6f06c149808a5537b6df7e07f7"/>
                        <w:id w:val="24721067"/>
                        <w:lock w:val="sdtLocked"/>
                        <w:showingPlcHdr/>
                      </w:sdtPr>
                      <w:sdtContent>
                        <w:r w:rsidR="001C1A59" w:rsidRPr="00626623">
                          <w:rPr>
                            <w:rFonts w:hint="eastAsia"/>
                            <w:b/>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合计"/>
                        <w:tag w:val="_GBC_e16350a1083f435282a8b5aea65ad332"/>
                        <w:id w:val="24721068"/>
                        <w:lock w:val="sdtLocked"/>
                      </w:sdtPr>
                      <w:sdtContent>
                        <w:r w:rsidR="001C1A59" w:rsidRPr="00626623">
                          <w:rPr>
                            <w:rFonts w:hint="eastAsia"/>
                            <w:b/>
                            <w:szCs w:val="21"/>
                          </w:rPr>
                          <w:t>316,936,036,058.80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合计"/>
                        <w:tag w:val="_GBC_0351d57ec0c644ab9e240d96d283889a"/>
                        <w:id w:val="24721069"/>
                        <w:lock w:val="sdtLocked"/>
                      </w:sdtPr>
                      <w:sdtContent>
                        <w:r w:rsidR="001C1A59" w:rsidRPr="00626623">
                          <w:rPr>
                            <w:rFonts w:hint="eastAsia"/>
                            <w:b/>
                            <w:szCs w:val="21"/>
                          </w:rPr>
                          <w:t>151,811,889,342.09</w:t>
                        </w:r>
                      </w:sdtContent>
                    </w:sdt>
                  </w:p>
                </w:tc>
              </w:tr>
              <w:tr w:rsidR="00DE031E" w:rsidTr="00BC5401">
                <w:trPr>
                  <w:jc w:val="center"/>
                </w:trPr>
                <w:tc>
                  <w:tcPr>
                    <w:tcW w:w="2341" w:type="pct"/>
                    <w:tcBorders>
                      <w:right w:val="single" w:sz="4" w:space="0" w:color="auto"/>
                    </w:tcBorders>
                  </w:tcPr>
                  <w:p w:rsidR="00DE031E" w:rsidRDefault="001C1A59" w:rsidP="00DE031E">
                    <w:pPr>
                      <w:rPr>
                        <w:b/>
                        <w:bCs/>
                      </w:rPr>
                    </w:pPr>
                    <w:r>
                      <w:rPr>
                        <w:rFonts w:hint="eastAsia"/>
                        <w:b/>
                        <w:bCs/>
                      </w:rPr>
                      <w:t>所有者权益（或</w:t>
                    </w:r>
                    <w:r>
                      <w:rPr>
                        <w:b/>
                        <w:bCs/>
                      </w:rPr>
                      <w:t>股东权益</w:t>
                    </w:r>
                    <w:r>
                      <w:rPr>
                        <w:rFonts w:hint="eastAsia"/>
                        <w:b/>
                        <w:bCs/>
                      </w:rPr>
                      <w:t>）</w:t>
                    </w:r>
                    <w:r>
                      <w:rPr>
                        <w:b/>
                        <w:bCs/>
                      </w:rPr>
                      <w:t>：</w:t>
                    </w:r>
                  </w:p>
                </w:tc>
                <w:tc>
                  <w:tcPr>
                    <w:tcW w:w="443" w:type="pct"/>
                    <w:tcBorders>
                      <w:left w:val="single" w:sz="4" w:space="0" w:color="auto"/>
                      <w:right w:val="single" w:sz="4" w:space="0" w:color="auto"/>
                    </w:tcBorders>
                    <w:vAlign w:val="center"/>
                  </w:tcPr>
                  <w:p w:rsidR="00DE031E" w:rsidRDefault="00DE031E" w:rsidP="00BC5401">
                    <w:pPr>
                      <w:jc w:val="both"/>
                      <w:rPr>
                        <w:color w:val="000000" w:themeColor="text1"/>
                        <w:szCs w:val="21"/>
                      </w:rPr>
                    </w:pPr>
                  </w:p>
                </w:tc>
                <w:tc>
                  <w:tcPr>
                    <w:tcW w:w="1107" w:type="pct"/>
                    <w:tcBorders>
                      <w:left w:val="single" w:sz="4" w:space="0" w:color="auto"/>
                      <w:right w:val="single" w:sz="4" w:space="0" w:color="auto"/>
                    </w:tcBorders>
                    <w:vAlign w:val="center"/>
                  </w:tcPr>
                  <w:p w:rsidR="00DE031E" w:rsidRDefault="00DE031E" w:rsidP="00DE031E">
                    <w:pPr>
                      <w:jc w:val="right"/>
                      <w:rPr>
                        <w:color w:val="000000" w:themeColor="text1"/>
                        <w:szCs w:val="21"/>
                      </w:rPr>
                    </w:pPr>
                  </w:p>
                </w:tc>
                <w:tc>
                  <w:tcPr>
                    <w:tcW w:w="1108" w:type="pct"/>
                    <w:tcBorders>
                      <w:left w:val="single" w:sz="4" w:space="0" w:color="auto"/>
                    </w:tcBorders>
                    <w:vAlign w:val="center"/>
                  </w:tcPr>
                  <w:p w:rsidR="00DE031E" w:rsidRDefault="00DE031E" w:rsidP="00DE031E">
                    <w:pPr>
                      <w:jc w:val="right"/>
                      <w:rPr>
                        <w:color w:val="000000" w:themeColor="text1"/>
                        <w:szCs w:val="21"/>
                      </w:rPr>
                    </w:pPr>
                  </w:p>
                </w:tc>
              </w:tr>
              <w:tr w:rsidR="00DE031E" w:rsidTr="00BC5401">
                <w:trPr>
                  <w:jc w:val="center"/>
                </w:trPr>
                <w:tc>
                  <w:tcPr>
                    <w:tcW w:w="2341" w:type="pct"/>
                    <w:tcBorders>
                      <w:top w:val="outset" w:sz="6" w:space="0" w:color="auto"/>
                      <w:left w:val="outset" w:sz="6" w:space="0" w:color="auto"/>
                      <w:bottom w:val="outset" w:sz="6" w:space="0" w:color="auto"/>
                      <w:right w:val="single" w:sz="4" w:space="0" w:color="auto"/>
                    </w:tcBorders>
                  </w:tcPr>
                  <w:p w:rsidR="00DE031E" w:rsidRDefault="001C1A59" w:rsidP="00DE031E">
                    <w:pPr>
                      <w:ind w:firstLineChars="100" w:firstLine="210"/>
                    </w:pPr>
                    <w:r>
                      <w:rPr>
                        <w:rFonts w:hint="eastAsia"/>
                      </w:rPr>
                      <w:t>实收资本（或</w:t>
                    </w:r>
                    <w:r>
                      <w:t>股本</w:t>
                    </w:r>
                    <w:r>
                      <w:rPr>
                        <w:rFonts w:hint="eastAsia"/>
                      </w:rPr>
                      <w:t>）</w:t>
                    </w:r>
                  </w:p>
                </w:tc>
                <w:tc>
                  <w:tcPr>
                    <w:tcW w:w="443" w:type="pct"/>
                    <w:tcBorders>
                      <w:top w:val="outset" w:sz="6" w:space="0" w:color="auto"/>
                      <w:left w:val="single" w:sz="4" w:space="0" w:color="auto"/>
                      <w:bottom w:val="outset" w:sz="6" w:space="0" w:color="auto"/>
                      <w:right w:val="single" w:sz="4"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股本"/>
                        <w:tag w:val="_GBC_07fff7c3aed84098b472c9ecb6cc81d2"/>
                        <w:id w:val="24721070"/>
                        <w:lock w:val="sdtLocked"/>
                      </w:sdtPr>
                      <w:sdtContent>
                        <w:r w:rsidR="001C1A59">
                          <w:rPr>
                            <w:rFonts w:hint="eastAsia"/>
                            <w:color w:val="000000" w:themeColor="text1"/>
                            <w:szCs w:val="21"/>
                          </w:rPr>
                          <w:t>七、42</w:t>
                        </w:r>
                      </w:sdtContent>
                    </w:sdt>
                  </w:p>
                </w:tc>
                <w:tc>
                  <w:tcPr>
                    <w:tcW w:w="1107" w:type="pct"/>
                    <w:tcBorders>
                      <w:top w:val="outset" w:sz="6" w:space="0" w:color="auto"/>
                      <w:left w:val="single" w:sz="4" w:space="0" w:color="auto"/>
                      <w:bottom w:val="outset" w:sz="6" w:space="0" w:color="auto"/>
                      <w:right w:val="single" w:sz="4" w:space="0" w:color="auto"/>
                    </w:tcBorders>
                    <w:vAlign w:val="center"/>
                  </w:tcPr>
                  <w:p w:rsidR="00DE031E" w:rsidRDefault="00422DCA" w:rsidP="00DE031E">
                    <w:pPr>
                      <w:jc w:val="right"/>
                      <w:rPr>
                        <w:color w:val="000000" w:themeColor="text1"/>
                        <w:szCs w:val="21"/>
                      </w:rPr>
                    </w:pPr>
                    <w:sdt>
                      <w:sdtPr>
                        <w:rPr>
                          <w:rFonts w:hint="eastAsia"/>
                          <w:szCs w:val="21"/>
                        </w:rPr>
                        <w:alias w:val="股本"/>
                        <w:tag w:val="_GBC_b5d45402700c4557b62bc3d948f94dd9"/>
                        <w:id w:val="24721071"/>
                        <w:lock w:val="sdtLocked"/>
                      </w:sdtPr>
                      <w:sdtContent>
                        <w:r w:rsidR="001C1A59">
                          <w:rPr>
                            <w:rFonts w:hint="eastAsia"/>
                            <w:szCs w:val="21"/>
                          </w:rPr>
                          <w:t>5,808,135,529.00</w:t>
                        </w:r>
                      </w:sdtContent>
                    </w:sdt>
                  </w:p>
                </w:tc>
                <w:tc>
                  <w:tcPr>
                    <w:tcW w:w="1108" w:type="pct"/>
                    <w:tcBorders>
                      <w:top w:val="outset" w:sz="6" w:space="0" w:color="auto"/>
                      <w:left w:val="single" w:sz="4"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股本"/>
                        <w:tag w:val="_GBC_4542ece4108545198f042f62abb6e37b"/>
                        <w:id w:val="24721072"/>
                        <w:lock w:val="sdtLocked"/>
                      </w:sdtPr>
                      <w:sdtContent>
                        <w:r w:rsidR="001C1A59">
                          <w:rPr>
                            <w:rFonts w:hint="eastAsia"/>
                            <w:szCs w:val="21"/>
                          </w:rPr>
                          <w:t>5,808,135,529.00</w:t>
                        </w:r>
                      </w:sdtContent>
                    </w:sdt>
                  </w:p>
                </w:tc>
              </w:tr>
              <w:tr w:rsidR="00DE031E" w:rsidTr="00BC5401">
                <w:trPr>
                  <w:jc w:val="center"/>
                </w:trPr>
                <w:tc>
                  <w:tcPr>
                    <w:tcW w:w="2341" w:type="pct"/>
                    <w:tcBorders>
                      <w:top w:val="outset" w:sz="6" w:space="0" w:color="auto"/>
                      <w:left w:val="outset" w:sz="6" w:space="0" w:color="auto"/>
                      <w:bottom w:val="outset" w:sz="6" w:space="0" w:color="auto"/>
                      <w:right w:val="single" w:sz="4" w:space="0" w:color="auto"/>
                    </w:tcBorders>
                  </w:tcPr>
                  <w:p w:rsidR="00DE031E" w:rsidRDefault="001C1A59" w:rsidP="00DE031E">
                    <w:pPr>
                      <w:ind w:firstLineChars="100" w:firstLine="210"/>
                    </w:pPr>
                    <w:r>
                      <w:rPr>
                        <w:rFonts w:hint="eastAsia"/>
                      </w:rPr>
                      <w:t>其他权益工具</w:t>
                    </w:r>
                  </w:p>
                </w:tc>
                <w:sdt>
                  <w:sdtPr>
                    <w:rPr>
                      <w:color w:val="000000" w:themeColor="text1"/>
                      <w:szCs w:val="21"/>
                    </w:rPr>
                    <w:alias w:val="附注_其他权益工具"/>
                    <w:tag w:val="_GBC_c5fb020eac5949ff9f8f14fb3e412514"/>
                    <w:id w:val="24721073"/>
                    <w:lock w:val="sdtLocked"/>
                    <w:showingPlcHdr/>
                  </w:sdtPr>
                  <w:sdtContent>
                    <w:tc>
                      <w:tcPr>
                        <w:tcW w:w="443" w:type="pct"/>
                        <w:tcBorders>
                          <w:top w:val="outset" w:sz="6" w:space="0" w:color="auto"/>
                          <w:left w:val="single" w:sz="4" w:space="0" w:color="auto"/>
                          <w:bottom w:val="outset" w:sz="6" w:space="0" w:color="auto"/>
                          <w:right w:val="single" w:sz="4"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其他权益工具"/>
                    <w:tag w:val="_GBC_ab5b4c0deed6471985a95c61582a8eeb"/>
                    <w:id w:val="24721074"/>
                    <w:lock w:val="sdtLocked"/>
                  </w:sdtPr>
                  <w:sdtContent>
                    <w:tc>
                      <w:tcPr>
                        <w:tcW w:w="1107" w:type="pct"/>
                        <w:tcBorders>
                          <w:top w:val="outset" w:sz="6" w:space="0" w:color="auto"/>
                          <w:left w:val="single" w:sz="4" w:space="0" w:color="auto"/>
                          <w:bottom w:val="outset" w:sz="6" w:space="0" w:color="auto"/>
                          <w:right w:val="single" w:sz="4" w:space="0" w:color="auto"/>
                        </w:tcBorders>
                        <w:vAlign w:val="center"/>
                      </w:tcPr>
                      <w:p w:rsidR="00DE031E" w:rsidRDefault="00DE031E" w:rsidP="00DE031E">
                        <w:pPr>
                          <w:jc w:val="right"/>
                          <w:rPr>
                            <w:szCs w:val="21"/>
                          </w:rPr>
                        </w:pPr>
                      </w:p>
                    </w:tc>
                  </w:sdtContent>
                </w:sdt>
                <w:sdt>
                  <w:sdtPr>
                    <w:rPr>
                      <w:szCs w:val="21"/>
                    </w:rPr>
                    <w:alias w:val="其他权益工具"/>
                    <w:tag w:val="_GBC_7befa5a440b94c078e90a1d797ad4b57"/>
                    <w:id w:val="24721075"/>
                    <w:lock w:val="sdtLocked"/>
                  </w:sdtPr>
                  <w:sdtContent>
                    <w:tc>
                      <w:tcPr>
                        <w:tcW w:w="1108" w:type="pct"/>
                        <w:tcBorders>
                          <w:top w:val="outset" w:sz="6" w:space="0" w:color="auto"/>
                          <w:left w:val="single" w:sz="4"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资本公积</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资本公积"/>
                        <w:tag w:val="_GBC_000166d26c204377a2810d4fbdafb142"/>
                        <w:id w:val="24721076"/>
                        <w:lock w:val="sdtLocked"/>
                      </w:sdtPr>
                      <w:sdtContent>
                        <w:r w:rsidR="001C1A59">
                          <w:rPr>
                            <w:rFonts w:hint="eastAsia"/>
                            <w:color w:val="000000" w:themeColor="text1"/>
                            <w:szCs w:val="21"/>
                          </w:rPr>
                          <w:t>七、43</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资本公积"/>
                        <w:tag w:val="_GBC_67960c0e10a148d788d1eba538ba77db"/>
                        <w:id w:val="24721077"/>
                        <w:lock w:val="sdtLocked"/>
                      </w:sdtPr>
                      <w:sdtContent>
                        <w:r w:rsidR="001C1A59">
                          <w:rPr>
                            <w:rFonts w:hint="eastAsia"/>
                            <w:szCs w:val="21"/>
                          </w:rPr>
                          <w:t>19,403,877,003.80</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资本公积"/>
                        <w:tag w:val="_GBC_c633b0debdfd44269fb9129d82151c62"/>
                        <w:id w:val="24721078"/>
                        <w:lock w:val="sdtLocked"/>
                      </w:sdtPr>
                      <w:sdtContent>
                        <w:r w:rsidR="001C1A59">
                          <w:rPr>
                            <w:rFonts w:hint="eastAsia"/>
                            <w:szCs w:val="21"/>
                          </w:rPr>
                          <w:t>19,403,877,003.80</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减：库存股</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减：库存股"/>
                        <w:tag w:val="_GBC_99f4a49db818479a972515fa82a357fc"/>
                        <w:id w:val="24721079"/>
                        <w:lock w:val="sdtLocked"/>
                        <w:showingPlcHdr/>
                      </w:sdtPr>
                      <w:sdtContent>
                        <w:r w:rsidR="001C1A59">
                          <w:rPr>
                            <w:rFonts w:hint="eastAsia"/>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库存股"/>
                        <w:tag w:val="_GBC_6f0eeb8677b442c99884f3aebb728830"/>
                        <w:id w:val="24721080"/>
                        <w:lock w:val="sdtLocked"/>
                      </w:sdtP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库存股"/>
                        <w:tag w:val="_GBC_2b1d96d2130c4dc88d7f9a5a3fcf33ae"/>
                        <w:id w:val="24721081"/>
                        <w:lock w:val="sdtLocked"/>
                      </w:sdtP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其他综合收益</w:t>
                    </w:r>
                  </w:p>
                </w:tc>
                <w:sdt>
                  <w:sdtPr>
                    <w:rPr>
                      <w:color w:val="000000" w:themeColor="text1"/>
                      <w:szCs w:val="21"/>
                    </w:rPr>
                    <w:alias w:val="附注_其他综合收益（资产负债表项目）"/>
                    <w:tag w:val="_GBC_a5b2096c2e1d4127a1929703dece937f"/>
                    <w:id w:val="24721082"/>
                    <w:lock w:val="sdtLocked"/>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000000" w:themeColor="text1"/>
                            <w:szCs w:val="21"/>
                          </w:rPr>
                          <w:t>七、44</w:t>
                        </w:r>
                      </w:p>
                    </w:tc>
                  </w:sdtContent>
                </w:sdt>
                <w:sdt>
                  <w:sdtPr>
                    <w:rPr>
                      <w:szCs w:val="21"/>
                    </w:rPr>
                    <w:alias w:val="其他综合收益（资产负债表项目）"/>
                    <w:tag w:val="_GBC_7f133ae78c164aa487229929a6125659"/>
                    <w:id w:val="24721083"/>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443,719,998.58</w:t>
                        </w:r>
                      </w:p>
                    </w:tc>
                  </w:sdtContent>
                </w:sdt>
                <w:sdt>
                  <w:sdtPr>
                    <w:rPr>
                      <w:szCs w:val="21"/>
                    </w:rPr>
                    <w:alias w:val="其他综合收益（资产负债表项目）"/>
                    <w:tag w:val="_GBC_7ce747de88094d0996acbc8227d00bfc"/>
                    <w:id w:val="24721084"/>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-14,644,207.44</w:t>
                        </w: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专项储备</w:t>
                    </w:r>
                  </w:p>
                </w:tc>
                <w:sdt>
                  <w:sdtPr>
                    <w:rPr>
                      <w:color w:val="000000" w:themeColor="text1"/>
                      <w:szCs w:val="21"/>
                    </w:rPr>
                    <w:alias w:val="附注_专项储备"/>
                    <w:tag w:val="_GBC_3e7cb80c39704b53a052767594aa2af7"/>
                    <w:id w:val="24721085"/>
                    <w:lock w:val="sdtLocked"/>
                    <w:showingPlcHdr/>
                  </w:sdtPr>
                  <w:sdtContent>
                    <w:tc>
                      <w:tcPr>
                        <w:tcW w:w="443" w:type="pct"/>
                        <w:tcBorders>
                          <w:top w:val="outset" w:sz="6" w:space="0" w:color="auto"/>
                          <w:left w:val="outset" w:sz="6" w:space="0" w:color="auto"/>
                          <w:bottom w:val="outset" w:sz="6" w:space="0" w:color="auto"/>
                          <w:right w:val="outset" w:sz="6" w:space="0" w:color="auto"/>
                        </w:tcBorders>
                        <w:vAlign w:val="center"/>
                      </w:tcPr>
                      <w:p w:rsidR="00DE031E" w:rsidRDefault="001C1A59" w:rsidP="00BC5401">
                        <w:pPr>
                          <w:jc w:val="both"/>
                          <w:rPr>
                            <w:color w:val="000000" w:themeColor="text1"/>
                            <w:szCs w:val="21"/>
                          </w:rPr>
                        </w:pPr>
                        <w:r>
                          <w:rPr>
                            <w:rFonts w:hint="eastAsia"/>
                            <w:color w:val="333399"/>
                          </w:rPr>
                          <w:t xml:space="preserve">　</w:t>
                        </w:r>
                      </w:p>
                    </w:tc>
                  </w:sdtContent>
                </w:sdt>
                <w:sdt>
                  <w:sdtPr>
                    <w:rPr>
                      <w:szCs w:val="21"/>
                    </w:rPr>
                    <w:alias w:val="专项储备"/>
                    <w:tag w:val="_GBC_910e848efbc74510a669baa9937c4903"/>
                    <w:id w:val="24721086"/>
                    <w:lock w:val="sdtLocked"/>
                  </w:sdtPr>
                  <w:sdtContent>
                    <w:tc>
                      <w:tcPr>
                        <w:tcW w:w="110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专项储备"/>
                    <w:tag w:val="_GBC_b97b9e2276ae4db29e6e585ac8d9418f"/>
                    <w:id w:val="24721087"/>
                    <w:lock w:val="sdtLocked"/>
                  </w:sdtPr>
                  <w:sdtContent>
                    <w:tc>
                      <w:tcPr>
                        <w:tcW w:w="110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盈余公积</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盈余公积"/>
                        <w:tag w:val="_GBC_ca2fb0b0ffe34a759b24d9004df21f5a"/>
                        <w:id w:val="24721088"/>
                        <w:lock w:val="sdtLocked"/>
                      </w:sdtPr>
                      <w:sdtContent>
                        <w:r w:rsidR="001C1A59">
                          <w:rPr>
                            <w:rFonts w:hint="eastAsia"/>
                            <w:color w:val="000000" w:themeColor="text1"/>
                            <w:szCs w:val="21"/>
                          </w:rPr>
                          <w:t>七、45</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盈余公积"/>
                        <w:tag w:val="_GBC_d2f8c4afcfd34f068843ad8abca3fad8"/>
                        <w:id w:val="24721089"/>
                        <w:lock w:val="sdtLocked"/>
                      </w:sdtPr>
                      <w:sdtContent>
                        <w:r w:rsidR="001C1A59">
                          <w:rPr>
                            <w:rFonts w:hint="eastAsia"/>
                            <w:szCs w:val="21"/>
                          </w:rPr>
                          <w:t>2,400,210,713.47</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盈余公积"/>
                        <w:tag w:val="_GBC_fb2d95f17e6142b0878d6fc40b0bc128"/>
                        <w:id w:val="24721090"/>
                        <w:lock w:val="sdtLocked"/>
                      </w:sdtPr>
                      <w:sdtContent>
                        <w:r w:rsidR="001C1A59">
                          <w:rPr>
                            <w:rFonts w:hint="eastAsia"/>
                            <w:szCs w:val="21"/>
                          </w:rPr>
                          <w:t>2,400,210,713.47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一般风险准备</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一般风险准备"/>
                        <w:tag w:val="_GBC_00c6c2f8369148689d3632b7e2a8c90b"/>
                        <w:id w:val="24721091"/>
                        <w:lock w:val="sdtLocked"/>
                      </w:sdtPr>
                      <w:sdtContent>
                        <w:r w:rsidR="001C1A59">
                          <w:rPr>
                            <w:rFonts w:hint="eastAsia"/>
                            <w:color w:val="000000" w:themeColor="text1"/>
                            <w:szCs w:val="21"/>
                          </w:rPr>
                          <w:t>七、46</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一般风险准备"/>
                        <w:tag w:val="_GBC_50f1e2f49dfd4a9a9574586bee9bfec5"/>
                        <w:id w:val="24721092"/>
                        <w:lock w:val="sdtLocked"/>
                      </w:sdtPr>
                      <w:sdtContent>
                        <w:r w:rsidR="001C1A59">
                          <w:rPr>
                            <w:rFonts w:hint="eastAsia"/>
                            <w:szCs w:val="21"/>
                          </w:rPr>
                          <w:t>4,671,608,420.38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一般风险准备"/>
                        <w:tag w:val="_GBC_4cc2daa10b574eba86471d920ab592f6"/>
                        <w:id w:val="24721093"/>
                        <w:lock w:val="sdtLocked"/>
                      </w:sdtPr>
                      <w:sdtContent>
                        <w:r w:rsidR="001C1A59">
                          <w:rPr>
                            <w:rFonts w:hint="eastAsia"/>
                            <w:szCs w:val="21"/>
                          </w:rPr>
                          <w:t>4,671,608,420.38</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未分配利润</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未分配利润"/>
                        <w:tag w:val="_GBC_fb18318f74e743f2baf07736af346db1"/>
                        <w:id w:val="24721094"/>
                        <w:lock w:val="sdtLocked"/>
                      </w:sdtPr>
                      <w:sdtContent>
                        <w:r w:rsidR="001C1A59">
                          <w:rPr>
                            <w:rFonts w:hint="eastAsia"/>
                            <w:color w:val="000000" w:themeColor="text1"/>
                            <w:szCs w:val="21"/>
                          </w:rPr>
                          <w:t>七、47</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未分配利润"/>
                        <w:tag w:val="_GBC_e91542fb24b049e4b5a5cf9261af921b"/>
                        <w:id w:val="24721095"/>
                        <w:lock w:val="sdtLocked"/>
                      </w:sdtPr>
                      <w:sdtContent>
                        <w:r w:rsidR="001C1A59">
                          <w:rPr>
                            <w:rFonts w:hint="eastAsia"/>
                            <w:szCs w:val="21"/>
                          </w:rPr>
                          <w:t>15,043,571,734.74</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未分配利润"/>
                        <w:tag w:val="_GBC_0279253ad0514082bc0b2d99a9028274"/>
                        <w:id w:val="24721096"/>
                        <w:lock w:val="sdtLocked"/>
                      </w:sdtPr>
                      <w:sdtContent>
                        <w:r w:rsidR="001C1A59">
                          <w:rPr>
                            <w:rFonts w:hint="eastAsia"/>
                            <w:szCs w:val="21"/>
                          </w:rPr>
                          <w:t>9,268,062,186.17</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外币报表折算差额</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外币报表折算差额"/>
                        <w:tag w:val="_GBC_c50b7693821a4ca0832b23ca22947e5d"/>
                        <w:id w:val="24721097"/>
                        <w:lock w:val="sdtLocked"/>
                        <w:showingPlcHdr/>
                      </w:sdtPr>
                      <w:sdtContent>
                        <w:r w:rsidR="001C1A59">
                          <w:rPr>
                            <w:rFonts w:hint="eastAsia"/>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外币报表折算差额"/>
                        <w:tag w:val="_GBC_4fe99983bf474b0da8ee690ae5f918ef"/>
                        <w:id w:val="24721098"/>
                        <w:lock w:val="sdtLocked"/>
                      </w:sdtP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外币报表折算差额"/>
                        <w:tag w:val="_GBC_e5a4ee767d8e46ca81cfa00314506c5c"/>
                        <w:id w:val="24721099"/>
                        <w:lock w:val="sdtLocked"/>
                      </w:sdtP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b/>
                      </w:rPr>
                      <w:t>归属于母公司</w:t>
                    </w:r>
                    <w:r w:rsidRPr="00626623">
                      <w:rPr>
                        <w:rFonts w:hint="eastAsia"/>
                        <w:b/>
                      </w:rPr>
                      <w:t>所有者权益（或股东</w:t>
                    </w:r>
                    <w:r w:rsidRPr="00626623">
                      <w:rPr>
                        <w:b/>
                      </w:rPr>
                      <w:t>权益</w:t>
                    </w:r>
                    <w:r w:rsidRPr="00626623">
                      <w:rPr>
                        <w:rFonts w:hint="eastAsia"/>
                        <w:b/>
                      </w:rPr>
                      <w:t>）</w:t>
                    </w:r>
                    <w:r w:rsidRPr="00626623">
                      <w:rPr>
                        <w:b/>
                      </w:rPr>
                      <w:t>合计</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BC5401">
                    <w:pPr>
                      <w:jc w:val="both"/>
                      <w:rPr>
                        <w:b/>
                        <w:color w:val="000000" w:themeColor="text1"/>
                        <w:szCs w:val="21"/>
                      </w:rPr>
                    </w:pPr>
                    <w:sdt>
                      <w:sdtPr>
                        <w:rPr>
                          <w:rFonts w:hint="eastAsia"/>
                          <w:b/>
                          <w:color w:val="000000" w:themeColor="text1"/>
                          <w:szCs w:val="21"/>
                        </w:rPr>
                        <w:alias w:val="附注_归属于母公司所有者权益合计"/>
                        <w:tag w:val="_GBC_6d2f71849fe74772b8c5d425b23f9d34"/>
                        <w:id w:val="24721100"/>
                        <w:lock w:val="sdtLocked"/>
                        <w:showingPlcHdr/>
                      </w:sdtPr>
                      <w:sdtContent>
                        <w:r w:rsidR="001C1A59" w:rsidRPr="00626623">
                          <w:rPr>
                            <w:rFonts w:hint="eastAsia"/>
                            <w:b/>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归属于母公司所有者权益合计"/>
                        <w:tag w:val="_GBC_faf45192dda04a959ab7476f5ab1efaa"/>
                        <w:id w:val="24721101"/>
                        <w:lock w:val="sdtLocked"/>
                      </w:sdtPr>
                      <w:sdtContent>
                        <w:r w:rsidR="001C1A59" w:rsidRPr="00626623">
                          <w:rPr>
                            <w:rFonts w:hint="eastAsia"/>
                            <w:b/>
                            <w:szCs w:val="21"/>
                          </w:rPr>
                          <w:t>47,771,123,399.97</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归属于母公司所有者权益合计"/>
                        <w:tag w:val="_GBC_47eea5bd194c40de869d31b3395a64dd"/>
                        <w:id w:val="24721102"/>
                        <w:lock w:val="sdtLocked"/>
                      </w:sdtPr>
                      <w:sdtContent>
                        <w:r w:rsidR="001C1A59" w:rsidRPr="00626623">
                          <w:rPr>
                            <w:rFonts w:hint="eastAsia"/>
                            <w:b/>
                            <w:szCs w:val="21"/>
                          </w:rPr>
                          <w:t>41,537,249,645.38</w:t>
                        </w:r>
                      </w:sdtContent>
                    </w:sdt>
                  </w:p>
                </w:tc>
              </w:tr>
              <w:tr w:rsidR="00DE031E" w:rsidTr="00BC5401">
                <w:trPr>
                  <w:jc w:val="center"/>
                </w:trPr>
                <w:tc>
                  <w:tcPr>
                    <w:tcW w:w="234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少数股东权益</w:t>
                    </w:r>
                  </w:p>
                </w:tc>
                <w:tc>
                  <w:tcPr>
                    <w:tcW w:w="443" w:type="pct"/>
                    <w:tcBorders>
                      <w:top w:val="outset" w:sz="6" w:space="0" w:color="auto"/>
                      <w:left w:val="outset" w:sz="6" w:space="0" w:color="auto"/>
                      <w:bottom w:val="outset" w:sz="6" w:space="0" w:color="auto"/>
                      <w:right w:val="outset" w:sz="6" w:space="0" w:color="auto"/>
                    </w:tcBorders>
                    <w:vAlign w:val="center"/>
                  </w:tcPr>
                  <w:p w:rsidR="00DE031E" w:rsidRDefault="00422DCA" w:rsidP="00BC5401">
                    <w:pPr>
                      <w:jc w:val="both"/>
                      <w:rPr>
                        <w:color w:val="000000" w:themeColor="text1"/>
                        <w:szCs w:val="21"/>
                      </w:rPr>
                    </w:pPr>
                    <w:sdt>
                      <w:sdtPr>
                        <w:rPr>
                          <w:rFonts w:hint="eastAsia"/>
                          <w:color w:val="000000" w:themeColor="text1"/>
                          <w:szCs w:val="21"/>
                        </w:rPr>
                        <w:alias w:val="附注_少数股东权益"/>
                        <w:tag w:val="_GBC_566ac951a6864af7a11808a320a526a1"/>
                        <w:id w:val="24721103"/>
                        <w:lock w:val="sdtLocked"/>
                      </w:sdtPr>
                      <w:sdtContent>
                        <w:r w:rsidR="001C1A59">
                          <w:rPr>
                            <w:rFonts w:hint="eastAsia"/>
                            <w:color w:val="000000" w:themeColor="text1"/>
                            <w:szCs w:val="21"/>
                          </w:rPr>
                          <w:t>七、48</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少数股东权益"/>
                        <w:tag w:val="_GBC_c9457c401d0d42ad92ff3181520c621a"/>
                        <w:id w:val="24721104"/>
                        <w:lock w:val="sdtLocked"/>
                      </w:sdtPr>
                      <w:sdtContent>
                        <w:r w:rsidR="001C1A59">
                          <w:rPr>
                            <w:rFonts w:hint="eastAsia"/>
                            <w:szCs w:val="21"/>
                          </w:rPr>
                          <w:t>87,489,355.11</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少数股东权益"/>
                        <w:tag w:val="_GBC_63915f5e8b124f07bb69e37914acb284"/>
                        <w:id w:val="24721105"/>
                        <w:lock w:val="sdtLocked"/>
                      </w:sdtPr>
                      <w:sdtContent>
                        <w:r w:rsidR="001C1A59">
                          <w:rPr>
                            <w:rFonts w:hint="eastAsia"/>
                            <w:szCs w:val="21"/>
                          </w:rPr>
                          <w:t>58,911,510.28</w:t>
                        </w:r>
                      </w:sdtContent>
                    </w:sdt>
                  </w:p>
                </w:tc>
              </w:tr>
              <w:tr w:rsidR="00DE031E" w:rsidTr="00DE031E">
                <w:trPr>
                  <w:jc w:val="center"/>
                </w:trPr>
                <w:tc>
                  <w:tcPr>
                    <w:tcW w:w="234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rPr>
                    </w:pPr>
                    <w:r w:rsidRPr="00626623">
                      <w:rPr>
                        <w:rFonts w:hint="eastAsia"/>
                        <w:b/>
                      </w:rPr>
                      <w:t>所有者权益（或股东</w:t>
                    </w:r>
                    <w:r w:rsidRPr="00626623">
                      <w:rPr>
                        <w:b/>
                      </w:rPr>
                      <w:t>权益</w:t>
                    </w:r>
                    <w:r w:rsidRPr="00626623">
                      <w:rPr>
                        <w:rFonts w:hint="eastAsia"/>
                        <w:b/>
                      </w:rPr>
                      <w:t>）</w:t>
                    </w:r>
                    <w:r w:rsidRPr="00626623">
                      <w:rPr>
                        <w:b/>
                      </w:rPr>
                      <w:t>合计</w:t>
                    </w:r>
                  </w:p>
                </w:tc>
                <w:tc>
                  <w:tcPr>
                    <w:tcW w:w="443"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股东权益合计"/>
                        <w:tag w:val="_GBC_a2f6af3dcb4543b1a3829344553af118"/>
                        <w:id w:val="24721106"/>
                        <w:lock w:val="sdtLocked"/>
                        <w:showingPlcHdr/>
                      </w:sdtPr>
                      <w:sdtContent>
                        <w:r w:rsidR="001C1A59" w:rsidRPr="00626623">
                          <w:rPr>
                            <w:rFonts w:hint="eastAsia"/>
                            <w:b/>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股东权益合计"/>
                        <w:tag w:val="_GBC_b55a58c30f2646429712702df85c606b"/>
                        <w:id w:val="24721107"/>
                        <w:lock w:val="sdtLocked"/>
                      </w:sdtPr>
                      <w:sdtContent>
                        <w:r w:rsidR="001C1A59" w:rsidRPr="00626623">
                          <w:rPr>
                            <w:rFonts w:hint="eastAsia"/>
                            <w:b/>
                            <w:szCs w:val="21"/>
                          </w:rPr>
                          <w:t>47,858,612,755.08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股东权益合计"/>
                        <w:tag w:val="_GBC_c2c249a135534c7a91463bc36e00f44e"/>
                        <w:id w:val="24721108"/>
                        <w:lock w:val="sdtLocked"/>
                      </w:sdtPr>
                      <w:sdtContent>
                        <w:r w:rsidR="001C1A59" w:rsidRPr="00626623">
                          <w:rPr>
                            <w:rFonts w:hint="eastAsia"/>
                            <w:b/>
                            <w:szCs w:val="21"/>
                          </w:rPr>
                          <w:t>41,596,161,155.66</w:t>
                        </w:r>
                      </w:sdtContent>
                    </w:sdt>
                  </w:p>
                </w:tc>
              </w:tr>
              <w:tr w:rsidR="00DE031E" w:rsidTr="00DE031E">
                <w:trPr>
                  <w:jc w:val="center"/>
                </w:trPr>
                <w:tc>
                  <w:tcPr>
                    <w:tcW w:w="234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rPr>
                    </w:pPr>
                    <w:r w:rsidRPr="00626623">
                      <w:rPr>
                        <w:b/>
                      </w:rPr>
                      <w:t>负债和</w:t>
                    </w:r>
                    <w:r w:rsidRPr="00626623">
                      <w:rPr>
                        <w:rFonts w:hint="eastAsia"/>
                        <w:b/>
                      </w:rPr>
                      <w:t>所有者权益（或股东权益）总计</w:t>
                    </w:r>
                  </w:p>
                </w:tc>
                <w:tc>
                  <w:tcPr>
                    <w:tcW w:w="443"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负债和股东权益合计"/>
                        <w:tag w:val="_GBC_b80f2a55b2ea4e1ca80ee921288eebb0"/>
                        <w:id w:val="24721109"/>
                        <w:lock w:val="sdtLocked"/>
                        <w:showingPlcHdr/>
                      </w:sdtPr>
                      <w:sdtContent>
                        <w:r w:rsidR="001C1A59" w:rsidRPr="00626623">
                          <w:rPr>
                            <w:rFonts w:hint="eastAsia"/>
                            <w:b/>
                            <w:color w:val="333399"/>
                          </w:rPr>
                          <w:t xml:space="preserve">　</w:t>
                        </w:r>
                      </w:sdtContent>
                    </w:sdt>
                  </w:p>
                </w:tc>
                <w:tc>
                  <w:tcPr>
                    <w:tcW w:w="110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和股东权益合计"/>
                        <w:tag w:val="_GBC_583305a7fa9345b4b712406196c12b65"/>
                        <w:id w:val="24721110"/>
                        <w:lock w:val="sdtLocked"/>
                      </w:sdtPr>
                      <w:sdtContent>
                        <w:r w:rsidR="001C1A59" w:rsidRPr="00626623">
                          <w:rPr>
                            <w:rFonts w:hint="eastAsia"/>
                            <w:b/>
                            <w:szCs w:val="21"/>
                          </w:rPr>
                          <w:t>364,794,648,813.88</w:t>
                        </w:r>
                      </w:sdtContent>
                    </w:sdt>
                  </w:p>
                </w:tc>
                <w:tc>
                  <w:tcPr>
                    <w:tcW w:w="110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和股东权益合计"/>
                        <w:tag w:val="_GBC_506e37d37e4a428c81422fc201b96a2e"/>
                        <w:id w:val="24721111"/>
                        <w:lock w:val="sdtLocked"/>
                      </w:sdtPr>
                      <w:sdtContent>
                        <w:r w:rsidR="001C1A59" w:rsidRPr="00626623">
                          <w:rPr>
                            <w:rFonts w:hint="eastAsia"/>
                            <w:b/>
                            <w:szCs w:val="21"/>
                          </w:rPr>
                          <w:t>193,408,050,497.75</w:t>
                        </w:r>
                      </w:sdtContent>
                    </w:sdt>
                  </w:p>
                </w:tc>
              </w:tr>
            </w:tbl>
            <w:p w:rsidR="00DE031E" w:rsidRDefault="00DE031E"/>
            <w:p w:rsidR="00DE031E" w:rsidRDefault="001C1A59">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24721112"/>
                  <w:lock w:val="sdtLocked"/>
                  <w:placeholder>
                    <w:docPart w:val="GBC22222222222222222222222222222"/>
                  </w:placeholder>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24721113"/>
                  <w:lock w:val="sdtLocked"/>
                  <w:placeholder>
                    <w:docPart w:val="GBC22222222222222222222222222222"/>
                  </w:placeholder>
                  <w:dataBinding w:prefixMappings="xmlns:clcid-mr='clcid-mr'" w:xpath="/*/clcid-mr:ZhuGuanKuaiJiGongZuoFuZeRenXingMing" w:storeItemID="{89EBAB94-44A0-46A2-B712-30D997D04A6D}"/>
                  <w:text/>
                </w:sdtPr>
                <w:sdtContent>
                  <w:r w:rsidR="00C531A1">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24721114"/>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车晓昕</w:t>
                  </w:r>
                </w:sdtContent>
              </w:sdt>
            </w:p>
            <w:p w:rsidR="00DE031E" w:rsidRDefault="00DE031E">
              <w:pPr>
                <w:ind w:rightChars="-73" w:right="-153"/>
                <w:rPr>
                  <w:b/>
                  <w:bCs/>
                  <w:color w:val="008000"/>
                  <w:szCs w:val="21"/>
                  <w:u w:val="single"/>
                </w:rPr>
              </w:pPr>
            </w:p>
            <w:p w:rsidR="00DE031E" w:rsidRDefault="00DE031E">
              <w:pPr>
                <w:ind w:rightChars="-73" w:right="-153"/>
                <w:rPr>
                  <w:b/>
                  <w:bCs/>
                  <w:color w:val="008000"/>
                  <w:szCs w:val="21"/>
                  <w:u w:val="single"/>
                </w:rPr>
              </w:pPr>
            </w:p>
            <w:p w:rsidR="00DE031E" w:rsidRPr="00A9773C" w:rsidRDefault="00DE031E">
              <w:pPr>
                <w:ind w:rightChars="-73" w:right="-153"/>
                <w:rPr>
                  <w:b/>
                  <w:bCs/>
                  <w:color w:val="008000"/>
                  <w:szCs w:val="21"/>
                  <w:u w:val="single"/>
                </w:rPr>
              </w:pPr>
            </w:p>
            <w:p w:rsidR="00DE031E" w:rsidRDefault="00422DCA">
              <w:pPr>
                <w:ind w:rightChars="-73" w:right="-153"/>
                <w:rPr>
                  <w:b/>
                  <w:bCs/>
                  <w:color w:val="008000"/>
                  <w:szCs w:val="21"/>
                  <w:u w:val="single"/>
                </w:rPr>
              </w:pPr>
            </w:p>
          </w:sdtContent>
        </w:sdt>
        <w:p w:rsidR="00DE031E" w:rsidRDefault="00DE031E">
          <w:pPr>
            <w:snapToGrid w:val="0"/>
            <w:spacing w:line="240" w:lineRule="atLeast"/>
            <w:ind w:rightChars="-759" w:right="-1594"/>
            <w:rPr>
              <w:szCs w:val="21"/>
            </w:rPr>
          </w:pPr>
        </w:p>
        <w:p w:rsidR="00DE031E" w:rsidRDefault="00DE031E">
          <w:pPr>
            <w:snapToGrid w:val="0"/>
            <w:spacing w:line="240" w:lineRule="atLeast"/>
            <w:ind w:rightChars="-759" w:right="-1594"/>
            <w:rPr>
              <w:szCs w:val="21"/>
            </w:rPr>
          </w:pPr>
        </w:p>
        <w:p w:rsidR="00DE031E" w:rsidRDefault="00DE031E">
          <w:pPr>
            <w:snapToGrid w:val="0"/>
            <w:spacing w:line="240" w:lineRule="atLeast"/>
            <w:ind w:rightChars="-759" w:right="-1594"/>
            <w:rPr>
              <w:szCs w:val="21"/>
            </w:rPr>
          </w:pPr>
        </w:p>
        <w:p w:rsidR="00DE031E" w:rsidRDefault="00DE031E">
          <w:pPr>
            <w:snapToGrid w:val="0"/>
            <w:spacing w:line="240" w:lineRule="atLeast"/>
            <w:ind w:rightChars="-759" w:right="-1594"/>
            <w:rPr>
              <w:szCs w:val="21"/>
            </w:rPr>
          </w:pPr>
        </w:p>
        <w:p w:rsidR="00DE031E" w:rsidRDefault="00DE031E">
          <w:pPr>
            <w:snapToGrid w:val="0"/>
            <w:spacing w:line="240" w:lineRule="atLeast"/>
            <w:ind w:rightChars="-759" w:right="-1594"/>
            <w:rPr>
              <w:szCs w:val="21"/>
            </w:rPr>
          </w:pPr>
        </w:p>
        <w:p w:rsidR="00DE031E" w:rsidRDefault="00DE031E">
          <w:pPr>
            <w:snapToGrid w:val="0"/>
            <w:spacing w:line="240" w:lineRule="atLeast"/>
            <w:ind w:rightChars="-759" w:right="-1594"/>
            <w:rPr>
              <w:szCs w:val="21"/>
            </w:rPr>
          </w:pPr>
        </w:p>
        <w:sdt>
          <w:sdtPr>
            <w:rPr>
              <w:rFonts w:hint="eastAsia"/>
              <w:b/>
              <w:bCs/>
              <w:szCs w:val="21"/>
            </w:rPr>
            <w:tag w:val="_GBC_af8c8d1094d041008b00be724891aff3"/>
            <w:id w:val="24721320"/>
            <w:lock w:val="sdtLocked"/>
            <w:placeholder>
              <w:docPart w:val="GBC22222222222222222222222222222"/>
            </w:placeholder>
          </w:sdtPr>
          <w:sdtEndPr>
            <w:rPr>
              <w:b w:val="0"/>
              <w:bCs w:val="0"/>
            </w:rPr>
          </w:sdtEndPr>
          <w:sdtContent>
            <w:p w:rsidR="00DE031E" w:rsidRDefault="001C1A59">
              <w:pPr>
                <w:jc w:val="center"/>
                <w:rPr>
                  <w:b/>
                  <w:bCs/>
                  <w:szCs w:val="21"/>
                </w:rPr>
              </w:pPr>
              <w:r>
                <w:rPr>
                  <w:rFonts w:hint="eastAsia"/>
                  <w:b/>
                  <w:bCs/>
                  <w:szCs w:val="21"/>
                </w:rPr>
                <w:t>母公司</w:t>
              </w:r>
              <w:r>
                <w:rPr>
                  <w:b/>
                  <w:bCs/>
                  <w:szCs w:val="21"/>
                </w:rPr>
                <w:t>资产负债表</w:t>
              </w:r>
              <w:r>
                <w:rPr>
                  <w:rFonts w:hint="eastAsia"/>
                  <w:b/>
                  <w:szCs w:val="21"/>
                </w:rPr>
                <w:t>（未经审计）</w:t>
              </w:r>
            </w:p>
            <w:p w:rsidR="00DE031E" w:rsidRDefault="001C1A59">
              <w:pPr>
                <w:snapToGrid w:val="0"/>
                <w:spacing w:line="240" w:lineRule="atLeast"/>
                <w:jc w:val="center"/>
                <w:rPr>
                  <w:b/>
                  <w:szCs w:val="21"/>
                </w:rPr>
              </w:pPr>
              <w:r>
                <w:rPr>
                  <w:szCs w:val="21"/>
                </w:rPr>
                <w:t>201</w:t>
              </w:r>
              <w:r>
                <w:rPr>
                  <w:rFonts w:hint="eastAsia"/>
                  <w:szCs w:val="21"/>
                </w:rPr>
                <w:t>5</w:t>
              </w:r>
              <w:r>
                <w:rPr>
                  <w:szCs w:val="21"/>
                </w:rPr>
                <w:t>年</w:t>
              </w:r>
              <w:r>
                <w:rPr>
                  <w:rFonts w:hint="eastAsia"/>
                  <w:szCs w:val="21"/>
                </w:rPr>
                <w:t>6</w:t>
              </w:r>
              <w:r>
                <w:rPr>
                  <w:szCs w:val="21"/>
                </w:rPr>
                <w:t>月3</w:t>
              </w:r>
              <w:r>
                <w:rPr>
                  <w:rFonts w:hint="eastAsia"/>
                  <w:szCs w:val="21"/>
                </w:rPr>
                <w:t>0</w:t>
              </w:r>
              <w:r>
                <w:rPr>
                  <w:szCs w:val="21"/>
                </w:rPr>
                <w:t>日</w:t>
              </w:r>
            </w:p>
            <w:p w:rsidR="00DE031E" w:rsidRDefault="001C1A59">
              <w:pPr>
                <w:rPr>
                  <w:szCs w:val="21"/>
                </w:rPr>
              </w:pPr>
              <w:r>
                <w:rPr>
                  <w:szCs w:val="21"/>
                </w:rPr>
                <w:t>编制单位:</w:t>
              </w:r>
              <w:sdt>
                <w:sdtPr>
                  <w:rPr>
                    <w:szCs w:val="21"/>
                  </w:rPr>
                  <w:alias w:val="公司法定中文名称"/>
                  <w:tag w:val="_GBC_824a3e7402834e78aa66a9ee77d287bc"/>
                  <w:id w:val="24721116"/>
                  <w:lock w:val="sdtLocked"/>
                  <w:placeholder>
                    <w:docPart w:val="GBC22222222222222222222222222222"/>
                  </w:placeholder>
                  <w:dataBinding w:prefixMappings="xmlns:clcid-cgi='clcid-cgi'" w:xpath="/*/clcid-cgi:GongSiFaDingZhongWenMingCheng" w:storeItemID="{89EBAB94-44A0-46A2-B712-30D997D04A6D}"/>
                  <w:text/>
                </w:sdtPr>
                <w:sdtContent>
                  <w:r>
                    <w:rPr>
                      <w:rFonts w:hint="eastAsia"/>
                      <w:szCs w:val="21"/>
                    </w:rPr>
                    <w:t>招商证券股份有限公司</w:t>
                  </w:r>
                </w:sdtContent>
              </w:sdt>
              <w:r>
                <w:rPr>
                  <w:szCs w:val="21"/>
                </w:rPr>
                <w:t> </w:t>
              </w:r>
            </w:p>
            <w:p w:rsidR="00DE031E" w:rsidRDefault="001C1A59">
              <w:pPr>
                <w:jc w:val="right"/>
                <w:rPr>
                  <w:szCs w:val="21"/>
                </w:rPr>
              </w:pPr>
              <w:r>
                <w:rPr>
                  <w:szCs w:val="21"/>
                </w:rPr>
                <w:t>单位:</w:t>
              </w:r>
              <w:sdt>
                <w:sdtPr>
                  <w:rPr>
                    <w:szCs w:val="21"/>
                  </w:rPr>
                  <w:alias w:val="单位：母公司资产负债表"/>
                  <w:tag w:val="_GBC_7be010b1a07f4048a3805d40208ccda4"/>
                  <w:id w:val="247211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247211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22" w:type="pct"/>
                <w:jc w:val="center"/>
                <w:tblBorders>
                  <w:top w:val="single" w:sz="4" w:space="0" w:color="auto"/>
                  <w:left w:val="single" w:sz="4" w:space="0" w:color="auto"/>
                  <w:bottom w:val="single" w:sz="4" w:space="0" w:color="auto"/>
                  <w:right w:val="single" w:sz="4" w:space="0" w:color="auto"/>
                </w:tblBorders>
                <w:tblLook w:val="0000"/>
              </w:tblPr>
              <w:tblGrid>
                <w:gridCol w:w="4590"/>
                <w:gridCol w:w="981"/>
                <w:gridCol w:w="2121"/>
                <w:gridCol w:w="2121"/>
              </w:tblGrid>
              <w:tr w:rsidR="00DE031E" w:rsidTr="00AC0410">
                <w:trPr>
                  <w:tblHeade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rPr>
                    </w:pPr>
                    <w:r>
                      <w:rPr>
                        <w:b/>
                      </w:rPr>
                      <w:t>项目</w:t>
                    </w:r>
                  </w:p>
                </w:tc>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szCs w:val="21"/>
                      </w:rPr>
                    </w:pPr>
                    <w:r>
                      <w:rPr>
                        <w:b/>
                        <w:szCs w:val="21"/>
                      </w:rPr>
                      <w:t>附注</w:t>
                    </w:r>
                  </w:p>
                </w:tc>
                <w:tc>
                  <w:tcPr>
                    <w:tcW w:w="1077"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szCs w:val="21"/>
                      </w:rPr>
                    </w:pPr>
                    <w:r>
                      <w:rPr>
                        <w:b/>
                        <w:szCs w:val="21"/>
                      </w:rPr>
                      <w:t>期末余额</w:t>
                    </w:r>
                  </w:p>
                </w:tc>
                <w:tc>
                  <w:tcPr>
                    <w:tcW w:w="1073"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szCs w:val="21"/>
                      </w:rPr>
                    </w:pPr>
                    <w:r>
                      <w:rPr>
                        <w:rFonts w:hint="eastAsia"/>
                        <w:b/>
                        <w:szCs w:val="21"/>
                      </w:rPr>
                      <w:t>期</w:t>
                    </w:r>
                    <w:r>
                      <w:rPr>
                        <w:b/>
                        <w:szCs w:val="21"/>
                      </w:rPr>
                      <w:t>初余额</w:t>
                    </w:r>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rPr>
                        <w:b/>
                        <w:bCs/>
                      </w:rPr>
                    </w:pPr>
                    <w:r>
                      <w:rPr>
                        <w:b/>
                        <w:bCs/>
                      </w:rPr>
                      <w:t>资产：</w:t>
                    </w:r>
                  </w:p>
                </w:tc>
                <w:tc>
                  <w:tcPr>
                    <w:tcW w:w="505"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1077"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1073"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货币资金</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货币资金"/>
                        <w:tag w:val="_GBC_76c15bf9698741bb84d5a62f8576bebd"/>
                        <w:id w:val="24721119"/>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货币资金"/>
                        <w:tag w:val="_GBC_3da283a0dc564d729c6e38c735571bd4"/>
                        <w:id w:val="24721120"/>
                        <w:lock w:val="sdtLocked"/>
                      </w:sdtPr>
                      <w:sdtContent>
                        <w:r w:rsidR="001C1A59">
                          <w:rPr>
                            <w:rFonts w:hint="eastAsia"/>
                            <w:szCs w:val="21"/>
                          </w:rPr>
                          <w:t>116,876,493,001.24</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货币资金"/>
                        <w:tag w:val="_GBC_ec84f20117ad4c5d826b553fa1360d1f"/>
                        <w:id w:val="24721121"/>
                        <w:lock w:val="sdtLocked"/>
                      </w:sdtPr>
                      <w:sdtContent>
                        <w:r w:rsidR="001C1A59">
                          <w:rPr>
                            <w:rFonts w:hint="eastAsia"/>
                            <w:szCs w:val="21"/>
                          </w:rPr>
                          <w:t>46,249,156,044.23</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其中：</w:t>
                    </w:r>
                    <w:r>
                      <w:rPr>
                        <w:rFonts w:hint="eastAsia"/>
                      </w:rPr>
                      <w:t>客户存款</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color w:val="000000" w:themeColor="text1"/>
                          <w:szCs w:val="21"/>
                        </w:rPr>
                        <w:alias w:val="附注_客户存款"/>
                        <w:tag w:val="_GBC_e5261667403041d097b7300548c54d8f"/>
                        <w:id w:val="24721122"/>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客户存款"/>
                        <w:tag w:val="_GBC_7d24c56ff80241e9bd86179b0d5e8ce4"/>
                        <w:id w:val="24721123"/>
                        <w:lock w:val="sdtLocked"/>
                      </w:sdtPr>
                      <w:sdtContent>
                        <w:r w:rsidR="001C1A59">
                          <w:rPr>
                            <w:szCs w:val="21"/>
                          </w:rPr>
                          <w:t>102,110,416,067.82</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客户存款"/>
                        <w:tag w:val="_GBC_fa2f012bfad6448da3f6f0b470376f83"/>
                        <w:id w:val="24721124"/>
                        <w:lock w:val="sdtLocked"/>
                      </w:sdtPr>
                      <w:sdtContent>
                        <w:r w:rsidR="001C1A59">
                          <w:rPr>
                            <w:szCs w:val="21"/>
                          </w:rPr>
                          <w:t>40,518,992,257.79</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结算备付金</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结算备付金"/>
                        <w:tag w:val="_GBC_43508c22927e430c8eef0377f06c1f78"/>
                        <w:id w:val="24721125"/>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结算备付金"/>
                        <w:tag w:val="_GBC_20a3fd2ae0b441a4a23fd7ca986ee284"/>
                        <w:id w:val="24721126"/>
                        <w:lock w:val="sdtLocked"/>
                      </w:sdtPr>
                      <w:sdtContent>
                        <w:r w:rsidR="001C1A59">
                          <w:rPr>
                            <w:rFonts w:hint="eastAsia"/>
                            <w:szCs w:val="21"/>
                          </w:rPr>
                          <w:t>21,829,264,015.71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结算备付金"/>
                        <w:tag w:val="_GBC_06a4ecdfe3f3494a900f07d171ec11f9"/>
                        <w:id w:val="24721127"/>
                        <w:lock w:val="sdtLocked"/>
                      </w:sdtPr>
                      <w:sdtContent>
                        <w:r w:rsidR="001C1A59">
                          <w:rPr>
                            <w:rFonts w:hint="eastAsia"/>
                            <w:szCs w:val="21"/>
                          </w:rPr>
                          <w:t>9,999,553,557.25</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其中：客户备付金</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客户备付金"/>
                        <w:tag w:val="_GBC_bdee418420c54f3dbe34762c9df050fd"/>
                        <w:id w:val="24721128"/>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客户备付金"/>
                        <w:tag w:val="_GBC_05ec53227b4e41a49d36eb7e3cfbb32c"/>
                        <w:id w:val="24721129"/>
                        <w:lock w:val="sdtLocked"/>
                      </w:sdtPr>
                      <w:sdtContent>
                        <w:r w:rsidR="001C1A59">
                          <w:rPr>
                            <w:rFonts w:hint="eastAsia"/>
                            <w:szCs w:val="21"/>
                          </w:rPr>
                          <w:t>20,017,216,801.04</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客户备付金"/>
                        <w:tag w:val="_GBC_9238b9e490ed4d91a7a0ab4565506697"/>
                        <w:id w:val="24721130"/>
                        <w:lock w:val="sdtLocked"/>
                      </w:sdtPr>
                      <w:sdtContent>
                        <w:r w:rsidR="001C1A59">
                          <w:rPr>
                            <w:rFonts w:hint="eastAsia"/>
                            <w:szCs w:val="21"/>
                          </w:rPr>
                          <w:t>9,045,857,528.66</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拆出资金</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拆出资金"/>
                        <w:tag w:val="_GBC_2dad9886eece4d8b9842779043d96229"/>
                        <w:id w:val="24721131"/>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出资金"/>
                        <w:tag w:val="_GBC_c729fd60ff654349a93fc94f91518ff9"/>
                        <w:id w:val="24721132"/>
                        <w:lock w:val="sdtLocked"/>
                      </w:sdtP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出资金"/>
                        <w:tag w:val="_GBC_67161555b0bc4f9d922527c89388d401"/>
                        <w:id w:val="24721133"/>
                        <w:lock w:val="sdtLocked"/>
                      </w:sdtP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融出资金</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color w:val="000000" w:themeColor="text1"/>
                          <w:szCs w:val="21"/>
                        </w:rPr>
                        <w:alias w:val="附注_融出资金账面余额"/>
                        <w:tag w:val="_GBC_458691b71ad64f97b6829829ee7adc8e"/>
                        <w:id w:val="24721134"/>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融出资金账面余额"/>
                        <w:tag w:val="_GBC_35ed2525332a4441b4b768e446f93257"/>
                        <w:id w:val="24721135"/>
                        <w:lock w:val="sdtLocked"/>
                      </w:sdtPr>
                      <w:sdtContent>
                        <w:r w:rsidR="001C1A59">
                          <w:rPr>
                            <w:szCs w:val="21"/>
                          </w:rPr>
                          <w:t>112,177,470,744.80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融出资金账面余额"/>
                        <w:tag w:val="_GBC_a848862faa00439d9fa4b337debfb72c"/>
                        <w:id w:val="24721136"/>
                        <w:lock w:val="sdtLocked"/>
                      </w:sdtPr>
                      <w:sdtContent>
                        <w:r w:rsidR="001C1A59">
                          <w:rPr>
                            <w:szCs w:val="21"/>
                          </w:rPr>
                          <w:t>56,850,714,608.73</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以公允价值计量且其变动计入当期损益的金融资产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以公允价值计量且其变动计入当期损益的金融资产"/>
                        <w:tag w:val="_GBC_ddb4f127f3994feda45f5e45b34c390b"/>
                        <w:id w:val="24721137"/>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资产"/>
                        <w:tag w:val="_GBC_a6dad57859bb401b90be355c660ff1d5"/>
                        <w:id w:val="24721138"/>
                        <w:lock w:val="sdtLocked"/>
                      </w:sdtPr>
                      <w:sdtContent>
                        <w:r w:rsidR="001C1A59">
                          <w:rPr>
                            <w:rFonts w:hint="eastAsia"/>
                            <w:szCs w:val="21"/>
                          </w:rPr>
                          <w:t>50,083,932,049.61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资产"/>
                        <w:tag w:val="_GBC_ee4ae9a931bd410d9a6ac5670a0bb887"/>
                        <w:id w:val="24721139"/>
                        <w:lock w:val="sdtLocked"/>
                      </w:sdtPr>
                      <w:sdtContent>
                        <w:r w:rsidR="001C1A59">
                          <w:rPr>
                            <w:rFonts w:hint="eastAsia"/>
                            <w:szCs w:val="21"/>
                          </w:rPr>
                          <w:t>31,735,042,777.24</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衍生金融资产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衍生金融资产"/>
                        <w:tag w:val="_GBC_9b9835c9140f4013a1d75dfe351a7e8f"/>
                        <w:id w:val="24721140"/>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资产"/>
                        <w:tag w:val="_GBC_542f50a031e249c7a3c440acff43563e"/>
                        <w:id w:val="24721141"/>
                        <w:lock w:val="sdtLocked"/>
                      </w:sdtPr>
                      <w:sdtContent>
                        <w:r w:rsidR="001C1A59">
                          <w:rPr>
                            <w:rFonts w:hint="eastAsia"/>
                            <w:szCs w:val="21"/>
                          </w:rPr>
                          <w:t>823,974,828.38</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资产"/>
                        <w:tag w:val="_GBC_70c61f8681a5485892b075c8547e1a6a"/>
                        <w:id w:val="24721142"/>
                        <w:lock w:val="sdtLocked"/>
                      </w:sdtPr>
                      <w:sdtContent>
                        <w:r w:rsidR="001C1A59">
                          <w:rPr>
                            <w:rFonts w:hint="eastAsia"/>
                            <w:szCs w:val="21"/>
                          </w:rPr>
                          <w:t>4,860,096.20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买入返售金融资产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买入返售金融资产"/>
                        <w:tag w:val="_GBC_ea58e00716c3489b8940e7b2a48c8368"/>
                        <w:id w:val="24721143"/>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买入返售金融资产"/>
                        <w:tag w:val="_GBC_94b1bd4c985a4621b12faad80eb915e6"/>
                        <w:id w:val="24721144"/>
                        <w:lock w:val="sdtLocked"/>
                      </w:sdtPr>
                      <w:sdtContent>
                        <w:r w:rsidR="001C1A59">
                          <w:rPr>
                            <w:rFonts w:hint="eastAsia"/>
                            <w:szCs w:val="21"/>
                          </w:rPr>
                          <w:t>12,301,032,250.70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买入返售金融资产"/>
                        <w:tag w:val="_GBC_fc2a6861f23448a9b2d7d6869e93aef0"/>
                        <w:id w:val="24721145"/>
                        <w:lock w:val="sdtLocked"/>
                      </w:sdtPr>
                      <w:sdtContent>
                        <w:r w:rsidR="001C1A59">
                          <w:rPr>
                            <w:rFonts w:hint="eastAsia"/>
                            <w:szCs w:val="21"/>
                          </w:rPr>
                          <w:t>6,506,532,525.53</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应收款项</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color w:val="000000" w:themeColor="text1"/>
                          <w:szCs w:val="21"/>
                        </w:rPr>
                        <w:alias w:val="附注_应收款项"/>
                        <w:tag w:val="_GBC_3af97a7db60c437890a9d4a66de39b52"/>
                        <w:id w:val="24721146"/>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收款项"/>
                        <w:tag w:val="_GBC_da96596bd7d444329168d54acfd8ef11"/>
                        <w:id w:val="24721147"/>
                        <w:lock w:val="sdtLocked"/>
                      </w:sdtPr>
                      <w:sdtContent>
                        <w:r w:rsidR="001C1A59">
                          <w:rPr>
                            <w:szCs w:val="21"/>
                          </w:rPr>
                          <w:t>538,104,182.01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收款项"/>
                        <w:tag w:val="_GBC_b314351496fa4340806fe1514586f78c"/>
                        <w:id w:val="24721148"/>
                        <w:lock w:val="sdtLocked"/>
                      </w:sdtPr>
                      <w:sdtContent>
                        <w:r w:rsidR="001C1A59">
                          <w:rPr>
                            <w:szCs w:val="21"/>
                          </w:rPr>
                          <w:t>276,095,104.60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应收利息</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应收利息"/>
                        <w:tag w:val="_GBC_75885680d16d40838191646b6a0fc11b"/>
                        <w:id w:val="24721149"/>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收利息"/>
                        <w:tag w:val="_GBC_3151517f77c74673b11064724cfbb437"/>
                        <w:id w:val="24721150"/>
                        <w:lock w:val="sdtLocked"/>
                      </w:sdtPr>
                      <w:sdtContent>
                        <w:r w:rsidR="001C1A59">
                          <w:rPr>
                            <w:rFonts w:hint="eastAsia"/>
                            <w:szCs w:val="21"/>
                          </w:rPr>
                          <w:t>814,004,217.25</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收利息"/>
                        <w:tag w:val="_GBC_fe89907105874e48989a1c07ac485aff"/>
                        <w:id w:val="24721151"/>
                        <w:lock w:val="sdtLocked"/>
                      </w:sdtPr>
                      <w:sdtContent>
                        <w:r w:rsidR="001C1A59">
                          <w:rPr>
                            <w:rFonts w:hint="eastAsia"/>
                            <w:szCs w:val="21"/>
                          </w:rPr>
                          <w:t>368,675,259.92</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存出保证金</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存出保证金"/>
                        <w:tag w:val="_GBC_0b480e7055e144a69e7012f2294f033c"/>
                        <w:id w:val="24721152"/>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存出保证金"/>
                        <w:tag w:val="_GBC_5cbb0f5481894a53b749769b703b519c"/>
                        <w:id w:val="24721153"/>
                        <w:lock w:val="sdtLocked"/>
                      </w:sdtPr>
                      <w:sdtContent>
                        <w:r w:rsidR="001C1A59">
                          <w:rPr>
                            <w:rFonts w:hint="eastAsia"/>
                            <w:szCs w:val="21"/>
                          </w:rPr>
                          <w:t>1,356,728,239.11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存出保证金"/>
                        <w:tag w:val="_GBC_31ce44923a7c49868d32e10dc3aef194"/>
                        <w:id w:val="24721154"/>
                        <w:lock w:val="sdtLocked"/>
                      </w:sdtPr>
                      <w:sdtContent>
                        <w:r w:rsidR="001C1A59">
                          <w:rPr>
                            <w:rFonts w:hint="eastAsia"/>
                            <w:szCs w:val="21"/>
                          </w:rPr>
                          <w:t>591,685,937.85</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应收股利</w:t>
                    </w:r>
                  </w:p>
                </w:tc>
                <w:sdt>
                  <w:sdtPr>
                    <w:rPr>
                      <w:color w:val="000000" w:themeColor="text1"/>
                      <w:szCs w:val="21"/>
                    </w:rPr>
                    <w:alias w:val="附注_应收股利"/>
                    <w:tag w:val="_GBC_7f73e817f80d4fea9be9a52fcb209016"/>
                    <w:id w:val="24721155"/>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应收股利"/>
                    <w:tag w:val="_GBC_0f57ce85c7cc40e1ae16a0423cda7308"/>
                    <w:id w:val="24721156"/>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70,424,968.65</w:t>
                        </w:r>
                      </w:p>
                    </w:tc>
                  </w:sdtContent>
                </w:sdt>
                <w:sdt>
                  <w:sdtPr>
                    <w:rPr>
                      <w:szCs w:val="21"/>
                    </w:rPr>
                    <w:alias w:val="应收股利"/>
                    <w:tag w:val="_GBC_aab417c78aa14677b3f5f4a2a1ab1622"/>
                    <w:id w:val="24721157"/>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划分为持有待售的资产</w:t>
                    </w:r>
                  </w:p>
                </w:tc>
                <w:sdt>
                  <w:sdtPr>
                    <w:rPr>
                      <w:color w:val="000000" w:themeColor="text1"/>
                      <w:szCs w:val="21"/>
                    </w:rPr>
                    <w:alias w:val="附注_划分为持有待售的资产"/>
                    <w:tag w:val="_GBC_48bdcbb61df34a04bfd128cbfd8a6775"/>
                    <w:id w:val="24721158"/>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划分为持有待售的资产"/>
                    <w:tag w:val="_GBC_23fba969f8464aedb7432e7fc61fd716"/>
                    <w:id w:val="24721159"/>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划分为持有待售的资产"/>
                    <w:tag w:val="_GBC_07fa32c984fa4f629726a73a21189b19"/>
                    <w:id w:val="24721160"/>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一年内到期的非流动资产</w:t>
                    </w:r>
                  </w:p>
                </w:tc>
                <w:sdt>
                  <w:sdtPr>
                    <w:rPr>
                      <w:color w:val="000000" w:themeColor="text1"/>
                      <w:szCs w:val="21"/>
                    </w:rPr>
                    <w:alias w:val="附注_一年内到期的非流动资产"/>
                    <w:tag w:val="_GBC_a04439caa68444e99ef52f109d05b685"/>
                    <w:id w:val="24721161"/>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一年内到期的非流动资产"/>
                    <w:tag w:val="_GBC_e4d6bb737fb64230a473cb5bcf27a3b5"/>
                    <w:id w:val="24721162"/>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一年内到期的非流动资产"/>
                    <w:tag w:val="_GBC_817aba47052c46afb13652e40ce46021"/>
                    <w:id w:val="24721163"/>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可供出售金融资产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可供出售金融资产"/>
                        <w:tag w:val="_GBC_1e92c6aaf68642f0be9795c5facdb450"/>
                        <w:id w:val="24721164"/>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可供出售金融资产"/>
                        <w:tag w:val="_GBC_5ab54eb8ee1243f88cb588e76ece7b0b"/>
                        <w:id w:val="24721165"/>
                        <w:lock w:val="sdtLocked"/>
                      </w:sdtPr>
                      <w:sdtContent>
                        <w:r w:rsidR="001C1A59">
                          <w:rPr>
                            <w:rFonts w:hint="eastAsia"/>
                            <w:szCs w:val="21"/>
                          </w:rPr>
                          <w:t>13,851,374,479.41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可供出售金融资产"/>
                        <w:tag w:val="_GBC_732ab5b52f854a23800733207d5d95c4"/>
                        <w:id w:val="24721166"/>
                        <w:lock w:val="sdtLocked"/>
                      </w:sdtPr>
                      <w:sdtContent>
                        <w:r w:rsidR="001C1A59">
                          <w:rPr>
                            <w:rFonts w:hint="eastAsia"/>
                            <w:szCs w:val="21"/>
                          </w:rPr>
                          <w:t>14,777,939,822.64</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持有至到期投资</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持有至到期投资"/>
                        <w:tag w:val="_GBC_26df239222b8447ea6823828822565f7"/>
                        <w:id w:val="24721167"/>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持有至到期投资"/>
                        <w:tag w:val="_GBC_98aac2f139bb4528bda52df7a39a67e0"/>
                        <w:id w:val="24721168"/>
                        <w:lock w:val="sdtLocked"/>
                      </w:sdtP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持有至到期投资"/>
                        <w:tag w:val="_GBC_2b20ef99c55343b1954114beef5aa0e7"/>
                        <w:id w:val="24721169"/>
                        <w:lock w:val="sdtLocked"/>
                      </w:sdtP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长期应收款</w:t>
                    </w:r>
                  </w:p>
                </w:tc>
                <w:sdt>
                  <w:sdtPr>
                    <w:rPr>
                      <w:color w:val="000000" w:themeColor="text1"/>
                      <w:szCs w:val="21"/>
                    </w:rPr>
                    <w:alias w:val="附注_长期应收款"/>
                    <w:tag w:val="_GBC_4f817b2c4b7844b4b18a5f69d74f81b5"/>
                    <w:id w:val="24721170"/>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长期应收款"/>
                    <w:tag w:val="_GBC_54676b4dd7e04bf094a3f78e187ca347"/>
                    <w:id w:val="24721171"/>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长期应收款"/>
                    <w:tag w:val="_GBC_cfb60b0ae22b4296a9c7b88f05869b82"/>
                    <w:id w:val="24721172"/>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长期股权投资</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长期股权投资"/>
                        <w:tag w:val="_GBC_62c5ab0fb0c64abb9446df10d543b342"/>
                        <w:id w:val="24721173"/>
                        <w:lock w:val="sdtLocked"/>
                      </w:sdtPr>
                      <w:sdtContent>
                        <w:r w:rsidR="001C1A59">
                          <w:rPr>
                            <w:rFonts w:hint="eastAsia"/>
                            <w:color w:val="000000" w:themeColor="text1"/>
                            <w:szCs w:val="21"/>
                          </w:rPr>
                          <w:t>八、1</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股权投资"/>
                        <w:tag w:val="_GBC_febb6911a696477983c012a5d6a6f435"/>
                        <w:id w:val="24721174"/>
                        <w:lock w:val="sdtLocked"/>
                      </w:sdtPr>
                      <w:sdtContent>
                        <w:r w:rsidR="001C1A59">
                          <w:rPr>
                            <w:rFonts w:hint="eastAsia"/>
                            <w:szCs w:val="21"/>
                          </w:rPr>
                          <w:t>8,477,392,084.99</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股权投资"/>
                        <w:tag w:val="_GBC_74ed5a5f56894aea8ced1fe41dfd5fa6"/>
                        <w:id w:val="24721175"/>
                        <w:lock w:val="sdtLocked"/>
                      </w:sdtPr>
                      <w:sdtContent>
                        <w:r w:rsidR="001C1A59">
                          <w:rPr>
                            <w:rFonts w:hint="eastAsia"/>
                            <w:szCs w:val="21"/>
                          </w:rPr>
                          <w:t>7,981,302,855.39</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投资性房地产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投资性房地产"/>
                        <w:tag w:val="_GBC_274c7fa9e25e4238a96d6a3037480e5f"/>
                        <w:id w:val="24721176"/>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投资性房地产"/>
                        <w:tag w:val="_GBC_c8d7a07ddf5e4a2d9d72aa10fc997d9a"/>
                        <w:id w:val="24721177"/>
                        <w:lock w:val="sdtLocked"/>
                      </w:sdtPr>
                      <w:sdtContent>
                        <w:r w:rsidR="001C1A59">
                          <w:rPr>
                            <w:rFonts w:hint="eastAsia"/>
                            <w:szCs w:val="21"/>
                          </w:rPr>
                          <w:t>5,380,050.89</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投资性房地产"/>
                        <w:tag w:val="_GBC_d312828d32ea40139594f0fffde4bf72"/>
                        <w:id w:val="24721178"/>
                        <w:lock w:val="sdtLocked"/>
                      </w:sdtPr>
                      <w:sdtContent>
                        <w:r w:rsidR="001C1A59">
                          <w:rPr>
                            <w:rFonts w:hint="eastAsia"/>
                            <w:szCs w:val="21"/>
                          </w:rPr>
                          <w:t>5,789,966.03</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固定资产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固定资产净额"/>
                        <w:tag w:val="_GBC_a46599f0db42491fb8d96648a42c9d9d"/>
                        <w:id w:val="24721179"/>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固定资产净额"/>
                        <w:tag w:val="_GBC_181be25638354018946b2e2ebcddbf4a"/>
                        <w:id w:val="24721180"/>
                        <w:lock w:val="sdtLocked"/>
                      </w:sdtPr>
                      <w:sdtContent>
                        <w:r w:rsidR="001C1A59">
                          <w:rPr>
                            <w:rFonts w:hint="eastAsia"/>
                            <w:szCs w:val="21"/>
                          </w:rPr>
                          <w:t>331,025,165.38</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固定资产净额"/>
                        <w:tag w:val="_GBC_d994fe152b444ef18c5dd2559c4b045f"/>
                        <w:id w:val="24721181"/>
                        <w:lock w:val="sdtLocked"/>
                      </w:sdtPr>
                      <w:sdtContent>
                        <w:r w:rsidR="001C1A59">
                          <w:rPr>
                            <w:rFonts w:hint="eastAsia"/>
                            <w:szCs w:val="21"/>
                          </w:rPr>
                          <w:t>317,768,134.14</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在建工程</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color w:val="000000" w:themeColor="text1"/>
                          <w:szCs w:val="21"/>
                        </w:rPr>
                        <w:alias w:val="附注_在建工程"/>
                        <w:tag w:val="_GBC_8f086073ea654723ad7d1c1bb859b754"/>
                        <w:id w:val="24721182"/>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在建工程"/>
                        <w:tag w:val="_GBC_f2afb9ff84f84115a690c4eb48e6f47f"/>
                        <w:id w:val="24721183"/>
                        <w:lock w:val="sdtLocked"/>
                      </w:sdtPr>
                      <w:sdtContent>
                        <w:r w:rsidR="001C1A59">
                          <w:rPr>
                            <w:szCs w:val="21"/>
                          </w:rPr>
                          <w:t>975,420,522.88</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在建工程"/>
                        <w:tag w:val="_GBC_281fd4f4708a4271b3caf7d68f686a4e"/>
                        <w:id w:val="24721184"/>
                        <w:lock w:val="sdtLocked"/>
                      </w:sdtPr>
                      <w:sdtContent>
                        <w:r w:rsidR="001C1A59">
                          <w:rPr>
                            <w:szCs w:val="21"/>
                          </w:rPr>
                          <w:t>926,646,741.80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无形资产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无形资产"/>
                        <w:tag w:val="_GBC_6327d69db4c2498e8426aca1f58591be"/>
                        <w:id w:val="24721185"/>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无形资产"/>
                        <w:tag w:val="_GBC_a21f86560a8448eb8d35ac3024953806"/>
                        <w:id w:val="24721186"/>
                        <w:lock w:val="sdtLocked"/>
                      </w:sdtPr>
                      <w:sdtContent>
                        <w:r w:rsidR="001C1A59">
                          <w:rPr>
                            <w:rFonts w:hint="eastAsia"/>
                            <w:szCs w:val="21"/>
                          </w:rPr>
                          <w:t>6,855,190.09</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无形资产"/>
                        <w:tag w:val="_GBC_eb9d8f86274c49099e43b0853aa19807"/>
                        <w:id w:val="24721187"/>
                        <w:lock w:val="sdtLocked"/>
                      </w:sdtPr>
                      <w:sdtContent>
                        <w:r w:rsidR="001C1A59">
                          <w:rPr>
                            <w:rFonts w:hint="eastAsia"/>
                            <w:szCs w:val="21"/>
                          </w:rPr>
                          <w:t>5,629,723.69</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开发支出</w:t>
                    </w:r>
                  </w:p>
                </w:tc>
                <w:sdt>
                  <w:sdtPr>
                    <w:rPr>
                      <w:color w:val="000000" w:themeColor="text1"/>
                      <w:szCs w:val="21"/>
                    </w:rPr>
                    <w:alias w:val="附注_开发支出"/>
                    <w:tag w:val="_GBC_2c97f57d24a84c26b598da6929269331"/>
                    <w:id w:val="24721188"/>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开发支出"/>
                    <w:tag w:val="_GBC_a7f940df42594ef6a0b9ffc0c0833897"/>
                    <w:id w:val="24721189"/>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开发支出"/>
                    <w:tag w:val="_GBC_663e56a07b034e5dbb2c7f6158bfa3b6"/>
                    <w:id w:val="24721190"/>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商誉</w:t>
                    </w:r>
                  </w:p>
                </w:tc>
                <w:sdt>
                  <w:sdtPr>
                    <w:rPr>
                      <w:color w:val="000000" w:themeColor="text1"/>
                      <w:szCs w:val="21"/>
                    </w:rPr>
                    <w:alias w:val="附注_商誉"/>
                    <w:tag w:val="_GBC_10642101eb5943f6a7c5a8e7f4f0587a"/>
                    <w:id w:val="24721191"/>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商誉"/>
                    <w:tag w:val="_GBC_9ee9cba6a0dc4d718a46da2ada267c4a"/>
                    <w:id w:val="24721192"/>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商誉"/>
                    <w:tag w:val="_GBC_e01e622d317849adaa44a0f956e86209"/>
                    <w:id w:val="24721193"/>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长期待摊费用</w:t>
                    </w:r>
                  </w:p>
                </w:tc>
                <w:sdt>
                  <w:sdtPr>
                    <w:rPr>
                      <w:color w:val="000000" w:themeColor="text1"/>
                      <w:szCs w:val="21"/>
                    </w:rPr>
                    <w:alias w:val="附注_长期待摊费用"/>
                    <w:tag w:val="_GBC_a107a26dad8a43858b69fb005f29c264"/>
                    <w:id w:val="24721194"/>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长期待摊费用"/>
                    <w:tag w:val="_GBC_f0d8049a4a59474480ebf8e1378f8b40"/>
                    <w:id w:val="24721195"/>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133,621,569.47</w:t>
                        </w:r>
                      </w:p>
                    </w:tc>
                  </w:sdtContent>
                </w:sdt>
                <w:sdt>
                  <w:sdtPr>
                    <w:rPr>
                      <w:szCs w:val="21"/>
                    </w:rPr>
                    <w:alias w:val="长期待摊费用"/>
                    <w:tag w:val="_GBC_5e170ee7e4a14499944074ea8fa0d8c9"/>
                    <w:id w:val="24721196"/>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154,907,695.06</w:t>
                        </w: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递延所得税资产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递延税款借项合计"/>
                        <w:tag w:val="_GBC_1c94df4923a3440e8c15fef2c2f08e1a"/>
                        <w:id w:val="24721197"/>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借项合计"/>
                        <w:tag w:val="_GBC_5c7bfcbb03504dd385dc25c9dc58ff00"/>
                        <w:id w:val="24721198"/>
                        <w:lock w:val="sdtLocked"/>
                      </w:sdtPr>
                      <w:sdtContent>
                        <w:r w:rsidR="001C1A59">
                          <w:rPr>
                            <w:rFonts w:hint="eastAsia"/>
                            <w:szCs w:val="21"/>
                          </w:rPr>
                          <w:t>465,127,787.13</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借项合计"/>
                        <w:tag w:val="_GBC_dd4c3cf893fa4b2aba6019380b88c1dc"/>
                        <w:id w:val="24721199"/>
                        <w:lock w:val="sdtLocked"/>
                      </w:sdtPr>
                      <w:sdtContent>
                        <w:r w:rsidR="001C1A59">
                          <w:rPr>
                            <w:rFonts w:hint="eastAsia"/>
                            <w:szCs w:val="21"/>
                          </w:rPr>
                          <w:t>354,706,381.54</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其他资产</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其他资产"/>
                        <w:tag w:val="_GBC_3b712e72c15f4c618cc187ff9ab604ee"/>
                        <w:id w:val="24721200"/>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资产"/>
                        <w:tag w:val="_GBC_243d6aa691aa4fd28c54be9be64040d4"/>
                        <w:id w:val="24721201"/>
                        <w:lock w:val="sdtLocked"/>
                      </w:sdtPr>
                      <w:sdtContent>
                        <w:r w:rsidR="001C1A59">
                          <w:rPr>
                            <w:szCs w:val="21"/>
                          </w:rPr>
                          <w:t>641,482,455.81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资产"/>
                        <w:tag w:val="_GBC_05e5b37677a344c383adcb34e6ca6797"/>
                        <w:id w:val="24721202"/>
                        <w:lock w:val="sdtLocked"/>
                      </w:sdtPr>
                      <w:sdtContent>
                        <w:r w:rsidR="001C1A59">
                          <w:rPr>
                            <w:rFonts w:hint="eastAsia"/>
                            <w:szCs w:val="21"/>
                          </w:rPr>
                          <w:t>133,033,553.67</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rPr>
                    </w:pPr>
                    <w:r w:rsidRPr="00626623">
                      <w:rPr>
                        <w:b/>
                      </w:rPr>
                      <w:t>资产总计</w:t>
                    </w:r>
                  </w:p>
                </w:tc>
                <w:tc>
                  <w:tcPr>
                    <w:tcW w:w="505"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资产总计"/>
                        <w:tag w:val="_GBC_8cdef9b2df9d43a488c39c6b988347c2"/>
                        <w:id w:val="24721203"/>
                        <w:lock w:val="sdtLocked"/>
                        <w:showingPlcHdr/>
                      </w:sdtPr>
                      <w:sdtContent>
                        <w:r w:rsidR="001C1A59" w:rsidRPr="00626623">
                          <w:rPr>
                            <w:rFonts w:hint="eastAsia"/>
                            <w:b/>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资产总计"/>
                        <w:tag w:val="_GBC_50c70bf8002e4994a24b6445290cdcc6"/>
                        <w:id w:val="24721204"/>
                        <w:lock w:val="sdtLocked"/>
                      </w:sdtPr>
                      <w:sdtContent>
                        <w:r w:rsidR="001C1A59" w:rsidRPr="00626623">
                          <w:rPr>
                            <w:rFonts w:hint="eastAsia"/>
                            <w:b/>
                            <w:szCs w:val="21"/>
                          </w:rPr>
                          <w:t>341,759,107,803.51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资产总计"/>
                        <w:tag w:val="_GBC_f483fb0b03bf429f847e116dba3fc1c7"/>
                        <w:id w:val="24721205"/>
                        <w:lock w:val="sdtLocked"/>
                      </w:sdtPr>
                      <w:sdtContent>
                        <w:r w:rsidR="001C1A59" w:rsidRPr="00626623">
                          <w:rPr>
                            <w:rFonts w:hint="eastAsia"/>
                            <w:b/>
                            <w:szCs w:val="21"/>
                          </w:rPr>
                          <w:t>177,240,040,785.51</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r>
                      <w:rPr>
                        <w:b/>
                        <w:bCs/>
                      </w:rPr>
                      <w:t>负债：</w:t>
                    </w:r>
                  </w:p>
                </w:tc>
                <w:tc>
                  <w:tcPr>
                    <w:tcW w:w="505" w:type="pct"/>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短期借款</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短期借款"/>
                        <w:tag w:val="_GBC_bfa9fac7f7f44881b94b795dbf37f461"/>
                        <w:id w:val="24721206"/>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短期借款"/>
                        <w:tag w:val="_GBC_90e2d717b0a1423bb8ead9435cb21ae0"/>
                        <w:id w:val="24721207"/>
                        <w:lock w:val="sdtLocked"/>
                      </w:sdtP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短期借款"/>
                        <w:tag w:val="_GBC_5b8f45b5ab5848de894c1422b7245c0b"/>
                        <w:id w:val="24721208"/>
                        <w:lock w:val="sdtLocked"/>
                        <w:showingPlcHdr/>
                      </w:sdtPr>
                      <w:sdtContent>
                        <w:r w:rsidR="001237AC">
                          <w:rPr>
                            <w:szCs w:val="21"/>
                          </w:rPr>
                          <w:t xml:space="preserve">     </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应付短期融资款</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color w:val="000000" w:themeColor="text1"/>
                          <w:szCs w:val="21"/>
                        </w:rPr>
                        <w:alias w:val="附注_应付短期融资款"/>
                        <w:tag w:val="_GBC_cbe8d79344d04de0b45f55ece97c6504"/>
                        <w:id w:val="24721209"/>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短期融资款"/>
                        <w:tag w:val="_GBC_32274d7691634875b87520f28dca437c"/>
                        <w:id w:val="24721210"/>
                        <w:lock w:val="sdtLocked"/>
                      </w:sdtPr>
                      <w:sdtContent>
                        <w:r w:rsidR="001C1A59">
                          <w:rPr>
                            <w:szCs w:val="21"/>
                          </w:rPr>
                          <w:t>45,169,030,000.00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短期融资款"/>
                        <w:tag w:val="_GBC_9d7313cdfdfe428ebd731e2a94e244e2"/>
                        <w:id w:val="24721211"/>
                        <w:lock w:val="sdtLocked"/>
                      </w:sdtPr>
                      <w:sdtContent>
                        <w:r w:rsidR="001C1A59">
                          <w:rPr>
                            <w:szCs w:val="21"/>
                          </w:rPr>
                          <w:t>14,433,147,014.00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拆入资金</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拆入资金"/>
                        <w:tag w:val="_GBC_085263fb96aa4513b962988d00d44443"/>
                        <w:id w:val="24721212"/>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入资金"/>
                        <w:tag w:val="_GBC_067c5b8ae5c6442bb45f994bd32d10ec"/>
                        <w:id w:val="24721213"/>
                        <w:lock w:val="sdtLocked"/>
                      </w:sdtPr>
                      <w:sdtContent>
                        <w:r w:rsidR="001C1A59">
                          <w:rPr>
                            <w:rFonts w:hint="eastAsia"/>
                            <w:szCs w:val="21"/>
                          </w:rPr>
                          <w:t>1,000,000,000.00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拆入资金"/>
                        <w:tag w:val="_GBC_7ea9c8fc3ca14e54bc585a0f5d46edd3"/>
                        <w:id w:val="24721214"/>
                        <w:lock w:val="sdtLocked"/>
                      </w:sdtPr>
                      <w:sdtContent>
                        <w:r w:rsidR="001C1A59">
                          <w:rPr>
                            <w:rFonts w:hint="eastAsia"/>
                            <w:szCs w:val="21"/>
                          </w:rPr>
                          <w:t>4,600,000,000.00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以公允价值计量且其变动计入当期损益的金融负债</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以公允价值计量且其变动计入当期损益的金融负债"/>
                        <w:tag w:val="_GBC_344fea6e8b034949bd0ffbd84f5812ca"/>
                        <w:id w:val="24721215"/>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负债"/>
                        <w:tag w:val="_GBC_760bdb8379544571a53bb8449e4d3afd"/>
                        <w:id w:val="24721216"/>
                        <w:lock w:val="sdtLocked"/>
                      </w:sdtP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以公允价值计量且其变动计入当期损益的金融负债"/>
                        <w:tag w:val="_GBC_fac7456fc6294da8bdaf9657538d0517"/>
                        <w:id w:val="24721217"/>
                        <w:lock w:val="sdtLocked"/>
                      </w:sdtP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衍生金融负债</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衍生金融负债"/>
                        <w:tag w:val="_GBC_71ac9d59993442c5a33ae28dd4280fca"/>
                        <w:id w:val="24721218"/>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负债"/>
                        <w:tag w:val="_GBC_c079e672fc8d434bb79371c889e8906c"/>
                        <w:id w:val="24721219"/>
                        <w:lock w:val="sdtLocked"/>
                      </w:sdtPr>
                      <w:sdtContent>
                        <w:r w:rsidR="001C1A59">
                          <w:rPr>
                            <w:rFonts w:hint="eastAsia"/>
                            <w:szCs w:val="21"/>
                          </w:rPr>
                          <w:t>3,528,695,735.73</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衍生金融负债"/>
                        <w:tag w:val="_GBC_742754f2a70b4602a2dd770084f8a741"/>
                        <w:id w:val="24721220"/>
                        <w:lock w:val="sdtLocked"/>
                      </w:sdtPr>
                      <w:sdtContent>
                        <w:r w:rsidR="001C1A59">
                          <w:rPr>
                            <w:rFonts w:hint="eastAsia"/>
                            <w:szCs w:val="21"/>
                          </w:rPr>
                          <w:t>849,865,227.37</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卖出回购金融资产款</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卖出回购金融资产款"/>
                        <w:tag w:val="_GBC_6e972628b4314ef6accdbb22b55f65e4"/>
                        <w:id w:val="24721221"/>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卖出回购金融资产款"/>
                        <w:tag w:val="_GBC_6a997fa20cbd429ca2471c2ec2e9010f"/>
                        <w:id w:val="24721222"/>
                        <w:lock w:val="sdtLocked"/>
                      </w:sdtPr>
                      <w:sdtContent>
                        <w:r w:rsidR="001C1A59">
                          <w:rPr>
                            <w:rFonts w:hint="eastAsia"/>
                            <w:szCs w:val="21"/>
                          </w:rPr>
                          <w:t>59,262,473,190.06</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卖出回购金融资产款"/>
                        <w:tag w:val="_GBC_661633079fb644ee9934258217b2e96d"/>
                        <w:id w:val="24721223"/>
                        <w:lock w:val="sdtLocked"/>
                      </w:sdtPr>
                      <w:sdtContent>
                        <w:r w:rsidR="001C1A59">
                          <w:rPr>
                            <w:rFonts w:hint="eastAsia"/>
                            <w:szCs w:val="21"/>
                          </w:rPr>
                          <w:t>49,138,515,787.62</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代理买卖证券款</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代理买卖证券款"/>
                        <w:tag w:val="_GBC_882dd27a1c494e41ad93c4547e188054"/>
                        <w:id w:val="24721224"/>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买卖证券款"/>
                        <w:tag w:val="_GBC_868c6da8ff46485b8fcff9dacca56623"/>
                        <w:id w:val="24721225"/>
                        <w:lock w:val="sdtLocked"/>
                      </w:sdtPr>
                      <w:sdtContent>
                        <w:r w:rsidR="001C1A59">
                          <w:rPr>
                            <w:rFonts w:hint="eastAsia"/>
                            <w:szCs w:val="21"/>
                          </w:rPr>
                          <w:t>98,519,361,621.23</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买卖证券款"/>
                        <w:tag w:val="_GBC_95e8867bcb1f4cf2a2dcb5cec7551bc0"/>
                        <w:id w:val="24721226"/>
                        <w:lock w:val="sdtLocked"/>
                      </w:sdtPr>
                      <w:sdtContent>
                        <w:r w:rsidR="001C1A59">
                          <w:rPr>
                            <w:rFonts w:hint="eastAsia"/>
                            <w:szCs w:val="21"/>
                          </w:rPr>
                          <w:t>41,757,587,902.10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代理承销证券款</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代理承销证券款"/>
                        <w:tag w:val="_GBC_13466c93202a4b25bfb74da38d11e492"/>
                        <w:id w:val="24721227"/>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承销证券款"/>
                        <w:tag w:val="_GBC_aba61bef11fb47a7af21073d66c1103c"/>
                        <w:id w:val="24721228"/>
                        <w:lock w:val="sdtLocked"/>
                      </w:sdtPr>
                      <w:sdtContent>
                        <w:r w:rsidR="001C1A59">
                          <w:rPr>
                            <w:rFonts w:hint="eastAsia"/>
                            <w:szCs w:val="21"/>
                          </w:rPr>
                          <w:t>70,000,000.00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代理承销证券款"/>
                        <w:tag w:val="_GBC_ce6fa25b06d94b6697bb874ecdfac76c"/>
                        <w:id w:val="24721229"/>
                        <w:lock w:val="sdtLocked"/>
                      </w:sdtP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信用交易代理买卖证券款</w:t>
                    </w:r>
                  </w:p>
                </w:tc>
                <w:sdt>
                  <w:sdtPr>
                    <w:rPr>
                      <w:color w:val="000000" w:themeColor="text1"/>
                      <w:szCs w:val="21"/>
                    </w:rPr>
                    <w:alias w:val="附注_信用交易代理买卖证券款"/>
                    <w:tag w:val="_GBC_f639457b858b49cebad9931890d9ebf2"/>
                    <w:id w:val="24721230"/>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信用交易代理买卖证券款"/>
                    <w:tag w:val="_GBC_4633102330f84703a3952aa8c921c9d3"/>
                    <w:id w:val="24721231"/>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21,149,176,358.85</w:t>
                        </w:r>
                      </w:p>
                    </w:tc>
                  </w:sdtContent>
                </w:sdt>
                <w:sdt>
                  <w:sdtPr>
                    <w:rPr>
                      <w:szCs w:val="21"/>
                    </w:rPr>
                    <w:alias w:val="信用交易代理买卖证券款"/>
                    <w:tag w:val="_GBC_99d5202940824e77b246b5f387de4d91"/>
                    <w:id w:val="24721232"/>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7,044,122,574.21</w:t>
                        </w: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应付职工薪酬</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应付职工薪酬"/>
                        <w:tag w:val="_GBC_7958b543a21b42da8a40865e69be8ca9"/>
                        <w:id w:val="24721233"/>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职工薪酬"/>
                        <w:tag w:val="_GBC_06165020019b43538dde655e3ed098bf"/>
                        <w:id w:val="24721234"/>
                        <w:lock w:val="sdtLocked"/>
                      </w:sdtPr>
                      <w:sdtContent>
                        <w:r w:rsidR="001C1A59">
                          <w:rPr>
                            <w:rFonts w:hint="eastAsia"/>
                            <w:szCs w:val="21"/>
                          </w:rPr>
                          <w:t>5,206,591,075.45</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职工薪酬"/>
                        <w:tag w:val="_GBC_be27684974094cc8b733bc2579b3dc31"/>
                        <w:id w:val="24721235"/>
                        <w:lock w:val="sdtLocked"/>
                      </w:sdtPr>
                      <w:sdtContent>
                        <w:r w:rsidR="001C1A59">
                          <w:rPr>
                            <w:rFonts w:hint="eastAsia"/>
                            <w:szCs w:val="21"/>
                          </w:rPr>
                          <w:t>1,671,810,960.31</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lastRenderedPageBreak/>
                      <w:t>应交税费</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应交税金"/>
                        <w:tag w:val="_GBC_814a5de38aaf408fbf4823d0d72c0239"/>
                        <w:id w:val="24721236"/>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交税金"/>
                        <w:tag w:val="_GBC_71e4f3295cf347aba7a0fde0a5ba9e2b"/>
                        <w:id w:val="24721237"/>
                        <w:lock w:val="sdtLocked"/>
                      </w:sdtPr>
                      <w:sdtContent>
                        <w:r w:rsidR="001C1A59">
                          <w:rPr>
                            <w:rFonts w:hint="eastAsia"/>
                            <w:szCs w:val="21"/>
                          </w:rPr>
                          <w:t>1,302,432,862.41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交税金"/>
                        <w:tag w:val="_GBC_8beb1e7e14054f938e26398614a28591"/>
                        <w:id w:val="24721238"/>
                        <w:lock w:val="sdtLocked"/>
                      </w:sdtPr>
                      <w:sdtContent>
                        <w:r w:rsidR="001C1A59">
                          <w:rPr>
                            <w:rFonts w:hint="eastAsia"/>
                            <w:szCs w:val="21"/>
                          </w:rPr>
                          <w:t>530,282,330.47</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应付款项</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color w:val="000000" w:themeColor="text1"/>
                          <w:szCs w:val="21"/>
                        </w:rPr>
                        <w:alias w:val="附注_应付款项"/>
                        <w:tag w:val="_GBC_49f8cfc2ab72498fab041c7eac7b56a0"/>
                        <w:id w:val="24721239"/>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款项"/>
                        <w:tag w:val="_GBC_d4538daf9c3a4182b893935ebd9d606b"/>
                        <w:id w:val="24721240"/>
                        <w:lock w:val="sdtLocked"/>
                      </w:sdtPr>
                      <w:sdtContent>
                        <w:r w:rsidR="001C1A59">
                          <w:rPr>
                            <w:szCs w:val="21"/>
                          </w:rPr>
                          <w:t>6,680,492,192.54</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应付款项"/>
                        <w:tag w:val="_GBC_c59ca046156947baa41cc4352369d075"/>
                        <w:id w:val="24721241"/>
                        <w:lock w:val="sdtLocked"/>
                      </w:sdtPr>
                      <w:sdtContent>
                        <w:r w:rsidR="001C1A59">
                          <w:rPr>
                            <w:szCs w:val="21"/>
                          </w:rPr>
                          <w:t>3,548,574,512.14</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应付利息</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应付利息"/>
                        <w:tag w:val="_GBC_46b699a9cd5a4464a7fe54eaee3964d0"/>
                        <w:id w:val="24721242"/>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利息"/>
                        <w:tag w:val="_GBC_ef7316b38ffe46a78840703261346b54"/>
                        <w:id w:val="24721243"/>
                        <w:lock w:val="sdtLocked"/>
                      </w:sdtPr>
                      <w:sdtContent>
                        <w:r w:rsidR="001C1A59">
                          <w:rPr>
                            <w:rFonts w:hint="eastAsia"/>
                            <w:szCs w:val="21"/>
                          </w:rPr>
                          <w:t>1,322,554,532.37</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利息"/>
                        <w:tag w:val="_GBC_065a910cc2084dafbf250ccd5f3047f0"/>
                        <w:id w:val="24721244"/>
                        <w:lock w:val="sdtLocked"/>
                      </w:sdtPr>
                      <w:sdtContent>
                        <w:r w:rsidR="001C1A59">
                          <w:rPr>
                            <w:rFonts w:hint="eastAsia"/>
                            <w:szCs w:val="21"/>
                          </w:rPr>
                          <w:t>570,969,762.54</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应付股利</w:t>
                    </w:r>
                  </w:p>
                </w:tc>
                <w:sdt>
                  <w:sdtPr>
                    <w:rPr>
                      <w:color w:val="000000" w:themeColor="text1"/>
                      <w:szCs w:val="21"/>
                    </w:rPr>
                    <w:alias w:val="附注_应付股利"/>
                    <w:tag w:val="_GBC_f9aa2173f7d243289dd7449e08632228"/>
                    <w:id w:val="24721245"/>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应付股利"/>
                    <w:tag w:val="_GBC_51d5c198ec854f79ade83825dc521809"/>
                    <w:id w:val="24721246"/>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应付股利"/>
                    <w:tag w:val="_GBC_4ef4de8f94904172b3607209d90f4e07"/>
                    <w:id w:val="24721247"/>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划分为持有待售的负债</w:t>
                    </w:r>
                  </w:p>
                </w:tc>
                <w:sdt>
                  <w:sdtPr>
                    <w:rPr>
                      <w:color w:val="000000" w:themeColor="text1"/>
                      <w:szCs w:val="21"/>
                    </w:rPr>
                    <w:alias w:val="附注_划分为持有待售的负债"/>
                    <w:tag w:val="_GBC_cd74424a588b4e76919421f16f870a73"/>
                    <w:id w:val="24721248"/>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划分为持有待售的负债"/>
                    <w:tag w:val="_GBC_35697e0c75cd4c1e9e9e662625e7c3c2"/>
                    <w:id w:val="24721249"/>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划分为持有待售的负债"/>
                    <w:tag w:val="_GBC_73ebaee5bfbd4aa19b5be1ec2daae704"/>
                    <w:id w:val="24721250"/>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预计负债</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预计负债"/>
                        <w:tag w:val="_GBC_bac63b60367f4bbd858ca48f87a4c55b"/>
                        <w:id w:val="24721251"/>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预计负债"/>
                        <w:tag w:val="_GBC_46907f85dc634a6694707b1472a0d6ec"/>
                        <w:id w:val="24721252"/>
                        <w:lock w:val="sdtLocked"/>
                      </w:sdtPr>
                      <w:sdtContent>
                        <w:r w:rsidR="001C1A59">
                          <w:rPr>
                            <w:rFonts w:hint="eastAsia"/>
                            <w:szCs w:val="21"/>
                          </w:rPr>
                          <w:t>117,774.00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预计负债"/>
                        <w:tag w:val="_GBC_1e563e91301a49ba8d7ceb0912e0a979"/>
                        <w:id w:val="24721253"/>
                        <w:lock w:val="sdtLocked"/>
                      </w:sdtPr>
                      <w:sdtContent>
                        <w:r w:rsidR="001C1A59">
                          <w:rPr>
                            <w:rFonts w:hint="eastAsia"/>
                            <w:szCs w:val="21"/>
                          </w:rPr>
                          <w:t>117,774.00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长期借款</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长期借款"/>
                        <w:tag w:val="_GBC_b374b4b7d13f4136a337eb519f3a396d"/>
                        <w:id w:val="24721254"/>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借款"/>
                        <w:tag w:val="_GBC_895b9b94aba94cc798a131fc34535283"/>
                        <w:id w:val="24721255"/>
                        <w:lock w:val="sdtLocked"/>
                      </w:sdtPr>
                      <w:sdtContent>
                        <w:r w:rsidR="001C1A59">
                          <w:rPr>
                            <w:rFonts w:hint="eastAsia"/>
                            <w:szCs w:val="21"/>
                          </w:rPr>
                          <w:t>321,066,970.82</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长期借款"/>
                        <w:tag w:val="_GBC_b1251e6a6f47402bb1ddb90e7156b073"/>
                        <w:id w:val="24721256"/>
                        <w:lock w:val="sdtLocked"/>
                      </w:sdtPr>
                      <w:sdtContent>
                        <w:r w:rsidR="001C1A59">
                          <w:rPr>
                            <w:rFonts w:hint="eastAsia"/>
                            <w:szCs w:val="21"/>
                          </w:rPr>
                          <w:t>295,495,755.48</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应付债券</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应付债券"/>
                        <w:tag w:val="_GBC_6b2c7217c2ae4ca88064b092f6ee6e02"/>
                        <w:id w:val="24721257"/>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债券"/>
                        <w:tag w:val="_GBC_358d5c70ca114e1daadb4a57db996dc9"/>
                        <w:id w:val="24721258"/>
                        <w:lock w:val="sdtLocked"/>
                      </w:sdtPr>
                      <w:sdtContent>
                        <w:r w:rsidR="001C1A59">
                          <w:rPr>
                            <w:rFonts w:hint="eastAsia"/>
                            <w:szCs w:val="21"/>
                          </w:rPr>
                          <w:t>50,458,367,066.70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应付债券"/>
                        <w:tag w:val="_GBC_c09f3c16fb444087801e2522b4f7114c"/>
                        <w:id w:val="24721259"/>
                        <w:lock w:val="sdtLocked"/>
                      </w:sdtPr>
                      <w:sdtContent>
                        <w:r w:rsidR="001C1A59">
                          <w:rPr>
                            <w:rFonts w:hint="eastAsia"/>
                            <w:szCs w:val="21"/>
                          </w:rPr>
                          <w:t>9,982,485,805.80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长期应付款</w:t>
                    </w:r>
                  </w:p>
                </w:tc>
                <w:sdt>
                  <w:sdtPr>
                    <w:rPr>
                      <w:color w:val="000000" w:themeColor="text1"/>
                      <w:szCs w:val="21"/>
                    </w:rPr>
                    <w:alias w:val="附注_长期应付款"/>
                    <w:tag w:val="_GBC_77dc0a357f254cf5b496c7ba52a07dec"/>
                    <w:id w:val="24721260"/>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长期应付款"/>
                    <w:tag w:val="_GBC_e5cdabc50d84452fb114f52c22afdd21"/>
                    <w:id w:val="24721261"/>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长期应付款"/>
                    <w:tag w:val="_GBC_dae21761fc644f1b8ebddc2922caba8a"/>
                    <w:id w:val="24721262"/>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长期应付职工薪酬</w:t>
                    </w:r>
                  </w:p>
                </w:tc>
                <w:sdt>
                  <w:sdtPr>
                    <w:rPr>
                      <w:color w:val="000000" w:themeColor="text1"/>
                      <w:szCs w:val="21"/>
                    </w:rPr>
                    <w:alias w:val="附注_长期应付职工薪酬"/>
                    <w:tag w:val="_GBC_af5202ff3fd04cb486fce49e88f2cff2"/>
                    <w:id w:val="24721263"/>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长期应付职工薪酬"/>
                    <w:tag w:val="_GBC_b796033316774c449ee8a5d0914f928e"/>
                    <w:id w:val="24721264"/>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787,540,000.00</w:t>
                        </w:r>
                      </w:p>
                    </w:tc>
                  </w:sdtContent>
                </w:sdt>
                <w:sdt>
                  <w:sdtPr>
                    <w:rPr>
                      <w:szCs w:val="21"/>
                    </w:rPr>
                    <w:alias w:val="长期应付职工薪酬"/>
                    <w:tag w:val="_GBC_95d7ab39f80544da8b46e6869fbe4a8a"/>
                    <w:id w:val="24721265"/>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1,813,598,899.06</w:t>
                        </w: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专项应付款</w:t>
                    </w:r>
                  </w:p>
                </w:tc>
                <w:sdt>
                  <w:sdtPr>
                    <w:rPr>
                      <w:color w:val="000000" w:themeColor="text1"/>
                      <w:szCs w:val="21"/>
                    </w:rPr>
                    <w:alias w:val="附注_专项应付款"/>
                    <w:tag w:val="_GBC_54458905728c4867a04b8697c976ad53"/>
                    <w:id w:val="24721266"/>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专项应付款"/>
                    <w:tag w:val="_GBC_517914303e8a4db587ff97b18aaec13a"/>
                    <w:id w:val="24721267"/>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专项应付款"/>
                    <w:tag w:val="_GBC_501926bcd7564666be08671031c32223"/>
                    <w:id w:val="24721268"/>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递延所得税负债</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递延税款贷项合计"/>
                        <w:tag w:val="_GBC_feff71b4184a46d39c106635a54dd96b"/>
                        <w:id w:val="24721269"/>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贷项合计"/>
                        <w:tag w:val="_GBC_a4808c9a1cf54c2dbfe09f4fdefaf9ba"/>
                        <w:id w:val="24721270"/>
                        <w:lock w:val="sdtLocked"/>
                      </w:sdtPr>
                      <w:sdtContent>
                        <w:r w:rsidR="001C1A59">
                          <w:rPr>
                            <w:rFonts w:hint="eastAsia"/>
                            <w:szCs w:val="21"/>
                          </w:rPr>
                          <w:t>882,231,011.47</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递延税款贷项合计"/>
                        <w:tag w:val="_GBC_6af3f39efe464234ad7638e0d5aef159"/>
                        <w:id w:val="24721271"/>
                        <w:lock w:val="sdtLocked"/>
                      </w:sdtPr>
                      <w:sdtContent>
                        <w:r w:rsidR="001C1A59">
                          <w:rPr>
                            <w:rFonts w:hint="eastAsia"/>
                            <w:szCs w:val="21"/>
                          </w:rPr>
                          <w:t>257,306,540.20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递延收益</w:t>
                    </w:r>
                  </w:p>
                </w:tc>
                <w:sdt>
                  <w:sdtPr>
                    <w:rPr>
                      <w:color w:val="000000" w:themeColor="text1"/>
                      <w:szCs w:val="21"/>
                    </w:rPr>
                    <w:alias w:val="附注_递延收益"/>
                    <w:tag w:val="_GBC_aec0596ffdcb4ccf97606acae7e3407c"/>
                    <w:id w:val="24721272"/>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递延收益"/>
                    <w:tag w:val="_GBC_ff91ae807213417fa6f8a53d99ef3e18"/>
                    <w:id w:val="24721273"/>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126,000,000.00</w:t>
                        </w:r>
                      </w:p>
                    </w:tc>
                  </w:sdtContent>
                </w:sdt>
                <w:sdt>
                  <w:sdtPr>
                    <w:rPr>
                      <w:szCs w:val="21"/>
                    </w:rPr>
                    <w:alias w:val="递延收益"/>
                    <w:tag w:val="_GBC_5e5fd97419884e4fbe6845aa2cab84fc"/>
                    <w:id w:val="24721274"/>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126,000,000.00</w:t>
                        </w: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其他负债</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其他负债"/>
                        <w:tag w:val="_GBC_31d6e50a0cf447e89e99d68409eb0aef"/>
                        <w:id w:val="24721275"/>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负债"/>
                        <w:tag w:val="_GBC_5328854cd72f44a9b89dd6a1f4e17ebd"/>
                        <w:id w:val="24721276"/>
                        <w:lock w:val="sdtLocked"/>
                      </w:sdtPr>
                      <w:sdtContent>
                        <w:r w:rsidR="001C1A59">
                          <w:rPr>
                            <w:rFonts w:hint="eastAsia"/>
                            <w:szCs w:val="21"/>
                          </w:rPr>
                          <w:t>101,443,798.91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负债"/>
                        <w:tag w:val="_GBC_6c18b65c566545f797000953e36c8f07"/>
                        <w:id w:val="24721277"/>
                        <w:lock w:val="sdtLocked"/>
                      </w:sdtPr>
                      <w:sdtContent>
                        <w:r w:rsidR="001C1A59">
                          <w:rPr>
                            <w:rFonts w:hint="eastAsia"/>
                            <w:szCs w:val="21"/>
                          </w:rPr>
                          <w:t>61,844,702.36</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rPr>
                    </w:pPr>
                    <w:r w:rsidRPr="00626623">
                      <w:rPr>
                        <w:b/>
                      </w:rPr>
                      <w:t>负债合计</w:t>
                    </w:r>
                  </w:p>
                </w:tc>
                <w:tc>
                  <w:tcPr>
                    <w:tcW w:w="505"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负债合计"/>
                        <w:tag w:val="_GBC_e2780cd984384ba6953050c2d15d458a"/>
                        <w:id w:val="24721278"/>
                        <w:lock w:val="sdtLocked"/>
                        <w:showingPlcHdr/>
                      </w:sdtPr>
                      <w:sdtContent>
                        <w:r w:rsidR="001C1A59" w:rsidRPr="00626623">
                          <w:rPr>
                            <w:rFonts w:hint="eastAsia"/>
                            <w:b/>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合计"/>
                        <w:tag w:val="_GBC_b4bd8d0b79a049f49387d61635c6a3c8"/>
                        <w:id w:val="24721279"/>
                        <w:lock w:val="sdtLocked"/>
                      </w:sdtPr>
                      <w:sdtContent>
                        <w:r w:rsidR="001C1A59" w:rsidRPr="00626623">
                          <w:rPr>
                            <w:rFonts w:hint="eastAsia"/>
                            <w:b/>
                            <w:szCs w:val="21"/>
                          </w:rPr>
                          <w:t>295,887,574,190.54</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合计"/>
                        <w:tag w:val="_GBC_be32f5f150764fb287ee3bdf4408b8d2"/>
                        <w:id w:val="24721280"/>
                        <w:lock w:val="sdtLocked"/>
                      </w:sdtPr>
                      <w:sdtContent>
                        <w:r w:rsidR="001C1A59" w:rsidRPr="00626623">
                          <w:rPr>
                            <w:rFonts w:hint="eastAsia"/>
                            <w:b/>
                            <w:szCs w:val="21"/>
                          </w:rPr>
                          <w:t>136,681,725,547.66</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rPr>
                        <w:b/>
                        <w:bCs/>
                      </w:rPr>
                    </w:pPr>
                    <w:r>
                      <w:rPr>
                        <w:rFonts w:hint="eastAsia"/>
                        <w:b/>
                        <w:bCs/>
                      </w:rPr>
                      <w:t>所有者权益（或</w:t>
                    </w:r>
                    <w:r>
                      <w:rPr>
                        <w:b/>
                        <w:bCs/>
                      </w:rPr>
                      <w:t>股东权益</w:t>
                    </w:r>
                    <w:r>
                      <w:rPr>
                        <w:rFonts w:hint="eastAsia"/>
                        <w:b/>
                        <w:bCs/>
                      </w:rPr>
                      <w:t>）</w:t>
                    </w:r>
                    <w:r>
                      <w:rPr>
                        <w:b/>
                        <w:bCs/>
                      </w:rPr>
                      <w:t xml:space="preserve">： </w:t>
                    </w:r>
                  </w:p>
                </w:tc>
                <w:tc>
                  <w:tcPr>
                    <w:tcW w:w="505" w:type="pct"/>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实收资本（或</w:t>
                    </w:r>
                    <w:r>
                      <w:t>股本</w:t>
                    </w:r>
                    <w:r>
                      <w:rPr>
                        <w:rFonts w:hint="eastAsia"/>
                      </w:rPr>
                      <w:t>）</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股本"/>
                        <w:tag w:val="_GBC_0c813f7545794da4921cdc510e293477"/>
                        <w:id w:val="24721281"/>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股本"/>
                        <w:tag w:val="_GBC_903c89703223487fa0a156043b72698f"/>
                        <w:id w:val="24721282"/>
                        <w:lock w:val="sdtLocked"/>
                      </w:sdtPr>
                      <w:sdtContent>
                        <w:r w:rsidR="001C1A59">
                          <w:rPr>
                            <w:szCs w:val="21"/>
                          </w:rPr>
                          <w:t>5,808,135,529.00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股本"/>
                        <w:tag w:val="_GBC_850384ab74d24d48a0d20686e1d18e51"/>
                        <w:id w:val="24721283"/>
                        <w:lock w:val="sdtLocked"/>
                      </w:sdtPr>
                      <w:sdtContent>
                        <w:r w:rsidR="001C1A59">
                          <w:rPr>
                            <w:rFonts w:hint="eastAsia"/>
                            <w:szCs w:val="21"/>
                          </w:rPr>
                          <w:t>5,808,135,529.00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其他权益工具</w:t>
                    </w:r>
                  </w:p>
                </w:tc>
                <w:sdt>
                  <w:sdtPr>
                    <w:rPr>
                      <w:color w:val="000000" w:themeColor="text1"/>
                      <w:szCs w:val="21"/>
                    </w:rPr>
                    <w:alias w:val="附注_其他权益工具"/>
                    <w:tag w:val="_GBC_b1bf63e854fc4ef59d80d69491ec958e"/>
                    <w:id w:val="24721284"/>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其他权益工具"/>
                    <w:tag w:val="_GBC_b40dc74af51c4c148525662a56bd5efd"/>
                    <w:id w:val="24721285"/>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其他权益工具"/>
                    <w:tag w:val="_GBC_127daa0ae67649ce9faa7770fdd4908c"/>
                    <w:id w:val="24721286"/>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资本公积</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资本公积"/>
                        <w:tag w:val="_GBC_3e3530d7a2a743d08570bdd69f89fea4"/>
                        <w:id w:val="24721287"/>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资本公积"/>
                        <w:tag w:val="_GBC_f010385573a24ca8a055540076067a93"/>
                        <w:id w:val="24721288"/>
                        <w:lock w:val="sdtLocked"/>
                      </w:sdtPr>
                      <w:sdtContent>
                        <w:r w:rsidR="001C1A59">
                          <w:rPr>
                            <w:rFonts w:hint="eastAsia"/>
                            <w:szCs w:val="21"/>
                          </w:rPr>
                          <w:t>19,403,877,003.80</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资本公积"/>
                        <w:tag w:val="_GBC_358454d1e19f4977ba813c9cf062ea0b"/>
                        <w:id w:val="24721289"/>
                        <w:lock w:val="sdtLocked"/>
                      </w:sdtPr>
                      <w:sdtContent>
                        <w:r w:rsidR="001C1A59">
                          <w:rPr>
                            <w:rFonts w:hint="eastAsia"/>
                            <w:szCs w:val="21"/>
                          </w:rPr>
                          <w:t>19,403,877,003.80</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减：库存股</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减：库存股"/>
                        <w:tag w:val="_GBC_dfeb5458b64441c296bfdcf4bbcdf6a8"/>
                        <w:id w:val="24721290"/>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库存股"/>
                        <w:tag w:val="_GBC_0bcb06f047c74efe88612c5a247b9c60"/>
                        <w:id w:val="24721291"/>
                        <w:lock w:val="sdtLocked"/>
                      </w:sdtP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库存股"/>
                        <w:tag w:val="_GBC_fb6aea5571ee41d7a3966944a92afd15"/>
                        <w:id w:val="24721292"/>
                        <w:lock w:val="sdtLocked"/>
                      </w:sdtP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其他综合收益</w:t>
                    </w:r>
                  </w:p>
                </w:tc>
                <w:sdt>
                  <w:sdtPr>
                    <w:rPr>
                      <w:color w:val="000000" w:themeColor="text1"/>
                      <w:szCs w:val="21"/>
                    </w:rPr>
                    <w:alias w:val="附注_其他综合收益（资产负债表项目）"/>
                    <w:tag w:val="_GBC_985c11a574c64d129b6578d3a5101490"/>
                    <w:id w:val="24721293"/>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其他综合收益（资产负债表项目）"/>
                    <w:tag w:val="_GBC_381961fa20a54dc386a356c4f8f4fedd"/>
                    <w:id w:val="24721294"/>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238,023,927.88</w:t>
                        </w:r>
                      </w:p>
                    </w:tc>
                  </w:sdtContent>
                </w:sdt>
                <w:sdt>
                  <w:sdtPr>
                    <w:rPr>
                      <w:szCs w:val="21"/>
                    </w:rPr>
                    <w:alias w:val="其他综合收益（资产负债表项目）"/>
                    <w:tag w:val="_GBC_c3c37fb5809a4c90a437126c78bbad8d"/>
                    <w:id w:val="24721295"/>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64,977,686.65</w:t>
                        </w: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专项储备</w:t>
                    </w:r>
                  </w:p>
                </w:tc>
                <w:sdt>
                  <w:sdtPr>
                    <w:rPr>
                      <w:color w:val="000000" w:themeColor="text1"/>
                      <w:szCs w:val="21"/>
                    </w:rPr>
                    <w:alias w:val="附注_专项储备"/>
                    <w:tag w:val="_GBC_9e7d1f9795844b3a82664bf9a3f39b9e"/>
                    <w:id w:val="24721296"/>
                    <w:lock w:val="sdtLocked"/>
                    <w:showingPlcHdr/>
                  </w:sdtPr>
                  <w:sdtContent>
                    <w:tc>
                      <w:tcPr>
                        <w:tcW w:w="505"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Pr>
                            <w:rFonts w:hint="eastAsia"/>
                            <w:color w:val="333399"/>
                          </w:rPr>
                          <w:t xml:space="preserve">　</w:t>
                        </w:r>
                      </w:p>
                    </w:tc>
                  </w:sdtContent>
                </w:sdt>
                <w:sdt>
                  <w:sdtPr>
                    <w:rPr>
                      <w:szCs w:val="21"/>
                    </w:rPr>
                    <w:alias w:val="专项储备"/>
                    <w:tag w:val="_GBC_c0033ff643a048ff8bb467bfe1fcc0d2"/>
                    <w:id w:val="24721297"/>
                    <w:lock w:val="sdtLocked"/>
                  </w:sdtPr>
                  <w:sdtContent>
                    <w:tc>
                      <w:tcPr>
                        <w:tcW w:w="107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专项储备"/>
                    <w:tag w:val="_GBC_4ee74f3958104d058df580774d2dd31f"/>
                    <w:id w:val="24721298"/>
                    <w:lock w:val="sdtLocked"/>
                  </w:sdtPr>
                  <w:sdtContent>
                    <w:tc>
                      <w:tcPr>
                        <w:tcW w:w="107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盈余公积</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盈余公积"/>
                        <w:tag w:val="_GBC_73a848c13d7345f6b75eb5828a27ed32"/>
                        <w:id w:val="24721299"/>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盈余公积"/>
                        <w:tag w:val="_GBC_38332971309147669a40223ab246f4f5"/>
                        <w:id w:val="24721300"/>
                        <w:lock w:val="sdtLocked"/>
                      </w:sdtPr>
                      <w:sdtContent>
                        <w:r w:rsidR="001C1A59">
                          <w:rPr>
                            <w:rFonts w:hint="eastAsia"/>
                            <w:szCs w:val="21"/>
                          </w:rPr>
                          <w:t>2,400,210,713.47</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盈余公积"/>
                        <w:tag w:val="_GBC_57f76eb6542b4ad88db0188109118d02"/>
                        <w:id w:val="24721301"/>
                        <w:lock w:val="sdtLocked"/>
                      </w:sdtPr>
                      <w:sdtContent>
                        <w:r w:rsidR="001C1A59">
                          <w:rPr>
                            <w:rFonts w:hint="eastAsia"/>
                            <w:szCs w:val="21"/>
                          </w:rPr>
                          <w:t>2,400,210,713.47</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一般风险准备</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一般风险准备"/>
                        <w:tag w:val="_GBC_d055cf8b1eaf4f3d83f6f8fd8679ec69"/>
                        <w:id w:val="24721302"/>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一般风险准备"/>
                        <w:tag w:val="_GBC_17c7234ec99040b18b6c16823b74c8e1"/>
                        <w:id w:val="24721303"/>
                        <w:lock w:val="sdtLocked"/>
                      </w:sdtPr>
                      <w:sdtContent>
                        <w:r w:rsidR="001C1A59">
                          <w:rPr>
                            <w:rFonts w:hint="eastAsia"/>
                            <w:szCs w:val="21"/>
                          </w:rPr>
                          <w:t>4,671,608,420.38</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一般风险准备"/>
                        <w:tag w:val="_GBC_0bdb10a416554c8d94b39b32927ff87a"/>
                        <w:id w:val="24721304"/>
                        <w:lock w:val="sdtLocked"/>
                      </w:sdtPr>
                      <w:sdtContent>
                        <w:r w:rsidR="001C1A59">
                          <w:rPr>
                            <w:rFonts w:hint="eastAsia"/>
                            <w:szCs w:val="21"/>
                          </w:rPr>
                          <w:t>4,671,608,420.38</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未分配利润</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未分配利润"/>
                        <w:tag w:val="_GBC_500d5963f7b04e32834bc4384dc55c34"/>
                        <w:id w:val="24721305"/>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未分配利润"/>
                        <w:tag w:val="_GBC_7cffcf2400d8497fbab1ba2682fd1cb7"/>
                        <w:id w:val="24721306"/>
                        <w:lock w:val="sdtLocked"/>
                      </w:sdtPr>
                      <w:sdtContent>
                        <w:r w:rsidR="001C1A59">
                          <w:rPr>
                            <w:rFonts w:hint="eastAsia"/>
                            <w:szCs w:val="21"/>
                          </w:rPr>
                          <w:t>13,349,678,018.44</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未分配利润"/>
                        <w:tag w:val="_GBC_5f165c42d04d4fae86dd801e11af2683"/>
                        <w:id w:val="24721307"/>
                        <w:lock w:val="sdtLocked"/>
                      </w:sdtPr>
                      <w:sdtContent>
                        <w:r w:rsidR="001C1A59">
                          <w:rPr>
                            <w:rFonts w:hint="eastAsia"/>
                            <w:szCs w:val="21"/>
                          </w:rPr>
                          <w:t>8,209,505,884.55</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外币报表折算差额</w:t>
                    </w:r>
                  </w:p>
                </w:tc>
                <w:tc>
                  <w:tcPr>
                    <w:tcW w:w="505"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外币报表折算差额"/>
                        <w:tag w:val="_GBC_fb63b60174aa4b7e83487fa23bedd766"/>
                        <w:id w:val="24721308"/>
                        <w:lock w:val="sdtLocked"/>
                        <w:showingPlcHdr/>
                      </w:sdtPr>
                      <w:sdtContent>
                        <w:r w:rsidR="001C1A59">
                          <w:rPr>
                            <w:rFonts w:hint="eastAsia"/>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外币报表折算差额"/>
                        <w:tag w:val="_GBC_bcb1c2a915cb4048bd27d0fa19caba88"/>
                        <w:id w:val="24721309"/>
                        <w:lock w:val="sdtLocked"/>
                      </w:sdtP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外币报表折算差额"/>
                        <w:tag w:val="_GBC_79c4f64853374740aad512f24f8f46aa"/>
                        <w:id w:val="24721310"/>
                        <w:lock w:val="sdtLocked"/>
                      </w:sdtP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rFonts w:hint="eastAsia"/>
                        <w:b/>
                      </w:rPr>
                      <w:t xml:space="preserve">    所有者权益（或</w:t>
                    </w:r>
                    <w:r w:rsidRPr="00626623">
                      <w:rPr>
                        <w:b/>
                      </w:rPr>
                      <w:t>股东权益</w:t>
                    </w:r>
                    <w:r w:rsidRPr="00626623">
                      <w:rPr>
                        <w:rFonts w:hint="eastAsia"/>
                        <w:b/>
                      </w:rPr>
                      <w:t>）</w:t>
                    </w:r>
                    <w:r w:rsidRPr="00626623">
                      <w:rPr>
                        <w:b/>
                      </w:rPr>
                      <w:t>合计</w:t>
                    </w:r>
                  </w:p>
                </w:tc>
                <w:tc>
                  <w:tcPr>
                    <w:tcW w:w="505"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股东权益合计"/>
                        <w:tag w:val="_GBC_ed5161a5f65d4db5bfb8f788b383fa04"/>
                        <w:id w:val="24721311"/>
                        <w:lock w:val="sdtLocked"/>
                        <w:showingPlcHdr/>
                      </w:sdtPr>
                      <w:sdtContent>
                        <w:r w:rsidR="001C1A59" w:rsidRPr="00626623">
                          <w:rPr>
                            <w:rFonts w:hint="eastAsia"/>
                            <w:b/>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股东权益合计"/>
                        <w:tag w:val="_GBC_5265b4a6c5604345a40c171a889ea1cc"/>
                        <w:id w:val="24721312"/>
                        <w:lock w:val="sdtLocked"/>
                      </w:sdtPr>
                      <w:sdtContent>
                        <w:r w:rsidR="001C1A59" w:rsidRPr="00626623">
                          <w:rPr>
                            <w:rFonts w:hint="eastAsia"/>
                            <w:b/>
                            <w:szCs w:val="21"/>
                          </w:rPr>
                          <w:t>45,871,533,612.97</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股东权益合计"/>
                        <w:tag w:val="_GBC_f5b85e9790f6449f9e16ccc7498c8b90"/>
                        <w:id w:val="24721313"/>
                        <w:lock w:val="sdtLocked"/>
                      </w:sdtPr>
                      <w:sdtContent>
                        <w:r w:rsidR="001C1A59" w:rsidRPr="00626623">
                          <w:rPr>
                            <w:rFonts w:hint="eastAsia"/>
                            <w:b/>
                            <w:szCs w:val="21"/>
                          </w:rPr>
                          <w:t>40,558,315,237.85</w:t>
                        </w:r>
                      </w:sdtContent>
                    </w:sdt>
                  </w:p>
                </w:tc>
              </w:tr>
              <w:tr w:rsidR="00DE031E" w:rsidTr="00DE031E">
                <w:trPr>
                  <w:jc w:val="center"/>
                </w:trPr>
                <w:tc>
                  <w:tcPr>
                    <w:tcW w:w="2344"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b/>
                      </w:rPr>
                      <w:t>负债和</w:t>
                    </w:r>
                    <w:r w:rsidRPr="00626623">
                      <w:rPr>
                        <w:rFonts w:hint="eastAsia"/>
                        <w:b/>
                      </w:rPr>
                      <w:t>所有者权益（或</w:t>
                    </w:r>
                    <w:r w:rsidRPr="00626623">
                      <w:rPr>
                        <w:b/>
                      </w:rPr>
                      <w:t>股东权益</w:t>
                    </w:r>
                    <w:r w:rsidRPr="00626623">
                      <w:rPr>
                        <w:rFonts w:hint="eastAsia"/>
                        <w:b/>
                      </w:rPr>
                      <w:t>）</w:t>
                    </w:r>
                    <w:r w:rsidRPr="00626623">
                      <w:rPr>
                        <w:b/>
                      </w:rPr>
                      <w:t>总计</w:t>
                    </w:r>
                  </w:p>
                </w:tc>
                <w:tc>
                  <w:tcPr>
                    <w:tcW w:w="505"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负债和股东权益合计"/>
                        <w:tag w:val="_GBC_76332623fa0949a983203715ad5e5a08"/>
                        <w:id w:val="24721314"/>
                        <w:lock w:val="sdtLocked"/>
                        <w:showingPlcHdr/>
                      </w:sdtPr>
                      <w:sdtContent>
                        <w:r w:rsidR="001C1A59" w:rsidRPr="00626623">
                          <w:rPr>
                            <w:rFonts w:hint="eastAsia"/>
                            <w:b/>
                            <w:color w:val="333399"/>
                          </w:rPr>
                          <w:t xml:space="preserve">　</w:t>
                        </w:r>
                      </w:sdtContent>
                    </w:sdt>
                  </w:p>
                </w:tc>
                <w:tc>
                  <w:tcPr>
                    <w:tcW w:w="107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和股东权益合计"/>
                        <w:tag w:val="_GBC_8dba5c29acd04609af615042df7a0f2b"/>
                        <w:id w:val="24721315"/>
                        <w:lock w:val="sdtLocked"/>
                      </w:sdtPr>
                      <w:sdtContent>
                        <w:r w:rsidR="001C1A59" w:rsidRPr="00626623">
                          <w:rPr>
                            <w:rFonts w:hint="eastAsia"/>
                            <w:b/>
                            <w:szCs w:val="21"/>
                          </w:rPr>
                          <w:t>341,759,107,803.51</w:t>
                        </w:r>
                      </w:sdtContent>
                    </w:sdt>
                  </w:p>
                </w:tc>
                <w:tc>
                  <w:tcPr>
                    <w:tcW w:w="107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负债和股东权益合计"/>
                        <w:tag w:val="_GBC_f0a7f928d3fa43ac86b3381aca002e8b"/>
                        <w:id w:val="24721316"/>
                        <w:lock w:val="sdtLocked"/>
                      </w:sdtPr>
                      <w:sdtContent>
                        <w:r w:rsidR="001C1A59" w:rsidRPr="00626623">
                          <w:rPr>
                            <w:rFonts w:hint="eastAsia"/>
                            <w:b/>
                            <w:szCs w:val="21"/>
                          </w:rPr>
                          <w:t>177,240,040,785.51</w:t>
                        </w:r>
                      </w:sdtContent>
                    </w:sdt>
                  </w:p>
                </w:tc>
              </w:tr>
            </w:tbl>
            <w:p w:rsidR="00DE031E" w:rsidRDefault="00DE031E"/>
            <w:p w:rsidR="00DE031E" w:rsidRDefault="001C1A59">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24721317"/>
                  <w:lock w:val="sdtLocked"/>
                  <w:placeholder>
                    <w:docPart w:val="GBC22222222222222222222222222222"/>
                  </w:placeholder>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24721318"/>
                  <w:lock w:val="sdtLocked"/>
                  <w:placeholder>
                    <w:docPart w:val="GBC22222222222222222222222222222"/>
                  </w:placeholder>
                  <w:dataBinding w:prefixMappings="xmlns:clcid-mr='clcid-mr'" w:xpath="/*/clcid-mr:ZhuGuanKuaiJiGongZuoFuZeRenXingMing" w:storeItemID="{89EBAB94-44A0-46A2-B712-30D997D04A6D}"/>
                  <w:text/>
                </w:sdtPr>
                <w:sdtContent>
                  <w:r w:rsidR="00A82E13">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2472131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车晓昕</w:t>
                  </w:r>
                </w:sdtContent>
              </w:sdt>
            </w:p>
          </w:sdtContent>
        </w:sdt>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Pr="00844151"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Pr="00A64901"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DE031E">
          <w:pPr>
            <w:snapToGrid w:val="0"/>
            <w:rPr>
              <w:szCs w:val="21"/>
            </w:rPr>
          </w:pPr>
        </w:p>
        <w:p w:rsidR="00DE031E" w:rsidRDefault="00422DCA">
          <w:pPr>
            <w:snapToGrid w:val="0"/>
            <w:rPr>
              <w:szCs w:val="21"/>
            </w:rPr>
          </w:pPr>
        </w:p>
      </w:sdtContent>
    </w:sdt>
    <w:sdt>
      <w:sdtPr>
        <w:rPr>
          <w:rFonts w:hint="eastAsia"/>
          <w:b/>
          <w:szCs w:val="21"/>
        </w:rPr>
        <w:tag w:val="_GBC_bf89afc47e17438594730edb3412d929"/>
        <w:id w:val="24721568"/>
        <w:lock w:val="sdtLocked"/>
        <w:placeholder>
          <w:docPart w:val="GBC22222222222222222222222222222"/>
        </w:placeholder>
      </w:sdtPr>
      <w:sdtEndPr>
        <w:rPr>
          <w:rFonts w:cs="宋体-方正超大字符集"/>
          <w:b w:val="0"/>
        </w:rPr>
      </w:sdtEndPr>
      <w:sdtContent>
        <w:sdt>
          <w:sdtPr>
            <w:rPr>
              <w:rFonts w:hint="eastAsia"/>
              <w:b/>
              <w:szCs w:val="21"/>
            </w:rPr>
            <w:tag w:val="_GBC_cc363e9840a448cbaf363887668cbe2a"/>
            <w:id w:val="24721453"/>
            <w:lock w:val="sdtLocked"/>
            <w:placeholder>
              <w:docPart w:val="GBC22222222222222222222222222222"/>
            </w:placeholder>
          </w:sdtPr>
          <w:sdtEndPr>
            <w:rPr>
              <w:b w:val="0"/>
            </w:rPr>
          </w:sdtEndPr>
          <w:sdtContent>
            <w:p w:rsidR="00DE031E" w:rsidRDefault="001C1A59">
              <w:pPr>
                <w:jc w:val="center"/>
                <w:rPr>
                  <w:b/>
                  <w:bCs/>
                  <w:szCs w:val="21"/>
                </w:rPr>
              </w:pPr>
              <w:r>
                <w:rPr>
                  <w:rFonts w:hint="eastAsia"/>
                  <w:b/>
                  <w:szCs w:val="21"/>
                </w:rPr>
                <w:t>合并</w:t>
              </w:r>
              <w:r>
                <w:rPr>
                  <w:b/>
                  <w:bCs/>
                  <w:szCs w:val="21"/>
                </w:rPr>
                <w:t>利润表</w:t>
              </w:r>
              <w:r>
                <w:rPr>
                  <w:rFonts w:hint="eastAsia"/>
                  <w:b/>
                  <w:szCs w:val="21"/>
                </w:rPr>
                <w:t>（未经审计）</w:t>
              </w:r>
            </w:p>
            <w:p w:rsidR="00DE031E" w:rsidRDefault="001C1A59">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DE031E" w:rsidRDefault="001C1A59">
              <w:pPr>
                <w:jc w:val="right"/>
                <w:rPr>
                  <w:szCs w:val="21"/>
                </w:rPr>
              </w:pPr>
              <w:r>
                <w:rPr>
                  <w:szCs w:val="21"/>
                </w:rPr>
                <w:t>单位:</w:t>
              </w:r>
              <w:sdt>
                <w:sdtPr>
                  <w:rPr>
                    <w:szCs w:val="21"/>
                  </w:rPr>
                  <w:alias w:val="单位：合并利润表"/>
                  <w:tag w:val="_GBC_4fec24feb4834b768c484fe556046382"/>
                  <w:id w:val="24721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24721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42" w:type="pct"/>
                <w:jc w:val="center"/>
                <w:tblBorders>
                  <w:top w:val="single" w:sz="4" w:space="0" w:color="auto"/>
                  <w:left w:val="single" w:sz="4" w:space="0" w:color="auto"/>
                  <w:bottom w:val="single" w:sz="4" w:space="0" w:color="auto"/>
                  <w:right w:val="single" w:sz="4" w:space="0" w:color="auto"/>
                </w:tblBorders>
                <w:tblLook w:val="0000"/>
              </w:tblPr>
              <w:tblGrid>
                <w:gridCol w:w="5529"/>
                <w:gridCol w:w="756"/>
                <w:gridCol w:w="2016"/>
                <w:gridCol w:w="1910"/>
              </w:tblGrid>
              <w:tr w:rsidR="00DE031E" w:rsidTr="00AC0410">
                <w:trPr>
                  <w:trHeight w:hRule="exact" w:val="284"/>
                  <w:tblHeader/>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leftChars="-19" w:hangingChars="19" w:hanging="40"/>
                      <w:jc w:val="center"/>
                      <w:rPr>
                        <w:b/>
                      </w:rPr>
                    </w:pPr>
                    <w:r>
                      <w:rPr>
                        <w:b/>
                      </w:rPr>
                      <w:t>项目</w:t>
                    </w:r>
                  </w:p>
                </w:tc>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rPr>
                    </w:pPr>
                    <w:r>
                      <w:rPr>
                        <w:rFonts w:hint="eastAsia"/>
                        <w:b/>
                      </w:rPr>
                      <w:t>附注</w:t>
                    </w:r>
                  </w:p>
                </w:tc>
                <w:tc>
                  <w:tcPr>
                    <w:tcW w:w="987"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rPr>
                    </w:pPr>
                    <w:r>
                      <w:rPr>
                        <w:b/>
                      </w:rPr>
                      <w:t>本期</w:t>
                    </w:r>
                    <w:r>
                      <w:rPr>
                        <w:rFonts w:hint="eastAsia"/>
                        <w:b/>
                      </w:rPr>
                      <w:t>发生</w:t>
                    </w:r>
                    <w:r>
                      <w:rPr>
                        <w:b/>
                      </w:rPr>
                      <w:t>额</w:t>
                    </w:r>
                  </w:p>
                </w:tc>
                <w:tc>
                  <w:tcPr>
                    <w:tcW w:w="935"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rPr>
                    </w:pPr>
                    <w:r>
                      <w:rPr>
                        <w:b/>
                      </w:rPr>
                      <w:t>上期</w:t>
                    </w:r>
                    <w:r>
                      <w:rPr>
                        <w:rFonts w:hint="eastAsia"/>
                        <w:b/>
                      </w:rPr>
                      <w:t>发生</w:t>
                    </w:r>
                    <w:r>
                      <w:rPr>
                        <w:b/>
                      </w:rPr>
                      <w:t>额</w:t>
                    </w:r>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b/>
                      </w:rPr>
                      <w:t>一、营业收入</w:t>
                    </w:r>
                  </w:p>
                </w:tc>
                <w:tc>
                  <w:tcPr>
                    <w:tcW w:w="370"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szCs w:val="21"/>
                      </w:rPr>
                    </w:pPr>
                    <w:sdt>
                      <w:sdtPr>
                        <w:rPr>
                          <w:rFonts w:hint="eastAsia"/>
                          <w:b/>
                          <w:szCs w:val="21"/>
                        </w:rPr>
                        <w:alias w:val="附注_营业收入"/>
                        <w:tag w:val="_GBC_e9265a462aff475cb9ef880fc904d6e3"/>
                        <w:id w:val="24721324"/>
                        <w:lock w:val="sdtLocked"/>
                        <w:showingPlcHdr/>
                      </w:sdtPr>
                      <w:sdtContent>
                        <w:r w:rsidR="001C1A59" w:rsidRPr="00626623">
                          <w:rPr>
                            <w:rFonts w:hint="eastAsia"/>
                            <w:b/>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营业收入"/>
                        <w:tag w:val="_GBC_ccd4616a9f7d4cab83495983877fe075"/>
                        <w:id w:val="24721325"/>
                        <w:lock w:val="sdtLocked"/>
                      </w:sdtPr>
                      <w:sdtContent>
                        <w:r w:rsidR="001C1A59" w:rsidRPr="00626623">
                          <w:rPr>
                            <w:rFonts w:hint="eastAsia"/>
                            <w:b/>
                            <w:szCs w:val="21"/>
                          </w:rPr>
                          <w:t>15,863,491,420.23</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营业收入"/>
                        <w:tag w:val="_GBC_4cead76e738a43cba5d34c87b5cc7b86"/>
                        <w:id w:val="24721326"/>
                        <w:lock w:val="sdtLocked"/>
                      </w:sdtPr>
                      <w:sdtContent>
                        <w:r w:rsidR="001C1A59" w:rsidRPr="00626623">
                          <w:rPr>
                            <w:rFonts w:hint="eastAsia"/>
                            <w:b/>
                            <w:szCs w:val="21"/>
                          </w:rPr>
                          <w:t>3,603,392,652.16</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手续费及佣金净收入</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手续费及佣金净收入"/>
                        <w:tag w:val="_GBC_a533d109b99a4b4a8a0b824023123947"/>
                        <w:id w:val="24721327"/>
                        <w:lock w:val="sdtLocked"/>
                      </w:sdtPr>
                      <w:sdtContent>
                        <w:r w:rsidR="001C1A59">
                          <w:rPr>
                            <w:rFonts w:hint="eastAsia"/>
                            <w:color w:val="000000" w:themeColor="text1"/>
                            <w:szCs w:val="21"/>
                          </w:rPr>
                          <w:t>七、49</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手续费及佣金净收入"/>
                        <w:tag w:val="_GBC_48ced13c07034b5885e98f56f31913ea"/>
                        <w:id w:val="24721328"/>
                        <w:lock w:val="sdtLocked"/>
                      </w:sdtPr>
                      <w:sdtContent>
                        <w:r w:rsidR="001C1A59">
                          <w:rPr>
                            <w:rFonts w:hint="eastAsia"/>
                            <w:szCs w:val="21"/>
                          </w:rPr>
                          <w:t>8,870,243,889.98</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手续费及佣金净收入"/>
                        <w:tag w:val="_GBC_920c84e6f0554e50beca4ccb5758402a"/>
                        <w:id w:val="24721329"/>
                        <w:lock w:val="sdtLocked"/>
                      </w:sdtPr>
                      <w:sdtContent>
                        <w:r w:rsidR="001C1A59">
                          <w:rPr>
                            <w:rFonts w:hint="eastAsia"/>
                            <w:bCs/>
                            <w:szCs w:val="21"/>
                          </w:rPr>
                          <w:t>1,873,742,868.92</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其中：经纪业务手续费净收入</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szCs w:val="21"/>
                        </w:rPr>
                        <w:alias w:val="附注_经纪业务手续费净收入"/>
                        <w:tag w:val="_GBC_aca4a84db6d24d96b956e9ffc7281c33"/>
                        <w:id w:val="24721330"/>
                        <w:lock w:val="sdtLocked"/>
                        <w:showingPlcHdr/>
                      </w:sdtPr>
                      <w:sdtContent>
                        <w:r w:rsidR="001C1A59">
                          <w:rPr>
                            <w:rFonts w:hint="eastAsia"/>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szCs w:val="21"/>
                        </w:rPr>
                        <w:alias w:val="经纪业务手续费净收入"/>
                        <w:tag w:val="_GBC_4b8272bf178846e485cbeefce4f74c97"/>
                        <w:id w:val="24721331"/>
                        <w:lock w:val="sdtLocked"/>
                      </w:sdtPr>
                      <w:sdtContent>
                        <w:r w:rsidR="001C1A59">
                          <w:rPr>
                            <w:szCs w:val="21"/>
                          </w:rPr>
                          <w:t>7,399,764,334.54</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bCs/>
                          <w:szCs w:val="21"/>
                        </w:rPr>
                        <w:alias w:val="经纪业务手续费净收入"/>
                        <w:tag w:val="_GBC_c1083b119ded4af2b7ddcd11bbff5d51"/>
                        <w:id w:val="24721332"/>
                        <w:lock w:val="sdtLocked"/>
                      </w:sdtPr>
                      <w:sdtContent>
                        <w:r w:rsidR="001C1A59">
                          <w:rPr>
                            <w:bCs/>
                            <w:szCs w:val="21"/>
                          </w:rPr>
                          <w:t>1,280,807,515.85</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400" w:firstLine="840"/>
                    </w:pPr>
                    <w:r>
                      <w:rPr>
                        <w:rFonts w:hint="eastAsia"/>
                      </w:rPr>
                      <w:t>投资银行业务手续费净收入</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szCs w:val="21"/>
                        </w:rPr>
                        <w:alias w:val="附注_投资银行业务手续费净收入"/>
                        <w:tag w:val="_GBC_cbb93f80fb0846b898acc4b54288e070"/>
                        <w:id w:val="24721333"/>
                        <w:lock w:val="sdtLocked"/>
                        <w:showingPlcHdr/>
                      </w:sdtPr>
                      <w:sdtContent>
                        <w:r w:rsidR="001C1A59">
                          <w:rPr>
                            <w:rFonts w:hint="eastAsia"/>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szCs w:val="21"/>
                        </w:rPr>
                        <w:alias w:val="投资银行业务手续费净收入"/>
                        <w:tag w:val="_GBC_b913bf2120c6469cb589a8798abf05e6"/>
                        <w:id w:val="24721334"/>
                        <w:lock w:val="sdtLocked"/>
                      </w:sdtPr>
                      <w:sdtContent>
                        <w:r w:rsidR="001C1A59">
                          <w:rPr>
                            <w:szCs w:val="21"/>
                          </w:rPr>
                          <w:t>875,164,846.95</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szCs w:val="21"/>
                        </w:rPr>
                        <w:alias w:val="投资银行业务手续费净收入"/>
                        <w:tag w:val="_GBC_da108e1c5364465ca90b75cbf60b07c2"/>
                        <w:id w:val="24721335"/>
                        <w:lock w:val="sdtLocked"/>
                      </w:sdtPr>
                      <w:sdtContent>
                        <w:r w:rsidR="001C1A59">
                          <w:rPr>
                            <w:szCs w:val="21"/>
                          </w:rPr>
                          <w:t>406,703,540.89</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400" w:firstLine="840"/>
                    </w:pPr>
                    <w:r>
                      <w:rPr>
                        <w:rFonts w:hint="eastAsia"/>
                      </w:rPr>
                      <w:t>资产管理业务手续费净收入</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szCs w:val="21"/>
                        </w:rPr>
                        <w:alias w:val="附注_资产管理业务手续费净收入"/>
                        <w:tag w:val="_GBC_b9893d4683084771b443352f0de32879"/>
                        <w:id w:val="24721336"/>
                        <w:lock w:val="sdtLocked"/>
                        <w:showingPlcHdr/>
                      </w:sdtPr>
                      <w:sdtContent>
                        <w:r w:rsidR="001C1A59">
                          <w:rPr>
                            <w:rFonts w:hint="eastAsia"/>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资产管理业务手续费净收入"/>
                        <w:tag w:val="_GBC_aabb957e79cc4421b83594cc07fa795e"/>
                        <w:id w:val="24721337"/>
                        <w:lock w:val="sdtLocked"/>
                      </w:sdtPr>
                      <w:sdtContent>
                        <w:r w:rsidR="001C1A59">
                          <w:rPr>
                            <w:rFonts w:hint="eastAsia"/>
                            <w:szCs w:val="21"/>
                          </w:rPr>
                          <w:t>494,580,590.24</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资产管理业务手续费净收入"/>
                        <w:tag w:val="_GBC_ec32595e0faa4428a1e5dde25b950f57"/>
                        <w:id w:val="24721338"/>
                        <w:lock w:val="sdtLocked"/>
                      </w:sdtPr>
                      <w:sdtContent>
                        <w:r w:rsidR="001C1A59">
                          <w:rPr>
                            <w:rFonts w:hint="eastAsia"/>
                            <w:bCs/>
                            <w:szCs w:val="21"/>
                          </w:rPr>
                          <w:t>178,915,550.38</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利息净收入</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利息净收入"/>
                        <w:tag w:val="_GBC_21bbf1c447a14a0abfad5b11a9297971"/>
                        <w:id w:val="24721339"/>
                        <w:lock w:val="sdtLocked"/>
                      </w:sdtPr>
                      <w:sdtContent>
                        <w:r w:rsidR="001C1A59">
                          <w:rPr>
                            <w:rFonts w:hint="eastAsia"/>
                            <w:color w:val="000000" w:themeColor="text1"/>
                            <w:szCs w:val="21"/>
                          </w:rPr>
                          <w:t>七、50</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金融资产利息净收入"/>
                        <w:tag w:val="_GBC_080d275d7a1540cc9fb9401c0a6aefbc"/>
                        <w:id w:val="24721340"/>
                        <w:lock w:val="sdtLocked"/>
                      </w:sdtPr>
                      <w:sdtContent>
                        <w:r w:rsidR="001C1A59">
                          <w:rPr>
                            <w:rFonts w:hint="eastAsia"/>
                            <w:szCs w:val="21"/>
                          </w:rPr>
                          <w:t>1,937,657,350.06</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金融资产利息净收入"/>
                        <w:tag w:val="_GBC_39838e2a37fc4ba98e23f885c391d98f"/>
                        <w:id w:val="24721341"/>
                        <w:lock w:val="sdtLocked"/>
                      </w:sdtPr>
                      <w:sdtContent>
                        <w:r w:rsidR="001C1A59">
                          <w:rPr>
                            <w:rFonts w:hint="eastAsia"/>
                            <w:bCs/>
                            <w:szCs w:val="21"/>
                          </w:rPr>
                          <w:t>765,157,611.85</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投资收益（损失以“-”号填列）</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投资收益"/>
                        <w:tag w:val="_GBC_6da47478e64140e48ec16d357f7a0061"/>
                        <w:id w:val="24721342"/>
                        <w:lock w:val="sdtLocked"/>
                      </w:sdtPr>
                      <w:sdtContent>
                        <w:r w:rsidR="001C1A59">
                          <w:rPr>
                            <w:rFonts w:hint="eastAsia"/>
                            <w:color w:val="000000" w:themeColor="text1"/>
                            <w:szCs w:val="21"/>
                          </w:rPr>
                          <w:t>七、51</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投资收益"/>
                        <w:tag w:val="_GBC_624d86fa84ea4a44a055454acdd5663b"/>
                        <w:id w:val="24721343"/>
                        <w:lock w:val="sdtLocked"/>
                      </w:sdtPr>
                      <w:sdtContent>
                        <w:r w:rsidR="001C1A59">
                          <w:rPr>
                            <w:rFonts w:hint="eastAsia"/>
                            <w:szCs w:val="21"/>
                          </w:rPr>
                          <w:t>2,441,263,768.69</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投资收益"/>
                        <w:tag w:val="_GBC_e2bfa122588142a4bf3929a000055787"/>
                        <w:id w:val="24721344"/>
                        <w:lock w:val="sdtLocked"/>
                      </w:sdtPr>
                      <w:sdtContent>
                        <w:r w:rsidR="001C1A59">
                          <w:rPr>
                            <w:rFonts w:hint="eastAsia"/>
                            <w:bCs/>
                            <w:szCs w:val="21"/>
                          </w:rPr>
                          <w:t>1,017,026,714.22</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其中：对联营企业和合营企业的投资收益</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对联营企业和合营企业的投资收益"/>
                        <w:tag w:val="_GBC_ecdd17f35b354afba0356693b95e4c73"/>
                        <w:id w:val="24721345"/>
                        <w:lock w:val="sdtLocked"/>
                        <w:showingPlcHdr/>
                      </w:sdtPr>
                      <w:sdtContent>
                        <w:r w:rsidR="001C1A59">
                          <w:rPr>
                            <w:rFonts w:hint="eastAsia"/>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对联营企业和合营企业的投资收益"/>
                        <w:tag w:val="_GBC_0e525507d38a4a89bc94a4e7cebc20a8"/>
                        <w:id w:val="24721346"/>
                        <w:lock w:val="sdtLocked"/>
                      </w:sdtPr>
                      <w:sdtContent>
                        <w:r w:rsidR="001C1A59">
                          <w:rPr>
                            <w:rFonts w:hint="eastAsia"/>
                            <w:szCs w:val="21"/>
                          </w:rPr>
                          <w:t>309,124,851.34</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对联营企业和合营企业的投资收益"/>
                        <w:tag w:val="_GBC_f409bd3c1e8b4768970ed2db49cba7aa"/>
                        <w:id w:val="24721347"/>
                        <w:lock w:val="sdtLocked"/>
                      </w:sdtPr>
                      <w:sdtContent>
                        <w:r w:rsidR="001C1A59">
                          <w:rPr>
                            <w:rFonts w:hint="eastAsia"/>
                            <w:szCs w:val="21"/>
                          </w:rPr>
                          <w:t>164,487,287.96</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公允价值变动收益（损失以“-”号填列）</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公允价值变动收益"/>
                        <w:tag w:val="_GBC_f26d407ef6c949a58596702e32cc2f3d"/>
                        <w:id w:val="24721348"/>
                        <w:lock w:val="sdtLocked"/>
                      </w:sdtPr>
                      <w:sdtContent>
                        <w:r w:rsidR="001C1A59">
                          <w:rPr>
                            <w:rFonts w:hint="eastAsia"/>
                            <w:color w:val="000000" w:themeColor="text1"/>
                            <w:szCs w:val="21"/>
                          </w:rPr>
                          <w:t>七、52</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公允价值变动收益"/>
                        <w:tag w:val="_GBC_6fb794a69c504dca9933160b2ea5c8b8"/>
                        <w:id w:val="24721349"/>
                        <w:lock w:val="sdtLocked"/>
                      </w:sdtPr>
                      <w:sdtContent>
                        <w:r w:rsidR="001C1A59">
                          <w:rPr>
                            <w:rFonts w:hint="eastAsia"/>
                            <w:szCs w:val="21"/>
                          </w:rPr>
                          <w:t>2,605,096,467.83</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公允价值变动收益"/>
                        <w:tag w:val="_GBC_039b6f6bd27241c69debcba8ec5ae1a2"/>
                        <w:id w:val="24721350"/>
                        <w:lock w:val="sdtLocked"/>
                      </w:sdtPr>
                      <w:sdtContent>
                        <w:r w:rsidR="001C1A59">
                          <w:rPr>
                            <w:rFonts w:hint="eastAsia"/>
                            <w:bCs/>
                            <w:szCs w:val="21"/>
                          </w:rPr>
                          <w:t>-54,725,216.11</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汇兑收益（损失以“-”号填列）</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汇兑收益"/>
                        <w:tag w:val="_GBC_a2e0015ac3f94407b4b5452f324678f2"/>
                        <w:id w:val="24721351"/>
                        <w:lock w:val="sdtLocked"/>
                        <w:showingPlcHdr/>
                      </w:sdtPr>
                      <w:sdtContent>
                        <w:r w:rsidR="001C1A59">
                          <w:rPr>
                            <w:rFonts w:hint="eastAsia"/>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汇兑收益"/>
                        <w:tag w:val="_GBC_cf1d85c1200b41ee97b5fd457545af69"/>
                        <w:id w:val="24721352"/>
                        <w:lock w:val="sdtLocked"/>
                      </w:sdtPr>
                      <w:sdtContent>
                        <w:r w:rsidR="001C1A59">
                          <w:rPr>
                            <w:rFonts w:hint="eastAsia"/>
                            <w:szCs w:val="21"/>
                          </w:rPr>
                          <w:t>1,267,465.80</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汇兑收益"/>
                        <w:tag w:val="_GBC_7759e200608143d3bd3aedf3a5d87d1b"/>
                        <w:id w:val="24721353"/>
                        <w:lock w:val="sdtLocked"/>
                      </w:sdtPr>
                      <w:sdtContent>
                        <w:r w:rsidR="001C1A59">
                          <w:rPr>
                            <w:rFonts w:hint="eastAsia"/>
                            <w:szCs w:val="21"/>
                          </w:rPr>
                          <w:t>-5,484,786.47</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其他业务收入</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其他业务收入"/>
                        <w:tag w:val="_GBC_8a1f0b02c259458fa47b811a99cb7cd5"/>
                        <w:id w:val="24721354"/>
                        <w:lock w:val="sdtLocked"/>
                      </w:sdtPr>
                      <w:sdtContent>
                        <w:r w:rsidR="001C1A59">
                          <w:rPr>
                            <w:rFonts w:hint="eastAsia"/>
                            <w:color w:val="000000" w:themeColor="text1"/>
                            <w:szCs w:val="21"/>
                          </w:rPr>
                          <w:t>七、53</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其他业务收入"/>
                        <w:tag w:val="_GBC_a04df8b505a546a586c16e48ba327de3"/>
                        <w:id w:val="24721355"/>
                        <w:lock w:val="sdtLocked"/>
                      </w:sdtPr>
                      <w:sdtContent>
                        <w:r w:rsidR="001C1A59">
                          <w:rPr>
                            <w:rFonts w:hint="eastAsia"/>
                            <w:szCs w:val="21"/>
                          </w:rPr>
                          <w:t>7,962,477.87</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其他业务收入"/>
                        <w:tag w:val="_GBC_1493d7cc816544519b3d1640b55b9923"/>
                        <w:id w:val="24721356"/>
                        <w:lock w:val="sdtLocked"/>
                      </w:sdtPr>
                      <w:sdtContent>
                        <w:r w:rsidR="001C1A59">
                          <w:rPr>
                            <w:rFonts w:hint="eastAsia"/>
                            <w:bCs/>
                            <w:szCs w:val="21"/>
                          </w:rPr>
                          <w:t>7,675,459.75</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b/>
                      </w:rPr>
                      <w:t>二、营业支出</w:t>
                    </w:r>
                  </w:p>
                </w:tc>
                <w:tc>
                  <w:tcPr>
                    <w:tcW w:w="370"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szCs w:val="21"/>
                      </w:rPr>
                    </w:pPr>
                    <w:sdt>
                      <w:sdtPr>
                        <w:rPr>
                          <w:rFonts w:hint="eastAsia"/>
                          <w:b/>
                          <w:szCs w:val="21"/>
                        </w:rPr>
                        <w:alias w:val="附注_营业成本"/>
                        <w:tag w:val="_GBC_94d1ea42345a43989c6488dc07061430"/>
                        <w:id w:val="24721357"/>
                        <w:lock w:val="sdtLocked"/>
                        <w:showingPlcHdr/>
                      </w:sdtPr>
                      <w:sdtContent>
                        <w:r w:rsidR="001C1A59" w:rsidRPr="00626623">
                          <w:rPr>
                            <w:rFonts w:hint="eastAsia"/>
                            <w:b/>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营业成本"/>
                        <w:tag w:val="_GBC_51047df4cf774deaa557c920b65acb26"/>
                        <w:id w:val="24721358"/>
                        <w:lock w:val="sdtLocked"/>
                      </w:sdtPr>
                      <w:sdtContent>
                        <w:r w:rsidR="001C1A59" w:rsidRPr="00626623">
                          <w:rPr>
                            <w:rFonts w:hint="eastAsia"/>
                            <w:b/>
                            <w:szCs w:val="21"/>
                          </w:rPr>
                          <w:t>6,556,025,815.12</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bCs/>
                        <w:szCs w:val="21"/>
                      </w:rPr>
                    </w:pPr>
                    <w:sdt>
                      <w:sdtPr>
                        <w:rPr>
                          <w:rFonts w:hint="eastAsia"/>
                          <w:b/>
                          <w:bCs/>
                          <w:szCs w:val="21"/>
                        </w:rPr>
                        <w:alias w:val="营业成本"/>
                        <w:tag w:val="_GBC_a9599a8c2ac6475c84c76c0b3c5dc6ff"/>
                        <w:id w:val="24721359"/>
                        <w:lock w:val="sdtLocked"/>
                      </w:sdtPr>
                      <w:sdtContent>
                        <w:r w:rsidR="001C1A59" w:rsidRPr="00626623">
                          <w:rPr>
                            <w:rFonts w:hint="eastAsia"/>
                            <w:b/>
                            <w:bCs/>
                            <w:szCs w:val="21"/>
                          </w:rPr>
                          <w:t>1,920,416,369.12</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营业税金及附加</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营业税金及附加"/>
                        <w:tag w:val="_GBC_d29c191762404637b46c65fcc6764127"/>
                        <w:id w:val="24721360"/>
                        <w:lock w:val="sdtLocked"/>
                      </w:sdtPr>
                      <w:sdtContent>
                        <w:r w:rsidR="001C1A59">
                          <w:rPr>
                            <w:rFonts w:hint="eastAsia"/>
                            <w:color w:val="000000" w:themeColor="text1"/>
                            <w:szCs w:val="21"/>
                          </w:rPr>
                          <w:t>七、54</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营业税金及附加"/>
                        <w:tag w:val="_GBC_316e5b8eb5ac4190a305a9b4af875d9e"/>
                        <w:id w:val="24721361"/>
                        <w:lock w:val="sdtLocked"/>
                      </w:sdtPr>
                      <w:sdtContent>
                        <w:r w:rsidR="001C1A59">
                          <w:rPr>
                            <w:rFonts w:hint="eastAsia"/>
                            <w:szCs w:val="21"/>
                          </w:rPr>
                          <w:t>957,297,639.85</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营业税金及附加"/>
                        <w:tag w:val="_GBC_9aa0db4b1ccc4ee096d80ffbc0d49b14"/>
                        <w:id w:val="24721362"/>
                        <w:lock w:val="sdtLocked"/>
                      </w:sdtPr>
                      <w:sdtContent>
                        <w:r w:rsidR="001C1A59">
                          <w:rPr>
                            <w:rFonts w:hint="eastAsia"/>
                            <w:szCs w:val="21"/>
                          </w:rPr>
                          <w:t>208,498,799.98</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业务及管理费</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业务及管理费"/>
                        <w:tag w:val="_GBC_977f209dec5a45b183076bda6fa6c534"/>
                        <w:id w:val="24721363"/>
                        <w:lock w:val="sdtLocked"/>
                      </w:sdtPr>
                      <w:sdtContent>
                        <w:r w:rsidR="001C1A59">
                          <w:rPr>
                            <w:rFonts w:hint="eastAsia"/>
                            <w:color w:val="000000" w:themeColor="text1"/>
                            <w:szCs w:val="21"/>
                          </w:rPr>
                          <w:t>七、55</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业务及管理费"/>
                        <w:tag w:val="_GBC_dd5efb3a141c4ad8b8143121276d0856"/>
                        <w:id w:val="24721364"/>
                        <w:lock w:val="sdtLocked"/>
                      </w:sdtPr>
                      <w:sdtContent>
                        <w:r w:rsidR="001C1A59">
                          <w:rPr>
                            <w:rFonts w:hint="eastAsia"/>
                            <w:szCs w:val="21"/>
                          </w:rPr>
                          <w:t>5,602,727,723.10</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业务及管理费"/>
                        <w:tag w:val="_GBC_b379142fdcfd4df28b38a060ec27b93d"/>
                        <w:id w:val="24721365"/>
                        <w:lock w:val="sdtLocked"/>
                      </w:sdtPr>
                      <w:sdtContent>
                        <w:r w:rsidR="001C1A59">
                          <w:rPr>
                            <w:rFonts w:hint="eastAsia"/>
                            <w:bCs/>
                            <w:szCs w:val="21"/>
                          </w:rPr>
                          <w:t>1,709,166,190.21</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资产减值损失</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资产减值损失"/>
                        <w:tag w:val="_GBC_2374f09f9c204fd4ad4dbea003912e1c"/>
                        <w:id w:val="24721366"/>
                        <w:lock w:val="sdtLocked"/>
                      </w:sdtPr>
                      <w:sdtContent>
                        <w:r w:rsidR="001C1A59">
                          <w:rPr>
                            <w:rFonts w:hint="eastAsia"/>
                            <w:color w:val="000000" w:themeColor="text1"/>
                            <w:szCs w:val="21"/>
                          </w:rPr>
                          <w:t>七、56</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资产减值损失"/>
                        <w:tag w:val="_GBC_32221707075e4dbc8a51a8df9d2d279c"/>
                        <w:id w:val="24721367"/>
                        <w:lock w:val="sdtLocked"/>
                      </w:sdtPr>
                      <w:sdtContent>
                        <w:r w:rsidR="001C1A59">
                          <w:rPr>
                            <w:rFonts w:hint="eastAsia"/>
                            <w:szCs w:val="21"/>
                          </w:rPr>
                          <w:t>-4,409,462.97</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资产减值损失"/>
                        <w:tag w:val="_GBC_b63c2ee634d740ea9a4ae15c79811893"/>
                        <w:id w:val="24721368"/>
                        <w:lock w:val="sdtLocked"/>
                      </w:sdtPr>
                      <w:sdtContent>
                        <w:r w:rsidR="001C1A59">
                          <w:rPr>
                            <w:rFonts w:hint="eastAsia"/>
                            <w:szCs w:val="21"/>
                          </w:rPr>
                          <w:t>2,341,463.79</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其他业务成本</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其他业务成本"/>
                        <w:tag w:val="_GBC_e9d3281324dc49c895df9661914e3941"/>
                        <w:id w:val="24721369"/>
                        <w:lock w:val="sdtLocked"/>
                        <w:showingPlcHdr/>
                      </w:sdtP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其他业务成本"/>
                        <w:tag w:val="_GBC_868316b30d7047c9ab02bf741e6cc699"/>
                        <w:id w:val="24721370"/>
                        <w:lock w:val="sdtLocked"/>
                      </w:sdtPr>
                      <w:sdtContent>
                        <w:r w:rsidR="001C1A59">
                          <w:rPr>
                            <w:rFonts w:hint="eastAsia"/>
                            <w:szCs w:val="21"/>
                          </w:rPr>
                          <w:t>409,915.14</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szCs w:val="21"/>
                      </w:rPr>
                    </w:pPr>
                    <w:sdt>
                      <w:sdtPr>
                        <w:rPr>
                          <w:rFonts w:hint="eastAsia"/>
                          <w:bCs/>
                          <w:szCs w:val="21"/>
                        </w:rPr>
                        <w:alias w:val="其他业务成本"/>
                        <w:tag w:val="_GBC_834bb219dd4c458a97679215f9dfd64d"/>
                        <w:id w:val="24721371"/>
                        <w:lock w:val="sdtLocked"/>
                      </w:sdtPr>
                      <w:sdtContent>
                        <w:r w:rsidR="001C1A59">
                          <w:rPr>
                            <w:rFonts w:hint="eastAsia"/>
                            <w:bCs/>
                            <w:szCs w:val="21"/>
                          </w:rPr>
                          <w:t>409,915.14</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b/>
                      </w:rPr>
                      <w:t>三、营业利润（亏损以“-” 号填列）</w:t>
                    </w:r>
                  </w:p>
                </w:tc>
                <w:tc>
                  <w:tcPr>
                    <w:tcW w:w="370"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szCs w:val="21"/>
                      </w:rPr>
                    </w:pPr>
                    <w:sdt>
                      <w:sdtPr>
                        <w:rPr>
                          <w:rFonts w:hint="eastAsia"/>
                          <w:b/>
                          <w:szCs w:val="21"/>
                        </w:rPr>
                        <w:alias w:val="附注_营业利润"/>
                        <w:tag w:val="_GBC_9e251c40500946a197067b65d52552bc"/>
                        <w:id w:val="24721372"/>
                        <w:lock w:val="sdtLocked"/>
                        <w:showingPlcHdr/>
                      </w:sdtPr>
                      <w:sdtContent>
                        <w:r w:rsidR="001C1A59" w:rsidRPr="00626623">
                          <w:rPr>
                            <w:rFonts w:hint="eastAsia"/>
                            <w:b/>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营业利润"/>
                        <w:tag w:val="_GBC_c9b87e639ee444899a7413f2bcb97786"/>
                        <w:id w:val="24721373"/>
                        <w:lock w:val="sdtLocked"/>
                      </w:sdtPr>
                      <w:sdtContent>
                        <w:r w:rsidR="001C1A59" w:rsidRPr="00626623">
                          <w:rPr>
                            <w:rFonts w:hint="eastAsia"/>
                            <w:b/>
                            <w:szCs w:val="21"/>
                          </w:rPr>
                          <w:t>9,307,465,605.11</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营业利润"/>
                        <w:tag w:val="_GBC_1ee85bb141f841c9a57a661252df3bad"/>
                        <w:id w:val="24721374"/>
                        <w:lock w:val="sdtLocked"/>
                      </w:sdtPr>
                      <w:sdtContent>
                        <w:r w:rsidR="001C1A59" w:rsidRPr="00626623">
                          <w:rPr>
                            <w:rFonts w:hint="eastAsia"/>
                            <w:b/>
                            <w:szCs w:val="21"/>
                          </w:rPr>
                          <w:t>1,682,976,283.04</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加：营业外收入</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pStyle w:val="a8"/>
                      <w:jc w:val="left"/>
                      <w:rPr>
                        <w:rFonts w:ascii="宋体" w:hAnsi="宋体"/>
                      </w:rPr>
                    </w:pPr>
                    <w:sdt>
                      <w:sdtPr>
                        <w:rPr>
                          <w:rFonts w:ascii="宋体" w:hAnsi="宋体" w:hint="eastAsia"/>
                        </w:rPr>
                        <w:alias w:val="附注_营业外收入"/>
                        <w:tag w:val="_GBC_79c98c0a1441471fa7aa3ec5ed38e495"/>
                        <w:id w:val="24721375"/>
                        <w:lock w:val="sdtLocked"/>
                      </w:sdtPr>
                      <w:sdtContent>
                        <w:r w:rsidR="001C1A59">
                          <w:rPr>
                            <w:rFonts w:hint="eastAsia"/>
                            <w:color w:val="000000" w:themeColor="text1"/>
                          </w:rPr>
                          <w:t>七、</w:t>
                        </w:r>
                        <w:r w:rsidR="001C1A59">
                          <w:rPr>
                            <w:rFonts w:hint="eastAsia"/>
                            <w:color w:val="000000" w:themeColor="text1"/>
                          </w:rPr>
                          <w:t>57</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营业外收入"/>
                        <w:tag w:val="_GBC_697b56fd1cf6453f8c7a23b23b593f39"/>
                        <w:id w:val="24721376"/>
                        <w:lock w:val="sdtLocked"/>
                      </w:sdtPr>
                      <w:sdtContent>
                        <w:r w:rsidR="001C1A59">
                          <w:rPr>
                            <w:rFonts w:hint="eastAsia"/>
                            <w:szCs w:val="21"/>
                          </w:rPr>
                          <w:t>27,498,294.15</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营业外收入"/>
                        <w:tag w:val="_GBC_244f7bc219754bdd8ac9a5a5707e057f"/>
                        <w:id w:val="24721377"/>
                        <w:lock w:val="sdtLocked"/>
                      </w:sdtPr>
                      <w:sdtContent>
                        <w:r w:rsidR="001C1A59">
                          <w:rPr>
                            <w:rFonts w:hint="eastAsia"/>
                            <w:szCs w:val="21"/>
                          </w:rPr>
                          <w:t>4,076,269.38</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减：营业外支出</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营业外支出"/>
                        <w:tag w:val="_GBC_e362dfb4e0c64a6a8aa3e411a6587c5a"/>
                        <w:id w:val="24721378"/>
                        <w:lock w:val="sdtLocked"/>
                      </w:sdtPr>
                      <w:sdtContent>
                        <w:r w:rsidR="001C1A59">
                          <w:rPr>
                            <w:rFonts w:hint="eastAsia"/>
                            <w:color w:val="000000" w:themeColor="text1"/>
                            <w:szCs w:val="21"/>
                          </w:rPr>
                          <w:t>七、58</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营业外支出"/>
                        <w:tag w:val="_GBC_a770a1929eaf4d389cfbb1802fdb7595"/>
                        <w:id w:val="24721379"/>
                        <w:lock w:val="sdtLocked"/>
                      </w:sdtPr>
                      <w:sdtContent>
                        <w:r w:rsidR="001C1A59">
                          <w:rPr>
                            <w:rFonts w:hint="eastAsia"/>
                            <w:szCs w:val="21"/>
                          </w:rPr>
                          <w:t>3,745,384.33</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营业外支出"/>
                        <w:tag w:val="_GBC_c68ff5572fb446fbad95149516c34218"/>
                        <w:id w:val="24721380"/>
                        <w:lock w:val="sdtLocked"/>
                      </w:sdtPr>
                      <w:sdtContent>
                        <w:r w:rsidR="001C1A59">
                          <w:rPr>
                            <w:rFonts w:hint="eastAsia"/>
                            <w:szCs w:val="21"/>
                          </w:rPr>
                          <w:t>113,002.58</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b/>
                      </w:rPr>
                      <w:t>四、利润总额（亏损总额以“-”号填列）</w:t>
                    </w:r>
                  </w:p>
                </w:tc>
                <w:tc>
                  <w:tcPr>
                    <w:tcW w:w="370"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szCs w:val="21"/>
                      </w:rPr>
                    </w:pPr>
                    <w:sdt>
                      <w:sdtPr>
                        <w:rPr>
                          <w:rFonts w:hint="eastAsia"/>
                          <w:b/>
                          <w:szCs w:val="21"/>
                        </w:rPr>
                        <w:alias w:val="附注_利润总额"/>
                        <w:tag w:val="_GBC_d32d4d1c94114a2e974ee72164bd51f0"/>
                        <w:id w:val="24721381"/>
                        <w:lock w:val="sdtLocked"/>
                        <w:showingPlcHdr/>
                      </w:sdtPr>
                      <w:sdtContent>
                        <w:r w:rsidR="001C1A59" w:rsidRPr="00626623">
                          <w:rPr>
                            <w:rFonts w:hint="eastAsia"/>
                            <w:b/>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利润总额"/>
                        <w:tag w:val="_GBC_85eefa08323743a1ba82261876bc598c"/>
                        <w:id w:val="24721382"/>
                        <w:lock w:val="sdtLocked"/>
                      </w:sdtPr>
                      <w:sdtContent>
                        <w:r w:rsidR="001C1A59" w:rsidRPr="00626623">
                          <w:rPr>
                            <w:rFonts w:hint="eastAsia"/>
                            <w:b/>
                            <w:szCs w:val="21"/>
                          </w:rPr>
                          <w:t>9,331,218,514.93</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利润总额"/>
                        <w:tag w:val="_GBC_6b6d061ab957418d9a91d34cee03911f"/>
                        <w:id w:val="24721383"/>
                        <w:lock w:val="sdtLocked"/>
                      </w:sdtPr>
                      <w:sdtContent>
                        <w:r w:rsidR="001C1A59" w:rsidRPr="00626623">
                          <w:rPr>
                            <w:rFonts w:hint="eastAsia"/>
                            <w:b/>
                            <w:szCs w:val="21"/>
                          </w:rPr>
                          <w:t>1,686,939,549.84</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减：所得税费用</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所得税"/>
                        <w:tag w:val="_GBC_bcfff4f2124d43079accaef8060b1d51"/>
                        <w:id w:val="24721384"/>
                        <w:lock w:val="sdtLocked"/>
                      </w:sdtPr>
                      <w:sdtContent>
                        <w:r w:rsidR="001C1A59">
                          <w:rPr>
                            <w:rFonts w:hint="eastAsia"/>
                            <w:color w:val="000000" w:themeColor="text1"/>
                            <w:szCs w:val="21"/>
                          </w:rPr>
                          <w:t>七、59</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所得税"/>
                        <w:tag w:val="_GBC_299a81cb3e0f41ff9dc22d5ff8fa6ed9"/>
                        <w:id w:val="24721385"/>
                        <w:lock w:val="sdtLocked"/>
                      </w:sdtPr>
                      <w:sdtContent>
                        <w:r w:rsidR="001C1A59">
                          <w:rPr>
                            <w:rFonts w:hint="eastAsia"/>
                            <w:szCs w:val="21"/>
                          </w:rPr>
                          <w:t>1,996,090,206.34</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所得税"/>
                        <w:tag w:val="_GBC_6b998b9e7f6d40d8977857e6e580ce29"/>
                        <w:id w:val="24721386"/>
                        <w:lock w:val="sdtLocked"/>
                      </w:sdtPr>
                      <w:sdtContent>
                        <w:r w:rsidR="001C1A59">
                          <w:rPr>
                            <w:rFonts w:hint="eastAsia"/>
                            <w:szCs w:val="21"/>
                          </w:rPr>
                          <w:t>320,181,310.88</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leftChars="-19" w:hangingChars="19" w:hanging="40"/>
                      <w:rPr>
                        <w:b/>
                      </w:rPr>
                    </w:pPr>
                    <w:r w:rsidRPr="00626623">
                      <w:rPr>
                        <w:b/>
                      </w:rPr>
                      <w:t>五、净利润（净亏损以“－”号填列）</w:t>
                    </w:r>
                  </w:p>
                </w:tc>
                <w:tc>
                  <w:tcPr>
                    <w:tcW w:w="370"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szCs w:val="21"/>
                      </w:rPr>
                    </w:pPr>
                    <w:sdt>
                      <w:sdtPr>
                        <w:rPr>
                          <w:rFonts w:hint="eastAsia"/>
                          <w:b/>
                          <w:szCs w:val="21"/>
                        </w:rPr>
                        <w:alias w:val="附注_净利润"/>
                        <w:tag w:val="_GBC_4517d8e3aa4f4cfeb0bcedc8d20cc1c6"/>
                        <w:id w:val="24721387"/>
                        <w:lock w:val="sdtLocked"/>
                        <w:showingPlcHdr/>
                      </w:sdtPr>
                      <w:sdtContent>
                        <w:r w:rsidR="001C1A59" w:rsidRPr="00626623">
                          <w:rPr>
                            <w:rFonts w:hint="eastAsia"/>
                            <w:b/>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净利润"/>
                        <w:tag w:val="_GBC_4a82df37d60f4c0f889775fc0fd0feb0"/>
                        <w:id w:val="24721388"/>
                        <w:lock w:val="sdtLocked"/>
                      </w:sdtPr>
                      <w:sdtContent>
                        <w:r w:rsidR="001C1A59" w:rsidRPr="00626623">
                          <w:rPr>
                            <w:rFonts w:hint="eastAsia"/>
                            <w:b/>
                            <w:szCs w:val="21"/>
                          </w:rPr>
                          <w:t>7,335,128,308.59</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szCs w:val="21"/>
                      </w:rPr>
                    </w:pPr>
                    <w:sdt>
                      <w:sdtPr>
                        <w:rPr>
                          <w:rFonts w:hint="eastAsia"/>
                          <w:b/>
                          <w:szCs w:val="21"/>
                        </w:rPr>
                        <w:alias w:val="净利润"/>
                        <w:tag w:val="_GBC_a47a6d873e154b108014603a25d96476"/>
                        <w:id w:val="24721389"/>
                        <w:lock w:val="sdtLocked"/>
                      </w:sdtPr>
                      <w:sdtContent>
                        <w:r w:rsidR="001C1A59" w:rsidRPr="00626623">
                          <w:rPr>
                            <w:rFonts w:hint="eastAsia"/>
                            <w:b/>
                            <w:szCs w:val="21"/>
                          </w:rPr>
                          <w:t>1,366,758,238.96</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 xml:space="preserve">其中： </w:t>
                    </w:r>
                    <w:r>
                      <w:t>归属于母公司所有者</w:t>
                    </w:r>
                    <w:r>
                      <w:rPr>
                        <w:rFonts w:hint="eastAsia"/>
                      </w:rPr>
                      <w:t>（或股东）</w:t>
                    </w:r>
                    <w:r>
                      <w:t>的净利润</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归属于母公司所有者的净利润"/>
                        <w:tag w:val="_GBC_c2c983f60440421a8997af101128b04f"/>
                        <w:id w:val="24721390"/>
                        <w:lock w:val="sdtLocked"/>
                        <w:showingPlcHdr/>
                      </w:sdtPr>
                      <w:sdtContent>
                        <w:r w:rsidR="001C1A59">
                          <w:rPr>
                            <w:rFonts w:hint="eastAsia"/>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归属于母公司所有者的净利润"/>
                        <w:tag w:val="_GBC_825ccb0f669f48fd989662dcb17f565c"/>
                        <w:id w:val="24721391"/>
                        <w:lock w:val="sdtLocked"/>
                      </w:sdtPr>
                      <w:sdtContent>
                        <w:r w:rsidR="001C1A59">
                          <w:rPr>
                            <w:rFonts w:hint="eastAsia"/>
                            <w:szCs w:val="21"/>
                          </w:rPr>
                          <w:t>7,314,665,463.76</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归属于母公司所有者的净利润"/>
                        <w:tag w:val="_GBC_caf00680cfa0433ea142293806f1706d"/>
                        <w:id w:val="24721392"/>
                        <w:lock w:val="sdtLocked"/>
                      </w:sdtPr>
                      <w:sdtContent>
                        <w:r w:rsidR="001C1A59">
                          <w:rPr>
                            <w:rFonts w:hint="eastAsia"/>
                            <w:szCs w:val="21"/>
                          </w:rPr>
                          <w:t>1,364,852,213.40</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少数股东损益</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少数股东损益"/>
                        <w:tag w:val="_GBC_0dc5ccb9c3ff4fe7a4372832a16b7771"/>
                        <w:id w:val="24721393"/>
                        <w:lock w:val="sdtLocked"/>
                        <w:showingPlcHdr/>
                      </w:sdtPr>
                      <w:sdtContent>
                        <w:r w:rsidR="001C1A59">
                          <w:rPr>
                            <w:rFonts w:hint="eastAsia"/>
                            <w:color w:val="333399"/>
                          </w:rPr>
                          <w:t xml:space="preserve">　</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少数股东损益"/>
                        <w:tag w:val="_GBC_a7acc9ef0bcc44a289b4333e3cf8ef01"/>
                        <w:id w:val="24721394"/>
                        <w:lock w:val="sdtLocked"/>
                      </w:sdtPr>
                      <w:sdtContent>
                        <w:r w:rsidR="001C1A59">
                          <w:rPr>
                            <w:rFonts w:hint="eastAsia"/>
                            <w:szCs w:val="21"/>
                          </w:rPr>
                          <w:t>20,462,844.83</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少数股东损益"/>
                        <w:tag w:val="_GBC_696c05042f2c49638015d66a9897a3c3"/>
                        <w:id w:val="24721395"/>
                        <w:lock w:val="sdtLocked"/>
                      </w:sdtPr>
                      <w:sdtContent>
                        <w:r w:rsidR="001C1A59">
                          <w:rPr>
                            <w:rFonts w:hint="eastAsia"/>
                            <w:szCs w:val="21"/>
                          </w:rPr>
                          <w:t>1,906,025.56</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rFonts w:hint="eastAsia"/>
                        <w:b/>
                      </w:rPr>
                      <w:t>六、其他综合收益的税后净额</w:t>
                    </w:r>
                  </w:p>
                </w:tc>
                <w:sdt>
                  <w:sdtPr>
                    <w:rPr>
                      <w:szCs w:val="21"/>
                    </w:rPr>
                    <w:alias w:val="附注_其他综合收益的税后净额"/>
                    <w:tag w:val="_GBC_b4254cbe666549028efa2267842dafc8"/>
                    <w:id w:val="24721396"/>
                    <w:lock w:val="sdtLocked"/>
                  </w:sdtPr>
                  <w:sdtContent>
                    <w:tc>
                      <w:tcPr>
                        <w:tcW w:w="370" w:type="pct"/>
                        <w:tcBorders>
                          <w:top w:val="outset" w:sz="6" w:space="0" w:color="auto"/>
                          <w:left w:val="outset" w:sz="6" w:space="0" w:color="auto"/>
                          <w:bottom w:val="outset" w:sz="6" w:space="0" w:color="auto"/>
                          <w:right w:val="outset" w:sz="6" w:space="0" w:color="auto"/>
                        </w:tcBorders>
                      </w:tcPr>
                      <w:p w:rsidR="00DE031E" w:rsidRPr="00B77C94" w:rsidRDefault="001C1A59" w:rsidP="00DE031E">
                        <w:pPr>
                          <w:rPr>
                            <w:szCs w:val="21"/>
                          </w:rPr>
                        </w:pPr>
                        <w:r w:rsidRPr="00B77C94">
                          <w:rPr>
                            <w:rFonts w:hint="eastAsia"/>
                            <w:color w:val="000000" w:themeColor="text1"/>
                            <w:szCs w:val="21"/>
                          </w:rPr>
                          <w:t>七、60</w:t>
                        </w:r>
                      </w:p>
                    </w:tc>
                  </w:sdtContent>
                </w:sdt>
                <w:sdt>
                  <w:sdtPr>
                    <w:rPr>
                      <w:b/>
                      <w:szCs w:val="21"/>
                    </w:rPr>
                    <w:alias w:val="其他综合收益的税后净额"/>
                    <w:tag w:val="_GBC_29e3f8ead2d445a98d928de76769ff7e"/>
                    <w:id w:val="24721397"/>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458,364,206.02</w:t>
                        </w:r>
                      </w:p>
                    </w:tc>
                  </w:sdtContent>
                </w:sdt>
                <w:sdt>
                  <w:sdtPr>
                    <w:rPr>
                      <w:b/>
                      <w:szCs w:val="21"/>
                    </w:rPr>
                    <w:alias w:val="其他综合收益的税后净额"/>
                    <w:tag w:val="_GBC_f6874f62302f46ee9d99a4e609a3bdce"/>
                    <w:id w:val="24721398"/>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265,268,696.19</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归属母公司所有者的其他综合收益的税后净额</w:t>
                    </w:r>
                  </w:p>
                </w:tc>
                <w:sdt>
                  <w:sdtPr>
                    <w:rPr>
                      <w:szCs w:val="21"/>
                    </w:rPr>
                    <w:alias w:val="附注_归属母公司所有者的其他综合收益的税后净额"/>
                    <w:tag w:val="_GBC_0eff68a719a34fbbb0dbef5ced888fee"/>
                    <w:id w:val="24721399"/>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归属母公司所有者的其他综合收益的税后净额"/>
                    <w:tag w:val="_GBC_858a85a1f17440e1a22f216ed45c4170"/>
                    <w:id w:val="24721400"/>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458,364,206.02</w:t>
                        </w:r>
                      </w:p>
                    </w:tc>
                  </w:sdtContent>
                </w:sdt>
                <w:sdt>
                  <w:sdtPr>
                    <w:rPr>
                      <w:szCs w:val="21"/>
                    </w:rPr>
                    <w:alias w:val="归属母公司所有者的其他综合收益的税后净额"/>
                    <w:tag w:val="_GBC_5d6defa1792c41bbbba51de0d6f71def"/>
                    <w:id w:val="24721401"/>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265,268,696.19</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（一）以后不能重分分类进损益的其他综合收益</w:t>
                    </w:r>
                  </w:p>
                </w:tc>
                <w:sdt>
                  <w:sdtPr>
                    <w:rPr>
                      <w:szCs w:val="21"/>
                    </w:rPr>
                    <w:alias w:val="附注_以后不能重分类进损益的其他综合收益"/>
                    <w:tag w:val="_GBC_df569452179b4ba1a8da9a2a86a97f62"/>
                    <w:id w:val="24721402"/>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以后不能重分类进损益的其他综合收益"/>
                    <w:tag w:val="_GBC_2e25f03ddd6d4305a3321c71b6cc8741"/>
                    <w:id w:val="24721403"/>
                    <w:lock w:val="sdtLocked"/>
                    <w:showingPlcHdr/>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以后不能重分类进损益的其他综合收益"/>
                    <w:tag w:val="_GBC_1ccb4a19eb11450981e501ec753297d2"/>
                    <w:id w:val="24721404"/>
                    <w:lock w:val="sdtLocked"/>
                    <w:showingPlcHdr/>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1.重新计量设定受益计划净负债或净资产的变动</w:t>
                    </w:r>
                  </w:p>
                </w:tc>
                <w:sdt>
                  <w:sdtPr>
                    <w:rPr>
                      <w:szCs w:val="21"/>
                    </w:rPr>
                    <w:alias w:val="附注_重新计量设定受益计划净负债或净资产的变动"/>
                    <w:tag w:val="_GBC_d280c9d5a7004ba9b12da39e95eb91b3"/>
                    <w:id w:val="24721405"/>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重新计量设定受益计划净负债或净资产的变动"/>
                    <w:tag w:val="_GBC_f45a7eb30653494297214d06a44145bd"/>
                    <w:id w:val="24721406"/>
                    <w:lock w:val="sdtLocked"/>
                    <w:showingPlcHdr/>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重新计量设定受益计划净负债或净资产的变动"/>
                    <w:tag w:val="_GBC_9e178c48df9f4a579d697530230ac389"/>
                    <w:id w:val="24721407"/>
                    <w:lock w:val="sdtLocked"/>
                    <w:showingPlcHdr/>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2.权益法下在被投资单位不能重分类进损益的其他综合收益中享有的份额</w:t>
                    </w:r>
                  </w:p>
                </w:tc>
                <w:sdt>
                  <w:sdtPr>
                    <w:rPr>
                      <w:szCs w:val="21"/>
                    </w:rPr>
                    <w:alias w:val="附注_权益法下在被投资单位不能重分类进损益的其他综合收益中享有的份额"/>
                    <w:tag w:val="_GBC_6ce41afb4884476989b423bc15189b0c"/>
                    <w:id w:val="24721408"/>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e0cedd6d163c4bc596f842832fcba5ea"/>
                    <w:id w:val="24721409"/>
                    <w:lock w:val="sdtLocked"/>
                    <w:showingPlcHdr/>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权益法下在被投资单位不能重分类进损益的其他综合收益中享有的份额"/>
                    <w:tag w:val="_GBC_20e87fabb12f4f56aa003c788d0bdefa"/>
                    <w:id w:val="24721410"/>
                    <w:lock w:val="sdtLocked"/>
                    <w:showingPlcHdr/>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（二）以后将重分类进损益的其他综合收益</w:t>
                    </w:r>
                  </w:p>
                </w:tc>
                <w:sdt>
                  <w:sdtPr>
                    <w:rPr>
                      <w:szCs w:val="21"/>
                    </w:rPr>
                    <w:alias w:val="附注_以后将重分类进损益的其他综合收益"/>
                    <w:tag w:val="_GBC_b5870ca7fb4b4bd9a467ca453ff9f49a"/>
                    <w:id w:val="24721411"/>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以后将重分类进损益的其他综合收益"/>
                    <w:tag w:val="_GBC_b3b4eb48916f4580aaf60ee9177a4635"/>
                    <w:id w:val="24721412"/>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458,364,206.02</w:t>
                        </w:r>
                      </w:p>
                    </w:tc>
                  </w:sdtContent>
                </w:sdt>
                <w:sdt>
                  <w:sdtPr>
                    <w:rPr>
                      <w:szCs w:val="21"/>
                    </w:rPr>
                    <w:alias w:val="以后将重分类进损益的其他综合收益"/>
                    <w:tag w:val="_GBC_50a6d58fe2d6419a9ec632ca79a2cb6a"/>
                    <w:id w:val="24721413"/>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265,268,696.19</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1.权益法下在被投资单位以后将重分类进损益的其他综合收益中享有的份额</w:t>
                    </w:r>
                  </w:p>
                </w:tc>
                <w:sdt>
                  <w:sdtPr>
                    <w:rPr>
                      <w:szCs w:val="21"/>
                    </w:rPr>
                    <w:alias w:val="附注_权益法下在被投资单位以后将重分类进损益的其他综合收益中享有的份额"/>
                    <w:tag w:val="_GBC_9131ebb5795147558c05bb5e9bac2273"/>
                    <w:id w:val="24721414"/>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bb6d5ebe9b934d8f9840f8bf58db69ef"/>
                    <w:id w:val="24721415"/>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3,666,226.88</w:t>
                        </w:r>
                      </w:p>
                    </w:tc>
                  </w:sdtContent>
                </w:sdt>
                <w:sdt>
                  <w:sdtPr>
                    <w:rPr>
                      <w:szCs w:val="21"/>
                    </w:rPr>
                    <w:alias w:val="权益法下在被投资单位以后将重分类进损益的其他综合收益中享有的份额"/>
                    <w:tag w:val="_GBC_b1cc9a30deeb455fbf2009683bc3257d"/>
                    <w:id w:val="24721416"/>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1,190,192.07</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2.可供出售金融资产公允价值变动损益</w:t>
                    </w:r>
                  </w:p>
                </w:tc>
                <w:sdt>
                  <w:sdtPr>
                    <w:rPr>
                      <w:szCs w:val="21"/>
                    </w:rPr>
                    <w:alias w:val="附注_可供出售金融资产公允价值变动损益"/>
                    <w:tag w:val="_GBC_40520214a3dd49949968c5fc660bcac8"/>
                    <w:id w:val="24721417"/>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可供出售金融资产公允价值变动损益"/>
                    <w:tag w:val="_GBC_4f4f1c474f0f4bb3a0d9da0379d8b0ac"/>
                    <w:id w:val="24721418"/>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455,311,837.54</w:t>
                        </w:r>
                      </w:p>
                    </w:tc>
                  </w:sdtContent>
                </w:sdt>
                <w:sdt>
                  <w:sdtPr>
                    <w:rPr>
                      <w:szCs w:val="21"/>
                    </w:rPr>
                    <w:alias w:val="可供出售金融资产公允价值变动损益"/>
                    <w:tag w:val="_GBC_fd3229dc06874a62803efd8a03f80457"/>
                    <w:id w:val="24721419"/>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245,793,040.49</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3.持有至到期投资重分类为可供出售金融资产损益</w:t>
                    </w:r>
                  </w:p>
                </w:tc>
                <w:sdt>
                  <w:sdtPr>
                    <w:rPr>
                      <w:szCs w:val="21"/>
                    </w:rPr>
                    <w:alias w:val="附注_持有至到期投资重分类为可供出售金融资产损益"/>
                    <w:tag w:val="_GBC_0e19f32312474c9fbe033c459e20abe1"/>
                    <w:id w:val="24721420"/>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99db6c0ff0f41f2bd84189db6341bf7"/>
                    <w:id w:val="24721421"/>
                    <w:lock w:val="sdtLocked"/>
                    <w:showingPlcHdr/>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持有至到期投资重分类为可供出售金融资产损益"/>
                    <w:tag w:val="_GBC_cf1cce592bb14edb905cc17a6f411d0d"/>
                    <w:id w:val="24721422"/>
                    <w:lock w:val="sdtLocked"/>
                    <w:showingPlcHdr/>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4.现金流量套期损益的有效部分</w:t>
                    </w:r>
                  </w:p>
                </w:tc>
                <w:sdt>
                  <w:sdtPr>
                    <w:rPr>
                      <w:szCs w:val="21"/>
                    </w:rPr>
                    <w:alias w:val="附注_现金流量套期损益的有效部分"/>
                    <w:tag w:val="_GBC_e1c7cbe7236243879639bb1a40e7d791"/>
                    <w:id w:val="24721423"/>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现金流量套期损益的有效部分"/>
                    <w:tag w:val="_GBC_94d8b8408006402ea96ba8cc9d51b7a9"/>
                    <w:id w:val="24721424"/>
                    <w:lock w:val="sdtLocked"/>
                    <w:showingPlcHdr/>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现金流量套期损益的有效部分"/>
                    <w:tag w:val="_GBC_acc8822a579947f382a82bba46ea3a99"/>
                    <w:id w:val="24721425"/>
                    <w:lock w:val="sdtLocked"/>
                    <w:showingPlcHdr/>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5.外币财务报表折算差额</w:t>
                    </w:r>
                  </w:p>
                </w:tc>
                <w:sdt>
                  <w:sdtPr>
                    <w:rPr>
                      <w:szCs w:val="21"/>
                    </w:rPr>
                    <w:alias w:val="附注_外币财务报表折算差额"/>
                    <w:tag w:val="_GBC_4732eba212c543308ca4ea99e652437b"/>
                    <w:id w:val="24721426"/>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rPr>
                          <w:t xml:space="preserve">　</w:t>
                        </w:r>
                      </w:p>
                    </w:tc>
                  </w:sdtContent>
                </w:sdt>
                <w:sdt>
                  <w:sdtPr>
                    <w:rPr>
                      <w:szCs w:val="21"/>
                    </w:rPr>
                    <w:alias w:val="外币财务报表折算差额"/>
                    <w:tag w:val="_GBC_eaba33c3738449b190ea00c71a6541f2"/>
                    <w:id w:val="24721427"/>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-613,858.40</w:t>
                        </w:r>
                      </w:p>
                    </w:tc>
                  </w:sdtContent>
                </w:sdt>
                <w:sdt>
                  <w:sdtPr>
                    <w:rPr>
                      <w:szCs w:val="21"/>
                    </w:rPr>
                    <w:alias w:val="外币财务报表折算差额"/>
                    <w:tag w:val="_GBC_89527367ffb848fe8215cc1adb8638f9"/>
                    <w:id w:val="24721428"/>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18,285,463.63</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pPr>
                    <w:r>
                      <w:t>6.其他</w:t>
                    </w:r>
                  </w:p>
                </w:tc>
                <w:sdt>
                  <w:sdtPr>
                    <w:rPr>
                      <w:szCs w:val="21"/>
                    </w:rPr>
                    <w:alias w:val="附注_以后将重分类进损益的其他综合收益-其他"/>
                    <w:tag w:val="_GBC_643c68391e4742ef8c94e32f8e5819a4"/>
                    <w:id w:val="24721429"/>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以后将重分类进损益的其他综合收益-其他"/>
                    <w:tag w:val="_GBC_1e5ee848460149db9e07e1d5874a1b60"/>
                    <w:id w:val="24721430"/>
                    <w:lock w:val="sdtLocked"/>
                    <w:showingPlcHdr/>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以后将重分类进损益的其他综合收益-其他"/>
                    <w:tag w:val="_GBC_70f7e2ed67e541fa9062dd58e085a158"/>
                    <w:id w:val="24721431"/>
                    <w:lock w:val="sdtLocked"/>
                    <w:showingPlcHdr/>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归属于少数股东的其他综合收益的税后净额</w:t>
                    </w:r>
                  </w:p>
                </w:tc>
                <w:sdt>
                  <w:sdtPr>
                    <w:rPr>
                      <w:szCs w:val="21"/>
                    </w:rPr>
                    <w:alias w:val="附注_归属于少数股东的其他综合收益的税后净额"/>
                    <w:tag w:val="_GBC_564f2589a90a41689c22ec2531e428b5"/>
                    <w:id w:val="24721432"/>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归属于少数股东的其他综合收益的税后净额"/>
                    <w:tag w:val="_GBC_c3418e921ab544ca8727f9948bb6f868"/>
                    <w:id w:val="24721433"/>
                    <w:lock w:val="sdtLocked"/>
                    <w:showingPlcHdr/>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归属于少数股东的其他综合收益的税后净额"/>
                    <w:tag w:val="_GBC_38a689be3be849768000697c5ce109a5"/>
                    <w:id w:val="24721434"/>
                    <w:lock w:val="sdtLocked"/>
                    <w:showingPlcHdr/>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rPr>
                    </w:pPr>
                    <w:r w:rsidRPr="00626623">
                      <w:rPr>
                        <w:rFonts w:hint="eastAsia"/>
                        <w:b/>
                      </w:rPr>
                      <w:t>七、综合收益总额</w:t>
                    </w:r>
                  </w:p>
                </w:tc>
                <w:sdt>
                  <w:sdtPr>
                    <w:rPr>
                      <w:b/>
                      <w:szCs w:val="21"/>
                    </w:rPr>
                    <w:alias w:val="附注_综合收益总额"/>
                    <w:tag w:val="_GBC_893be652cc354dc982b256a7c8651307"/>
                    <w:id w:val="24721435"/>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color w:val="008000"/>
                            <w:szCs w:val="21"/>
                          </w:rPr>
                        </w:pPr>
                        <w:r w:rsidRPr="00626623">
                          <w:rPr>
                            <w:rFonts w:hint="eastAsia"/>
                            <w:b/>
                            <w:color w:val="333399"/>
                            <w:szCs w:val="21"/>
                          </w:rPr>
                          <w:t xml:space="preserve">　</w:t>
                        </w:r>
                      </w:p>
                    </w:tc>
                  </w:sdtContent>
                </w:sdt>
                <w:sdt>
                  <w:sdtPr>
                    <w:rPr>
                      <w:b/>
                      <w:szCs w:val="21"/>
                    </w:rPr>
                    <w:alias w:val="综合收益总额"/>
                    <w:tag w:val="_GBC_2ae13da3184b4eaf91d701e2a93b5679"/>
                    <w:id w:val="24721436"/>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7,793,492,514.61</w:t>
                        </w:r>
                      </w:p>
                    </w:tc>
                  </w:sdtContent>
                </w:sdt>
                <w:sdt>
                  <w:sdtPr>
                    <w:rPr>
                      <w:b/>
                      <w:szCs w:val="21"/>
                    </w:rPr>
                    <w:alias w:val="综合收益总额"/>
                    <w:tag w:val="_GBC_0a08f724323247619665d1ca78bce500"/>
                    <w:id w:val="24721437"/>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1,632,026,935.15</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归属于母公司所有者的综合收益总额</w:t>
                    </w:r>
                  </w:p>
                </w:tc>
                <w:sdt>
                  <w:sdtPr>
                    <w:rPr>
                      <w:szCs w:val="21"/>
                    </w:rPr>
                    <w:alias w:val="附注_归属于母公司所有者的综合收益总额"/>
                    <w:tag w:val="_GBC_2739134fb6e94d3ca576f1501ea77a69"/>
                    <w:id w:val="24721438"/>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DE031E" w:rsidP="00DE031E">
                        <w:pPr>
                          <w:rPr>
                            <w:color w:val="008000"/>
                            <w:szCs w:val="21"/>
                          </w:rPr>
                        </w:pPr>
                      </w:p>
                    </w:tc>
                  </w:sdtContent>
                </w:sdt>
                <w:sdt>
                  <w:sdtPr>
                    <w:rPr>
                      <w:szCs w:val="21"/>
                    </w:rPr>
                    <w:alias w:val="归属于母公司所有者的综合收益总额"/>
                    <w:tag w:val="_GBC_b9202d1c9a9b446ba596a34a18634264"/>
                    <w:id w:val="24721439"/>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7,773,029,669.78</w:t>
                        </w:r>
                      </w:p>
                    </w:tc>
                  </w:sdtContent>
                </w:sdt>
                <w:sdt>
                  <w:sdtPr>
                    <w:rPr>
                      <w:szCs w:val="21"/>
                    </w:rPr>
                    <w:alias w:val="归属于母公司所有者的综合收益总额"/>
                    <w:tag w:val="_GBC_4f50daaa3219486d9f4385d8a9cc2920"/>
                    <w:id w:val="24721440"/>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1,630,120,909.59</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归属于少数股东的综合收益总额</w:t>
                    </w:r>
                  </w:p>
                </w:tc>
                <w:sdt>
                  <w:sdtPr>
                    <w:rPr>
                      <w:szCs w:val="21"/>
                    </w:rPr>
                    <w:alias w:val="附注_归属于少数股东的综合收益总额"/>
                    <w:tag w:val="_GBC_c2e9eae00cc34af3aff86333c58ca8c4"/>
                    <w:id w:val="24721441"/>
                    <w:lock w:val="sdtLocked"/>
                    <w:showingPlcHdr/>
                  </w:sdtPr>
                  <w:sdtContent>
                    <w:tc>
                      <w:tcPr>
                        <w:tcW w:w="370" w:type="pct"/>
                        <w:tcBorders>
                          <w:top w:val="outset" w:sz="6" w:space="0" w:color="auto"/>
                          <w:left w:val="outset" w:sz="6" w:space="0" w:color="auto"/>
                          <w:bottom w:val="outset" w:sz="6" w:space="0" w:color="auto"/>
                          <w:right w:val="outset" w:sz="6" w:space="0" w:color="auto"/>
                        </w:tcBorders>
                      </w:tcPr>
                      <w:p w:rsidR="00DE031E" w:rsidRDefault="00DE031E" w:rsidP="00DE031E">
                        <w:pPr>
                          <w:rPr>
                            <w:color w:val="008000"/>
                            <w:szCs w:val="21"/>
                          </w:rPr>
                        </w:pPr>
                      </w:p>
                    </w:tc>
                  </w:sdtContent>
                </w:sdt>
                <w:sdt>
                  <w:sdtPr>
                    <w:rPr>
                      <w:szCs w:val="21"/>
                    </w:rPr>
                    <w:alias w:val="归属于少数股东的综合收益总额"/>
                    <w:tag w:val="_GBC_6c4e6c8ba99143a5b87ba9955ee42299"/>
                    <w:id w:val="24721442"/>
                    <w:lock w:val="sdtLocked"/>
                  </w:sdtPr>
                  <w:sdtContent>
                    <w:tc>
                      <w:tcPr>
                        <w:tcW w:w="98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20,462,844.83</w:t>
                        </w:r>
                      </w:p>
                    </w:tc>
                  </w:sdtContent>
                </w:sdt>
                <w:sdt>
                  <w:sdtPr>
                    <w:rPr>
                      <w:szCs w:val="21"/>
                    </w:rPr>
                    <w:alias w:val="归属于少数股东的综合收益总额"/>
                    <w:tag w:val="_GBC_24909c8051b24e038e7ecf71a699e055"/>
                    <w:id w:val="24721443"/>
                    <w:lock w:val="sdtLocked"/>
                  </w:sdtPr>
                  <w:sdtContent>
                    <w:tc>
                      <w:tcPr>
                        <w:tcW w:w="93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1,906,025.56</w:t>
                        </w:r>
                      </w:p>
                    </w:tc>
                  </w:sdtContent>
                </w:sdt>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leftChars="-19" w:hangingChars="19" w:hanging="40"/>
                      <w:rPr>
                        <w:b/>
                      </w:rPr>
                    </w:pPr>
                    <w:r w:rsidRPr="00626623">
                      <w:rPr>
                        <w:rFonts w:hint="eastAsia"/>
                        <w:b/>
                      </w:rPr>
                      <w:t>八</w:t>
                    </w:r>
                    <w:r w:rsidRPr="00626623">
                      <w:rPr>
                        <w:b/>
                      </w:rPr>
                      <w:t>、每股收益：</w:t>
                    </w:r>
                  </w:p>
                </w:tc>
                <w:tc>
                  <w:tcPr>
                    <w:tcW w:w="370"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（一）基本每股收益(元/股)</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基本每股收益"/>
                        <w:tag w:val="_GBC_76553cb4e445485b831aff1e030deb59"/>
                        <w:id w:val="24721444"/>
                        <w:lock w:val="sdtLocked"/>
                      </w:sdtPr>
                      <w:sdtContent>
                        <w:r w:rsidR="001C1A59">
                          <w:rPr>
                            <w:rFonts w:hint="eastAsia"/>
                            <w:szCs w:val="21"/>
                          </w:rPr>
                          <w:t>七、</w:t>
                        </w:r>
                        <w:r w:rsidR="001C1A59">
                          <w:rPr>
                            <w:szCs w:val="21"/>
                          </w:rPr>
                          <w:t>61</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基本每股收益"/>
                        <w:tag w:val="_GBC_cb3bcf20e0a94c988771c3af30186afc"/>
                        <w:id w:val="24721445"/>
                        <w:lock w:val="sdtLocked"/>
                      </w:sdtPr>
                      <w:sdtContent>
                        <w:r w:rsidR="001C1A59">
                          <w:rPr>
                            <w:rFonts w:hint="eastAsia"/>
                            <w:szCs w:val="21"/>
                          </w:rPr>
                          <w:t>1.26</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基本每股收益"/>
                        <w:tag w:val="_GBC_db8c745745b844aba5c3096d333c47ca"/>
                        <w:id w:val="24721446"/>
                        <w:lock w:val="sdtLocked"/>
                      </w:sdtPr>
                      <w:sdtContent>
                        <w:r w:rsidR="001C1A59">
                          <w:rPr>
                            <w:rFonts w:hint="eastAsia"/>
                            <w:szCs w:val="21"/>
                          </w:rPr>
                          <w:t>0.28</w:t>
                        </w:r>
                      </w:sdtContent>
                    </w:sdt>
                  </w:p>
                </w:tc>
              </w:tr>
              <w:tr w:rsidR="00DE031E" w:rsidTr="00DE031E">
                <w:trPr>
                  <w:trHeight w:hRule="exact" w:val="284"/>
                  <w:jc w:val="center"/>
                </w:trPr>
                <w:tc>
                  <w:tcPr>
                    <w:tcW w:w="2708"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（二）稀释每股收益(元/股)</w:t>
                    </w:r>
                  </w:p>
                </w:tc>
                <w:tc>
                  <w:tcPr>
                    <w:tcW w:w="370"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稀释每股收益"/>
                        <w:tag w:val="_GBC_618c87734c2846d6b6455e040d293603"/>
                        <w:id w:val="24721447"/>
                        <w:lock w:val="sdtLocked"/>
                      </w:sdtPr>
                      <w:sdtContent>
                        <w:r w:rsidR="001C1A59">
                          <w:rPr>
                            <w:rFonts w:hint="eastAsia"/>
                            <w:szCs w:val="21"/>
                          </w:rPr>
                          <w:t>七、</w:t>
                        </w:r>
                        <w:r w:rsidR="001C1A59">
                          <w:rPr>
                            <w:szCs w:val="21"/>
                          </w:rPr>
                          <w:t>61</w:t>
                        </w:r>
                      </w:sdtContent>
                    </w:sdt>
                  </w:p>
                </w:tc>
                <w:tc>
                  <w:tcPr>
                    <w:tcW w:w="98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稀释每股收益"/>
                        <w:tag w:val="_GBC_9c752e84d4fb45cab5fc3ada47f57bd9"/>
                        <w:id w:val="24721448"/>
                        <w:lock w:val="sdtLocked"/>
                      </w:sdtPr>
                      <w:sdtContent>
                        <w:r w:rsidR="001C1A59">
                          <w:rPr>
                            <w:rFonts w:hint="eastAsia"/>
                            <w:szCs w:val="21"/>
                          </w:rPr>
                          <w:t>1.26</w:t>
                        </w:r>
                      </w:sdtContent>
                    </w:sdt>
                  </w:p>
                </w:tc>
                <w:tc>
                  <w:tcPr>
                    <w:tcW w:w="93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稀释每股收益"/>
                        <w:tag w:val="_GBC_89bbdca6088c498f9933fd10bd08c029"/>
                        <w:id w:val="24721449"/>
                        <w:lock w:val="sdtLocked"/>
                      </w:sdtPr>
                      <w:sdtContent>
                        <w:r w:rsidR="001C1A59">
                          <w:rPr>
                            <w:rFonts w:hint="eastAsia"/>
                            <w:szCs w:val="21"/>
                          </w:rPr>
                          <w:t>0.28</w:t>
                        </w:r>
                      </w:sdtContent>
                    </w:sdt>
                  </w:p>
                </w:tc>
              </w:tr>
            </w:tbl>
            <w:p w:rsidR="00DE031E" w:rsidRDefault="001C1A59">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24721450"/>
                  <w:lock w:val="sdtLocked"/>
                  <w:placeholder>
                    <w:docPart w:val="GBC22222222222222222222222222222"/>
                  </w:placeholder>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24721451"/>
                  <w:lock w:val="sdtLocked"/>
                  <w:placeholder>
                    <w:docPart w:val="GBC22222222222222222222222222222"/>
                  </w:placeholder>
                  <w:dataBinding w:prefixMappings="xmlns:clcid-mr='clcid-mr'" w:xpath="/*/clcid-mr:ZhuGuanKuaiJiGongZuoFuZeRenXingMing" w:storeItemID="{89EBAB94-44A0-46A2-B712-30D997D04A6D}"/>
                  <w:text/>
                </w:sdtPr>
                <w:sdtContent>
                  <w:r w:rsidR="00A82E13">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24721452"/>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车晓昕</w:t>
                  </w:r>
                </w:sdtContent>
              </w:sdt>
            </w:p>
          </w:sdtContent>
        </w:sdt>
        <w:p w:rsidR="00DE031E" w:rsidRDefault="00DE031E">
          <w:pPr>
            <w:rPr>
              <w:color w:val="008000"/>
              <w:szCs w:val="21"/>
              <w:u w:val="single"/>
            </w:rPr>
          </w:pPr>
        </w:p>
        <w:sdt>
          <w:sdtPr>
            <w:rPr>
              <w:rFonts w:hint="eastAsia"/>
              <w:b/>
              <w:bCs/>
              <w:szCs w:val="21"/>
            </w:rPr>
            <w:tag w:val="_GBC_fab740d2e6854481af171030c14673b7"/>
            <w:id w:val="24721567"/>
            <w:lock w:val="sdtLocked"/>
            <w:placeholder>
              <w:docPart w:val="GBC22222222222222222222222222222"/>
            </w:placeholder>
          </w:sdtPr>
          <w:sdtEndPr>
            <w:rPr>
              <w:rFonts w:cs="宋体-方正超大字符集"/>
              <w:b w:val="0"/>
              <w:bCs w:val="0"/>
            </w:rPr>
          </w:sdtEndPr>
          <w:sdtContent>
            <w:p w:rsidR="00DE031E" w:rsidRDefault="001C1A59">
              <w:pPr>
                <w:jc w:val="center"/>
                <w:rPr>
                  <w:b/>
                  <w:bCs/>
                  <w:szCs w:val="21"/>
                </w:rPr>
              </w:pPr>
              <w:r>
                <w:rPr>
                  <w:rFonts w:hint="eastAsia"/>
                  <w:b/>
                  <w:bCs/>
                  <w:szCs w:val="21"/>
                </w:rPr>
                <w:t>母公司</w:t>
              </w:r>
              <w:r>
                <w:rPr>
                  <w:b/>
                  <w:bCs/>
                  <w:szCs w:val="21"/>
                </w:rPr>
                <w:t>利润表</w:t>
              </w:r>
              <w:r>
                <w:rPr>
                  <w:rFonts w:hint="eastAsia"/>
                  <w:b/>
                  <w:szCs w:val="21"/>
                </w:rPr>
                <w:t>（未经审计）</w:t>
              </w:r>
            </w:p>
            <w:p w:rsidR="00DE031E" w:rsidRDefault="001C1A59">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DE031E" w:rsidRDefault="001C1A59">
              <w:pPr>
                <w:snapToGrid w:val="0"/>
                <w:spacing w:line="240" w:lineRule="atLeast"/>
                <w:jc w:val="right"/>
                <w:rPr>
                  <w:szCs w:val="21"/>
                </w:rPr>
              </w:pPr>
              <w:r>
                <w:rPr>
                  <w:szCs w:val="21"/>
                </w:rPr>
                <w:t>单位:</w:t>
              </w:r>
              <w:sdt>
                <w:sdtPr>
                  <w:rPr>
                    <w:szCs w:val="21"/>
                  </w:rPr>
                  <w:alias w:val="单位：母公司利润表"/>
                  <w:tag w:val="_GBC_955732cd74ff4f1f9b098e70c1b85c60"/>
                  <w:id w:val="247214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24721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40" w:type="pct"/>
                <w:jc w:val="center"/>
                <w:tblBorders>
                  <w:top w:val="single" w:sz="4" w:space="0" w:color="auto"/>
                  <w:left w:val="single" w:sz="4" w:space="0" w:color="auto"/>
                  <w:bottom w:val="single" w:sz="4" w:space="0" w:color="auto"/>
                  <w:right w:val="single" w:sz="4" w:space="0" w:color="auto"/>
                </w:tblBorders>
                <w:tblLook w:val="0000"/>
              </w:tblPr>
              <w:tblGrid>
                <w:gridCol w:w="5269"/>
                <w:gridCol w:w="832"/>
                <w:gridCol w:w="2015"/>
                <w:gridCol w:w="1910"/>
              </w:tblGrid>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color w:val="000000"/>
                        <w:szCs w:val="21"/>
                      </w:rPr>
                    </w:pPr>
                    <w:r>
                      <w:rPr>
                        <w:rFonts w:hint="eastAsia"/>
                        <w:b/>
                        <w:bCs/>
                        <w:szCs w:val="21"/>
                      </w:rPr>
                      <w:t>项目</w:t>
                    </w:r>
                  </w:p>
                </w:tc>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szCs w:val="21"/>
                      </w:rPr>
                    </w:pPr>
                    <w:r>
                      <w:rPr>
                        <w:b/>
                        <w:szCs w:val="21"/>
                      </w:rPr>
                      <w:t>附注</w:t>
                    </w:r>
                  </w:p>
                </w:tc>
                <w:tc>
                  <w:tcPr>
                    <w:tcW w:w="998"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szCs w:val="21"/>
                      </w:rPr>
                    </w:pPr>
                    <w:r>
                      <w:rPr>
                        <w:b/>
                        <w:szCs w:val="21"/>
                      </w:rPr>
                      <w:t>本期</w:t>
                    </w:r>
                    <w:r>
                      <w:rPr>
                        <w:rFonts w:hint="eastAsia"/>
                        <w:b/>
                        <w:szCs w:val="21"/>
                      </w:rPr>
                      <w:t>发生</w:t>
                    </w:r>
                    <w:r>
                      <w:rPr>
                        <w:b/>
                        <w:szCs w:val="21"/>
                      </w:rPr>
                      <w:t>额</w:t>
                    </w:r>
                  </w:p>
                </w:tc>
                <w:tc>
                  <w:tcPr>
                    <w:tcW w:w="953"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szCs w:val="21"/>
                      </w:rPr>
                    </w:pPr>
                    <w:r>
                      <w:rPr>
                        <w:b/>
                        <w:szCs w:val="21"/>
                      </w:rPr>
                      <w:t>上期</w:t>
                    </w:r>
                    <w:r>
                      <w:rPr>
                        <w:rFonts w:hint="eastAsia"/>
                        <w:b/>
                        <w:szCs w:val="21"/>
                      </w:rPr>
                      <w:t>发生</w:t>
                    </w:r>
                    <w:r>
                      <w:rPr>
                        <w:b/>
                        <w:szCs w:val="21"/>
                      </w:rPr>
                      <w:t>额</w:t>
                    </w:r>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color w:val="000000"/>
                        <w:szCs w:val="21"/>
                      </w:rPr>
                    </w:pPr>
                    <w:r w:rsidRPr="00626623">
                      <w:rPr>
                        <w:rFonts w:hint="eastAsia"/>
                        <w:b/>
                        <w:szCs w:val="21"/>
                      </w:rPr>
                      <w:t>一、营业收入</w:t>
                    </w:r>
                  </w:p>
                </w:tc>
                <w:tc>
                  <w:tcPr>
                    <w:tcW w:w="418"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营业收入"/>
                        <w:tag w:val="_GBC_5ad84399626343adba2834968ec06e8d"/>
                        <w:id w:val="24721456"/>
                        <w:lock w:val="sdtLocked"/>
                        <w:showingPlcHdr/>
                      </w:sdtPr>
                      <w:sdtContent>
                        <w:r w:rsidR="001C1A59" w:rsidRPr="00626623">
                          <w:rPr>
                            <w:rFonts w:hint="eastAsia"/>
                            <w:b/>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营业收入"/>
                        <w:tag w:val="_GBC_c18459ba0a74402899d719e036fc3f1b"/>
                        <w:id w:val="24721457"/>
                        <w:lock w:val="sdtLocked"/>
                      </w:sdtPr>
                      <w:sdtContent>
                        <w:r w:rsidR="001C1A59" w:rsidRPr="00626623">
                          <w:rPr>
                            <w:rFonts w:hint="eastAsia"/>
                            <w:b/>
                            <w:szCs w:val="21"/>
                          </w:rPr>
                          <w:t>14,551,458,750.86</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bCs/>
                        <w:color w:val="000000" w:themeColor="text1"/>
                        <w:szCs w:val="21"/>
                      </w:rPr>
                    </w:pPr>
                    <w:sdt>
                      <w:sdtPr>
                        <w:rPr>
                          <w:rFonts w:hint="eastAsia"/>
                          <w:b/>
                          <w:bCs/>
                          <w:szCs w:val="21"/>
                        </w:rPr>
                        <w:alias w:val="营业收入"/>
                        <w:tag w:val="_GBC_b06d927e547049b39a017a9e30dce492"/>
                        <w:id w:val="24721458"/>
                        <w:lock w:val="sdtLocked"/>
                      </w:sdtPr>
                      <w:sdtContent>
                        <w:r w:rsidR="001C1A59" w:rsidRPr="00626623">
                          <w:rPr>
                            <w:rFonts w:hint="eastAsia"/>
                            <w:b/>
                            <w:bCs/>
                            <w:szCs w:val="21"/>
                          </w:rPr>
                          <w:t>3,432,413,195.32</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手续费及佣金净收入</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pStyle w:val="ae"/>
                      <w:spacing w:after="0"/>
                      <w:jc w:val="left"/>
                      <w:rPr>
                        <w:rFonts w:ascii="宋体" w:hAnsi="宋体"/>
                        <w:color w:val="000000" w:themeColor="text1"/>
                      </w:rPr>
                    </w:pPr>
                    <w:sdt>
                      <w:sdtPr>
                        <w:rPr>
                          <w:rFonts w:ascii="宋体" w:hAnsi="宋体" w:hint="eastAsia"/>
                          <w:color w:val="000000" w:themeColor="text1"/>
                        </w:rPr>
                        <w:alias w:val="附注_手续费及佣金净收入"/>
                        <w:tag w:val="_GBC_e4212984257e4225b9e69bff3dc43513"/>
                        <w:id w:val="24721459"/>
                        <w:lock w:val="sdtLocked"/>
                      </w:sdtPr>
                      <w:sdtContent>
                        <w:r w:rsidR="001C1A59">
                          <w:rPr>
                            <w:rFonts w:ascii="宋体" w:hAnsi="宋体" w:hint="eastAsia"/>
                            <w:color w:val="000000" w:themeColor="text1"/>
                          </w:rPr>
                          <w:t>八、2</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手续费及佣金净收入"/>
                        <w:tag w:val="_GBC_c239852b22fb48d4b21e2e16a431f619"/>
                        <w:id w:val="24721460"/>
                        <w:lock w:val="sdtLocked"/>
                      </w:sdtPr>
                      <w:sdtContent>
                        <w:r w:rsidR="001C1A59">
                          <w:rPr>
                            <w:rFonts w:hint="eastAsia"/>
                            <w:szCs w:val="21"/>
                          </w:rPr>
                          <w:t>8,181,534,941.55</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手续费及佣金净收入"/>
                        <w:tag w:val="_GBC_122bfda3f96b46e4aef69234b23a1fe1"/>
                        <w:id w:val="24721461"/>
                        <w:lock w:val="sdtLocked"/>
                      </w:sdtPr>
                      <w:sdtContent>
                        <w:r w:rsidR="001C1A59">
                          <w:rPr>
                            <w:rFonts w:hint="eastAsia"/>
                            <w:bCs/>
                            <w:szCs w:val="21"/>
                          </w:rPr>
                          <w:t>1,665,209,270.79</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其中：经纪业务手续费净收入</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color w:val="000000" w:themeColor="text1"/>
                          <w:szCs w:val="21"/>
                        </w:rPr>
                        <w:alias w:val="附注_经纪业务手续费净收入"/>
                        <w:tag w:val="_GBC_cc3bc186f51f4bd18d16e400674bd8f3"/>
                        <w:id w:val="24721462"/>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szCs w:val="21"/>
                        </w:rPr>
                        <w:alias w:val="经纪业务手续费净收入"/>
                        <w:tag w:val="_GBC_aaf5e603c845434fa88935cb596a176a"/>
                        <w:id w:val="24721463"/>
                        <w:lock w:val="sdtLocked"/>
                      </w:sdtPr>
                      <w:sdtContent>
                        <w:r w:rsidR="001C1A59">
                          <w:rPr>
                            <w:szCs w:val="21"/>
                          </w:rPr>
                          <w:t>7,068,133,649.57</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bCs/>
                          <w:szCs w:val="21"/>
                        </w:rPr>
                        <w:alias w:val="经纪业务手续费净收入"/>
                        <w:tag w:val="_GBC_68f95f10310c42549dba8a4435f40574"/>
                        <w:id w:val="24721464"/>
                        <w:lock w:val="sdtLocked"/>
                      </w:sdtPr>
                      <w:sdtContent>
                        <w:r w:rsidR="001C1A59">
                          <w:rPr>
                            <w:bCs/>
                            <w:szCs w:val="21"/>
                          </w:rPr>
                          <w:t>1,171,027,681.63</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400" w:firstLine="840"/>
                    </w:pPr>
                    <w:r>
                      <w:rPr>
                        <w:rFonts w:hint="eastAsia"/>
                      </w:rPr>
                      <w:t>投资银行业务手续费净收入</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pStyle w:val="ae"/>
                      <w:spacing w:after="0"/>
                      <w:jc w:val="left"/>
                      <w:rPr>
                        <w:rFonts w:ascii="宋体" w:hAnsi="宋体"/>
                        <w:color w:val="000000" w:themeColor="text1"/>
                      </w:rPr>
                    </w:pPr>
                    <w:sdt>
                      <w:sdtPr>
                        <w:rPr>
                          <w:rFonts w:ascii="宋体" w:hAnsi="宋体"/>
                          <w:color w:val="000000" w:themeColor="text1"/>
                        </w:rPr>
                        <w:alias w:val="附注_投资银行业务手续费净收入"/>
                        <w:tag w:val="_GBC_1ee1dd7d077f41f3870e0141262f5f9e"/>
                        <w:id w:val="24721465"/>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alias w:val="投资银行业务手续费净收入"/>
                        <w:tag w:val="_GBC_e099feae64b049a2a4fdb15df631fbfc"/>
                        <w:id w:val="24721466"/>
                        <w:lock w:val="sdtLocked"/>
                      </w:sdtPr>
                      <w:sdtContent>
                        <w:r w:rsidR="001C1A59">
                          <w:t>739,421,241.48</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alias w:val="投资银行业务手续费净收入"/>
                        <w:tag w:val="_GBC_3bdf4494b6d0432dbdc95c2c2e78ced3"/>
                        <w:id w:val="24721467"/>
                        <w:lock w:val="sdtLocked"/>
                      </w:sdtPr>
                      <w:sdtContent>
                        <w:r w:rsidR="001C1A59">
                          <w:t>354,075,339.53</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400" w:firstLine="840"/>
                    </w:pPr>
                    <w:r>
                      <w:rPr>
                        <w:rFonts w:hint="eastAsia"/>
                      </w:rPr>
                      <w:t>资产管理业务手续费净收入</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pStyle w:val="ae"/>
                      <w:spacing w:after="0"/>
                      <w:jc w:val="left"/>
                      <w:rPr>
                        <w:rFonts w:ascii="宋体" w:hAnsi="宋体"/>
                        <w:color w:val="000000" w:themeColor="text1"/>
                      </w:rPr>
                    </w:pPr>
                    <w:sdt>
                      <w:sdtPr>
                        <w:rPr>
                          <w:rFonts w:ascii="宋体" w:hAnsi="宋体"/>
                          <w:color w:val="000000" w:themeColor="text1"/>
                        </w:rPr>
                        <w:alias w:val="附注_资产管理业务手续费净收入"/>
                        <w:tag w:val="_GBC_f33ddf2698eb4a828f2df7aca0482403"/>
                        <w:id w:val="24721468"/>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资产管理业务手续费净收入"/>
                        <w:tag w:val="_GBC_2a38d7f6c9e841288ffc32459d305eb8"/>
                        <w:id w:val="24721469"/>
                        <w:lock w:val="sdtLocked"/>
                      </w:sdtPr>
                      <w:sdtContent>
                        <w:r w:rsidR="001C1A59">
                          <w:rPr>
                            <w:rFonts w:hint="eastAsia"/>
                            <w:szCs w:val="21"/>
                          </w:rPr>
                          <w:t>276,641,623.20</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资产管理业务手续费净收入"/>
                        <w:tag w:val="_GBC_6f1fa63e45114907bc1301a5fcb4365e"/>
                        <w:id w:val="24721470"/>
                        <w:lock w:val="sdtLocked"/>
                      </w:sdtPr>
                      <w:sdtContent>
                        <w:r w:rsidR="001C1A59">
                          <w:rPr>
                            <w:rFonts w:hint="eastAsia"/>
                            <w:bCs/>
                            <w:szCs w:val="21"/>
                          </w:rPr>
                          <w:t>134,975,514.04</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利息净收入</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利息净收入"/>
                        <w:tag w:val="_GBC_4a0bd4c8de43499a97082954057c2654"/>
                        <w:id w:val="24721471"/>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金融资产利息净收入"/>
                        <w:tag w:val="_GBC_f20b6fea53494d51951a8d572aa1e580"/>
                        <w:id w:val="24721472"/>
                        <w:lock w:val="sdtLocked"/>
                      </w:sdtPr>
                      <w:sdtContent>
                        <w:r w:rsidR="001C1A59">
                          <w:rPr>
                            <w:rFonts w:hint="eastAsia"/>
                            <w:szCs w:val="21"/>
                          </w:rPr>
                          <w:t>1,781,847,825.55</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金融资产利息净收入"/>
                        <w:tag w:val="_GBC_cbeaf0ecc88e4d83b6e6f64adee26083"/>
                        <w:id w:val="24721473"/>
                        <w:lock w:val="sdtLocked"/>
                      </w:sdtPr>
                      <w:sdtContent>
                        <w:r w:rsidR="001C1A59">
                          <w:rPr>
                            <w:rFonts w:hint="eastAsia"/>
                            <w:bCs/>
                            <w:szCs w:val="21"/>
                          </w:rPr>
                          <w:t>651,268,757.07</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投资收益（损失以“－”号填列）</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投资收益"/>
                        <w:tag w:val="_GBC_fa1b6702737443c482b6aff11e51312d"/>
                        <w:id w:val="24721474"/>
                        <w:lock w:val="sdtLocked"/>
                      </w:sdtPr>
                      <w:sdtContent>
                        <w:r w:rsidR="001C1A59">
                          <w:rPr>
                            <w:rFonts w:hint="eastAsia"/>
                            <w:color w:val="000000" w:themeColor="text1"/>
                            <w:szCs w:val="21"/>
                          </w:rPr>
                          <w:t>八、3</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投资收益"/>
                        <w:tag w:val="_GBC_9c3e023229ff4a4c8c2f931c66c06829"/>
                        <w:id w:val="24721475"/>
                        <w:lock w:val="sdtLocked"/>
                      </w:sdtPr>
                      <w:sdtContent>
                        <w:r w:rsidR="001C1A59">
                          <w:rPr>
                            <w:rFonts w:hint="eastAsia"/>
                            <w:szCs w:val="21"/>
                          </w:rPr>
                          <w:t>2,276,951,248.24</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投资收益"/>
                        <w:tag w:val="_GBC_16ebdfb9c3704d109204ba34d4d91e7a"/>
                        <w:id w:val="24721476"/>
                        <w:lock w:val="sdtLocked"/>
                      </w:sdtPr>
                      <w:sdtContent>
                        <w:r w:rsidR="001C1A59">
                          <w:rPr>
                            <w:rFonts w:hint="eastAsia"/>
                            <w:bCs/>
                            <w:szCs w:val="21"/>
                          </w:rPr>
                          <w:t>1,157,938,708.84</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其中：对联营企业和合营企业的投资收益</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对联营企业和合营企业的投资收益"/>
                        <w:tag w:val="_GBC_a26b1d90072c48a98d3fda674bbc506a"/>
                        <w:id w:val="24721477"/>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对联营企业和合营企业的投资收益"/>
                        <w:tag w:val="_GBC_9111e450ba5240d1958ce87d4e97ffeb"/>
                        <w:id w:val="24721478"/>
                        <w:lock w:val="sdtLocked"/>
                      </w:sdtPr>
                      <w:sdtContent>
                        <w:r w:rsidR="001C1A59">
                          <w:rPr>
                            <w:rFonts w:hint="eastAsia"/>
                            <w:szCs w:val="21"/>
                          </w:rPr>
                          <w:t>304,497,971.37</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对联营企业和合营企业的投资收益"/>
                        <w:tag w:val="_GBC_c21c8aa6c76c4deb92ccbb71c67a6ffa"/>
                        <w:id w:val="24721479"/>
                        <w:lock w:val="sdtLocked"/>
                      </w:sdtPr>
                      <w:sdtContent>
                        <w:r w:rsidR="001C1A59">
                          <w:rPr>
                            <w:rFonts w:hint="eastAsia"/>
                            <w:bCs/>
                            <w:szCs w:val="21"/>
                          </w:rPr>
                          <w:t>160,179,979.95</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公允价值变动收益（损失以“－”号填列）</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公允价值变动收益"/>
                        <w:tag w:val="_GBC_74a66056c8b64a10855b0fac96a4affd"/>
                        <w:id w:val="24721480"/>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公允价值变动收益"/>
                        <w:tag w:val="_GBC_e35c5f5abc4443e5a6a3e0e998b37336"/>
                        <w:id w:val="24721481"/>
                        <w:lock w:val="sdtLocked"/>
                      </w:sdtPr>
                      <w:sdtContent>
                        <w:r w:rsidR="001C1A59">
                          <w:rPr>
                            <w:rFonts w:hint="eastAsia"/>
                            <w:szCs w:val="21"/>
                          </w:rPr>
                          <w:t>2,306,502,747.41</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公允价值变动收益"/>
                        <w:tag w:val="_GBC_d750ef04c4db4d87a28281fcaf3c792d"/>
                        <w:id w:val="24721482"/>
                        <w:lock w:val="sdtLocked"/>
                      </w:sdtPr>
                      <w:sdtContent>
                        <w:r w:rsidR="001C1A59">
                          <w:rPr>
                            <w:rFonts w:hint="eastAsia"/>
                            <w:bCs/>
                            <w:szCs w:val="21"/>
                          </w:rPr>
                          <w:t>-50,230,283.44</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汇兑收益（损失以“－”号填列）</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汇兑收益"/>
                        <w:tag w:val="_GBC_23dc8958347c4e3ca784a2a9cb14a88d"/>
                        <w:id w:val="24721483"/>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汇兑收益"/>
                        <w:tag w:val="_GBC_0d551a811c0c4f7cbead1571890cb8e9"/>
                        <w:id w:val="24721484"/>
                        <w:lock w:val="sdtLocked"/>
                      </w:sdtPr>
                      <w:sdtContent>
                        <w:r w:rsidR="001C1A59">
                          <w:rPr>
                            <w:rFonts w:hint="eastAsia"/>
                            <w:szCs w:val="21"/>
                          </w:rPr>
                          <w:t>-33,662.10</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汇兑收益"/>
                        <w:tag w:val="_GBC_5c311786609b46cc8282ab5d8a4603d4"/>
                        <w:id w:val="24721485"/>
                        <w:lock w:val="sdtLocked"/>
                      </w:sdtPr>
                      <w:sdtContent>
                        <w:r w:rsidR="001C1A59">
                          <w:rPr>
                            <w:rFonts w:hint="eastAsia"/>
                            <w:bCs/>
                            <w:szCs w:val="21"/>
                          </w:rPr>
                          <w:t>551,340.81</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其他业务收入</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其他业务收入"/>
                        <w:tag w:val="_GBC_ffdfe83816fb4f4ea1dc04111cfe9661"/>
                        <w:id w:val="24721486"/>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业务收入"/>
                        <w:tag w:val="_GBC_09772e7bfe4c45599d18034c17f305cd"/>
                        <w:id w:val="24721487"/>
                        <w:lock w:val="sdtLocked"/>
                      </w:sdtPr>
                      <w:sdtContent>
                        <w:r w:rsidR="001C1A59">
                          <w:rPr>
                            <w:rFonts w:hint="eastAsia"/>
                            <w:szCs w:val="21"/>
                          </w:rPr>
                          <w:t>4,655,650.21</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其他业务收入"/>
                        <w:tag w:val="_GBC_bebde594084e465bb4a2fefe3c75ad70"/>
                        <w:id w:val="24721488"/>
                        <w:lock w:val="sdtLocked"/>
                      </w:sdtPr>
                      <w:sdtContent>
                        <w:r w:rsidR="001C1A59">
                          <w:rPr>
                            <w:rFonts w:hint="eastAsia"/>
                            <w:bCs/>
                            <w:szCs w:val="21"/>
                          </w:rPr>
                          <w:t>7,675,401.25</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color w:val="000000"/>
                        <w:szCs w:val="21"/>
                      </w:rPr>
                    </w:pPr>
                    <w:r w:rsidRPr="00626623">
                      <w:rPr>
                        <w:rFonts w:hint="eastAsia"/>
                        <w:b/>
                        <w:szCs w:val="21"/>
                      </w:rPr>
                      <w:t>二、营业支出</w:t>
                    </w:r>
                  </w:p>
                </w:tc>
                <w:tc>
                  <w:tcPr>
                    <w:tcW w:w="418"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营业成本"/>
                        <w:tag w:val="_GBC_5645eb3057d34e2fb02f1dc59116f4df"/>
                        <w:id w:val="24721489"/>
                        <w:lock w:val="sdtLocked"/>
                        <w:showingPlcHdr/>
                      </w:sdtPr>
                      <w:sdtContent>
                        <w:r w:rsidR="001C1A59" w:rsidRPr="00626623">
                          <w:rPr>
                            <w:rFonts w:hint="eastAsia"/>
                            <w:b/>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营业成本"/>
                        <w:tag w:val="_GBC_d7122affddd84ff8b6961824c56ba0d8"/>
                        <w:id w:val="24721490"/>
                        <w:lock w:val="sdtLocked"/>
                      </w:sdtPr>
                      <w:sdtContent>
                        <w:r w:rsidR="001C1A59" w:rsidRPr="00626623">
                          <w:rPr>
                            <w:rFonts w:hint="eastAsia"/>
                            <w:b/>
                            <w:szCs w:val="21"/>
                          </w:rPr>
                          <w:t>6,033,319,524.81</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bCs/>
                        <w:color w:val="000000" w:themeColor="text1"/>
                        <w:szCs w:val="21"/>
                      </w:rPr>
                    </w:pPr>
                    <w:sdt>
                      <w:sdtPr>
                        <w:rPr>
                          <w:rFonts w:hint="eastAsia"/>
                          <w:b/>
                          <w:bCs/>
                          <w:szCs w:val="21"/>
                        </w:rPr>
                        <w:alias w:val="营业成本"/>
                        <w:tag w:val="_GBC_fa63615a594e4b60b995c2cac28ddce9"/>
                        <w:id w:val="24721491"/>
                        <w:lock w:val="sdtLocked"/>
                      </w:sdtPr>
                      <w:sdtContent>
                        <w:r w:rsidR="001C1A59" w:rsidRPr="00626623">
                          <w:rPr>
                            <w:rFonts w:hint="eastAsia"/>
                            <w:b/>
                            <w:bCs/>
                            <w:szCs w:val="21"/>
                          </w:rPr>
                          <w:t>1,690,802,679.06</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营业税金及附加</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营业税金及附加"/>
                        <w:tag w:val="_GBC_f805ad73236748ca9e7b67b59923378f"/>
                        <w:id w:val="24721492"/>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营业税金及附加"/>
                        <w:tag w:val="_GBC_8f5adc06a00a44758b15e6abf8b0db8f"/>
                        <w:id w:val="24721493"/>
                        <w:lock w:val="sdtLocked"/>
                      </w:sdtPr>
                      <w:sdtContent>
                        <w:r w:rsidR="001C1A59">
                          <w:rPr>
                            <w:rFonts w:hint="eastAsia"/>
                            <w:szCs w:val="21"/>
                          </w:rPr>
                          <w:t>934,756,604.21</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营业税金及附加"/>
                        <w:tag w:val="_GBC_0b0d825a0f7d41598c6d029d9c1c230b"/>
                        <w:id w:val="24721494"/>
                        <w:lock w:val="sdtLocked"/>
                      </w:sdtPr>
                      <w:sdtContent>
                        <w:r w:rsidR="001C1A59">
                          <w:rPr>
                            <w:rFonts w:hint="eastAsia"/>
                            <w:bCs/>
                            <w:szCs w:val="21"/>
                          </w:rPr>
                          <w:t>202,726,884.34</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业务及管理费</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业务及管理费"/>
                        <w:tag w:val="_GBC_f5f658eaad764b95a3c2be0ab154472e"/>
                        <w:id w:val="24721495"/>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业务及管理费"/>
                        <w:tag w:val="_GBC_1e130b882f5e4f2fb450f844920b5b11"/>
                        <w:id w:val="24721496"/>
                        <w:lock w:val="sdtLocked"/>
                      </w:sdtPr>
                      <w:sdtContent>
                        <w:r w:rsidR="001C1A59">
                          <w:rPr>
                            <w:rFonts w:hint="eastAsia"/>
                            <w:szCs w:val="21"/>
                          </w:rPr>
                          <w:t>5,102,562,468.43</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业务及管理费"/>
                        <w:tag w:val="_GBC_1b652a0053894dbf9e80670af680dd03"/>
                        <w:id w:val="24721497"/>
                        <w:lock w:val="sdtLocked"/>
                      </w:sdtPr>
                      <w:sdtContent>
                        <w:r w:rsidR="001C1A59">
                          <w:rPr>
                            <w:rFonts w:hint="eastAsia"/>
                            <w:bCs/>
                            <w:szCs w:val="21"/>
                          </w:rPr>
                          <w:t>1,485,324,415.79</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资产减值损失</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资产减值损失"/>
                        <w:tag w:val="_GBC_4e16a5f106f44443aee461451e117ee0"/>
                        <w:id w:val="24721498"/>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资产减值损失"/>
                        <w:tag w:val="_GBC_d5c243ee119943ba9848bb5a91ba7f4f"/>
                        <w:id w:val="24721499"/>
                        <w:lock w:val="sdtLocked"/>
                      </w:sdtPr>
                      <w:sdtContent>
                        <w:r w:rsidR="001C1A59">
                          <w:rPr>
                            <w:rFonts w:hint="eastAsia"/>
                            <w:szCs w:val="21"/>
                          </w:rPr>
                          <w:t>-4,409,462.97</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资产减值损失"/>
                        <w:tag w:val="_GBC_7ccc046365cd4c3880cdcfecd27159bf"/>
                        <w:id w:val="24721500"/>
                        <w:lock w:val="sdtLocked"/>
                      </w:sdtPr>
                      <w:sdtContent>
                        <w:r w:rsidR="001C1A59">
                          <w:rPr>
                            <w:rFonts w:hint="eastAsia"/>
                            <w:bCs/>
                            <w:szCs w:val="21"/>
                          </w:rPr>
                          <w:t>2,341,463.79</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其他业务成本</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其他业务成本"/>
                        <w:tag w:val="_GBC_e3c066a037d14d33b61122a9ccabaa4a"/>
                        <w:id w:val="24721501"/>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其他业务成本"/>
                        <w:tag w:val="_GBC_7ff8d37c35894bc6b94dcda7f21777fe"/>
                        <w:id w:val="24721502"/>
                        <w:lock w:val="sdtLocked"/>
                      </w:sdtPr>
                      <w:sdtContent>
                        <w:r w:rsidR="001C1A59">
                          <w:rPr>
                            <w:rFonts w:hint="eastAsia"/>
                            <w:szCs w:val="21"/>
                          </w:rPr>
                          <w:t>409,915.14</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其他业务成本"/>
                        <w:tag w:val="_GBC_aafdb246e12742dbacc7130ad85fefb5"/>
                        <w:id w:val="24721503"/>
                        <w:lock w:val="sdtLocked"/>
                      </w:sdtPr>
                      <w:sdtContent>
                        <w:r w:rsidR="001C1A59">
                          <w:rPr>
                            <w:rFonts w:hint="eastAsia"/>
                            <w:bCs/>
                            <w:szCs w:val="21"/>
                          </w:rPr>
                          <w:t>409,915.14</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color w:val="000000"/>
                        <w:szCs w:val="21"/>
                      </w:rPr>
                    </w:pPr>
                    <w:r w:rsidRPr="00626623">
                      <w:rPr>
                        <w:rFonts w:hint="eastAsia"/>
                        <w:b/>
                        <w:szCs w:val="21"/>
                      </w:rPr>
                      <w:t>三、营业利润（亏损以“－” 号填列）</w:t>
                    </w:r>
                  </w:p>
                </w:tc>
                <w:tc>
                  <w:tcPr>
                    <w:tcW w:w="418"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营业利润"/>
                        <w:tag w:val="_GBC_34c445d24f4e4226a772f89f3ddd787d"/>
                        <w:id w:val="24721504"/>
                        <w:lock w:val="sdtLocked"/>
                        <w:showingPlcHdr/>
                      </w:sdtPr>
                      <w:sdtContent>
                        <w:r w:rsidR="001C1A59" w:rsidRPr="00626623">
                          <w:rPr>
                            <w:rFonts w:hint="eastAsia"/>
                            <w:b/>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营业利润"/>
                        <w:tag w:val="_GBC_0cf74c5669ce4944a3a530ce6cde8514"/>
                        <w:id w:val="24721505"/>
                        <w:lock w:val="sdtLocked"/>
                      </w:sdtPr>
                      <w:sdtContent>
                        <w:r w:rsidR="001C1A59" w:rsidRPr="00626623">
                          <w:rPr>
                            <w:rFonts w:hint="eastAsia"/>
                            <w:b/>
                            <w:szCs w:val="21"/>
                          </w:rPr>
                          <w:t>8,518,139,226.05</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bCs/>
                        <w:color w:val="000000" w:themeColor="text1"/>
                        <w:szCs w:val="21"/>
                      </w:rPr>
                    </w:pPr>
                    <w:sdt>
                      <w:sdtPr>
                        <w:rPr>
                          <w:rFonts w:hint="eastAsia"/>
                          <w:b/>
                          <w:bCs/>
                          <w:szCs w:val="21"/>
                        </w:rPr>
                        <w:alias w:val="营业利润"/>
                        <w:tag w:val="_GBC_65b154d28cf44347b9d33525abdca574"/>
                        <w:id w:val="24721506"/>
                        <w:lock w:val="sdtLocked"/>
                      </w:sdtPr>
                      <w:sdtContent>
                        <w:r w:rsidR="001C1A59" w:rsidRPr="00626623">
                          <w:rPr>
                            <w:rFonts w:hint="eastAsia"/>
                            <w:b/>
                            <w:bCs/>
                            <w:szCs w:val="21"/>
                          </w:rPr>
                          <w:t>1,741,610,516.26</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加：营业外收入</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营业外收入"/>
                        <w:tag w:val="_GBC_a981e06471c74cf6857b99a84425469f"/>
                        <w:id w:val="24721507"/>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营业外收入"/>
                        <w:tag w:val="_GBC_b145fa0fd8524ee8974f9bc1be093604"/>
                        <w:id w:val="24721508"/>
                        <w:lock w:val="sdtLocked"/>
                      </w:sdtPr>
                      <w:sdtContent>
                        <w:r w:rsidR="001C1A59">
                          <w:rPr>
                            <w:rFonts w:hint="eastAsia"/>
                            <w:szCs w:val="21"/>
                          </w:rPr>
                          <w:t>26,108,743.89</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营业外收入"/>
                        <w:tag w:val="_GBC_efa0a086ccf44bb39391ea2fa5433d7a"/>
                        <w:id w:val="24721509"/>
                        <w:lock w:val="sdtLocked"/>
                      </w:sdtPr>
                      <w:sdtContent>
                        <w:r w:rsidR="001C1A59">
                          <w:rPr>
                            <w:rFonts w:hint="eastAsia"/>
                            <w:bCs/>
                            <w:szCs w:val="21"/>
                          </w:rPr>
                          <w:t>3,779,907.86</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rPr>
                        <w:rFonts w:hint="eastAsia"/>
                      </w:rPr>
                      <w:t>减：营业外支出</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营业外支出"/>
                        <w:tag w:val="_GBC_42df0a58fae044eba71d886e4e7575de"/>
                        <w:id w:val="24721510"/>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营业外支出"/>
                        <w:tag w:val="_GBC_c0714c8d8b054bb9aeab77a0c8c826c2"/>
                        <w:id w:val="24721511"/>
                        <w:lock w:val="sdtLocked"/>
                      </w:sdtPr>
                      <w:sdtContent>
                        <w:r w:rsidR="001C1A59">
                          <w:rPr>
                            <w:rFonts w:hint="eastAsia"/>
                            <w:szCs w:val="21"/>
                          </w:rPr>
                          <w:t>29,187.71</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营业外支出"/>
                        <w:tag w:val="_GBC_33c46fec888543598d6866e15eb7fcea"/>
                        <w:id w:val="24721512"/>
                        <w:lock w:val="sdtLocked"/>
                      </w:sdtPr>
                      <w:sdtContent>
                        <w:r w:rsidR="001C1A59">
                          <w:rPr>
                            <w:rFonts w:hint="eastAsia"/>
                            <w:bCs/>
                            <w:szCs w:val="21"/>
                          </w:rPr>
                          <w:t>94,776.35</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color w:val="000000"/>
                        <w:szCs w:val="21"/>
                      </w:rPr>
                    </w:pPr>
                    <w:r w:rsidRPr="00626623">
                      <w:rPr>
                        <w:rFonts w:hint="eastAsia"/>
                        <w:b/>
                        <w:szCs w:val="21"/>
                      </w:rPr>
                      <w:t>四、利润总额（亏损总额以“－”号填列）</w:t>
                    </w:r>
                  </w:p>
                </w:tc>
                <w:tc>
                  <w:tcPr>
                    <w:tcW w:w="418"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利润总额"/>
                        <w:tag w:val="_GBC_17f5d8b1f9ac4876880371f28b8c069b"/>
                        <w:id w:val="24721513"/>
                        <w:lock w:val="sdtLocked"/>
                        <w:showingPlcHdr/>
                      </w:sdtPr>
                      <w:sdtContent>
                        <w:r w:rsidR="001C1A59" w:rsidRPr="00626623">
                          <w:rPr>
                            <w:rFonts w:hint="eastAsia"/>
                            <w:b/>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利润总额"/>
                        <w:tag w:val="_GBC_9838136c6fbf47829a3c2788c122b4b5"/>
                        <w:id w:val="24721514"/>
                        <w:lock w:val="sdtLocked"/>
                      </w:sdtPr>
                      <w:sdtContent>
                        <w:r w:rsidR="001C1A59" w:rsidRPr="00626623">
                          <w:rPr>
                            <w:rFonts w:hint="eastAsia"/>
                            <w:b/>
                            <w:szCs w:val="21"/>
                          </w:rPr>
                          <w:t>8,544,218,782.23</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bCs/>
                        <w:color w:val="000000" w:themeColor="text1"/>
                        <w:szCs w:val="21"/>
                      </w:rPr>
                    </w:pPr>
                    <w:sdt>
                      <w:sdtPr>
                        <w:rPr>
                          <w:rFonts w:hint="eastAsia"/>
                          <w:b/>
                          <w:bCs/>
                          <w:szCs w:val="21"/>
                        </w:rPr>
                        <w:alias w:val="利润总额"/>
                        <w:tag w:val="_GBC_9f38581c88d74c2294f1ea2cfe8f8cec"/>
                        <w:id w:val="24721515"/>
                        <w:lock w:val="sdtLocked"/>
                      </w:sdtPr>
                      <w:sdtContent>
                        <w:r w:rsidR="001C1A59" w:rsidRPr="00626623">
                          <w:rPr>
                            <w:rFonts w:hint="eastAsia"/>
                            <w:b/>
                            <w:bCs/>
                            <w:szCs w:val="21"/>
                          </w:rPr>
                          <w:t>1,745,295,647.77</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color w:val="000000"/>
                        <w:szCs w:val="18"/>
                      </w:rPr>
                    </w:pPr>
                    <w:r>
                      <w:rPr>
                        <w:rFonts w:hint="eastAsia"/>
                      </w:rPr>
                      <w:t>减：所得税费用</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所得税"/>
                        <w:tag w:val="_GBC_c31efa9ca05a43339468b33ae4b50ccb"/>
                        <w:id w:val="24721516"/>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所得税"/>
                        <w:tag w:val="_GBC_d4a1c88061e448a184eda131e11a1e4f"/>
                        <w:id w:val="24721517"/>
                        <w:lock w:val="sdtLocked"/>
                      </w:sdtPr>
                      <w:sdtContent>
                        <w:r w:rsidR="001C1A59">
                          <w:rPr>
                            <w:rFonts w:hint="eastAsia"/>
                            <w:szCs w:val="21"/>
                          </w:rPr>
                          <w:t>1,864,890,733.15</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bCs/>
                        <w:color w:val="000000" w:themeColor="text1"/>
                        <w:szCs w:val="21"/>
                      </w:rPr>
                    </w:pPr>
                    <w:sdt>
                      <w:sdtPr>
                        <w:rPr>
                          <w:rFonts w:hint="eastAsia"/>
                          <w:bCs/>
                          <w:szCs w:val="21"/>
                        </w:rPr>
                        <w:alias w:val="所得税"/>
                        <w:tag w:val="_GBC_5384b17cc397474ca1ab6774a126b8c6"/>
                        <w:id w:val="24721518"/>
                        <w:lock w:val="sdtLocked"/>
                      </w:sdtPr>
                      <w:sdtContent>
                        <w:r w:rsidR="001C1A59">
                          <w:rPr>
                            <w:rFonts w:hint="eastAsia"/>
                            <w:bCs/>
                            <w:szCs w:val="21"/>
                          </w:rPr>
                          <w:t>296,841,293.54</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color w:val="000000"/>
                        <w:szCs w:val="21"/>
                      </w:rPr>
                    </w:pPr>
                    <w:r w:rsidRPr="00626623">
                      <w:rPr>
                        <w:rFonts w:hint="eastAsia"/>
                        <w:b/>
                        <w:szCs w:val="21"/>
                      </w:rPr>
                      <w:t>五、净利润（净亏损以“－” 号填列）</w:t>
                    </w:r>
                  </w:p>
                </w:tc>
                <w:tc>
                  <w:tcPr>
                    <w:tcW w:w="418"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净利润"/>
                        <w:tag w:val="_GBC_b58fc224f45744fc863bae834840b205"/>
                        <w:id w:val="24721519"/>
                        <w:lock w:val="sdtLocked"/>
                        <w:showingPlcHdr/>
                      </w:sdtPr>
                      <w:sdtContent>
                        <w:r w:rsidR="001C1A59" w:rsidRPr="00626623">
                          <w:rPr>
                            <w:rFonts w:hint="eastAsia"/>
                            <w:b/>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净利润"/>
                        <w:tag w:val="_GBC_ca91e14346c34f0ba9972f77f5eda51b"/>
                        <w:id w:val="24721520"/>
                        <w:lock w:val="sdtLocked"/>
                      </w:sdtPr>
                      <w:sdtContent>
                        <w:r w:rsidR="001C1A59" w:rsidRPr="00626623">
                          <w:rPr>
                            <w:rFonts w:hint="eastAsia"/>
                            <w:b/>
                            <w:szCs w:val="21"/>
                          </w:rPr>
                          <w:t>6,679,328,049.08</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bCs/>
                        <w:color w:val="000000" w:themeColor="text1"/>
                        <w:szCs w:val="21"/>
                      </w:rPr>
                    </w:pPr>
                    <w:sdt>
                      <w:sdtPr>
                        <w:rPr>
                          <w:rFonts w:hint="eastAsia"/>
                          <w:b/>
                          <w:bCs/>
                          <w:szCs w:val="21"/>
                        </w:rPr>
                        <w:alias w:val="净利润"/>
                        <w:tag w:val="_GBC_0c155a5c804c428c938bc8485800c4ce"/>
                        <w:id w:val="24721521"/>
                        <w:lock w:val="sdtLocked"/>
                      </w:sdtPr>
                      <w:sdtContent>
                        <w:r w:rsidR="001C1A59" w:rsidRPr="00626623">
                          <w:rPr>
                            <w:rFonts w:hint="eastAsia"/>
                            <w:b/>
                            <w:bCs/>
                            <w:szCs w:val="21"/>
                          </w:rPr>
                          <w:t>1,448,454,354.23</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ind w:leftChars="-19" w:hangingChars="19" w:hanging="40"/>
                      <w:rPr>
                        <w:b/>
                        <w:szCs w:val="21"/>
                      </w:rPr>
                    </w:pPr>
                    <w:r w:rsidRPr="00626623">
                      <w:rPr>
                        <w:rFonts w:hint="eastAsia"/>
                        <w:b/>
                        <w:szCs w:val="21"/>
                      </w:rPr>
                      <w:t>六、其他综合收益的税后净额</w:t>
                    </w:r>
                  </w:p>
                </w:tc>
                <w:sdt>
                  <w:sdtPr>
                    <w:rPr>
                      <w:b/>
                      <w:szCs w:val="21"/>
                    </w:rPr>
                    <w:alias w:val="附注_其他综合收益的税后净额"/>
                    <w:tag w:val="_GBC_42a680a271ce48fe9eadfbef75d0710d"/>
                    <w:id w:val="24721522"/>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rPr>
                            <w:b/>
                            <w:szCs w:val="21"/>
                          </w:rPr>
                        </w:pPr>
                        <w:r w:rsidRPr="00626623">
                          <w:rPr>
                            <w:rFonts w:hint="eastAsia"/>
                            <w:b/>
                            <w:color w:val="333399"/>
                          </w:rPr>
                          <w:t xml:space="preserve">　</w:t>
                        </w:r>
                      </w:p>
                    </w:tc>
                  </w:sdtContent>
                </w:sdt>
                <w:sdt>
                  <w:sdtPr>
                    <w:rPr>
                      <w:b/>
                      <w:szCs w:val="21"/>
                    </w:rPr>
                    <w:alias w:val="其他综合收益的税后净额"/>
                    <w:tag w:val="_GBC_43c3c62f5a2a4495987bff0815c6a285"/>
                    <w:id w:val="24721523"/>
                    <w:lock w:val="sdtLocked"/>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173,046,241.23</w:t>
                        </w:r>
                      </w:p>
                    </w:tc>
                  </w:sdtContent>
                </w:sdt>
                <w:sdt>
                  <w:sdtPr>
                    <w:rPr>
                      <w:b/>
                      <w:szCs w:val="21"/>
                    </w:rPr>
                    <w:alias w:val="其他综合收益的税后净额"/>
                    <w:tag w:val="_GBC_d727385e093d493fbddeef49fbe6d4b7"/>
                    <w:id w:val="24721524"/>
                    <w:lock w:val="sdtLocked"/>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107,451,038.41</w:t>
                        </w: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0408f2997f114eb08c3e721dcf3b7da7"/>
                    <w:id w:val="24721525"/>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以后不能重分类进损益的其他综合收益"/>
                    <w:tag w:val="_GBC_03bb92a412ed489894e00b952e3cd8e4"/>
                    <w:id w:val="24721526"/>
                    <w:lock w:val="sdtLocked"/>
                    <w:showingPlcHdr/>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以后不能重分类进损益的其他综合收益"/>
                    <w:tag w:val="_GBC_8fb08de90ef74d1299c7884ad8e0d70d"/>
                    <w:id w:val="24721527"/>
                    <w:lock w:val="sdtLocked"/>
                    <w:showingPlcHdr/>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bbdb71f5d6d6459aac1b9317083e3c82"/>
                    <w:id w:val="24721528"/>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重新计量设定受益计划净负债或净资产的变动"/>
                    <w:tag w:val="_GBC_83ff340694b0422880f8297c29af7957"/>
                    <w:id w:val="24721529"/>
                    <w:lock w:val="sdtLocked"/>
                    <w:showingPlcHdr/>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重新计量设定受益计划净负债或净资产的变动"/>
                    <w:tag w:val="_GBC_a7d1c5981de343fbb6545f86d6427b18"/>
                    <w:id w:val="24721530"/>
                    <w:lock w:val="sdtLocked"/>
                    <w:showingPlcHdr/>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53fd6877ac584b0e9688d18f28d2691e"/>
                    <w:id w:val="24721531"/>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454b753882e1443b8530e4bf98003e16"/>
                    <w:id w:val="24721532"/>
                    <w:lock w:val="sdtLocked"/>
                    <w:showingPlcHdr/>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ind w:right="105"/>
                          <w:jc w:val="right"/>
                          <w:rPr>
                            <w:szCs w:val="21"/>
                          </w:rPr>
                        </w:pPr>
                      </w:p>
                    </w:tc>
                  </w:sdtContent>
                </w:sdt>
                <w:sdt>
                  <w:sdtPr>
                    <w:rPr>
                      <w:szCs w:val="21"/>
                    </w:rPr>
                    <w:alias w:val="权益法下在被投资单位不能重分类进损益的其他综合收益中享有的份额"/>
                    <w:tag w:val="_GBC_de210643b7e34986b547c7d4f64e57e2"/>
                    <w:id w:val="24721533"/>
                    <w:lock w:val="sdtLocked"/>
                    <w:showingPlcHdr/>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52f832a8ea85427296c1633a3c7e7de1"/>
                    <w:id w:val="24721534"/>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以后将重分类进损益的其他综合收益"/>
                    <w:tag w:val="_GBC_261d879fb1e34ad6abed3dca873ea2c2"/>
                    <w:id w:val="24721535"/>
                    <w:lock w:val="sdtLocked"/>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173,046,241.23</w:t>
                        </w:r>
                      </w:p>
                    </w:tc>
                  </w:sdtContent>
                </w:sdt>
                <w:sdt>
                  <w:sdtPr>
                    <w:rPr>
                      <w:szCs w:val="21"/>
                    </w:rPr>
                    <w:alias w:val="以后将重分类进损益的其他综合收益"/>
                    <w:tag w:val="_GBC_b9b1ad6301f444e996c641d8a999bb3e"/>
                    <w:id w:val="24721536"/>
                    <w:lock w:val="sdtLocked"/>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107,451,038.41</w:t>
                        </w: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549286336a41e3a88917d793eadcd0"/>
                    <w:id w:val="24721537"/>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51e0735ba3314856a886542fda415e0b"/>
                    <w:id w:val="24721538"/>
                    <w:lock w:val="sdtLocked"/>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3,666,226.88</w:t>
                        </w:r>
                      </w:p>
                    </w:tc>
                  </w:sdtContent>
                </w:sdt>
                <w:sdt>
                  <w:sdtPr>
                    <w:rPr>
                      <w:szCs w:val="21"/>
                    </w:rPr>
                    <w:alias w:val="权益法下在被投资单位以后将重分类进损益的其他综合收益中享有的份额"/>
                    <w:tag w:val="_GBC_e7858a75ca3a42ab9d83b5010a3dd90a"/>
                    <w:id w:val="24721539"/>
                    <w:lock w:val="sdtLocked"/>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1,190,192.07</w:t>
                        </w: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2.可供出售金融资产公允价值变动损益</w:t>
                    </w:r>
                  </w:p>
                </w:tc>
                <w:sdt>
                  <w:sdtPr>
                    <w:rPr>
                      <w:szCs w:val="21"/>
                    </w:rPr>
                    <w:alias w:val="附注_可供出售金融资产公允价值变动损益"/>
                    <w:tag w:val="_GBC_f0c47515e778444c8bdb5dc120a7ce7e"/>
                    <w:id w:val="24721540"/>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可供出售金融资产公允价值变动损益"/>
                    <w:tag w:val="_GBC_11591239da3c4320ae3c347bfb84619e"/>
                    <w:id w:val="24721541"/>
                    <w:lock w:val="sdtLocked"/>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169,380,014.35</w:t>
                        </w:r>
                      </w:p>
                    </w:tc>
                  </w:sdtContent>
                </w:sdt>
                <w:sdt>
                  <w:sdtPr>
                    <w:rPr>
                      <w:szCs w:val="21"/>
                    </w:rPr>
                    <w:alias w:val="可供出售金融资产公允价值变动损益"/>
                    <w:tag w:val="_GBC_55ebb1074ea54d98953500b28eb561db"/>
                    <w:id w:val="24721542"/>
                    <w:lock w:val="sdtLocked"/>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106,260,846.34</w:t>
                        </w: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910373529acc4e6dbfe90048a67b0828"/>
                    <w:id w:val="24721543"/>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持有至到期投资重分类为可供出售金融资产损益"/>
                    <w:tag w:val="_GBC_36e38ecc5e0247a3a923f7dd70fda5b2"/>
                    <w:id w:val="24721544"/>
                    <w:lock w:val="sdtLocked"/>
                    <w:showingPlcHdr/>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持有至到期投资重分类为可供出售金融资产损益"/>
                    <w:tag w:val="_GBC_ecd3014ac6f3453987bf61897d2b5f46"/>
                    <w:id w:val="24721545"/>
                    <w:lock w:val="sdtLocked"/>
                    <w:showingPlcHdr/>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4.现金流量套期损益的有效部分</w:t>
                    </w:r>
                  </w:p>
                </w:tc>
                <w:sdt>
                  <w:sdtPr>
                    <w:rPr>
                      <w:szCs w:val="21"/>
                    </w:rPr>
                    <w:alias w:val="附注_现金流量套期损益的有效部分"/>
                    <w:tag w:val="_GBC_2ebdf32f4b4741ed9a01bc6f9a0d5e30"/>
                    <w:id w:val="24721546"/>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现金流量套期损益的有效部分"/>
                    <w:tag w:val="_GBC_133525edc9fb4547b00bef0719ce0f52"/>
                    <w:id w:val="24721547"/>
                    <w:lock w:val="sdtLocked"/>
                    <w:showingPlcHdr/>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现金流量套期损益的有效部分"/>
                    <w:tag w:val="_GBC_93509f289c56485ba8f4f9c905d96e9a"/>
                    <w:id w:val="24721548"/>
                    <w:lock w:val="sdtLocked"/>
                    <w:showingPlcHdr/>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5.外币财务报表折算差额</w:t>
                    </w:r>
                  </w:p>
                </w:tc>
                <w:sdt>
                  <w:sdtPr>
                    <w:rPr>
                      <w:szCs w:val="21"/>
                    </w:rPr>
                    <w:alias w:val="附注_外币财务报表折算差额"/>
                    <w:tag w:val="_GBC_87471868a4d14647ac6d4edc35686960"/>
                    <w:id w:val="24721549"/>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外币财务报表折算差额"/>
                    <w:tag w:val="_GBC_5cf7d214e5d849898a14e81c5c10cd1a"/>
                    <w:id w:val="24721550"/>
                    <w:lock w:val="sdtLocked"/>
                    <w:showingPlcHdr/>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外币财务报表折算差额"/>
                    <w:tag w:val="_GBC_8238bb368f944e24845b59e3f26218ac"/>
                    <w:id w:val="24721551"/>
                    <w:lock w:val="sdtLocked"/>
                    <w:showingPlcHdr/>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200" w:firstLine="420"/>
                      <w:rPr>
                        <w:szCs w:val="21"/>
                      </w:rPr>
                    </w:pPr>
                    <w:r>
                      <w:rPr>
                        <w:szCs w:val="21"/>
                      </w:rPr>
                      <w:t>6.其他</w:t>
                    </w:r>
                  </w:p>
                </w:tc>
                <w:sdt>
                  <w:sdtPr>
                    <w:rPr>
                      <w:szCs w:val="21"/>
                    </w:rPr>
                    <w:alias w:val="附注_以后将重分类进损益的其他综合收益-其他"/>
                    <w:tag w:val="_GBC_02d603dace91455e8f2d1609be50b0b2"/>
                    <w:id w:val="24721552"/>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szCs w:val="21"/>
                          </w:rPr>
                        </w:pPr>
                        <w:r>
                          <w:rPr>
                            <w:rFonts w:hint="eastAsia"/>
                            <w:color w:val="333399"/>
                          </w:rPr>
                          <w:t xml:space="preserve">　</w:t>
                        </w:r>
                      </w:p>
                    </w:tc>
                  </w:sdtContent>
                </w:sdt>
                <w:sdt>
                  <w:sdtPr>
                    <w:rPr>
                      <w:szCs w:val="21"/>
                    </w:rPr>
                    <w:alias w:val="以后将重分类进损益的其他综合收益-其他"/>
                    <w:tag w:val="_GBC_467f1be4221f414785d2add27cec8d2d"/>
                    <w:id w:val="24721553"/>
                    <w:lock w:val="sdtLocked"/>
                    <w:showingPlcHdr/>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sdt>
                  <w:sdtPr>
                    <w:rPr>
                      <w:szCs w:val="21"/>
                    </w:rPr>
                    <w:alias w:val="以后将重分类进损益的其他综合收益-其他"/>
                    <w:tag w:val="_GBC_fa2cf700563242beb9780744bbc1ed94"/>
                    <w:id w:val="24721554"/>
                    <w:lock w:val="sdtLocked"/>
                    <w:showingPlcHdr/>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ind w:left="-19"/>
                      <w:rPr>
                        <w:b/>
                        <w:szCs w:val="21"/>
                      </w:rPr>
                    </w:pPr>
                    <w:r w:rsidRPr="00626623">
                      <w:rPr>
                        <w:rFonts w:hint="eastAsia"/>
                        <w:b/>
                        <w:szCs w:val="21"/>
                      </w:rPr>
                      <w:t>七、综合收益总额</w:t>
                    </w:r>
                  </w:p>
                </w:tc>
                <w:sdt>
                  <w:sdtPr>
                    <w:rPr>
                      <w:szCs w:val="21"/>
                    </w:rPr>
                    <w:alias w:val="附注_综合收益总额"/>
                    <w:tag w:val="_GBC_add7f85caf3d40ebbf60119f727d3c32"/>
                    <w:id w:val="24721555"/>
                    <w:lock w:val="sdtLocked"/>
                    <w:showingPlcHdr/>
                  </w:sdtPr>
                  <w:sdtContent>
                    <w:tc>
                      <w:tcPr>
                        <w:tcW w:w="418" w:type="pct"/>
                        <w:tcBorders>
                          <w:top w:val="outset" w:sz="6" w:space="0" w:color="auto"/>
                          <w:left w:val="outset" w:sz="6" w:space="0" w:color="auto"/>
                          <w:bottom w:val="outset" w:sz="6" w:space="0" w:color="auto"/>
                          <w:right w:val="outset" w:sz="6" w:space="0" w:color="auto"/>
                        </w:tcBorders>
                      </w:tcPr>
                      <w:p w:rsidR="00DE031E" w:rsidRDefault="001C1A59" w:rsidP="00DE031E">
                        <w:pPr>
                          <w:rPr>
                            <w:color w:val="008000"/>
                            <w:szCs w:val="21"/>
                          </w:rPr>
                        </w:pPr>
                        <w:r>
                          <w:rPr>
                            <w:rFonts w:hint="eastAsia"/>
                            <w:color w:val="333399"/>
                            <w:szCs w:val="21"/>
                          </w:rPr>
                          <w:t xml:space="preserve">　</w:t>
                        </w:r>
                      </w:p>
                    </w:tc>
                  </w:sdtContent>
                </w:sdt>
                <w:sdt>
                  <w:sdtPr>
                    <w:rPr>
                      <w:b/>
                      <w:szCs w:val="21"/>
                    </w:rPr>
                    <w:alias w:val="综合收益总额"/>
                    <w:tag w:val="_GBC_5305a409a1eb4df99edd736c0e2bd714"/>
                    <w:id w:val="24721556"/>
                    <w:lock w:val="sdtLocked"/>
                  </w:sdtPr>
                  <w:sdtContent>
                    <w:tc>
                      <w:tcPr>
                        <w:tcW w:w="998"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6,852,374,290.31</w:t>
                        </w:r>
                      </w:p>
                    </w:tc>
                  </w:sdtContent>
                </w:sdt>
                <w:sdt>
                  <w:sdtPr>
                    <w:rPr>
                      <w:b/>
                      <w:szCs w:val="21"/>
                    </w:rPr>
                    <w:alias w:val="综合收益总额"/>
                    <w:tag w:val="_GBC_f8328ebb3c0b4db19cd3f642c4f3aa74"/>
                    <w:id w:val="24721557"/>
                    <w:lock w:val="sdtLocked"/>
                  </w:sdtPr>
                  <w:sdtContent>
                    <w:tc>
                      <w:tcPr>
                        <w:tcW w:w="953"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szCs w:val="21"/>
                          </w:rPr>
                        </w:pPr>
                        <w:r w:rsidRPr="00626623">
                          <w:rPr>
                            <w:b/>
                            <w:szCs w:val="21"/>
                          </w:rPr>
                          <w:t>1,555,905,392.64</w:t>
                        </w:r>
                      </w:p>
                    </w:tc>
                  </w:sdtContent>
                </w:sdt>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leftChars="-19" w:hangingChars="19" w:hanging="40"/>
                      <w:rPr>
                        <w:b/>
                      </w:rPr>
                    </w:pPr>
                    <w:r w:rsidRPr="00626623">
                      <w:rPr>
                        <w:rFonts w:hint="eastAsia"/>
                        <w:b/>
                      </w:rPr>
                      <w:t>八</w:t>
                    </w:r>
                    <w:r w:rsidRPr="00626623">
                      <w:rPr>
                        <w:b/>
                      </w:rPr>
                      <w:t>、每股收益：</w:t>
                    </w:r>
                  </w:p>
                </w:tc>
                <w:tc>
                  <w:tcPr>
                    <w:tcW w:w="418"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szCs w:val="21"/>
                      </w:rPr>
                    </w:pPr>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（一）基本每股收益(元/股)</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基本每股收益"/>
                        <w:tag w:val="_GBC_de30898a59fa46d7954ba7b07f5036bc"/>
                        <w:id w:val="24721558"/>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基本每股收益"/>
                        <w:tag w:val="_GBC_412029d5dd0b4f77b9559e220e16ebc0"/>
                        <w:id w:val="24721559"/>
                        <w:lock w:val="sdtLocked"/>
                        <w:showingPlcHdr/>
                      </w:sdtPr>
                      <w:sdtContent>
                        <w:r w:rsidR="001C1A59">
                          <w:rPr>
                            <w:rFonts w:hint="eastAsia"/>
                            <w:color w:val="333399"/>
                          </w:rPr>
                          <w:t xml:space="preserve">　</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基本每股收益"/>
                        <w:tag w:val="_GBC_47c7fcda7e8249b1abf845421d86bc4c"/>
                        <w:id w:val="24721560"/>
                        <w:lock w:val="sdtLocked"/>
                        <w:showingPlcHdr/>
                      </w:sdtPr>
                      <w:sdtContent>
                        <w:r w:rsidR="001C1A59">
                          <w:rPr>
                            <w:rFonts w:hint="eastAsia"/>
                            <w:color w:val="333399"/>
                          </w:rPr>
                          <w:t xml:space="preserve">　</w:t>
                        </w:r>
                      </w:sdtContent>
                    </w:sdt>
                  </w:p>
                </w:tc>
              </w:tr>
              <w:tr w:rsidR="00DE031E" w:rsidTr="00DE031E">
                <w:trPr>
                  <w:jc w:val="center"/>
                </w:trPr>
                <w:tc>
                  <w:tcPr>
                    <w:tcW w:w="2631"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pPr>
                    <w:r>
                      <w:t>（二）稀释每股收益(元/股)</w:t>
                    </w:r>
                  </w:p>
                </w:tc>
                <w:tc>
                  <w:tcPr>
                    <w:tcW w:w="418" w:type="pct"/>
                    <w:tcBorders>
                      <w:top w:val="outset" w:sz="6" w:space="0" w:color="auto"/>
                      <w:left w:val="outset" w:sz="6" w:space="0" w:color="auto"/>
                      <w:bottom w:val="outset" w:sz="6" w:space="0" w:color="auto"/>
                      <w:right w:val="outset" w:sz="6" w:space="0" w:color="auto"/>
                    </w:tcBorders>
                  </w:tcPr>
                  <w:p w:rsidR="00DE031E" w:rsidRDefault="00422DCA" w:rsidP="00DE031E">
                    <w:pPr>
                      <w:rPr>
                        <w:szCs w:val="21"/>
                      </w:rPr>
                    </w:pPr>
                    <w:sdt>
                      <w:sdtPr>
                        <w:rPr>
                          <w:rFonts w:hint="eastAsia"/>
                          <w:szCs w:val="21"/>
                        </w:rPr>
                        <w:alias w:val="附注_稀释每股收益"/>
                        <w:tag w:val="_GBC_9375909c49ed42b6a7271d371f824a74"/>
                        <w:id w:val="24721561"/>
                        <w:lock w:val="sdtLocked"/>
                        <w:showingPlcHdr/>
                      </w:sdtPr>
                      <w:sdtContent>
                        <w:r w:rsidR="001C1A59">
                          <w:rPr>
                            <w:rFonts w:hint="eastAsia"/>
                            <w:color w:val="333399"/>
                          </w:rPr>
                          <w:t xml:space="preserve">　</w:t>
                        </w:r>
                      </w:sdtContent>
                    </w:sdt>
                  </w:p>
                </w:tc>
                <w:tc>
                  <w:tcPr>
                    <w:tcW w:w="998"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稀释每股收益"/>
                        <w:tag w:val="_GBC_82afcecac2d847c59bc28338f88a694d"/>
                        <w:id w:val="24721562"/>
                        <w:lock w:val="sdtLocked"/>
                        <w:showingPlcHdr/>
                      </w:sdtPr>
                      <w:sdtContent>
                        <w:r w:rsidR="001C1A59">
                          <w:rPr>
                            <w:rFonts w:hint="eastAsia"/>
                            <w:color w:val="333399"/>
                          </w:rPr>
                          <w:t xml:space="preserve">　</w:t>
                        </w:r>
                      </w:sdtContent>
                    </w:sdt>
                  </w:p>
                </w:tc>
                <w:tc>
                  <w:tcPr>
                    <w:tcW w:w="953"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szCs w:val="21"/>
                      </w:rPr>
                    </w:pPr>
                    <w:sdt>
                      <w:sdtPr>
                        <w:rPr>
                          <w:rFonts w:hint="eastAsia"/>
                          <w:szCs w:val="21"/>
                        </w:rPr>
                        <w:alias w:val="稀释每股收益"/>
                        <w:tag w:val="_GBC_003b23d19ff84ada84ebf3c284ae7633"/>
                        <w:id w:val="24721563"/>
                        <w:lock w:val="sdtLocked"/>
                        <w:showingPlcHdr/>
                      </w:sdtPr>
                      <w:sdtContent>
                        <w:r w:rsidR="001C1A59">
                          <w:rPr>
                            <w:rFonts w:hint="eastAsia"/>
                            <w:color w:val="333399"/>
                          </w:rPr>
                          <w:t xml:space="preserve">　</w:t>
                        </w:r>
                      </w:sdtContent>
                    </w:sdt>
                  </w:p>
                </w:tc>
              </w:tr>
            </w:tbl>
            <w:p w:rsidR="00DE031E" w:rsidRDefault="00DE031E"/>
            <w:p w:rsidR="00DE031E" w:rsidRDefault="001C1A59">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24721564"/>
                  <w:lock w:val="sdtLocked"/>
                  <w:placeholder>
                    <w:docPart w:val="GBC22222222222222222222222222222"/>
                  </w:placeholder>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24721565"/>
                  <w:lock w:val="sdtLocked"/>
                  <w:placeholder>
                    <w:docPart w:val="GBC22222222222222222222222222222"/>
                  </w:placeholder>
                  <w:dataBinding w:prefixMappings="xmlns:clcid-mr='clcid-mr'" w:xpath="/*/clcid-mr:ZhuGuanKuaiJiGongZuoFuZeRenXingMing" w:storeItemID="{89EBAB94-44A0-46A2-B712-30D997D04A6D}"/>
                  <w:text/>
                </w:sdtPr>
                <w:sdtContent>
                  <w:r w:rsidR="00A82E13">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24721566"/>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车晓昕</w:t>
                  </w:r>
                </w:sdtContent>
              </w:sdt>
            </w:p>
          </w:sdtContent>
        </w:sdt>
      </w:sdtContent>
    </w:sdt>
    <w:sdt>
      <w:sdtPr>
        <w:rPr>
          <w:rFonts w:hint="eastAsia"/>
          <w:b/>
          <w:bCs/>
          <w:szCs w:val="21"/>
        </w:rPr>
        <w:alias w:val="需要编制合并报表"/>
        <w:tag w:val="_GBC_d6533048a32749eaa7738390457b7f24"/>
        <w:id w:val="24721861"/>
        <w:lock w:val="sdtLocked"/>
        <w:placeholder>
          <w:docPart w:val="GBC22222222222222222222222222222"/>
        </w:placeholder>
      </w:sdtPr>
      <w:sdtEndPr>
        <w:rPr>
          <w:b w:val="0"/>
          <w:bCs w:val="0"/>
          <w:szCs w:val="24"/>
        </w:rPr>
      </w:sdtEndPr>
      <w:sdtContent>
        <w:sdt>
          <w:sdtPr>
            <w:rPr>
              <w:rFonts w:hint="eastAsia"/>
              <w:b/>
              <w:bCs/>
              <w:szCs w:val="21"/>
            </w:rPr>
            <w:tag w:val="_GBC_17c43da24c7845d3aa093910aeaf2348"/>
            <w:id w:val="24721727"/>
            <w:lock w:val="sdtLocked"/>
          </w:sdtPr>
          <w:sdtEndPr>
            <w:rPr>
              <w:b w:val="0"/>
              <w:bCs w:val="0"/>
            </w:rPr>
          </w:sdtEndPr>
          <w:sdtContent>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1C1A59">
              <w:pPr>
                <w:jc w:val="center"/>
                <w:rPr>
                  <w:b/>
                  <w:bCs/>
                  <w:szCs w:val="21"/>
                </w:rPr>
              </w:pPr>
              <w:r>
                <w:rPr>
                  <w:rFonts w:hint="eastAsia"/>
                  <w:b/>
                  <w:bCs/>
                  <w:szCs w:val="21"/>
                </w:rPr>
                <w:lastRenderedPageBreak/>
                <w:t>合并</w:t>
              </w:r>
              <w:r>
                <w:rPr>
                  <w:b/>
                  <w:bCs/>
                  <w:szCs w:val="21"/>
                </w:rPr>
                <w:t>现金流量表</w:t>
              </w:r>
              <w:r>
                <w:rPr>
                  <w:rFonts w:hint="eastAsia"/>
                  <w:b/>
                  <w:szCs w:val="21"/>
                </w:rPr>
                <w:t>（未经审计）</w:t>
              </w:r>
            </w:p>
            <w:p w:rsidR="00DE031E" w:rsidRDefault="001C1A59">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DE031E" w:rsidRDefault="001C1A59">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472156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47215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97" w:type="pct"/>
                <w:jc w:val="center"/>
                <w:tblInd w:w="-449" w:type="dxa"/>
                <w:tblBorders>
                  <w:top w:val="single" w:sz="4" w:space="0" w:color="auto"/>
                  <w:left w:val="single" w:sz="4" w:space="0" w:color="auto"/>
                  <w:bottom w:val="single" w:sz="4" w:space="0" w:color="auto"/>
                  <w:right w:val="single" w:sz="4" w:space="0" w:color="auto"/>
                </w:tblBorders>
                <w:tblLook w:val="0000"/>
              </w:tblPr>
              <w:tblGrid>
                <w:gridCol w:w="5244"/>
                <w:gridCol w:w="748"/>
                <w:gridCol w:w="2121"/>
                <w:gridCol w:w="2016"/>
              </w:tblGrid>
              <w:tr w:rsidR="00DE031E" w:rsidTr="00AC0410">
                <w:trPr>
                  <w:tblHeade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bCs/>
                        <w:szCs w:val="21"/>
                      </w:rPr>
                    </w:pPr>
                    <w:r>
                      <w:rPr>
                        <w:b/>
                        <w:szCs w:val="21"/>
                      </w:rPr>
                      <w:t>项目</w:t>
                    </w:r>
                  </w:p>
                </w:tc>
                <w:tc>
                  <w:tcPr>
                    <w:tcW w:w="369" w:type="pct"/>
                    <w:tcBorders>
                      <w:top w:val="outset" w:sz="6" w:space="0" w:color="auto"/>
                      <w:left w:val="outset" w:sz="6" w:space="0" w:color="auto"/>
                      <w:bottom w:val="outset" w:sz="6" w:space="0" w:color="auto"/>
                      <w:right w:val="outset" w:sz="6" w:space="0" w:color="auto"/>
                    </w:tcBorders>
                  </w:tcPr>
                  <w:p w:rsidR="00DE031E" w:rsidRDefault="001C1A59" w:rsidP="00DE031E">
                    <w:pPr>
                      <w:jc w:val="center"/>
                      <w:rPr>
                        <w:b/>
                        <w:szCs w:val="21"/>
                      </w:rPr>
                    </w:pPr>
                    <w:r>
                      <w:rPr>
                        <w:b/>
                        <w:szCs w:val="21"/>
                      </w:rPr>
                      <w:t>附注</w:t>
                    </w:r>
                  </w:p>
                </w:tc>
                <w:tc>
                  <w:tcPr>
                    <w:tcW w:w="1047" w:type="pct"/>
                    <w:tcBorders>
                      <w:top w:val="outset" w:sz="6" w:space="0" w:color="auto"/>
                      <w:left w:val="outset" w:sz="6" w:space="0" w:color="auto"/>
                      <w:bottom w:val="outset" w:sz="6" w:space="0" w:color="auto"/>
                      <w:right w:val="outset" w:sz="6" w:space="0" w:color="auto"/>
                    </w:tcBorders>
                  </w:tcPr>
                  <w:p w:rsidR="00DE031E" w:rsidRDefault="001C1A59" w:rsidP="00DE031E">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995" w:type="pct"/>
                    <w:tcBorders>
                      <w:top w:val="outset" w:sz="6" w:space="0" w:color="auto"/>
                      <w:left w:val="outset" w:sz="6" w:space="0" w:color="auto"/>
                      <w:bottom w:val="outset" w:sz="6" w:space="0" w:color="auto"/>
                      <w:right w:val="outset" w:sz="6" w:space="0" w:color="auto"/>
                    </w:tcBorders>
                  </w:tcPr>
                  <w:p w:rsidR="00DE031E" w:rsidRDefault="001C1A59" w:rsidP="00DE031E">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一、经营活动产生的现金流量：</w:t>
                    </w:r>
                  </w:p>
                </w:tc>
                <w:tc>
                  <w:tcPr>
                    <w:tcW w:w="369"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1047"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995" w:type="pct"/>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处置以公允价值计量且变动计入当期损益的金融资产净增加</w:t>
                    </w:r>
                    <w:r w:rsidR="006E4681">
                      <w:rPr>
                        <w:rFonts w:hint="eastAsia"/>
                        <w:szCs w:val="21"/>
                      </w:rPr>
                      <w:t>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处置以公允价值计量且其变动计入当期损益的金融资产净增加额"/>
                        <w:tag w:val="_GBC_4e827f1616c94a27aff58fa166c6dfc9"/>
                        <w:id w:val="24721571"/>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处置以公允价值计量且其变动计入当期损益的金融资产净增加额"/>
                        <w:tag w:val="_GBC_7ba2b94311074bef8dda0e582eb6682c"/>
                        <w:id w:val="24721572"/>
                        <w:lock w:val="sdtLocked"/>
                        <w:showingPlcHdr/>
                      </w:sdtPr>
                      <w:sdtContent>
                        <w:r w:rsidR="001C1A59">
                          <w:rPr>
                            <w:rFonts w:hint="eastAsia"/>
                            <w:color w:val="333399"/>
                          </w:rPr>
                          <w:t xml:space="preserve">　</w:t>
                        </w:r>
                      </w:sdtContent>
                    </w:sdt>
                  </w:p>
                </w:tc>
                <w:tc>
                  <w:tcPr>
                    <w:tcW w:w="995" w:type="pct"/>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处置以公允价值计量且其变动计入当期损益的金融资产净增加额"/>
                        <w:tag w:val="_GBC_80ba49040e324f798d42ae169c80c6de"/>
                        <w:id w:val="24721573"/>
                        <w:lock w:val="sdtLocked"/>
                        <w:showingPlcHdr/>
                      </w:sdtPr>
                      <w:sdtContent>
                        <w:r w:rsidR="001C1A59">
                          <w:rPr>
                            <w:rFonts w:hint="eastAsia"/>
                            <w:color w:val="333399"/>
                          </w:rPr>
                          <w:t xml:space="preserve">　</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收取利息、手续费及佣金的现金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取利息、手续费及佣金的现金"/>
                        <w:tag w:val="_GBC_e22cf64affc44c488461e7aebb003fba"/>
                        <w:id w:val="24721574"/>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收取利息、手续费及佣金的现金"/>
                        <w:tag w:val="_GBC_5a04e681aaa147a6970ed9bcb740d903"/>
                        <w:id w:val="24721575"/>
                        <w:lock w:val="sdtLocked"/>
                      </w:sdtPr>
                      <w:sdtContent>
                        <w:r w:rsidR="001C1A59">
                          <w:rPr>
                            <w:rFonts w:hint="eastAsia"/>
                            <w:color w:val="000000" w:themeColor="text1"/>
                            <w:szCs w:val="21"/>
                          </w:rPr>
                          <w:t>14,924,263,347.66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收取利息、手续费及佣金的现金"/>
                        <w:tag w:val="_GBC_758a72e5eb1a40178270499118ccaf0d"/>
                        <w:id w:val="24721576"/>
                        <w:lock w:val="sdtLocked"/>
                      </w:sdtPr>
                      <w:sdtContent>
                        <w:r w:rsidR="001C1A59">
                          <w:rPr>
                            <w:rFonts w:hint="eastAsia"/>
                            <w:color w:val="000000" w:themeColor="text1"/>
                            <w:szCs w:val="21"/>
                          </w:rPr>
                          <w:t>3,799,241,225.86</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拆入资金净增加额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拆入资金净增加额"/>
                        <w:tag w:val="_GBC_21c970a1d4fa444d9cb4395f11381daf"/>
                        <w:id w:val="24721577"/>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拆入资金净增加额"/>
                        <w:tag w:val="_GBC_f73608844ba04679a1cba8d3260b7fc0"/>
                        <w:id w:val="24721578"/>
                        <w:lock w:val="sdtLocked"/>
                        <w:showingPlcHdr/>
                      </w:sdtPr>
                      <w:sdtContent>
                        <w:r w:rsidR="001C1A59">
                          <w:rPr>
                            <w:rFonts w:hint="eastAsia"/>
                            <w:color w:val="333399"/>
                          </w:rPr>
                          <w:t xml:space="preserve">　</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拆入资金净增加额"/>
                        <w:tag w:val="_GBC_8a6863ccbbf349f79401937fbe4d486a"/>
                        <w:id w:val="24721579"/>
                        <w:lock w:val="sdtLocked"/>
                      </w:sdtPr>
                      <w:sdtContent>
                        <w:r w:rsidR="001C1A59">
                          <w:rPr>
                            <w:rFonts w:hint="eastAsia"/>
                            <w:color w:val="000000" w:themeColor="text1"/>
                            <w:szCs w:val="21"/>
                          </w:rPr>
                          <w:t>500,000,000.00</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回购业务资金净增加额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回购业务资金净增加额"/>
                        <w:tag w:val="_GBC_7eb3a43ff32946a5b5b64dc1b7656039"/>
                        <w:id w:val="24721580"/>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回购业务资金净增加额"/>
                        <w:tag w:val="_GBC_88cf16b9cbd747bf8a1d5e96c5cafe47"/>
                        <w:id w:val="24721581"/>
                        <w:lock w:val="sdtLocked"/>
                      </w:sdtPr>
                      <w:sdtContent>
                        <w:r w:rsidR="001C1A59">
                          <w:rPr>
                            <w:rFonts w:hint="eastAsia"/>
                            <w:color w:val="000000" w:themeColor="text1"/>
                            <w:szCs w:val="21"/>
                          </w:rPr>
                          <w:t>4,636,167,677.27</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回购业务资金净增加额"/>
                        <w:tag w:val="_GBC_f891188bd62c48b1b3b26e8a25c76173"/>
                        <w:id w:val="24721582"/>
                        <w:lock w:val="sdtLocked"/>
                      </w:sdtPr>
                      <w:sdtContent>
                        <w:r w:rsidR="001C1A59">
                          <w:rPr>
                            <w:rFonts w:hint="eastAsia"/>
                            <w:color w:val="000000" w:themeColor="text1"/>
                            <w:szCs w:val="21"/>
                          </w:rPr>
                          <w:t>7,091,580,670.09</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融出资金净减少额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融出资金净减少额"/>
                        <w:tag w:val="_GBC_2b86e97a499045a59846236b71a03ee2"/>
                        <w:id w:val="24721583"/>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融出资金净减少额"/>
                        <w:tag w:val="_GBC_9ec2dd45a6ba44c69e78dd23dcbe26b7"/>
                        <w:id w:val="24721584"/>
                        <w:lock w:val="sdtLocked"/>
                        <w:showingPlcHdr/>
                      </w:sdtPr>
                      <w:sdtContent>
                        <w:r w:rsidR="001C1A59">
                          <w:rPr>
                            <w:rFonts w:hint="eastAsia"/>
                            <w:color w:val="333399"/>
                          </w:rPr>
                          <w:t xml:space="preserve">　</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融出资金净减少额"/>
                        <w:tag w:val="_GBC_3050a1e08c3749298627d753fa0bdf1f"/>
                        <w:id w:val="24721585"/>
                        <w:lock w:val="sdtLocked"/>
                        <w:showingPlcHdr/>
                      </w:sdtPr>
                      <w:sdtContent>
                        <w:r w:rsidR="001C1A59">
                          <w:rPr>
                            <w:rFonts w:hint="eastAsia"/>
                            <w:color w:val="333399"/>
                          </w:rPr>
                          <w:t xml:space="preserve">　</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代理买卖证券收到的现金净额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代理买卖证券收到的现金净额"/>
                        <w:tag w:val="_GBC_e7e546f0e3284b46b2262ce3250aa531"/>
                        <w:id w:val="24721586"/>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代理买卖证券收到的现金净额"/>
                        <w:tag w:val="_GBC_ddb5b40acf2c42689078a81356936d15"/>
                        <w:id w:val="24721587"/>
                        <w:lock w:val="sdtLocked"/>
                      </w:sdtPr>
                      <w:sdtContent>
                        <w:r w:rsidR="001C1A59">
                          <w:rPr>
                            <w:rFonts w:hint="eastAsia"/>
                            <w:color w:val="000000" w:themeColor="text1"/>
                            <w:szCs w:val="21"/>
                          </w:rPr>
                          <w:t>74,267,458,206.01</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代理买卖证券收到的现金净额"/>
                        <w:tag w:val="_GBC_379790c10d3541fbb7ea20980d222797"/>
                        <w:id w:val="24721588"/>
                        <w:lock w:val="sdtLocked"/>
                      </w:sdtPr>
                      <w:sdtContent>
                        <w:r w:rsidR="001C1A59">
                          <w:rPr>
                            <w:rFonts w:hint="eastAsia"/>
                            <w:color w:val="000000" w:themeColor="text1"/>
                            <w:szCs w:val="21"/>
                          </w:rPr>
                          <w:t>3,549,319,255.46</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收到其他与经营活动有关的现金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到的其他与经营活动有关的现金"/>
                        <w:tag w:val="_GBC_f85b3a047ea84cd79a83dc15fcc9f26f"/>
                        <w:id w:val="24721589"/>
                        <w:lock w:val="sdtLocked"/>
                      </w:sdtPr>
                      <w:sdtContent>
                        <w:r w:rsidR="001C1A59">
                          <w:rPr>
                            <w:rFonts w:hint="eastAsia"/>
                            <w:color w:val="000000" w:themeColor="text1"/>
                            <w:szCs w:val="21"/>
                          </w:rPr>
                          <w:t>七、</w:t>
                        </w:r>
                        <w:r w:rsidR="001C1A59">
                          <w:rPr>
                            <w:color w:val="000000" w:themeColor="text1"/>
                            <w:szCs w:val="21"/>
                          </w:rPr>
                          <w:t>6</w:t>
                        </w:r>
                        <w:r w:rsidR="001C1A59">
                          <w:rPr>
                            <w:rFonts w:hint="eastAsia"/>
                            <w:color w:val="000000" w:themeColor="text1"/>
                            <w:szCs w:val="21"/>
                          </w:rPr>
                          <w:t>2</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收到的其他与经营活动有关的现金"/>
                        <w:tag w:val="_GBC_dd18b97ac58e46d385513d2750b29d73"/>
                        <w:id w:val="24721590"/>
                        <w:lock w:val="sdtLocked"/>
                      </w:sdtPr>
                      <w:sdtContent>
                        <w:r w:rsidR="001C1A59">
                          <w:rPr>
                            <w:rFonts w:hint="eastAsia"/>
                            <w:color w:val="000000" w:themeColor="text1"/>
                            <w:szCs w:val="21"/>
                          </w:rPr>
                          <w:t>3,418,905,553.32</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收到的其他与经营活动有关的现金"/>
                        <w:tag w:val="_GBC_c3c9cb6fcd5842d4b4024e408abb41b0"/>
                        <w:id w:val="24721591"/>
                        <w:lock w:val="sdtLocked"/>
                      </w:sdtPr>
                      <w:sdtContent>
                        <w:r w:rsidR="001C1A59">
                          <w:rPr>
                            <w:rFonts w:hint="eastAsia"/>
                            <w:color w:val="000000" w:themeColor="text1"/>
                            <w:szCs w:val="21"/>
                          </w:rPr>
                          <w:t>1,242,183,594.18</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经营活动现金流入小计</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经营活动现金流入小计"/>
                        <w:tag w:val="_GBC_e5dd55d8545a45d58a7eaaa15e091010"/>
                        <w:id w:val="24721592"/>
                        <w:lock w:val="sdtLocked"/>
                        <w:showingPlcHdr/>
                      </w:sdtP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入小计"/>
                        <w:tag w:val="_GBC_998a2484c8bd4a40a15c3076462930aa"/>
                        <w:id w:val="24721593"/>
                        <w:lock w:val="sdtLocked"/>
                      </w:sdtPr>
                      <w:sdtContent>
                        <w:r w:rsidR="001C1A59" w:rsidRPr="00626623">
                          <w:rPr>
                            <w:b/>
                            <w:color w:val="000000" w:themeColor="text1"/>
                            <w:szCs w:val="21"/>
                          </w:rPr>
                          <w:t>97,246,794,784.26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入小计"/>
                        <w:tag w:val="_GBC_df1c35743cca4564a27f7e5901b00f02"/>
                        <w:id w:val="24721594"/>
                        <w:lock w:val="sdtLocked"/>
                      </w:sdtPr>
                      <w:sdtContent>
                        <w:r w:rsidR="001C1A59" w:rsidRPr="00626623">
                          <w:rPr>
                            <w:b/>
                            <w:color w:val="000000" w:themeColor="text1"/>
                            <w:szCs w:val="21"/>
                          </w:rPr>
                          <w:t>16,182,324,745.59</w:t>
                        </w:r>
                      </w:sdtContent>
                    </w:sdt>
                  </w:p>
                </w:tc>
              </w:tr>
              <w:sdt>
                <w:sdtPr>
                  <w:tag w:val="_TUP_323bd2e3764f4041a662076637549a00"/>
                  <w:id w:val="24721602"/>
                  <w:lock w:val="sdtLocked"/>
                </w:sdtPr>
                <w:sdtContent>
                  <w:tr w:rsidR="00DE031E" w:rsidTr="00DE031E">
                    <w:trPr>
                      <w:jc w:val="center"/>
                    </w:trPr>
                    <w:sdt>
                      <w:sdtPr>
                        <w:alias w:val="自定义科目名称"/>
                        <w:tag w:val="_GBC_89dc67bd7fc54090b09cb42943a218c5"/>
                        <w:id w:val="24721595"/>
                        <w:lock w:val="sdtLocked"/>
                      </w:sdtPr>
                      <w:sdtContent>
                        <w:tc>
                          <w:tcPr>
                            <w:tcW w:w="2589" w:type="pct"/>
                            <w:tcBorders>
                              <w:top w:val="outset" w:sz="6" w:space="0" w:color="auto"/>
                              <w:left w:val="outset" w:sz="6" w:space="0" w:color="auto"/>
                              <w:bottom w:val="outset" w:sz="6" w:space="0" w:color="auto"/>
                              <w:right w:val="outset" w:sz="6" w:space="0" w:color="auto"/>
                            </w:tcBorders>
                          </w:tcPr>
                          <w:p w:rsidR="00DE031E" w:rsidRDefault="006E4681" w:rsidP="006E4681">
                            <w:pPr>
                              <w:ind w:firstLineChars="200" w:firstLine="420"/>
                              <w:rPr>
                                <w:szCs w:val="21"/>
                              </w:rPr>
                            </w:pPr>
                            <w:r w:rsidRPr="006E4681">
                              <w:rPr>
                                <w:rFonts w:hint="eastAsia"/>
                              </w:rPr>
                              <w:t>购置以公允价值计量且其变动计入当期损益的金融资产净减少额</w:t>
                            </w:r>
                          </w:p>
                        </w:tc>
                      </w:sdtContent>
                    </w:sdt>
                    <w:sdt>
                      <w:sdtPr>
                        <w:alias w:val="附注_合并现金流量表购置以公允价值计量且其变动计入当期损益的金融资产及可供出售金融资产净减少额"/>
                        <w:tag w:val="_GBC_514fd4ad799d497a8626a2ee799af2ee"/>
                        <w:id w:val="24721597"/>
                        <w:lock w:val="sdtLocked"/>
                        <w:showingPlcHdr/>
                      </w:sdtPr>
                      <w:sdtContent>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szCs w:val="21"/>
                                </w:rPr>
                                <w:alias w:val="附注_经营活动现金流入小计"/>
                                <w:tag w:val="_GBC_e5dd55d8545a45d58a7eaaa15e091010"/>
                                <w:id w:val="24721596"/>
                                <w:lock w:val="sdtLocked"/>
                                <w:showingPlcHdr/>
                              </w:sdtPr>
                              <w:sdtContent>
                                <w:r w:rsidR="001C1A59">
                                  <w:rPr>
                                    <w:rFonts w:hint="eastAsia"/>
                                  </w:rPr>
                                  <w:t xml:space="preserve">　</w:t>
                                </w:r>
                              </w:sdtContent>
                            </w:sdt>
                          </w:p>
                        </w:tc>
                      </w:sdtContent>
                    </w:sdt>
                    <w:sdt>
                      <w:sdtPr>
                        <w:alias w:val="合并现金流量表购置以公允价值计量且其变动计入当期损益的金融资产及可供出售金融资产净减少额"/>
                        <w:tag w:val="_GBC_eef45c02a85f47a08dc8868cce9e34a4"/>
                        <w:id w:val="24721599"/>
                        <w:lock w:val="sdtLocked"/>
                      </w:sdtPr>
                      <w:sdtContent>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经营活动现金流入小计"/>
                                <w:tag w:val="_GBC_998a2484c8bd4a40a15c3076462930aa"/>
                                <w:id w:val="24721598"/>
                                <w:lock w:val="sdtLocked"/>
                              </w:sdtPr>
                              <w:sdtContent>
                                <w:r w:rsidR="001C1A59" w:rsidRPr="009934A1">
                                  <w:rPr>
                                    <w:szCs w:val="21"/>
                                  </w:rPr>
                                  <w:t>13,441,102,853.62</w:t>
                                </w:r>
                              </w:sdtContent>
                            </w:sdt>
                          </w:p>
                        </w:tc>
                      </w:sdtContent>
                    </w:sdt>
                    <w:sdt>
                      <w:sdtPr>
                        <w:alias w:val="合并现金流量表购置以公允价值计量且其变动计入当期损益的金融资产及可供出售金融资产净减少额"/>
                        <w:tag w:val="_GBC_10c526151ab7470a83a0d62203842210"/>
                        <w:id w:val="24721601"/>
                        <w:lock w:val="sdtLocked"/>
                      </w:sdtPr>
                      <w:sdtContent>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经营活动现金流入小计"/>
                                <w:tag w:val="_GBC_df1c35743cca4564a27f7e5901b00f02"/>
                                <w:id w:val="24721600"/>
                                <w:lock w:val="sdtLocked"/>
                              </w:sdtPr>
                              <w:sdtContent>
                                <w:r w:rsidR="001C1A59">
                                  <w:rPr>
                                    <w:szCs w:val="21"/>
                                  </w:rPr>
                                  <w:t>10,915,761,754.24</w:t>
                                </w:r>
                              </w:sdtContent>
                            </w:sdt>
                          </w:p>
                        </w:tc>
                      </w:sdtContent>
                    </w:sdt>
                  </w:tr>
                </w:sdtContent>
              </w:sdt>
              <w:sdt>
                <w:sdtPr>
                  <w:tag w:val="_TUP_ead2266caa5547abaacaeaad40640edb"/>
                  <w:id w:val="24721610"/>
                  <w:lock w:val="sdtLocked"/>
                  <w:showingPlcHdr/>
                </w:sdtPr>
                <w:sdtContent>
                  <w:tr w:rsidR="00DE031E" w:rsidTr="00DE031E">
                    <w:trPr>
                      <w:jc w:val="center"/>
                    </w:trPr>
                    <w:sdt>
                      <w:sdtPr>
                        <w:alias w:val="自定义科目名称"/>
                        <w:tag w:val="_GBC_d36135b3275c4bc58e0f61c0baa74d8d"/>
                        <w:id w:val="24721603"/>
                        <w:lock w:val="sdtLocked"/>
                      </w:sdtPr>
                      <w:sdtContent>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rPr>
                                <w:szCs w:val="21"/>
                              </w:rPr>
                            </w:pPr>
                            <w:r>
                              <w:t>拆入资金净减少额</w:t>
                            </w:r>
                          </w:p>
                        </w:tc>
                      </w:sdtContent>
                    </w:sdt>
                    <w:sdt>
                      <w:sdtPr>
                        <w:alias w:val="附注_合并现金流量表拆入资金净增减少额"/>
                        <w:tag w:val="_GBC_42a2808fad954189845ab63debdfd28d"/>
                        <w:id w:val="24721605"/>
                        <w:lock w:val="sdtLocked"/>
                        <w:showingPlcHdr/>
                      </w:sdtPr>
                      <w:sdtContent>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szCs w:val="21"/>
                                </w:rPr>
                                <w:alias w:val="附注_经营活动现金流入小计"/>
                                <w:tag w:val="_GBC_e5dd55d8545a45d58a7eaaa15e091010"/>
                                <w:id w:val="24721604"/>
                                <w:lock w:val="sdtLocked"/>
                                <w:showingPlcHdr/>
                              </w:sdtPr>
                              <w:sdtContent>
                                <w:r w:rsidR="001C1A59">
                                  <w:rPr>
                                    <w:rFonts w:hint="eastAsia"/>
                                  </w:rPr>
                                  <w:t xml:space="preserve">　</w:t>
                                </w:r>
                              </w:sdtContent>
                            </w:sdt>
                          </w:p>
                        </w:tc>
                      </w:sdtContent>
                    </w:sdt>
                    <w:sdt>
                      <w:sdtPr>
                        <w:alias w:val="合并现金流量表拆入资金净增减少额"/>
                        <w:tag w:val="_GBC_0c3415835fcd43158012040680259e2b"/>
                        <w:id w:val="24721607"/>
                        <w:lock w:val="sdtLocked"/>
                        <w:showingPlcHdr/>
                      </w:sdtPr>
                      <w:sdtContent>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经营活动现金流入小计"/>
                                <w:tag w:val="_GBC_998a2484c8bd4a40a15c3076462930aa"/>
                                <w:id w:val="24721606"/>
                                <w:lock w:val="sdtLocked"/>
                              </w:sdtPr>
                              <w:sdtContent>
                                <w:r w:rsidR="001C1A59" w:rsidRPr="009934A1">
                                  <w:rPr>
                                    <w:szCs w:val="21"/>
                                  </w:rPr>
                                  <w:t>3,600,000,000.00</w:t>
                                </w:r>
                              </w:sdtContent>
                            </w:sdt>
                          </w:p>
                        </w:tc>
                      </w:sdtContent>
                    </w:sdt>
                    <w:sdt>
                      <w:sdtPr>
                        <w:alias w:val="合并现金流量表拆入资金净增减少额"/>
                        <w:tag w:val="_GBC_dacc2d1877064418bc4c4e9d04657c93"/>
                        <w:id w:val="24721609"/>
                        <w:lock w:val="sdtLocked"/>
                        <w:showingPlcHdr/>
                      </w:sdtPr>
                      <w:sdtContent>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经营活动现金流入小计"/>
                                <w:tag w:val="_GBC_df1c35743cca4564a27f7e5901b00f02"/>
                                <w:id w:val="24721608"/>
                                <w:lock w:val="sdtLocked"/>
                                <w:showingPlcHdr/>
                              </w:sdtPr>
                              <w:sdtContent>
                                <w:r w:rsidR="001C1A59">
                                  <w:rPr>
                                    <w:rFonts w:hint="eastAsia"/>
                                    <w:szCs w:val="21"/>
                                  </w:rPr>
                                  <w:t xml:space="preserve">　</w:t>
                                </w:r>
                              </w:sdtContent>
                            </w:sdt>
                          </w:p>
                        </w:tc>
                      </w:sdtContent>
                    </w:sdt>
                  </w:tr>
                </w:sdtContent>
              </w:sdt>
              <w:sdt>
                <w:sdtPr>
                  <w:tag w:val="_TUP_3444e34c0a7f450c8364e923dfa9dd00"/>
                  <w:id w:val="24721618"/>
                  <w:lock w:val="sdtLocked"/>
                  <w:showingPlcHdr/>
                </w:sdtPr>
                <w:sdtContent>
                  <w:tr w:rsidR="00DE031E" w:rsidTr="00DE031E">
                    <w:trPr>
                      <w:jc w:val="center"/>
                    </w:trPr>
                    <w:sdt>
                      <w:sdtPr>
                        <w:alias w:val="自定义科目名称"/>
                        <w:tag w:val="_GBC_44b81753c19e4881a151eddbaf7a4cbd"/>
                        <w:id w:val="24721611"/>
                        <w:lock w:val="sdtLocked"/>
                      </w:sdtPr>
                      <w:sdtContent>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200" w:firstLine="420"/>
                              <w:rPr>
                                <w:szCs w:val="21"/>
                              </w:rPr>
                            </w:pPr>
                            <w:r>
                              <w:t>回购业务资金净减少额</w:t>
                            </w:r>
                          </w:p>
                        </w:tc>
                      </w:sdtContent>
                    </w:sdt>
                    <w:sdt>
                      <w:sdtPr>
                        <w:alias w:val="附注_合并现金流量表回购业务资金净减少额"/>
                        <w:tag w:val="_GBC_ca6d72939af0415990ed83118a7660c2"/>
                        <w:id w:val="24721613"/>
                        <w:lock w:val="sdtLocked"/>
                        <w:showingPlcHdr/>
                      </w:sdtPr>
                      <w:sdtContent>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szCs w:val="21"/>
                                </w:rPr>
                                <w:alias w:val="附注_经营活动现金流入小计"/>
                                <w:tag w:val="_GBC_e5dd55d8545a45d58a7eaaa15e091010"/>
                                <w:id w:val="24721612"/>
                                <w:lock w:val="sdtLocked"/>
                                <w:showingPlcHdr/>
                              </w:sdtPr>
                              <w:sdtContent>
                                <w:r w:rsidR="001C1A59">
                                  <w:rPr>
                                    <w:rFonts w:hint="eastAsia"/>
                                  </w:rPr>
                                  <w:t xml:space="preserve">　</w:t>
                                </w:r>
                              </w:sdtContent>
                            </w:sdt>
                          </w:p>
                        </w:tc>
                      </w:sdtContent>
                    </w:sdt>
                    <w:sdt>
                      <w:sdtPr>
                        <w:alias w:val="合并现金流量表回购业务资金净减少额"/>
                        <w:tag w:val="_GBC_52e9d5f4e0674acb9ebb8055bf3025ef"/>
                        <w:id w:val="24721615"/>
                        <w:lock w:val="sdtLocked"/>
                        <w:showingPlcHdr/>
                      </w:sdtPr>
                      <w:sdtContent>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经营活动现金流入小计"/>
                                <w:tag w:val="_GBC_998a2484c8bd4a40a15c3076462930aa"/>
                                <w:id w:val="24721614"/>
                                <w:lock w:val="sdtLocked"/>
                                <w:showingPlcHdr/>
                              </w:sdtPr>
                              <w:sdtContent>
                                <w:r w:rsidR="001C1A59">
                                  <w:rPr>
                                    <w:rFonts w:hint="eastAsia"/>
                                    <w:szCs w:val="21"/>
                                  </w:rPr>
                                  <w:t xml:space="preserve">　</w:t>
                                </w:r>
                              </w:sdtContent>
                            </w:sdt>
                          </w:p>
                        </w:tc>
                      </w:sdtContent>
                    </w:sdt>
                    <w:sdt>
                      <w:sdtPr>
                        <w:alias w:val="合并现金流量表回购业务资金净减少额"/>
                        <w:tag w:val="_GBC_f23f87db776e4f959d5e7d68e2804ee7"/>
                        <w:id w:val="24721617"/>
                        <w:lock w:val="sdtLocked"/>
                        <w:showingPlcHdr/>
                      </w:sdtPr>
                      <w:sdtContent>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经营活动现金流入小计"/>
                                <w:tag w:val="_GBC_df1c35743cca4564a27f7e5901b00f02"/>
                                <w:id w:val="24721616"/>
                                <w:lock w:val="sdtLocked"/>
                                <w:showingPlcHdr/>
                              </w:sdtPr>
                              <w:sdtContent>
                                <w:r w:rsidR="001C1A59">
                                  <w:rPr>
                                    <w:rFonts w:hint="eastAsia"/>
                                    <w:szCs w:val="21"/>
                                  </w:rPr>
                                  <w:t xml:space="preserve">　</w:t>
                                </w:r>
                              </w:sdtContent>
                            </w:sdt>
                          </w:p>
                        </w:tc>
                      </w:sdtContent>
                    </w:sdt>
                  </w:tr>
                </w:sdtContent>
              </w:sdt>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融出资金净增加额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融出资金净增加额"/>
                        <w:tag w:val="_GBC_2ed03dd6c704475ca5933828bbbfe09c"/>
                        <w:id w:val="24721619"/>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融出资金净增加额"/>
                        <w:tag w:val="_GBC_785e994ad48c43a291dde26c06308546"/>
                        <w:id w:val="24721620"/>
                        <w:lock w:val="sdtLocked"/>
                      </w:sdtPr>
                      <w:sdtContent>
                        <w:r w:rsidR="001C1A59">
                          <w:rPr>
                            <w:rFonts w:hint="eastAsia"/>
                            <w:color w:val="000000" w:themeColor="text1"/>
                            <w:szCs w:val="21"/>
                          </w:rPr>
                          <w:t>56,228,313,239.65</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融出资金净增加额"/>
                        <w:tag w:val="_GBC_67307988a2494033a792fba4a5efb04c"/>
                        <w:id w:val="24721621"/>
                        <w:lock w:val="sdtLocked"/>
                      </w:sdtPr>
                      <w:sdtContent>
                        <w:r w:rsidR="001C1A59">
                          <w:rPr>
                            <w:rFonts w:hint="eastAsia"/>
                            <w:color w:val="000000" w:themeColor="text1"/>
                            <w:szCs w:val="21"/>
                          </w:rPr>
                          <w:t>3,725,242,430.59</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代理买卖证券支付的现金净额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代理买卖证券支付的现金净额"/>
                        <w:tag w:val="_GBC_e95baa3d267d462c9b45bf1f7e15d75c"/>
                        <w:id w:val="24721622"/>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代理买卖证券支付的现金净额"/>
                        <w:tag w:val="_GBC_3be72fb17a424ceebe124c30c85dbcc3"/>
                        <w:id w:val="24721623"/>
                        <w:lock w:val="sdtLocked"/>
                        <w:showingPlcHdr/>
                      </w:sdtPr>
                      <w:sdtContent>
                        <w:r w:rsidR="001C1A59">
                          <w:rPr>
                            <w:rFonts w:hint="eastAsia"/>
                            <w:color w:val="333399"/>
                          </w:rPr>
                          <w:t xml:space="preserve">　</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代理买卖证券支付的现金净额"/>
                        <w:tag w:val="_GBC_d0dc077335c8407ba672627534f6b1f0"/>
                        <w:id w:val="24721624"/>
                        <w:lock w:val="sdtLocked"/>
                        <w:showingPlcHdr/>
                      </w:sdtPr>
                      <w:sdtContent>
                        <w:r w:rsidR="001C1A59">
                          <w:rPr>
                            <w:rFonts w:hint="eastAsia"/>
                            <w:color w:val="333399"/>
                          </w:rPr>
                          <w:t xml:space="preserve">　</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支付利息、手续费及佣金的现金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利息、手续费及佣金的现金"/>
                        <w:tag w:val="_GBC_ad6ea7f91d5b474fa3f18bbc06a7d312"/>
                        <w:id w:val="24721625"/>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利息、手续费及佣金的现金"/>
                        <w:tag w:val="_GBC_2dd45902543b4b269dd5fb523cf776cd"/>
                        <w:id w:val="24721626"/>
                        <w:lock w:val="sdtLocked"/>
                      </w:sdtPr>
                      <w:sdtContent>
                        <w:r w:rsidR="001C1A59">
                          <w:rPr>
                            <w:rFonts w:hint="eastAsia"/>
                            <w:color w:val="000000" w:themeColor="text1"/>
                            <w:szCs w:val="21"/>
                          </w:rPr>
                          <w:t>3,270,306,732.14</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利息、手续费及佣金的现金"/>
                        <w:tag w:val="_GBC_d38265ee4a63498c8ce3c826cc29a3ea"/>
                        <w:id w:val="24721627"/>
                        <w:lock w:val="sdtLocked"/>
                      </w:sdtPr>
                      <w:sdtContent>
                        <w:r w:rsidR="001C1A59">
                          <w:rPr>
                            <w:rFonts w:hint="eastAsia"/>
                            <w:color w:val="000000" w:themeColor="text1"/>
                            <w:szCs w:val="21"/>
                          </w:rPr>
                          <w:t>599,214,910.76</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支付给职工以及为职工支付的现金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给职工以及为职工支付的现金"/>
                        <w:tag w:val="_GBC_6f079cb846a74ef6b6a0b76c0f56e1dc"/>
                        <w:id w:val="24721628"/>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给职工以及为职工支付的现金"/>
                        <w:tag w:val="_GBC_50e3d58ed68141c5b79cfa124ba11bc8"/>
                        <w:id w:val="24721629"/>
                        <w:lock w:val="sdtLocked"/>
                      </w:sdtPr>
                      <w:sdtContent>
                        <w:r w:rsidR="001C1A59">
                          <w:rPr>
                            <w:rFonts w:hint="eastAsia"/>
                            <w:color w:val="000000" w:themeColor="text1"/>
                            <w:szCs w:val="21"/>
                          </w:rPr>
                          <w:t>2,366,068,988.33</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给职工以及为职工支付的现金"/>
                        <w:tag w:val="_GBC_7158188c98c04741a0aaa4f5cc4572e5"/>
                        <w:id w:val="24721630"/>
                        <w:lock w:val="sdtLocked"/>
                      </w:sdtPr>
                      <w:sdtContent>
                        <w:r w:rsidR="001C1A59">
                          <w:rPr>
                            <w:rFonts w:hint="eastAsia"/>
                            <w:color w:val="000000" w:themeColor="text1"/>
                            <w:szCs w:val="21"/>
                          </w:rPr>
                          <w:t>1,098,383,249.22</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支付的各项税费</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各项税费"/>
                        <w:tag w:val="_GBC_3d6fe663f48f45f489e510997e6a87d2"/>
                        <w:id w:val="24721631"/>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的各项税费"/>
                        <w:tag w:val="_GBC_bc0a3166ee86424cb0b742c8728f17b9"/>
                        <w:id w:val="24721632"/>
                        <w:lock w:val="sdtLocked"/>
                      </w:sdtPr>
                      <w:sdtContent>
                        <w:r w:rsidR="001C1A59">
                          <w:rPr>
                            <w:rFonts w:hint="eastAsia"/>
                            <w:color w:val="000000" w:themeColor="text1"/>
                            <w:szCs w:val="21"/>
                          </w:rPr>
                          <w:t>1,623,965,107.73</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的各项税费"/>
                        <w:tag w:val="_GBC_45132390116d4c30af79695884fb2297"/>
                        <w:id w:val="24721633"/>
                        <w:lock w:val="sdtLocked"/>
                      </w:sdtPr>
                      <w:sdtContent>
                        <w:r w:rsidR="001C1A59">
                          <w:rPr>
                            <w:rFonts w:hint="eastAsia"/>
                            <w:color w:val="000000" w:themeColor="text1"/>
                            <w:szCs w:val="21"/>
                          </w:rPr>
                          <w:t>605,407,764.72</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支付其他与经营活动有关的现金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其他与经营活动有关的现金"/>
                        <w:tag w:val="_GBC_c06e4b415be84507ab2ad46acb888b92"/>
                        <w:id w:val="24721634"/>
                        <w:lock w:val="sdtLocked"/>
                      </w:sdtPr>
                      <w:sdtContent>
                        <w:r w:rsidR="001C1A59">
                          <w:rPr>
                            <w:rFonts w:hint="eastAsia"/>
                            <w:color w:val="000000" w:themeColor="text1"/>
                            <w:szCs w:val="21"/>
                          </w:rPr>
                          <w:t>七、</w:t>
                        </w:r>
                        <w:r w:rsidR="001C1A59">
                          <w:rPr>
                            <w:color w:val="000000" w:themeColor="text1"/>
                            <w:szCs w:val="21"/>
                          </w:rPr>
                          <w:t>6</w:t>
                        </w:r>
                        <w:r w:rsidR="001C1A59">
                          <w:rPr>
                            <w:rFonts w:hint="eastAsia"/>
                            <w:color w:val="000000" w:themeColor="text1"/>
                            <w:szCs w:val="21"/>
                          </w:rPr>
                          <w:t>2</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的其他与经营活动有关的现金"/>
                        <w:tag w:val="_GBC_a17b06ba286e4592a7271d6742fb8561"/>
                        <w:id w:val="24721635"/>
                        <w:lock w:val="sdtLocked"/>
                      </w:sdtPr>
                      <w:sdtContent>
                        <w:r w:rsidR="001C1A59">
                          <w:rPr>
                            <w:rFonts w:hint="eastAsia"/>
                            <w:color w:val="000000" w:themeColor="text1"/>
                            <w:szCs w:val="21"/>
                          </w:rPr>
                          <w:t>2,747,399,050.60</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的其他与经营活动有关的现金"/>
                        <w:tag w:val="_GBC_978888ca9b874a1292237105c711ebab"/>
                        <w:id w:val="24721636"/>
                        <w:lock w:val="sdtLocked"/>
                      </w:sdtPr>
                      <w:sdtContent>
                        <w:r w:rsidR="001C1A59">
                          <w:rPr>
                            <w:rFonts w:hint="eastAsia"/>
                            <w:color w:val="000000" w:themeColor="text1"/>
                            <w:szCs w:val="21"/>
                          </w:rPr>
                          <w:t>519,628,289.56</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经营活动现金流出小计</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经营活动现金流出小计"/>
                        <w:tag w:val="_GBC_f07a98478e9c47ae8150db672c90ad21"/>
                        <w:id w:val="24721637"/>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出小计"/>
                        <w:tag w:val="_GBC_cffd941598594ad59ac909f078a5ab0b"/>
                        <w:id w:val="24721638"/>
                        <w:lock w:val="sdtLocked"/>
                      </w:sdtPr>
                      <w:sdtContent>
                        <w:r w:rsidR="001C1A59" w:rsidRPr="00626623">
                          <w:rPr>
                            <w:b/>
                            <w:color w:val="000000" w:themeColor="text1"/>
                            <w:szCs w:val="21"/>
                          </w:rPr>
                          <w:t>83,277,155,972.07</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出小计"/>
                        <w:tag w:val="_GBC_f6e1f4175210480caa9c1f3f17af12e3"/>
                        <w:id w:val="24721639"/>
                        <w:lock w:val="sdtLocked"/>
                      </w:sdtPr>
                      <w:sdtContent>
                        <w:r w:rsidR="001C1A59" w:rsidRPr="00626623">
                          <w:rPr>
                            <w:b/>
                            <w:color w:val="000000" w:themeColor="text1"/>
                            <w:szCs w:val="21"/>
                          </w:rPr>
                          <w:t>17,463,638,399.09</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300" w:firstLine="632"/>
                      <w:rPr>
                        <w:b/>
                        <w:szCs w:val="21"/>
                      </w:rPr>
                    </w:pPr>
                    <w:r w:rsidRPr="00626623">
                      <w:rPr>
                        <w:b/>
                        <w:szCs w:val="21"/>
                      </w:rPr>
                      <w:t>经营活动产生的现金流量净额</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经营活动现金流量净额"/>
                        <w:tag w:val="_GBC_8c0f56fe80e24b36b09a58087a43e322"/>
                        <w:id w:val="24721640"/>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量净额"/>
                        <w:tag w:val="_GBC_5c5d3e839ffa410587a0a0467527a3f0"/>
                        <w:id w:val="24721641"/>
                        <w:lock w:val="sdtLocked"/>
                      </w:sdtPr>
                      <w:sdtContent>
                        <w:r w:rsidR="001C1A59" w:rsidRPr="00626623">
                          <w:rPr>
                            <w:b/>
                            <w:color w:val="000000" w:themeColor="text1"/>
                            <w:szCs w:val="21"/>
                          </w:rPr>
                          <w:t>13,969,638,812.19</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量净额"/>
                        <w:tag w:val="_GBC_b9886e8b15114be0af5f59f3db79628d"/>
                        <w:id w:val="24721642"/>
                        <w:lock w:val="sdtLocked"/>
                      </w:sdtPr>
                      <w:sdtContent>
                        <w:r w:rsidR="001C1A59" w:rsidRPr="00626623">
                          <w:rPr>
                            <w:b/>
                            <w:color w:val="000000" w:themeColor="text1"/>
                            <w:szCs w:val="21"/>
                          </w:rPr>
                          <w:t>-1,281,313,653.50</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二、投资活动产生的现金流量：</w:t>
                    </w:r>
                  </w:p>
                </w:tc>
                <w:tc>
                  <w:tcPr>
                    <w:tcW w:w="369" w:type="pct"/>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收回投资收到的现金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回投资所收到的现金"/>
                        <w:tag w:val="_GBC_af28336e94944646854e78a47ba22f3d"/>
                        <w:id w:val="24721643"/>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收回投资所收到的现金"/>
                        <w:tag w:val="_GBC_57e1667da73b47338cd6ef1ed22d7123"/>
                        <w:id w:val="24721644"/>
                        <w:lock w:val="sdtLocked"/>
                      </w:sdtPr>
                      <w:sdtContent>
                        <w:r w:rsidR="001C1A59">
                          <w:rPr>
                            <w:rFonts w:hint="eastAsia"/>
                            <w:szCs w:val="21"/>
                          </w:rPr>
                          <w:t>1,036,921,047.98</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收回投资所收到的现金"/>
                        <w:tag w:val="_GBC_bfb4a990721c4583a32ba17b89d65666"/>
                        <w:id w:val="24721645"/>
                        <w:lock w:val="sdtLocked"/>
                      </w:sdtPr>
                      <w:sdtContent>
                        <w:r w:rsidR="001C1A59">
                          <w:rPr>
                            <w:rFonts w:hint="eastAsia"/>
                            <w:szCs w:val="21"/>
                          </w:rPr>
                          <w:t>1,368,246,621.28</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取得投资收益收到的现金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取得投资收益所收到的现金"/>
                        <w:tag w:val="_GBC_cb8183967d764500bd6ebc5594b6a04b"/>
                        <w:id w:val="24721646"/>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取得投资收益所收到的现金"/>
                        <w:tag w:val="_GBC_122c6fb3aeb246b79c9e828bf0879ad2"/>
                        <w:id w:val="24721647"/>
                        <w:lock w:val="sdtLocked"/>
                      </w:sdtPr>
                      <w:sdtContent>
                        <w:r w:rsidR="001C1A59">
                          <w:rPr>
                            <w:rFonts w:hint="eastAsia"/>
                            <w:szCs w:val="21"/>
                          </w:rPr>
                          <w:t>759,511,840.89</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取得投资收益所收到的现金"/>
                        <w:tag w:val="_GBC_66ffa7bcf0ac42b48cf3cd8f55aafdad"/>
                        <w:id w:val="24721648"/>
                        <w:lock w:val="sdtLocked"/>
                      </w:sdtPr>
                      <w:sdtContent>
                        <w:r w:rsidR="001C1A59">
                          <w:rPr>
                            <w:rFonts w:hint="eastAsia"/>
                            <w:szCs w:val="21"/>
                          </w:rPr>
                          <w:t>186,021,929.52</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处置子公司及其他营业单位收到的现金净额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回投资所收到的现金中的出售子公司收到的现金"/>
                        <w:tag w:val="_GBC_e68547ec90de41cd9104ad8643c45b5e"/>
                        <w:id w:val="24721649"/>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收回投资所收到的现金中的出售子公司收到的现金"/>
                        <w:tag w:val="_GBC_148937fea51245e1aed9c77b0b0349fe"/>
                        <w:id w:val="24721650"/>
                        <w:lock w:val="sdtLocked"/>
                      </w:sdtP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收回投资所收到的现金中的出售子公司收到的现金"/>
                        <w:tag w:val="_GBC_ef7548db69a04ed1ab6b34f4f11cdf18"/>
                        <w:id w:val="24721651"/>
                        <w:lock w:val="sdtLocked"/>
                      </w:sdtP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收到其他与投资活动有关的现金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到的其他与投资活动有关的现金"/>
                        <w:tag w:val="_GBC_5066a939a7454996bb2e198420d76065"/>
                        <w:id w:val="24721652"/>
                        <w:lock w:val="sdtLocked"/>
                      </w:sdtPr>
                      <w:sdtContent>
                        <w:r w:rsidR="001C1A59">
                          <w:rPr>
                            <w:rFonts w:hint="eastAsia"/>
                            <w:color w:val="000000" w:themeColor="text1"/>
                            <w:szCs w:val="21"/>
                          </w:rPr>
                          <w:t>七、</w:t>
                        </w:r>
                        <w:r w:rsidR="001C1A59">
                          <w:rPr>
                            <w:color w:val="000000" w:themeColor="text1"/>
                            <w:szCs w:val="21"/>
                          </w:rPr>
                          <w:t>6</w:t>
                        </w:r>
                        <w:r w:rsidR="001C1A59">
                          <w:rPr>
                            <w:rFonts w:hint="eastAsia"/>
                            <w:color w:val="000000" w:themeColor="text1"/>
                            <w:szCs w:val="21"/>
                          </w:rPr>
                          <w:t>2</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收到的其他与投资活动有关的现金"/>
                        <w:tag w:val="_GBC_7807b4fad1b949779eff749e4451c3ac"/>
                        <w:id w:val="24721653"/>
                        <w:lock w:val="sdtLocked"/>
                      </w:sdtPr>
                      <w:sdtContent>
                        <w:r w:rsidR="001C1A59">
                          <w:rPr>
                            <w:rFonts w:hint="eastAsia"/>
                            <w:szCs w:val="21"/>
                          </w:rPr>
                          <w:t>366,623.17</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收到的其他与投资活动有关的现金"/>
                        <w:tag w:val="_GBC_4892b7da03aa49ee8ece2b09f2f82c49"/>
                        <w:id w:val="24721654"/>
                        <w:lock w:val="sdtLocked"/>
                      </w:sdtPr>
                      <w:sdtContent>
                        <w:r w:rsidR="001C1A59">
                          <w:rPr>
                            <w:rFonts w:hint="eastAsia"/>
                            <w:szCs w:val="21"/>
                          </w:rPr>
                          <w:t>127,856.47</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投资活动现金流入小计</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pStyle w:val="a8"/>
                      <w:jc w:val="left"/>
                      <w:rPr>
                        <w:rFonts w:ascii="宋体" w:hAnsi="宋体"/>
                        <w:b/>
                        <w:color w:val="000000" w:themeColor="text1"/>
                      </w:rPr>
                    </w:pPr>
                    <w:sdt>
                      <w:sdtPr>
                        <w:rPr>
                          <w:rFonts w:ascii="宋体" w:hAnsi="宋体" w:hint="eastAsia"/>
                          <w:b/>
                          <w:color w:val="000000" w:themeColor="text1"/>
                        </w:rPr>
                        <w:alias w:val="附注_投资活动现金流入小计"/>
                        <w:tag w:val="_GBC_61f294c7b015457ca8986cd68736ddce"/>
                        <w:id w:val="24721655"/>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pStyle w:val="a8"/>
                      <w:jc w:val="right"/>
                      <w:rPr>
                        <w:rFonts w:ascii="宋体" w:hAnsi="宋体"/>
                        <w:b/>
                        <w:color w:val="000000" w:themeColor="text1"/>
                      </w:rPr>
                    </w:pPr>
                    <w:sdt>
                      <w:sdtPr>
                        <w:rPr>
                          <w:rFonts w:ascii="宋体" w:hAnsi="宋体" w:hint="eastAsia"/>
                          <w:b/>
                        </w:rPr>
                        <w:alias w:val="投资活动现金流入小计"/>
                        <w:tag w:val="_GBC_d93b3f09de684da8b2f592e1a0c73e4c"/>
                        <w:id w:val="24721656"/>
                        <w:lock w:val="sdtLocked"/>
                      </w:sdtPr>
                      <w:sdtContent>
                        <w:r w:rsidR="001C1A59" w:rsidRPr="00626623">
                          <w:rPr>
                            <w:rFonts w:ascii="宋体" w:hAnsi="宋体" w:hint="eastAsia"/>
                            <w:b/>
                          </w:rPr>
                          <w:t>1,796,799,512.04</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投资活动现金流入小计"/>
                        <w:tag w:val="_GBC_d04fa63b8b8a4f6f88832193f5e258bb"/>
                        <w:id w:val="24721657"/>
                        <w:lock w:val="sdtLocked"/>
                      </w:sdtPr>
                      <w:sdtContent>
                        <w:r w:rsidR="001C1A59" w:rsidRPr="00626623">
                          <w:rPr>
                            <w:rFonts w:hint="eastAsia"/>
                            <w:b/>
                            <w:szCs w:val="21"/>
                          </w:rPr>
                          <w:t>1,554,396,407.27</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投资支付的现金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投资所支付的现金"/>
                        <w:tag w:val="_GBC_39d227512e8e4645b6ba559a3cc99006"/>
                        <w:id w:val="24721658"/>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投资所支付的现金"/>
                        <w:tag w:val="_GBC_190a1dbe0f5648fd967dd2a6e3e5144c"/>
                        <w:id w:val="24721659"/>
                        <w:lock w:val="sdtLocked"/>
                      </w:sdtP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投资所支付的现金"/>
                        <w:tag w:val="_GBC_79d22935c9ae46f6a5d3b8fae2d4d210"/>
                        <w:id w:val="24721660"/>
                        <w:lock w:val="sdtLocked"/>
                        <w:showingPlcHdr/>
                      </w:sdtPr>
                      <w:sdtContent>
                        <w:r w:rsidR="001237AC">
                          <w:rPr>
                            <w:szCs w:val="21"/>
                          </w:rPr>
                          <w:t xml:space="preserve">     </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购建固定资产、无形资产和其他长期资产支付的现金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购建固定资产无形资产和其他长期资产所支付的现金"/>
                        <w:tag w:val="_GBC_1a48738cc6fe4ca7bf3702030a0b2045"/>
                        <w:id w:val="24721661"/>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购建固定资产、无形资产和其他长期资产所支付的现金"/>
                        <w:tag w:val="_GBC_b1fe6ab5d81f438bb39fa5e78f086aa4"/>
                        <w:id w:val="24721662"/>
                        <w:lock w:val="sdtLocked"/>
                      </w:sdtPr>
                      <w:sdtContent>
                        <w:r w:rsidR="001C1A59">
                          <w:rPr>
                            <w:rFonts w:hint="eastAsia"/>
                            <w:szCs w:val="21"/>
                          </w:rPr>
                          <w:t>117,933,532.36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购建固定资产、无形资产和其他长期资产所支付的现金"/>
                        <w:tag w:val="_GBC_5fe030847d854cb6a3ef53f0de5dbdca"/>
                        <w:id w:val="24721663"/>
                        <w:lock w:val="sdtLocked"/>
                      </w:sdtPr>
                      <w:sdtContent>
                        <w:r w:rsidR="001C1A59">
                          <w:rPr>
                            <w:rFonts w:hint="eastAsia"/>
                            <w:szCs w:val="21"/>
                          </w:rPr>
                          <w:t>115,536,579.08</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取得子公司及其他营业单位支付的现金净额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取得子公司及其他营业单位支付的现金净额"/>
                        <w:tag w:val="_GBC_81781f207af043398a9c6f4cb06bfb40"/>
                        <w:id w:val="24721664"/>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取得子公司及其他营业单位支付的现金净额"/>
                        <w:tag w:val="_GBC_e9f310bd476e449b9028c77c2219f8bd"/>
                        <w:id w:val="24721665"/>
                        <w:lock w:val="sdtLocked"/>
                      </w:sdtP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取得子公司及其他营业单位支付的现金净额"/>
                        <w:tag w:val="_GBC_e9d1ab727d8c4c138758251bbfc06809"/>
                        <w:id w:val="24721666"/>
                        <w:lock w:val="sdtLocked"/>
                      </w:sdtP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支付其他与投资活动有关的现金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其他与投资活动有关的现金"/>
                        <w:tag w:val="_GBC_88700c70e1f142b6851292c06d4417c1"/>
                        <w:id w:val="24721667"/>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支付的其他与投资活动有关的现金"/>
                        <w:tag w:val="_GBC_394df1685e614cffb401b89965aa2d64"/>
                        <w:id w:val="24721668"/>
                        <w:lock w:val="sdtLocked"/>
                      </w:sdtP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szCs w:val="21"/>
                        </w:rPr>
                        <w:alias w:val="支付的其他与投资活动有关的现金"/>
                        <w:tag w:val="_GBC_0016f6578fb644099920e5e94ab862c1"/>
                        <w:id w:val="24721669"/>
                        <w:lock w:val="sdtLocked"/>
                      </w:sdtP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投资活动现金流出小计</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投资活动现金流出小计"/>
                        <w:tag w:val="_GBC_cc825162bb1d46fe8d4e408cd982fb68"/>
                        <w:id w:val="24721670"/>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投资活动现金流出小计"/>
                        <w:tag w:val="_GBC_ca6fe01c2da84a1fa26366f09fee2770"/>
                        <w:id w:val="24721671"/>
                        <w:lock w:val="sdtLocked"/>
                      </w:sdtPr>
                      <w:sdtContent>
                        <w:r w:rsidR="001C1A59" w:rsidRPr="00626623">
                          <w:rPr>
                            <w:rFonts w:hint="eastAsia"/>
                            <w:b/>
                            <w:szCs w:val="21"/>
                          </w:rPr>
                          <w:t>117,933,532.36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投资活动现金流出小计"/>
                        <w:tag w:val="_GBC_1b5c2b67dcf440cfa5d48bdda0d7ac99"/>
                        <w:id w:val="24721672"/>
                        <w:lock w:val="sdtLocked"/>
                      </w:sdtPr>
                      <w:sdtContent>
                        <w:r w:rsidR="001C1A59" w:rsidRPr="00626623">
                          <w:rPr>
                            <w:rFonts w:hint="eastAsia"/>
                            <w:b/>
                            <w:szCs w:val="21"/>
                          </w:rPr>
                          <w:t>115,536,579.08</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300" w:firstLine="632"/>
                      <w:rPr>
                        <w:b/>
                        <w:szCs w:val="21"/>
                      </w:rPr>
                    </w:pPr>
                    <w:r w:rsidRPr="00626623">
                      <w:rPr>
                        <w:b/>
                        <w:szCs w:val="21"/>
                      </w:rPr>
                      <w:t>投资活动产生的现金流量净额</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投资活动产生的现金流量净额"/>
                        <w:tag w:val="_GBC_854a6599cb1b497ea7d069ef4c1fae00"/>
                        <w:id w:val="24721673"/>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投资活动产生的现金流量净额"/>
                        <w:tag w:val="_GBC_d55ba60d11144f8088caa80d302326ef"/>
                        <w:id w:val="24721674"/>
                        <w:lock w:val="sdtLocked"/>
                      </w:sdtPr>
                      <w:sdtContent>
                        <w:r w:rsidR="001C1A59" w:rsidRPr="00626623">
                          <w:rPr>
                            <w:rFonts w:hint="eastAsia"/>
                            <w:b/>
                            <w:szCs w:val="21"/>
                          </w:rPr>
                          <w:t>1,678,865,979.68</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szCs w:val="21"/>
                        </w:rPr>
                        <w:alias w:val="投资活动产生的现金流量净额"/>
                        <w:tag w:val="_GBC_cef69d4e49724ea0bb895d54419f92fc"/>
                        <w:id w:val="24721675"/>
                        <w:lock w:val="sdtLocked"/>
                      </w:sdtPr>
                      <w:sdtContent>
                        <w:r w:rsidR="001C1A59" w:rsidRPr="00626623">
                          <w:rPr>
                            <w:rFonts w:hint="eastAsia"/>
                            <w:b/>
                            <w:szCs w:val="21"/>
                          </w:rPr>
                          <w:t>1,438,859,828.19</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三、筹资活动产生的现金流量：</w:t>
                    </w:r>
                  </w:p>
                </w:tc>
                <w:tc>
                  <w:tcPr>
                    <w:tcW w:w="369" w:type="pct"/>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DE031E" w:rsidP="00DE031E">
                    <w:pPr>
                      <w:jc w:val="right"/>
                      <w:rPr>
                        <w:color w:val="000000" w:themeColor="text1"/>
                        <w:szCs w:val="21"/>
                      </w:rPr>
                    </w:pPr>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吸收投资收到的现金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吸收投资所收到的现金"/>
                        <w:tag w:val="_GBC_39ad792d5cb148eeb77aa04db2fc9f38"/>
                        <w:id w:val="24721676"/>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吸收投资所收到的现金"/>
                        <w:tag w:val="_GBC_928c0e1d42474b3db5b042cdec897c68"/>
                        <w:id w:val="24721677"/>
                        <w:lock w:val="sdtLocked"/>
                      </w:sdtPr>
                      <w:sdtContent>
                        <w:r w:rsidR="001C1A59">
                          <w:rPr>
                            <w:rFonts w:hint="eastAsia"/>
                            <w:color w:val="000000" w:themeColor="text1"/>
                            <w:szCs w:val="21"/>
                          </w:rPr>
                          <w:t>8,115,000.00</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吸收投资所收到的现金"/>
                        <w:tag w:val="_GBC_3fbeced12a904c598b06eeec37bb3add"/>
                        <w:id w:val="24721678"/>
                        <w:lock w:val="sdtLocked"/>
                      </w:sdtPr>
                      <w:sdtContent>
                        <w:r w:rsidR="001C1A59">
                          <w:rPr>
                            <w:rFonts w:hint="eastAsia"/>
                            <w:color w:val="000000" w:themeColor="text1"/>
                            <w:szCs w:val="21"/>
                          </w:rPr>
                          <w:t>11,149,187,004.00</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其中：子公司吸收少数股东投资收到的现金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吸收投资所收到的现金中的子公司吸收少数股东权益性投资收到的现金"/>
                        <w:tag w:val="_GBC_77c4a5da16f945e1b1f5e6d3d72fb5e8"/>
                        <w:id w:val="24721679"/>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吸收投资所收到的现金中的子公司吸收少数股东权益性投资收到的现金"/>
                        <w:tag w:val="_GBC_a152fd32762149ab87af2bcda3ce28fc"/>
                        <w:id w:val="24721680"/>
                        <w:lock w:val="sdtLocked"/>
                      </w:sdtPr>
                      <w:sdtContent>
                        <w:r w:rsidR="001C1A59">
                          <w:rPr>
                            <w:rFonts w:hint="eastAsia"/>
                            <w:color w:val="000000" w:themeColor="text1"/>
                            <w:szCs w:val="21"/>
                          </w:rPr>
                          <w:t>8,115,000.00</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吸收投资所收到的现金中的子公司吸收少数股东权益性投资收到的现金"/>
                        <w:tag w:val="_GBC_9c7af265b17842f8a062296a3dcace2b"/>
                        <w:id w:val="24721681"/>
                        <w:lock w:val="sdtLocked"/>
                        <w:showingPlcHdr/>
                      </w:sdtPr>
                      <w:sdtContent>
                        <w:r w:rsidR="001C1A59">
                          <w:rPr>
                            <w:rFonts w:hint="eastAsia"/>
                            <w:color w:val="333399"/>
                          </w:rPr>
                          <w:t xml:space="preserve">　</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取得借款收到的现金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借款所收到的现金"/>
                        <w:tag w:val="_GBC_55cdf53ebb6d4a37a6fe5efab83b4828"/>
                        <w:id w:val="24721682"/>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借款所收到的现金"/>
                        <w:tag w:val="_GBC_bf2cfebee30745b7a3ced245e956ebab"/>
                        <w:id w:val="24721683"/>
                        <w:lock w:val="sdtLocked"/>
                      </w:sdtPr>
                      <w:sdtContent>
                        <w:r w:rsidR="001C1A59">
                          <w:rPr>
                            <w:rFonts w:hint="eastAsia"/>
                            <w:color w:val="000000" w:themeColor="text1"/>
                            <w:szCs w:val="21"/>
                          </w:rPr>
                          <w:t>1,573,952,407.66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借款所收到的现金"/>
                        <w:tag w:val="_GBC_d31964ca72fa41fc9b334470d2081d04"/>
                        <w:id w:val="24721684"/>
                        <w:lock w:val="sdtLocked"/>
                      </w:sdtPr>
                      <w:sdtContent>
                        <w:r w:rsidR="001C1A59">
                          <w:rPr>
                            <w:rFonts w:hint="eastAsia"/>
                            <w:color w:val="000000" w:themeColor="text1"/>
                            <w:szCs w:val="21"/>
                          </w:rPr>
                          <w:t>613,878,948.96</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发行债券收到的现金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发行债券收到的现金"/>
                        <w:tag w:val="_GBC_61d364a6ae474866a6f7c93e3eb3b4e7"/>
                        <w:id w:val="24721685"/>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发行债券所收到的现金"/>
                        <w:tag w:val="_GBC_dad2b07169fc4e52905e5bcc80c00611"/>
                        <w:id w:val="24721686"/>
                        <w:lock w:val="sdtLocked"/>
                      </w:sdtPr>
                      <w:sdtContent>
                        <w:r w:rsidR="001C1A59">
                          <w:rPr>
                            <w:rFonts w:hint="eastAsia"/>
                            <w:color w:val="000000" w:themeColor="text1"/>
                            <w:szCs w:val="21"/>
                          </w:rPr>
                          <w:t>95,093,080,000.00</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发行债券所收到的现金"/>
                        <w:tag w:val="_GBC_4da0d7756a434fc58174773834998d53"/>
                        <w:id w:val="24721687"/>
                        <w:lock w:val="sdtLocked"/>
                      </w:sdtPr>
                      <w:sdtContent>
                        <w:r w:rsidR="001C1A59">
                          <w:rPr>
                            <w:rFonts w:hint="eastAsia"/>
                            <w:color w:val="000000" w:themeColor="text1"/>
                            <w:szCs w:val="21"/>
                          </w:rPr>
                          <w:t>14,700,000,000.00</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收到其他与筹资活动有关的现金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到其他与筹资活动有关的现金"/>
                        <w:tag w:val="_GBC_a51dcf9464194bcbb9ee0d5ffe1edc8a"/>
                        <w:id w:val="24721688"/>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收到其他与筹资活动有关的现金"/>
                        <w:tag w:val="_GBC_5f529223ea8e434683f12b14cfdbb05d"/>
                        <w:id w:val="24721689"/>
                        <w:lock w:val="sdtLocked"/>
                        <w:showingPlcHdr/>
                      </w:sdtPr>
                      <w:sdtContent>
                        <w:r w:rsidR="001C1A59">
                          <w:rPr>
                            <w:rFonts w:hint="eastAsia"/>
                            <w:color w:val="333399"/>
                          </w:rPr>
                          <w:t xml:space="preserve">　</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收到其他与筹资活动有关的现金"/>
                        <w:tag w:val="_GBC_e9058543783844eebdcd663ae89ada45"/>
                        <w:id w:val="24721690"/>
                        <w:lock w:val="sdtLocked"/>
                        <w:showingPlcHdr/>
                      </w:sdtPr>
                      <w:sdtContent>
                        <w:r w:rsidR="001C1A59">
                          <w:rPr>
                            <w:rFonts w:hint="eastAsia"/>
                            <w:color w:val="333399"/>
                          </w:rPr>
                          <w:t xml:space="preserve">　</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筹资活动现金流入小计</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筹资活动现金流入小计"/>
                        <w:tag w:val="_GBC_ca3d4b440de84bba9899422d410082d5"/>
                        <w:id w:val="24721691"/>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入小计"/>
                        <w:tag w:val="_GBC_4d0117e6818f4bdbb349463cd71415cd"/>
                        <w:id w:val="24721692"/>
                        <w:lock w:val="sdtLocked"/>
                      </w:sdtPr>
                      <w:sdtContent>
                        <w:r w:rsidR="001C1A59" w:rsidRPr="00626623">
                          <w:rPr>
                            <w:rFonts w:hint="eastAsia"/>
                            <w:b/>
                            <w:color w:val="000000" w:themeColor="text1"/>
                            <w:szCs w:val="21"/>
                          </w:rPr>
                          <w:t>96,675,147,407.66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入小计"/>
                        <w:tag w:val="_GBC_a9fff5b66fbf461a968fe15fe577839d"/>
                        <w:id w:val="24721693"/>
                        <w:lock w:val="sdtLocked"/>
                      </w:sdtPr>
                      <w:sdtContent>
                        <w:r w:rsidR="001C1A59" w:rsidRPr="00626623">
                          <w:rPr>
                            <w:rFonts w:hint="eastAsia"/>
                            <w:b/>
                            <w:color w:val="000000" w:themeColor="text1"/>
                            <w:szCs w:val="21"/>
                          </w:rPr>
                          <w:t>26,463,065,952.96</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偿还债务支付的现金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偿还债务所支付的现金"/>
                        <w:tag w:val="_GBC_bf4f6ab452144453bfef782a51fd3a6b"/>
                        <w:id w:val="24721694"/>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偿还债务所支付的现金"/>
                        <w:tag w:val="_GBC_d1eda7f3c940499a8927f328de477fb3"/>
                        <w:id w:val="24721695"/>
                        <w:lock w:val="sdtLocked"/>
                      </w:sdtPr>
                      <w:sdtContent>
                        <w:r w:rsidR="001C1A59">
                          <w:rPr>
                            <w:rFonts w:hint="eastAsia"/>
                            <w:color w:val="000000" w:themeColor="text1"/>
                            <w:szCs w:val="21"/>
                          </w:rPr>
                          <w:t>24,112,197,014.00</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偿还债务所支付的现金"/>
                        <w:tag w:val="_GBC_8307b723b2004834b6996c13c95e8156"/>
                        <w:id w:val="24721696"/>
                        <w:lock w:val="sdtLocked"/>
                      </w:sdtPr>
                      <w:sdtContent>
                        <w:r w:rsidR="001C1A59">
                          <w:rPr>
                            <w:rFonts w:hint="eastAsia"/>
                            <w:color w:val="000000" w:themeColor="text1"/>
                            <w:szCs w:val="21"/>
                          </w:rPr>
                          <w:t>17,105,000,000.00</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分配股利、利润或偿付利息支付的现金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分配股利利润或偿付利息所支付的现金"/>
                        <w:tag w:val="_GBC_ef168eab90a6454c8dd43ebd1e5188cb"/>
                        <w:id w:val="24721697"/>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分配股利利润或偿付利息所支付的现金"/>
                        <w:tag w:val="_GBC_987ec539075e471aa5896209b187118f"/>
                        <w:id w:val="24721698"/>
                        <w:lock w:val="sdtLocked"/>
                      </w:sdtPr>
                      <w:sdtContent>
                        <w:r w:rsidR="001C1A59">
                          <w:rPr>
                            <w:rFonts w:hint="eastAsia"/>
                            <w:color w:val="000000" w:themeColor="text1"/>
                            <w:szCs w:val="21"/>
                          </w:rPr>
                          <w:t>2,393,283,006.56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分配股利利润或偿付利息所支付的现金"/>
                        <w:tag w:val="_GBC_5ba93022e9c4441bb52936742a0e6acc"/>
                        <w:id w:val="24721699"/>
                        <w:lock w:val="sdtLocked"/>
                      </w:sdtPr>
                      <w:sdtContent>
                        <w:r w:rsidR="001C1A59">
                          <w:rPr>
                            <w:rFonts w:hint="eastAsia"/>
                            <w:color w:val="000000" w:themeColor="text1"/>
                            <w:szCs w:val="21"/>
                          </w:rPr>
                          <w:t>729,647,342.75</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其中：子公司支付给少数股东的股利、利润</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分配股利利润或偿付利息所支付的现金中的支付少数股东的股利"/>
                        <w:tag w:val="_GBC_608e4cda294b4b54817aeaec7b1fb881"/>
                        <w:id w:val="24721700"/>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分配股利利润或偿付利息所支付的现金中的支付少数股东的股利"/>
                        <w:tag w:val="_GBC_cfb7f27554eb49b187c8d468a5b22537"/>
                        <w:id w:val="24721701"/>
                        <w:lock w:val="sdtLocked"/>
                        <w:showingPlcHdr/>
                      </w:sdtPr>
                      <w:sdtContent>
                        <w:r w:rsidR="001C1A59">
                          <w:rPr>
                            <w:rFonts w:hint="eastAsia"/>
                            <w:color w:val="333399"/>
                          </w:rPr>
                          <w:t xml:space="preserve">　</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分配股利利润或偿付利息所支付的现金中的支付少数股东的股利"/>
                        <w:tag w:val="_GBC_4e3fd1831fba46a2a3d5b9d3ed348a35"/>
                        <w:id w:val="24721702"/>
                        <w:lock w:val="sdtLocked"/>
                        <w:showingPlcHdr/>
                      </w:sdtPr>
                      <w:sdtContent>
                        <w:r w:rsidR="001C1A59">
                          <w:rPr>
                            <w:rFonts w:hint="eastAsia"/>
                            <w:color w:val="333399"/>
                          </w:rPr>
                          <w:t xml:space="preserve">　</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lastRenderedPageBreak/>
                      <w:t>支付其他与筹资活动有关的现金</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其他与筹资活动有关的现金"/>
                        <w:tag w:val="_GBC_2c5eeaf67c584ad8a572a72e0cbbe20e"/>
                        <w:id w:val="24721703"/>
                        <w:lock w:val="sdtLocked"/>
                      </w:sdtPr>
                      <w:sdtContent>
                        <w:r w:rsidR="001C1A59">
                          <w:rPr>
                            <w:rFonts w:hint="eastAsia"/>
                            <w:color w:val="000000" w:themeColor="text1"/>
                            <w:szCs w:val="21"/>
                          </w:rPr>
                          <w:t>七、</w:t>
                        </w:r>
                        <w:r w:rsidR="001C1A59">
                          <w:rPr>
                            <w:color w:val="000000" w:themeColor="text1"/>
                            <w:szCs w:val="21"/>
                          </w:rPr>
                          <w:t>6</w:t>
                        </w:r>
                        <w:r w:rsidR="001C1A59">
                          <w:rPr>
                            <w:rFonts w:hint="eastAsia"/>
                            <w:color w:val="000000" w:themeColor="text1"/>
                            <w:szCs w:val="21"/>
                          </w:rPr>
                          <w:t>2</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的其他与筹资活动有关的现金"/>
                        <w:tag w:val="_GBC_a107f19d327a408597627b75bcc8855e"/>
                        <w:id w:val="24721704"/>
                        <w:lock w:val="sdtLocked"/>
                        <w:showingPlcHdr/>
                      </w:sdtPr>
                      <w:sdtContent>
                        <w:r w:rsidR="001C1A59">
                          <w:rPr>
                            <w:rFonts w:hint="eastAsia"/>
                            <w:color w:val="333399"/>
                          </w:rPr>
                          <w:t xml:space="preserve">　</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支付的其他与筹资活动有关的现金"/>
                        <w:tag w:val="_GBC_fdad8de934294641a20fdc9794a72bcd"/>
                        <w:id w:val="24721705"/>
                        <w:lock w:val="sdtLocked"/>
                      </w:sdtPr>
                      <w:sdtContent>
                        <w:r w:rsidR="001C1A59">
                          <w:rPr>
                            <w:rFonts w:hint="eastAsia"/>
                            <w:color w:val="000000" w:themeColor="text1"/>
                            <w:szCs w:val="21"/>
                          </w:rPr>
                          <w:t>47,450,868.07</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筹资活动现金流出小计</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筹资活动现金流出小计"/>
                        <w:tag w:val="_GBC_4aca815664544811a2d8ada58d299252"/>
                        <w:id w:val="24721706"/>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出小计"/>
                        <w:tag w:val="_GBC_8097613df2ea45fdb103b210045ddc4a"/>
                        <w:id w:val="24721707"/>
                        <w:lock w:val="sdtLocked"/>
                      </w:sdtPr>
                      <w:sdtContent>
                        <w:r w:rsidR="001C1A59" w:rsidRPr="00626623">
                          <w:rPr>
                            <w:rFonts w:hint="eastAsia"/>
                            <w:b/>
                            <w:color w:val="000000" w:themeColor="text1"/>
                            <w:szCs w:val="21"/>
                          </w:rPr>
                          <w:t>26,505,480,020.56</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出小计"/>
                        <w:tag w:val="_GBC_29146853dd664bceaec78011c6b894ea"/>
                        <w:id w:val="24721708"/>
                        <w:lock w:val="sdtLocked"/>
                      </w:sdtPr>
                      <w:sdtContent>
                        <w:r w:rsidR="001C1A59" w:rsidRPr="00626623">
                          <w:rPr>
                            <w:rFonts w:hint="eastAsia"/>
                            <w:b/>
                            <w:color w:val="000000" w:themeColor="text1"/>
                            <w:szCs w:val="21"/>
                          </w:rPr>
                          <w:t>17,882,098,210.82</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300" w:firstLine="632"/>
                      <w:rPr>
                        <w:b/>
                        <w:szCs w:val="21"/>
                      </w:rPr>
                    </w:pPr>
                    <w:r w:rsidRPr="00626623">
                      <w:rPr>
                        <w:b/>
                        <w:szCs w:val="21"/>
                      </w:rPr>
                      <w:t>筹资活动产生的现金流量净额</w:t>
                    </w:r>
                  </w:p>
                </w:tc>
                <w:tc>
                  <w:tcPr>
                    <w:tcW w:w="369" w:type="pct"/>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筹资活动产生的现金流量净额"/>
                        <w:tag w:val="_GBC_57108820617c4da0a2095b74f3f5fb8b"/>
                        <w:id w:val="24721709"/>
                        <w:lock w:val="sdtLocked"/>
                        <w:showingPlcHdr/>
                      </w:sdtPr>
                      <w:sdtContent>
                        <w:r w:rsidR="001C1A59" w:rsidRPr="00626623">
                          <w:rPr>
                            <w:rFonts w:hint="eastAsia"/>
                            <w:b/>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产生的现金流量净额"/>
                        <w:tag w:val="_GBC_4229d54863664e11a4a14d556617885c"/>
                        <w:id w:val="24721710"/>
                        <w:lock w:val="sdtLocked"/>
                      </w:sdtPr>
                      <w:sdtContent>
                        <w:r w:rsidR="001C1A59" w:rsidRPr="00626623">
                          <w:rPr>
                            <w:rFonts w:hint="eastAsia"/>
                            <w:b/>
                            <w:color w:val="000000" w:themeColor="text1"/>
                            <w:szCs w:val="21"/>
                          </w:rPr>
                          <w:t>70,169,667,387.10</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产生的现金流量净额"/>
                        <w:tag w:val="_GBC_4b9738d739644ca7b4e4ca344ced04b0"/>
                        <w:id w:val="24721711"/>
                        <w:lock w:val="sdtLocked"/>
                      </w:sdtPr>
                      <w:sdtContent>
                        <w:r w:rsidR="001C1A59" w:rsidRPr="00626623">
                          <w:rPr>
                            <w:rFonts w:hint="eastAsia"/>
                            <w:b/>
                            <w:color w:val="000000" w:themeColor="text1"/>
                            <w:szCs w:val="21"/>
                          </w:rPr>
                          <w:t>8,580,967,742.14</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四、汇率变动对现金及现金等价物的影响</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汇率变动对现金的影响"/>
                        <w:tag w:val="_GBC_cac6a1844b7e4ff1946b9f2d5e9e44d6"/>
                        <w:id w:val="24721712"/>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汇率变动对现金的影响"/>
                        <w:tag w:val="_GBC_d16fb7a9bda349aead847e472aaeaa37"/>
                        <w:id w:val="24721713"/>
                        <w:lock w:val="sdtLocked"/>
                      </w:sdtPr>
                      <w:sdtContent>
                        <w:r w:rsidR="001C1A59">
                          <w:rPr>
                            <w:rFonts w:hint="eastAsia"/>
                            <w:color w:val="000000" w:themeColor="text1"/>
                            <w:szCs w:val="21"/>
                          </w:rPr>
                          <w:t>-3,384,828.72</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Default="00422DCA" w:rsidP="00DE031E">
                    <w:pPr>
                      <w:jc w:val="right"/>
                      <w:rPr>
                        <w:color w:val="000000" w:themeColor="text1"/>
                        <w:szCs w:val="21"/>
                      </w:rPr>
                    </w:pPr>
                    <w:sdt>
                      <w:sdtPr>
                        <w:rPr>
                          <w:rFonts w:hint="eastAsia"/>
                          <w:color w:val="000000" w:themeColor="text1"/>
                          <w:szCs w:val="21"/>
                        </w:rPr>
                        <w:alias w:val="汇率变动对现金的影响"/>
                        <w:tag w:val="_GBC_c5ae0eadfed142c285c1c88ac838f03e"/>
                        <w:id w:val="24721714"/>
                        <w:lock w:val="sdtLocked"/>
                      </w:sdtPr>
                      <w:sdtContent>
                        <w:r w:rsidR="001C1A59">
                          <w:rPr>
                            <w:rFonts w:hint="eastAsia"/>
                            <w:color w:val="000000" w:themeColor="text1"/>
                            <w:szCs w:val="21"/>
                          </w:rPr>
                          <w:t>37,990,959.81</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五、现金及现金等价物净增加额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现金及现金等价物净增加额"/>
                        <w:tag w:val="_GBC_d633e72eb77746adbfcd614294e67b11"/>
                        <w:id w:val="24721715"/>
                        <w:lock w:val="sdtLocked"/>
                        <w:showingPlcHdr/>
                      </w:sdtPr>
                      <w:sdtContent>
                        <w:r w:rsidR="001C1A59">
                          <w:rPr>
                            <w:rFonts w:hint="eastAsia"/>
                            <w:color w:val="333399"/>
                          </w:rPr>
                          <w:t xml:space="preserve">　</w:t>
                        </w:r>
                      </w:sdtContent>
                    </w:sdt>
                  </w:p>
                </w:tc>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现金及现金等价物净增加额"/>
                        <w:tag w:val="_GBC_9920743fe84a4da1932bcb1196c9b27e"/>
                        <w:id w:val="24721716"/>
                        <w:lock w:val="sdtLocked"/>
                      </w:sdtPr>
                      <w:sdtContent>
                        <w:r w:rsidR="001C1A59" w:rsidRPr="00626623">
                          <w:rPr>
                            <w:rFonts w:hint="eastAsia"/>
                            <w:b/>
                            <w:color w:val="000000" w:themeColor="text1"/>
                            <w:szCs w:val="21"/>
                          </w:rPr>
                          <w:t>85,814,787,350.25</w:t>
                        </w:r>
                      </w:sdtContent>
                    </w:sdt>
                  </w:p>
                </w:tc>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422DCA" w:rsidP="00DE031E">
                    <w:pPr>
                      <w:jc w:val="right"/>
                      <w:rPr>
                        <w:b/>
                        <w:color w:val="000000" w:themeColor="text1"/>
                        <w:szCs w:val="21"/>
                      </w:rPr>
                    </w:pPr>
                    <w:sdt>
                      <w:sdtPr>
                        <w:rPr>
                          <w:rFonts w:hint="eastAsia"/>
                          <w:b/>
                          <w:color w:val="000000" w:themeColor="text1"/>
                          <w:szCs w:val="21"/>
                        </w:rPr>
                        <w:alias w:val="现金及现金等价物净增加额"/>
                        <w:tag w:val="_GBC_b198a9ed6eb04945ac5c251a4a135db0"/>
                        <w:id w:val="24721717"/>
                        <w:lock w:val="sdtLocked"/>
                      </w:sdtPr>
                      <w:sdtContent>
                        <w:r w:rsidR="001C1A59" w:rsidRPr="00626623">
                          <w:rPr>
                            <w:rFonts w:hint="eastAsia"/>
                            <w:b/>
                            <w:color w:val="000000" w:themeColor="text1"/>
                            <w:szCs w:val="21"/>
                          </w:rPr>
                          <w:t>8,776,504,876.64</w:t>
                        </w:r>
                      </w:sdtContent>
                    </w:sdt>
                  </w:p>
                </w:tc>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加：期初现金及现金等价物余额</w:t>
                    </w:r>
                  </w:p>
                </w:tc>
                <w:tc>
                  <w:tcPr>
                    <w:tcW w:w="369" w:type="pct"/>
                    <w:tcBorders>
                      <w:top w:val="outset" w:sz="6" w:space="0" w:color="auto"/>
                      <w:left w:val="outset" w:sz="6" w:space="0" w:color="auto"/>
                      <w:bottom w:val="outset" w:sz="6" w:space="0" w:color="auto"/>
                      <w:right w:val="outset" w:sz="6" w:space="0" w:color="auto"/>
                    </w:tcBorders>
                  </w:tcPr>
                  <w:p w:rsidR="00DE031E" w:rsidRDefault="00422DCA" w:rsidP="00DE031E">
                    <w:pPr>
                      <w:pStyle w:val="a8"/>
                      <w:jc w:val="left"/>
                      <w:rPr>
                        <w:rFonts w:ascii="宋体" w:hAnsi="宋体"/>
                        <w:color w:val="000000" w:themeColor="text1"/>
                      </w:rPr>
                    </w:pPr>
                    <w:sdt>
                      <w:sdtPr>
                        <w:rPr>
                          <w:rFonts w:ascii="宋体" w:hAnsi="宋体" w:hint="eastAsia"/>
                          <w:color w:val="000000" w:themeColor="text1"/>
                        </w:rPr>
                        <w:alias w:val="附注_现金及现金等价物余额"/>
                        <w:tag w:val="_GBC_a84ca8c0f33f4c5c9d3aed95b904f94f"/>
                        <w:id w:val="24721718"/>
                        <w:lock w:val="sdtLocked"/>
                        <w:showingPlcHdr/>
                      </w:sdtPr>
                      <w:sdtContent>
                        <w:r w:rsidR="001C1A59">
                          <w:rPr>
                            <w:rFonts w:hint="eastAsia"/>
                            <w:color w:val="333399"/>
                          </w:rPr>
                          <w:t xml:space="preserve">　</w:t>
                        </w:r>
                      </w:sdtContent>
                    </w:sdt>
                  </w:p>
                </w:tc>
                <w:sdt>
                  <w:sdtPr>
                    <w:rPr>
                      <w:rFonts w:ascii="宋体" w:hAnsi="宋体"/>
                      <w:color w:val="000000" w:themeColor="text1"/>
                    </w:rPr>
                    <w:alias w:val="现金及现金等价物余额"/>
                    <w:tag w:val="_GBC_b37a6faf37c84cd29e9629c01f93481b"/>
                    <w:id w:val="24721719"/>
                    <w:lock w:val="sdtLocked"/>
                  </w:sdtPr>
                  <w:sdtContent>
                    <w:tc>
                      <w:tcPr>
                        <w:tcW w:w="1047"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pStyle w:val="a8"/>
                          <w:jc w:val="right"/>
                          <w:rPr>
                            <w:rFonts w:ascii="宋体" w:hAnsi="宋体"/>
                            <w:color w:val="000000" w:themeColor="text1"/>
                          </w:rPr>
                        </w:pPr>
                        <w:r>
                          <w:rPr>
                            <w:rFonts w:ascii="宋体" w:hAnsi="宋体"/>
                            <w:color w:val="000000" w:themeColor="text1"/>
                          </w:rPr>
                          <w:t>67,058,694,376.52</w:t>
                        </w:r>
                      </w:p>
                    </w:tc>
                  </w:sdtContent>
                </w:sdt>
                <w:sdt>
                  <w:sdtPr>
                    <w:rPr>
                      <w:color w:val="000000" w:themeColor="text1"/>
                      <w:szCs w:val="21"/>
                    </w:rPr>
                    <w:alias w:val="现金及现金等价物余额"/>
                    <w:tag w:val="_GBC_467ea1c145f64f62a695532075326b9a"/>
                    <w:id w:val="24721720"/>
                    <w:lock w:val="sdtLocked"/>
                  </w:sdtPr>
                  <w:sdtContent>
                    <w:tc>
                      <w:tcPr>
                        <w:tcW w:w="99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color w:val="000000" w:themeColor="text1"/>
                            <w:szCs w:val="21"/>
                          </w:rPr>
                        </w:pPr>
                        <w:r>
                          <w:rPr>
                            <w:color w:val="000000" w:themeColor="text1"/>
                            <w:szCs w:val="21"/>
                          </w:rPr>
                          <w:t>30,330,166,701.93</w:t>
                        </w:r>
                      </w:p>
                    </w:tc>
                  </w:sdtContent>
                </w:sdt>
              </w:tr>
              <w:tr w:rsidR="00DE031E" w:rsidTr="00DE031E">
                <w:trPr>
                  <w:jc w:val="center"/>
                </w:trPr>
                <w:tc>
                  <w:tcPr>
                    <w:tcW w:w="2589" w:type="pct"/>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六、期末现金及现金等价物余额</w:t>
                    </w:r>
                  </w:p>
                </w:tc>
                <w:sdt>
                  <w:sdtPr>
                    <w:rPr>
                      <w:rFonts w:ascii="宋体" w:hAnsi="宋体"/>
                      <w:color w:val="000000" w:themeColor="text1"/>
                    </w:rPr>
                    <w:alias w:val="附注_现金及现金等价物余额"/>
                    <w:tag w:val="_GBC_d1704d5cc86347c5bca5a907a2cad445"/>
                    <w:id w:val="24721721"/>
                    <w:lock w:val="sdtLocked"/>
                  </w:sdtPr>
                  <w:sdtContent>
                    <w:tc>
                      <w:tcPr>
                        <w:tcW w:w="369" w:type="pct"/>
                        <w:tcBorders>
                          <w:top w:val="outset" w:sz="6" w:space="0" w:color="auto"/>
                          <w:left w:val="outset" w:sz="6" w:space="0" w:color="auto"/>
                          <w:bottom w:val="outset" w:sz="6" w:space="0" w:color="auto"/>
                          <w:right w:val="outset" w:sz="6" w:space="0" w:color="auto"/>
                        </w:tcBorders>
                      </w:tcPr>
                      <w:p w:rsidR="00DE031E" w:rsidRDefault="001C1A59" w:rsidP="00DE031E">
                        <w:pPr>
                          <w:pStyle w:val="a8"/>
                          <w:jc w:val="left"/>
                          <w:rPr>
                            <w:rFonts w:ascii="宋体" w:hAnsi="宋体"/>
                            <w:color w:val="000000" w:themeColor="text1"/>
                          </w:rPr>
                        </w:pPr>
                        <w:r>
                          <w:rPr>
                            <w:rFonts w:hint="eastAsia"/>
                            <w:color w:val="000000" w:themeColor="text1"/>
                          </w:rPr>
                          <w:t>七、</w:t>
                        </w:r>
                        <w:r>
                          <w:rPr>
                            <w:color w:val="000000" w:themeColor="text1"/>
                          </w:rPr>
                          <w:t>6</w:t>
                        </w:r>
                        <w:r>
                          <w:rPr>
                            <w:rFonts w:hint="eastAsia"/>
                            <w:color w:val="000000" w:themeColor="text1"/>
                          </w:rPr>
                          <w:t>3</w:t>
                        </w:r>
                      </w:p>
                    </w:tc>
                  </w:sdtContent>
                </w:sdt>
                <w:sdt>
                  <w:sdtPr>
                    <w:rPr>
                      <w:rFonts w:ascii="宋体" w:hAnsi="宋体"/>
                      <w:b/>
                      <w:color w:val="000000" w:themeColor="text1"/>
                    </w:rPr>
                    <w:alias w:val="现金及现金等价物余额"/>
                    <w:tag w:val="_GBC_2b7fcd90d9794a53b988a2a0b52310e1"/>
                    <w:id w:val="24721722"/>
                    <w:lock w:val="sdtLocked"/>
                  </w:sdtPr>
                  <w:sdtContent>
                    <w:tc>
                      <w:tcPr>
                        <w:tcW w:w="1047"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pStyle w:val="a8"/>
                          <w:jc w:val="right"/>
                          <w:rPr>
                            <w:rFonts w:ascii="宋体" w:hAnsi="宋体"/>
                            <w:b/>
                            <w:color w:val="000000" w:themeColor="text1"/>
                          </w:rPr>
                        </w:pPr>
                        <w:r w:rsidRPr="00626623">
                          <w:rPr>
                            <w:rFonts w:ascii="宋体" w:hAnsi="宋体"/>
                            <w:b/>
                            <w:color w:val="000000" w:themeColor="text1"/>
                          </w:rPr>
                          <w:t>152,873,481,726.77</w:t>
                        </w:r>
                      </w:p>
                    </w:tc>
                  </w:sdtContent>
                </w:sdt>
                <w:sdt>
                  <w:sdtPr>
                    <w:rPr>
                      <w:b/>
                      <w:color w:val="000000" w:themeColor="text1"/>
                      <w:szCs w:val="21"/>
                    </w:rPr>
                    <w:alias w:val="现金及现金等价物余额"/>
                    <w:tag w:val="_GBC_cf161705e9994d96aab3cc733f8162d7"/>
                    <w:id w:val="24721723"/>
                    <w:lock w:val="sdtLocked"/>
                  </w:sdtPr>
                  <w:sdtContent>
                    <w:tc>
                      <w:tcPr>
                        <w:tcW w:w="995" w:type="pct"/>
                        <w:tcBorders>
                          <w:top w:val="outset" w:sz="6" w:space="0" w:color="auto"/>
                          <w:left w:val="outset" w:sz="6" w:space="0" w:color="auto"/>
                          <w:bottom w:val="outset" w:sz="6" w:space="0" w:color="auto"/>
                          <w:right w:val="outset" w:sz="6" w:space="0" w:color="auto"/>
                        </w:tcBorders>
                        <w:vAlign w:val="center"/>
                      </w:tcPr>
                      <w:p w:rsidR="00DE031E" w:rsidRPr="00626623" w:rsidRDefault="001C1A59" w:rsidP="00DE031E">
                        <w:pPr>
                          <w:jc w:val="right"/>
                          <w:rPr>
                            <w:b/>
                            <w:color w:val="000000" w:themeColor="text1"/>
                            <w:szCs w:val="21"/>
                          </w:rPr>
                        </w:pPr>
                        <w:r w:rsidRPr="00626623">
                          <w:rPr>
                            <w:b/>
                            <w:color w:val="000000" w:themeColor="text1"/>
                            <w:szCs w:val="21"/>
                          </w:rPr>
                          <w:t>39,106,671,578.57</w:t>
                        </w:r>
                      </w:p>
                    </w:tc>
                  </w:sdtContent>
                </w:sdt>
              </w:tr>
            </w:tbl>
            <w:p w:rsidR="00DE031E" w:rsidRDefault="00DE031E"/>
            <w:p w:rsidR="00DE031E" w:rsidRDefault="001C1A59">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24721724"/>
                  <w:lock w:val="sdtLocked"/>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24721725"/>
                  <w:lock w:val="sdtLocked"/>
                  <w:dataBinding w:prefixMappings="xmlns:clcid-mr='clcid-mr'" w:xpath="/*/clcid-mr:ZhuGuanKuaiJiGongZuoFuZeRenXingMing" w:storeItemID="{89EBAB94-44A0-46A2-B712-30D997D04A6D}"/>
                  <w:text/>
                </w:sdtPr>
                <w:sdtContent>
                  <w:r w:rsidR="00A82E13">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24721726"/>
                  <w:lock w:val="sdtLocked"/>
                  <w:dataBinding w:prefixMappings="xmlns:clcid-mr='clcid-mr'" w:xpath="/*/clcid-mr:KuaiJiJiGouFuZeRenXingMing" w:storeItemID="{89EBAB94-44A0-46A2-B712-30D997D04A6D}"/>
                  <w:text/>
                </w:sdtPr>
                <w:sdtContent>
                  <w:r>
                    <w:rPr>
                      <w:rFonts w:hint="eastAsia"/>
                      <w:szCs w:val="21"/>
                    </w:rPr>
                    <w:t>车晓昕</w:t>
                  </w:r>
                </w:sdtContent>
              </w:sdt>
            </w:p>
          </w:sdtContent>
        </w:sdt>
        <w:p w:rsidR="00DE031E" w:rsidRPr="00A64901" w:rsidRDefault="00DE031E">
          <w:pPr>
            <w:rPr>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Pr="00A9773C"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p w:rsidR="00DE031E" w:rsidRDefault="00DE031E">
          <w:pPr>
            <w:jc w:val="center"/>
            <w:rPr>
              <w:b/>
              <w:bCs/>
              <w:szCs w:val="21"/>
            </w:rPr>
          </w:pPr>
        </w:p>
        <w:sdt>
          <w:sdtPr>
            <w:rPr>
              <w:rFonts w:hint="eastAsia"/>
              <w:b/>
              <w:bCs/>
              <w:szCs w:val="21"/>
            </w:rPr>
            <w:tag w:val="_GBC_fa07832b39b14b348ba105d6cedbd7b8"/>
            <w:id w:val="24721860"/>
            <w:lock w:val="sdtLocked"/>
          </w:sdtPr>
          <w:sdtEndPr>
            <w:rPr>
              <w:b w:val="0"/>
              <w:bCs w:val="0"/>
            </w:rPr>
          </w:sdtEndPr>
          <w:sdtContent>
            <w:p w:rsidR="00DE031E" w:rsidRDefault="001C1A59">
              <w:pPr>
                <w:jc w:val="center"/>
                <w:rPr>
                  <w:b/>
                  <w:bCs/>
                  <w:szCs w:val="21"/>
                </w:rPr>
              </w:pPr>
              <w:r>
                <w:rPr>
                  <w:rFonts w:hint="eastAsia"/>
                  <w:b/>
                  <w:bCs/>
                  <w:szCs w:val="21"/>
                </w:rPr>
                <w:t>母公司</w:t>
              </w:r>
              <w:r>
                <w:rPr>
                  <w:b/>
                  <w:bCs/>
                  <w:szCs w:val="21"/>
                </w:rPr>
                <w:t>现金流量表</w:t>
              </w:r>
              <w:r>
                <w:rPr>
                  <w:rFonts w:hint="eastAsia"/>
                  <w:b/>
                  <w:szCs w:val="21"/>
                </w:rPr>
                <w:t>（未经审计）</w:t>
              </w:r>
            </w:p>
            <w:p w:rsidR="00DE031E" w:rsidRDefault="001C1A59">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DE031E" w:rsidRDefault="001C1A59">
              <w:pPr>
                <w:jc w:val="right"/>
                <w:rPr>
                  <w:szCs w:val="21"/>
                </w:rPr>
              </w:pPr>
              <w:r>
                <w:rPr>
                  <w:szCs w:val="21"/>
                </w:rPr>
                <w:t>单位:</w:t>
              </w:r>
              <w:sdt>
                <w:sdtPr>
                  <w:rPr>
                    <w:szCs w:val="21"/>
                  </w:rPr>
                  <w:alias w:val="单位：母公司现金流量表"/>
                  <w:tag w:val="_GBC_993ead81b27a41dfaccaacfaec8b7c78"/>
                  <w:id w:val="2472172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247217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10366" w:type="dxa"/>
                <w:jc w:val="center"/>
                <w:tblInd w:w="-950" w:type="dxa"/>
                <w:tblBorders>
                  <w:top w:val="single" w:sz="4" w:space="0" w:color="auto"/>
                  <w:left w:val="single" w:sz="4" w:space="0" w:color="auto"/>
                  <w:bottom w:val="single" w:sz="4" w:space="0" w:color="auto"/>
                  <w:right w:val="single" w:sz="4" w:space="0" w:color="auto"/>
                </w:tblBorders>
                <w:tblLayout w:type="fixed"/>
                <w:tblLook w:val="0000"/>
              </w:tblPr>
              <w:tblGrid>
                <w:gridCol w:w="5162"/>
                <w:gridCol w:w="810"/>
                <w:gridCol w:w="2126"/>
                <w:gridCol w:w="2268"/>
              </w:tblGrid>
              <w:tr w:rsidR="00DE031E" w:rsidTr="00AC0410">
                <w:trPr>
                  <w:tblHeade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jc w:val="center"/>
                      <w:rPr>
                        <w:b/>
                        <w:bCs/>
                        <w:szCs w:val="21"/>
                      </w:rPr>
                    </w:pPr>
                    <w:r>
                      <w:rPr>
                        <w:b/>
                        <w:bCs/>
                        <w:szCs w:val="21"/>
                      </w:rPr>
                      <w:t>项目</w:t>
                    </w:r>
                  </w:p>
                </w:tc>
                <w:tc>
                  <w:tcPr>
                    <w:tcW w:w="810" w:type="dxa"/>
                    <w:tcBorders>
                      <w:top w:val="outset" w:sz="6" w:space="0" w:color="auto"/>
                      <w:left w:val="outset" w:sz="6" w:space="0" w:color="auto"/>
                      <w:bottom w:val="outset" w:sz="6" w:space="0" w:color="auto"/>
                      <w:right w:val="outset" w:sz="6" w:space="0" w:color="auto"/>
                    </w:tcBorders>
                  </w:tcPr>
                  <w:p w:rsidR="00DE031E" w:rsidRDefault="001C1A59" w:rsidP="00DE031E">
                    <w:pPr>
                      <w:autoSpaceDE w:val="0"/>
                      <w:autoSpaceDN w:val="0"/>
                      <w:adjustRightInd w:val="0"/>
                      <w:jc w:val="center"/>
                      <w:rPr>
                        <w:b/>
                        <w:szCs w:val="21"/>
                      </w:rPr>
                    </w:pPr>
                    <w:r>
                      <w:rPr>
                        <w:b/>
                        <w:szCs w:val="21"/>
                      </w:rPr>
                      <w:t>附注</w:t>
                    </w:r>
                  </w:p>
                </w:tc>
                <w:tc>
                  <w:tcPr>
                    <w:tcW w:w="2126" w:type="dxa"/>
                    <w:tcBorders>
                      <w:top w:val="outset" w:sz="6" w:space="0" w:color="auto"/>
                      <w:left w:val="outset" w:sz="6" w:space="0" w:color="auto"/>
                      <w:bottom w:val="outset" w:sz="6" w:space="0" w:color="auto"/>
                      <w:right w:val="outset" w:sz="6" w:space="0" w:color="auto"/>
                    </w:tcBorders>
                  </w:tcPr>
                  <w:p w:rsidR="00DE031E" w:rsidRDefault="001C1A59" w:rsidP="00DE031E">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2268" w:type="dxa"/>
                    <w:tcBorders>
                      <w:top w:val="outset" w:sz="6" w:space="0" w:color="auto"/>
                      <w:left w:val="outset" w:sz="6" w:space="0" w:color="auto"/>
                      <w:bottom w:val="outset" w:sz="6" w:space="0" w:color="auto"/>
                      <w:right w:val="outset" w:sz="6" w:space="0" w:color="auto"/>
                    </w:tcBorders>
                  </w:tcPr>
                  <w:p w:rsidR="00DE031E" w:rsidRDefault="001C1A59" w:rsidP="00DE031E">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一、经营活动产生的现金流量：</w:t>
                    </w:r>
                  </w:p>
                </w:tc>
                <w:tc>
                  <w:tcPr>
                    <w:tcW w:w="810" w:type="dxa"/>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2126" w:type="dxa"/>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c>
                  <w:tcPr>
                    <w:tcW w:w="2268" w:type="dxa"/>
                    <w:tcBorders>
                      <w:top w:val="outset" w:sz="6" w:space="0" w:color="auto"/>
                      <w:left w:val="outset" w:sz="6" w:space="0" w:color="auto"/>
                      <w:bottom w:val="outset" w:sz="6" w:space="0" w:color="auto"/>
                      <w:right w:val="outset" w:sz="6" w:space="0" w:color="auto"/>
                    </w:tcBorders>
                  </w:tcPr>
                  <w:p w:rsidR="00DE031E" w:rsidRDefault="00DE031E" w:rsidP="00DE031E">
                    <w:pPr>
                      <w:rPr>
                        <w:szCs w:val="21"/>
                      </w:rPr>
                    </w:pPr>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处置以公允价值计量且变动计入当期损益的金融资产净增加</w:t>
                    </w:r>
                    <w:r w:rsidR="00822CCE">
                      <w:rPr>
                        <w:rFonts w:hint="eastAsia"/>
                        <w:szCs w:val="21"/>
                      </w:rPr>
                      <w:t>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处置以公允价值计量且其变动计入当期损益的金融资产净增加额"/>
                        <w:tag w:val="_GBC_01ac19b4aed743ce9e761d09a422ccc4"/>
                        <w:id w:val="24721730"/>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处置以公允价值计量且其变动计入当期损益的金融资产净增加额"/>
                        <w:tag w:val="_GBC_2fd776e23f1a498ea99c87fc6a887ad5"/>
                        <w:id w:val="24721731"/>
                        <w:lock w:val="sdtLocked"/>
                        <w:showingPlcHdr/>
                      </w:sdtPr>
                      <w:sdtContent>
                        <w:r w:rsidR="001C1A59">
                          <w:rPr>
                            <w:rFonts w:hint="eastAsia"/>
                            <w:color w:val="333399"/>
                          </w:rPr>
                          <w:t xml:space="preserve">　</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处置以公允价值计量且其变动计入当期损益的金融资产净增加额"/>
                        <w:tag w:val="_GBC_56186170073b4f64b5f5d2e916193149"/>
                        <w:id w:val="24721732"/>
                        <w:lock w:val="sdtLocked"/>
                        <w:showingPlcHdr/>
                      </w:sdtPr>
                      <w:sdtContent>
                        <w:r w:rsidR="001C1A59">
                          <w:rPr>
                            <w:rFonts w:hint="eastAsia"/>
                            <w:color w:val="333399"/>
                          </w:rPr>
                          <w:t xml:space="preserve">　</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收取利息、手续费及佣金的现金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取利息、手续费及佣金的现金"/>
                        <w:tag w:val="_GBC_58967090cb304e63bad459b1870dc569"/>
                        <w:id w:val="24721733"/>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收取利息、手续费及佣金的现金"/>
                        <w:tag w:val="_GBC_718f2ea0086b4ac8a89b0267c2d26139"/>
                        <w:id w:val="24721734"/>
                        <w:lock w:val="sdtLocked"/>
                      </w:sdtPr>
                      <w:sdtContent>
                        <w:r w:rsidR="001C1A59">
                          <w:rPr>
                            <w:rFonts w:hint="eastAsia"/>
                            <w:color w:val="000000" w:themeColor="text1"/>
                            <w:szCs w:val="21"/>
                          </w:rPr>
                          <w:t>14,228,304,250.06</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收取利息、手续费及佣金的现金"/>
                        <w:tag w:val="_GBC_a41f6ecbc7204f4fa8dc49c8d833a171"/>
                        <w:id w:val="24721735"/>
                        <w:lock w:val="sdtLocked"/>
                      </w:sdtPr>
                      <w:sdtContent>
                        <w:r w:rsidR="001C1A59">
                          <w:rPr>
                            <w:rFonts w:hint="eastAsia"/>
                            <w:color w:val="000000" w:themeColor="text1"/>
                            <w:szCs w:val="21"/>
                          </w:rPr>
                          <w:t>3,393,528,612.72</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拆入资金净增加额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拆入资金净增加额"/>
                        <w:tag w:val="_GBC_f4efb38d2f6142f89ff9868a80ef0d69"/>
                        <w:id w:val="24721736"/>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拆入资金净增加额"/>
                        <w:tag w:val="_GBC_d48febd64cbc47598a2cba6c0cdd217a"/>
                        <w:id w:val="24721737"/>
                        <w:lock w:val="sdtLocked"/>
                        <w:showingPlcHdr/>
                      </w:sdtPr>
                      <w:sdtContent>
                        <w:r w:rsidR="001C1A59">
                          <w:rPr>
                            <w:rFonts w:hint="eastAsia"/>
                            <w:color w:val="333399"/>
                          </w:rPr>
                          <w:t xml:space="preserve">　</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拆入资金净增加额"/>
                        <w:tag w:val="_GBC_0fdc2090f31944e0beb74ff999ce6f18"/>
                        <w:id w:val="24721738"/>
                        <w:lock w:val="sdtLocked"/>
                      </w:sdtPr>
                      <w:sdtContent>
                        <w:r w:rsidR="001C1A59">
                          <w:rPr>
                            <w:rFonts w:hint="eastAsia"/>
                            <w:color w:val="000000" w:themeColor="text1"/>
                            <w:szCs w:val="21"/>
                          </w:rPr>
                          <w:t>500,000,000.00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回购业务资金净增加额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回购业务资金净增加额"/>
                        <w:tag w:val="_GBC_82596b3caddb4088aa26b278de5e3a0f"/>
                        <w:id w:val="24721739"/>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回购业务资金净增加额"/>
                        <w:tag w:val="_GBC_1e9aac59cfbc44b5a6e3158799ee526f"/>
                        <w:id w:val="24721740"/>
                        <w:lock w:val="sdtLocked"/>
                      </w:sdtPr>
                      <w:sdtContent>
                        <w:r w:rsidR="001C1A59">
                          <w:rPr>
                            <w:rFonts w:hint="eastAsia"/>
                            <w:color w:val="000000" w:themeColor="text1"/>
                            <w:szCs w:val="21"/>
                          </w:rPr>
                          <w:t>4,329,457,677.27</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回购业务资金净增加额"/>
                        <w:tag w:val="_GBC_21914eeda51447e592328562acc94ef3"/>
                        <w:id w:val="24721741"/>
                        <w:lock w:val="sdtLocked"/>
                      </w:sdtPr>
                      <w:sdtContent>
                        <w:r w:rsidR="001C1A59">
                          <w:rPr>
                            <w:rFonts w:hint="eastAsia"/>
                            <w:color w:val="000000" w:themeColor="text1"/>
                            <w:szCs w:val="21"/>
                          </w:rPr>
                          <w:t>7,716,296,670.09</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融出资金净减少额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融出资金净减少额"/>
                        <w:tag w:val="_GBC_130016c9a4dc4aca803c14f9ebf5765f"/>
                        <w:id w:val="24721742"/>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融出资金净减少额"/>
                        <w:tag w:val="_GBC_44c02a12214047739beac8f851993761"/>
                        <w:id w:val="24721743"/>
                        <w:lock w:val="sdtLocked"/>
                        <w:showingPlcHdr/>
                      </w:sdtPr>
                      <w:sdtContent>
                        <w:r w:rsidR="001C1A59">
                          <w:rPr>
                            <w:rFonts w:hint="eastAsia"/>
                            <w:color w:val="333399"/>
                          </w:rPr>
                          <w:t xml:space="preserve">　</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融出资金净减少额"/>
                        <w:tag w:val="_GBC_dbc9c6d3a6334c4aacb550fb703c9341"/>
                        <w:id w:val="24721744"/>
                        <w:lock w:val="sdtLocked"/>
                        <w:showingPlcHdr/>
                      </w:sdtPr>
                      <w:sdtContent>
                        <w:r w:rsidR="001C1A59">
                          <w:rPr>
                            <w:rFonts w:hint="eastAsia"/>
                            <w:color w:val="333399"/>
                          </w:rPr>
                          <w:t xml:space="preserve">　</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代理买卖证券收到的现金净额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代理买卖证券收到的现金净额"/>
                        <w:tag w:val="_GBC_3a1c36a608b3481a9d06105a60ec829b"/>
                        <w:id w:val="24721745"/>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代理买卖证券收到的现金净额"/>
                        <w:tag w:val="_GBC_adc51850c0184a4d8250631d5202c838"/>
                        <w:id w:val="24721746"/>
                        <w:lock w:val="sdtLocked"/>
                      </w:sdtPr>
                      <w:sdtContent>
                        <w:r w:rsidR="001C1A59">
                          <w:rPr>
                            <w:rFonts w:hint="eastAsia"/>
                            <w:color w:val="000000" w:themeColor="text1"/>
                            <w:szCs w:val="21"/>
                          </w:rPr>
                          <w:t>70,866,827,503.77</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代理买卖证券收到的现金净额"/>
                        <w:tag w:val="_GBC_de92220a3ee2465787795fb7439b3bc5"/>
                        <w:id w:val="24721747"/>
                        <w:lock w:val="sdtLocked"/>
                      </w:sdtPr>
                      <w:sdtContent>
                        <w:r w:rsidR="001C1A59">
                          <w:rPr>
                            <w:rFonts w:hint="eastAsia"/>
                            <w:color w:val="000000" w:themeColor="text1"/>
                            <w:szCs w:val="21"/>
                          </w:rPr>
                          <w:t>3,032,167,287.46</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收到其他与经营活动有关的现金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到的其他与经营活动有关的现金"/>
                        <w:tag w:val="_GBC_d868189af440422cbe4fbd461b9dfab3"/>
                        <w:id w:val="24721748"/>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收到的其他与经营活动有关的现金"/>
                        <w:tag w:val="_GBC_1c21a74ad194436abbdb51f820432d67"/>
                        <w:id w:val="24721749"/>
                        <w:lock w:val="sdtLocked"/>
                      </w:sdtPr>
                      <w:sdtContent>
                        <w:r w:rsidR="001C1A59">
                          <w:rPr>
                            <w:rFonts w:hint="eastAsia"/>
                            <w:color w:val="000000" w:themeColor="text1"/>
                            <w:szCs w:val="21"/>
                          </w:rPr>
                          <w:t>3,175,153,095.20</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收到的其他与经营活动有关的现金"/>
                        <w:tag w:val="_GBC_3f205e42317f40b0abb60b13a48f9eef"/>
                        <w:id w:val="24721750"/>
                        <w:lock w:val="sdtLocked"/>
                      </w:sdtPr>
                      <w:sdtContent>
                        <w:r w:rsidR="001C1A59">
                          <w:rPr>
                            <w:rFonts w:hint="eastAsia"/>
                            <w:color w:val="000000" w:themeColor="text1"/>
                            <w:szCs w:val="21"/>
                          </w:rPr>
                          <w:t>342,553,575.54</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iCs/>
                        <w:szCs w:val="21"/>
                      </w:rPr>
                    </w:pPr>
                    <w:r w:rsidRPr="00626623">
                      <w:rPr>
                        <w:b/>
                        <w:iCs/>
                        <w:szCs w:val="21"/>
                      </w:rPr>
                      <w:t>经营活动现金流入小计</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经营活动现金流入小计"/>
                        <w:tag w:val="_GBC_9897ef7406c24d479997caf42e50e9f2"/>
                        <w:id w:val="24721751"/>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入小计"/>
                        <w:tag w:val="_GBC_804198bff22f477ab6459ad9a7de8f41"/>
                        <w:id w:val="24721752"/>
                        <w:lock w:val="sdtLocked"/>
                      </w:sdtPr>
                      <w:sdtContent>
                        <w:r w:rsidR="001C1A59" w:rsidRPr="00626623">
                          <w:rPr>
                            <w:rFonts w:hint="eastAsia"/>
                            <w:b/>
                            <w:color w:val="000000" w:themeColor="text1"/>
                            <w:szCs w:val="21"/>
                          </w:rPr>
                          <w:t>92,599,742,526.30</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经营活动现金流入小计"/>
                        <w:tag w:val="_GBC_109d7f812c2443e5b4eeb6456b4ce806"/>
                        <w:id w:val="24721753"/>
                        <w:lock w:val="sdtLocked"/>
                      </w:sdtPr>
                      <w:sdtContent>
                        <w:r w:rsidR="001C1A59" w:rsidRPr="00626623">
                          <w:rPr>
                            <w:rFonts w:hint="eastAsia"/>
                            <w:b/>
                            <w:color w:val="000000" w:themeColor="text1"/>
                            <w:szCs w:val="21"/>
                          </w:rPr>
                          <w:t>14,984,546,145.81</w:t>
                        </w:r>
                      </w:sdtContent>
                    </w:sdt>
                  </w:p>
                </w:tc>
              </w:tr>
              <w:sdt>
                <w:sdtPr>
                  <w:rPr>
                    <w:rFonts w:hint="eastAsia"/>
                    <w:szCs w:val="21"/>
                  </w:rPr>
                  <w:tag w:val="_TUP_00c76f73999340dcb7e75791b4464387"/>
                  <w:id w:val="24721758"/>
                </w:sdtPr>
                <w:sdtEndPr>
                  <w:rPr>
                    <w:color w:val="000000" w:themeColor="text1"/>
                  </w:rPr>
                </w:sdtEndPr>
                <w:sdtContent>
                  <w:tr w:rsidR="00DE031E" w:rsidTr="00DE031E">
                    <w:trPr>
                      <w:jc w:val="center"/>
                    </w:trPr>
                    <w:sdt>
                      <w:sdtPr>
                        <w:rPr>
                          <w:rFonts w:hint="eastAsia"/>
                          <w:szCs w:val="21"/>
                        </w:rPr>
                        <w:tag w:val="_GBC_c2ba2c7308ab459a906e2a41598d4021"/>
                        <w:id w:val="24721754"/>
                        <w:text/>
                      </w:sdtPr>
                      <w:sdtContent>
                        <w:tc>
                          <w:tcPr>
                            <w:tcW w:w="5162" w:type="dxa"/>
                            <w:tcBorders>
                              <w:top w:val="outset" w:sz="6" w:space="0" w:color="auto"/>
                              <w:left w:val="outset" w:sz="6" w:space="0" w:color="auto"/>
                              <w:bottom w:val="outset" w:sz="6" w:space="0" w:color="auto"/>
                              <w:right w:val="outset" w:sz="6" w:space="0" w:color="auto"/>
                            </w:tcBorders>
                            <w:vAlign w:val="center"/>
                          </w:tcPr>
                          <w:p w:rsidR="00DE031E" w:rsidRDefault="001C1A59" w:rsidP="00DE031E">
                            <w:pPr>
                              <w:ind w:firstLineChars="100" w:firstLine="210"/>
                              <w:rPr>
                                <w:szCs w:val="21"/>
                              </w:rPr>
                            </w:pPr>
                            <w:r>
                              <w:rPr>
                                <w:rFonts w:hint="eastAsia"/>
                                <w:szCs w:val="21"/>
                              </w:rPr>
                              <w:t>购置以公允价值计量且变动计入当期损益的金融资产净减少额</w:t>
                            </w:r>
                          </w:p>
                        </w:tc>
                      </w:sdtContent>
                    </w:sdt>
                    <w:sdt>
                      <w:sdtPr>
                        <w:rPr>
                          <w:rFonts w:hint="eastAsia"/>
                          <w:color w:val="000000" w:themeColor="text1"/>
                          <w:szCs w:val="21"/>
                        </w:rPr>
                        <w:tag w:val="_GBC_6b14fed6f7c64010b7ccac47aaeeb032"/>
                        <w:id w:val="24721755"/>
                        <w:lock w:val="sdtLocked"/>
                        <w:showingPlcHdr/>
                      </w:sdtPr>
                      <w:sdtContent>
                        <w:tc>
                          <w:tcPr>
                            <w:tcW w:w="810" w:type="dxa"/>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color w:val="000000" w:themeColor="text1"/>
                                <w:szCs w:val="21"/>
                              </w:rPr>
                            </w:pPr>
                            <w:r w:rsidRPr="00071E86">
                              <w:rPr>
                                <w:rStyle w:val="af5"/>
                                <w:rFonts w:hint="eastAsia"/>
                              </w:rPr>
                              <w:t xml:space="preserve">　</w:t>
                            </w:r>
                          </w:p>
                        </w:tc>
                      </w:sdtContent>
                    </w:sdt>
                    <w:sdt>
                      <w:sdtPr>
                        <w:rPr>
                          <w:rFonts w:hint="eastAsia"/>
                          <w:color w:val="000000" w:themeColor="text1"/>
                          <w:szCs w:val="21"/>
                        </w:rPr>
                        <w:tag w:val="_GBC_e9e087bed4f7409ba94f9848006ee09e"/>
                        <w:id w:val="24721756"/>
                        <w:lock w:val="sdtLocked"/>
                      </w:sdtPr>
                      <w:sdtContent>
                        <w:tc>
                          <w:tcPr>
                            <w:tcW w:w="2126" w:type="dxa"/>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color w:val="000000" w:themeColor="text1"/>
                                <w:szCs w:val="21"/>
                              </w:rPr>
                            </w:pPr>
                            <w:r w:rsidRPr="00844151">
                              <w:rPr>
                                <w:color w:val="000000" w:themeColor="text1"/>
                                <w:szCs w:val="21"/>
                              </w:rPr>
                              <w:t>13,019,808,604.18</w:t>
                            </w:r>
                          </w:p>
                        </w:tc>
                      </w:sdtContent>
                    </w:sdt>
                    <w:sdt>
                      <w:sdtPr>
                        <w:rPr>
                          <w:rFonts w:hint="eastAsia"/>
                          <w:color w:val="000000" w:themeColor="text1"/>
                          <w:szCs w:val="21"/>
                        </w:rPr>
                        <w:tag w:val="_GBC_9ed1cd1a4e044293b032c076b823aa99"/>
                        <w:id w:val="24721757"/>
                        <w:lock w:val="sdtLocked"/>
                      </w:sdtPr>
                      <w:sdtContent>
                        <w:tc>
                          <w:tcPr>
                            <w:tcW w:w="2268" w:type="dxa"/>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color w:val="000000" w:themeColor="text1"/>
                                <w:szCs w:val="21"/>
                              </w:rPr>
                            </w:pPr>
                            <w:r w:rsidRPr="00844151">
                              <w:rPr>
                                <w:color w:val="000000" w:themeColor="text1"/>
                                <w:szCs w:val="21"/>
                              </w:rPr>
                              <w:t>10,185,185,111.87</w:t>
                            </w:r>
                          </w:p>
                        </w:tc>
                      </w:sdtContent>
                    </w:sdt>
                  </w:tr>
                </w:sdtContent>
              </w:sdt>
              <w:sdt>
                <w:sdtPr>
                  <w:rPr>
                    <w:rFonts w:hint="eastAsia"/>
                    <w:szCs w:val="21"/>
                  </w:rPr>
                  <w:tag w:val="_TUP_e9a865eac00e498eb9be212c5bbdc734"/>
                  <w:id w:val="24721763"/>
                </w:sdtPr>
                <w:sdtEndPr>
                  <w:rPr>
                    <w:color w:val="000000" w:themeColor="text1"/>
                  </w:rPr>
                </w:sdtEndPr>
                <w:sdtContent>
                  <w:tr w:rsidR="00DE031E" w:rsidTr="00DE031E">
                    <w:trPr>
                      <w:jc w:val="center"/>
                    </w:trPr>
                    <w:sdt>
                      <w:sdtPr>
                        <w:rPr>
                          <w:rFonts w:hint="eastAsia"/>
                          <w:szCs w:val="21"/>
                        </w:rPr>
                        <w:tag w:val="_GBC_d4427404d71b4eb39b93e1bd18c0a5ef"/>
                        <w:id w:val="24721759"/>
                        <w:text/>
                      </w:sdtPr>
                      <w:sdtContent>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拆入资金净减少额</w:t>
                            </w:r>
                          </w:p>
                        </w:tc>
                      </w:sdtContent>
                    </w:sdt>
                    <w:sdt>
                      <w:sdtPr>
                        <w:rPr>
                          <w:rFonts w:hint="eastAsia"/>
                          <w:color w:val="000000" w:themeColor="text1"/>
                          <w:szCs w:val="21"/>
                        </w:rPr>
                        <w:tag w:val="_GBC_0b54155b62924056a3b4eb128a92cd17"/>
                        <w:id w:val="24721760"/>
                        <w:lock w:val="sdtLocked"/>
                        <w:showingPlcHdr/>
                      </w:sdtPr>
                      <w:sdtContent>
                        <w:tc>
                          <w:tcPr>
                            <w:tcW w:w="810" w:type="dxa"/>
                            <w:tcBorders>
                              <w:top w:val="outset" w:sz="6" w:space="0" w:color="auto"/>
                              <w:left w:val="outset" w:sz="6" w:space="0" w:color="auto"/>
                              <w:bottom w:val="outset" w:sz="6" w:space="0" w:color="auto"/>
                              <w:right w:val="outset" w:sz="6" w:space="0" w:color="auto"/>
                            </w:tcBorders>
                          </w:tcPr>
                          <w:p w:rsidR="00DE031E" w:rsidRDefault="001C1A59" w:rsidP="00DE031E">
                            <w:pPr>
                              <w:rPr>
                                <w:color w:val="000000" w:themeColor="text1"/>
                                <w:szCs w:val="21"/>
                              </w:rPr>
                            </w:pPr>
                            <w:r w:rsidRPr="00071E86">
                              <w:rPr>
                                <w:rStyle w:val="af5"/>
                                <w:rFonts w:hint="eastAsia"/>
                              </w:rPr>
                              <w:t xml:space="preserve">　</w:t>
                            </w:r>
                          </w:p>
                        </w:tc>
                      </w:sdtContent>
                    </w:sdt>
                    <w:sdt>
                      <w:sdtPr>
                        <w:rPr>
                          <w:rFonts w:hint="eastAsia"/>
                          <w:color w:val="000000" w:themeColor="text1"/>
                          <w:szCs w:val="21"/>
                        </w:rPr>
                        <w:tag w:val="_GBC_29743adb3da449af8bfd507c3896518b"/>
                        <w:id w:val="24721761"/>
                        <w:lock w:val="sdtLocked"/>
                      </w:sdtPr>
                      <w:sdtContent>
                        <w:tc>
                          <w:tcPr>
                            <w:tcW w:w="2126" w:type="dxa"/>
                            <w:tcBorders>
                              <w:top w:val="outset" w:sz="6" w:space="0" w:color="auto"/>
                              <w:left w:val="outset" w:sz="6" w:space="0" w:color="auto"/>
                              <w:bottom w:val="outset" w:sz="6" w:space="0" w:color="auto"/>
                              <w:right w:val="outset" w:sz="6" w:space="0" w:color="auto"/>
                            </w:tcBorders>
                          </w:tcPr>
                          <w:p w:rsidR="00DE031E" w:rsidRDefault="001C1A59" w:rsidP="00DE031E">
                            <w:pPr>
                              <w:jc w:val="right"/>
                              <w:rPr>
                                <w:color w:val="000000" w:themeColor="text1"/>
                                <w:szCs w:val="21"/>
                              </w:rPr>
                            </w:pPr>
                            <w:r w:rsidRPr="00844151">
                              <w:rPr>
                                <w:color w:val="000000" w:themeColor="text1"/>
                                <w:szCs w:val="21"/>
                              </w:rPr>
                              <w:t>3,600,000,000.00</w:t>
                            </w:r>
                          </w:p>
                        </w:tc>
                      </w:sdtContent>
                    </w:sdt>
                    <w:sdt>
                      <w:sdtPr>
                        <w:rPr>
                          <w:rFonts w:hint="eastAsia"/>
                          <w:color w:val="000000" w:themeColor="text1"/>
                          <w:szCs w:val="21"/>
                        </w:rPr>
                        <w:tag w:val="_GBC_143b84728f364ccc867de76eb9d8949b"/>
                        <w:id w:val="24721762"/>
                        <w:lock w:val="sdtLocked"/>
                        <w:showingPlcHdr/>
                      </w:sdtPr>
                      <w:sdtContent>
                        <w:tc>
                          <w:tcPr>
                            <w:tcW w:w="2268" w:type="dxa"/>
                            <w:tcBorders>
                              <w:top w:val="outset" w:sz="6" w:space="0" w:color="auto"/>
                              <w:left w:val="outset" w:sz="6" w:space="0" w:color="auto"/>
                              <w:bottom w:val="outset" w:sz="6" w:space="0" w:color="auto"/>
                              <w:right w:val="outset" w:sz="6" w:space="0" w:color="auto"/>
                            </w:tcBorders>
                          </w:tcPr>
                          <w:p w:rsidR="00DE031E" w:rsidRDefault="001C1A59" w:rsidP="00DE031E">
                            <w:pPr>
                              <w:jc w:val="right"/>
                              <w:rPr>
                                <w:color w:val="000000" w:themeColor="text1"/>
                                <w:szCs w:val="21"/>
                              </w:rPr>
                            </w:pPr>
                            <w:r w:rsidRPr="00071E86">
                              <w:rPr>
                                <w:rStyle w:val="af5"/>
                                <w:rFonts w:hint="eastAsia"/>
                              </w:rPr>
                              <w:t xml:space="preserve">　</w:t>
                            </w:r>
                          </w:p>
                        </w:tc>
                      </w:sdtContent>
                    </w:sdt>
                  </w:tr>
                </w:sdtContent>
              </w:sdt>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融出资金净增加额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融出资金净增加额"/>
                        <w:tag w:val="_GBC_d5044fd987ba41d3817c72c0e83dca4d"/>
                        <w:id w:val="24721764"/>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融出资金净增加额"/>
                        <w:tag w:val="_GBC_4599eea3e327499e8671309ce5dfe3ce"/>
                        <w:id w:val="24721765"/>
                        <w:lock w:val="sdtLocked"/>
                      </w:sdtPr>
                      <w:sdtContent>
                        <w:r w:rsidR="001C1A59">
                          <w:rPr>
                            <w:rFonts w:hint="eastAsia"/>
                            <w:color w:val="000000" w:themeColor="text1"/>
                            <w:szCs w:val="21"/>
                          </w:rPr>
                          <w:t>55,326,658,319.39</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融出资金净增加额"/>
                        <w:tag w:val="_GBC_138675b5274a459bb2818119cdd71319"/>
                        <w:id w:val="24721766"/>
                        <w:lock w:val="sdtLocked"/>
                      </w:sdtPr>
                      <w:sdtContent>
                        <w:r w:rsidR="001C1A59">
                          <w:rPr>
                            <w:rFonts w:hint="eastAsia"/>
                            <w:color w:val="000000" w:themeColor="text1"/>
                            <w:szCs w:val="21"/>
                          </w:rPr>
                          <w:t>3,504,115,244.23</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代理买卖证券支付的现金净额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代理买卖证券支付的现金净额"/>
                        <w:tag w:val="_GBC_300a7c5d60504d60958084938ab0dd75"/>
                        <w:id w:val="24721767"/>
                        <w:lock w:val="sdtLocked"/>
                        <w:showingPlcHdr/>
                      </w:sdtPr>
                      <w:sdtContent>
                        <w:r w:rsidR="001C1A59" w:rsidRPr="00071E86">
                          <w:rPr>
                            <w:rStyle w:val="af5"/>
                            <w:rFonts w:hint="eastAsia"/>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代理买卖证券支付的现金净额"/>
                        <w:tag w:val="_GBC_b8ba4517e52344af871b39c1f32955a4"/>
                        <w:id w:val="24721768"/>
                        <w:lock w:val="sdtLocked"/>
                        <w:showingPlcHdr/>
                      </w:sdtPr>
                      <w:sdtContent>
                        <w:r w:rsidR="001C1A59" w:rsidRPr="00071E86">
                          <w:rPr>
                            <w:rStyle w:val="af5"/>
                            <w:rFonts w:hint="eastAsia"/>
                          </w:rPr>
                          <w:t xml:space="preserve">　</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代理买卖证券支付的现金净额"/>
                        <w:tag w:val="_GBC_e7aff9de2060451da49114112f0ff6cd"/>
                        <w:id w:val="24721769"/>
                        <w:lock w:val="sdtLocked"/>
                        <w:showingPlcHdr/>
                      </w:sdtPr>
                      <w:sdtContent>
                        <w:r w:rsidR="001C1A59" w:rsidRPr="00071E86">
                          <w:rPr>
                            <w:rStyle w:val="af5"/>
                            <w:rFonts w:hint="eastAsia"/>
                          </w:rPr>
                          <w:t xml:space="preserve">　</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支付利息、手续费及佣金的现金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利息、手续费及佣金的现金"/>
                        <w:tag w:val="_GBC_fbcf114d146d4f53847106135155898d"/>
                        <w:id w:val="24721770"/>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利息、手续费及佣金的现金"/>
                        <w:tag w:val="_GBC_46502b7b86a348f399e71337fce21002"/>
                        <w:id w:val="24721771"/>
                        <w:lock w:val="sdtLocked"/>
                      </w:sdtPr>
                      <w:sdtContent>
                        <w:r w:rsidR="001C1A59">
                          <w:rPr>
                            <w:rFonts w:hint="eastAsia"/>
                            <w:color w:val="000000" w:themeColor="text1"/>
                            <w:szCs w:val="21"/>
                          </w:rPr>
                          <w:t>3,196,950,657.17</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利息、手续费及佣金的现金"/>
                        <w:tag w:val="_GBC_e0b247ecb83242e9a3b791e78112a39d"/>
                        <w:id w:val="24721772"/>
                        <w:lock w:val="sdtLocked"/>
                      </w:sdtPr>
                      <w:sdtContent>
                        <w:r w:rsidR="001C1A59">
                          <w:rPr>
                            <w:rFonts w:hint="eastAsia"/>
                            <w:color w:val="000000" w:themeColor="text1"/>
                            <w:szCs w:val="21"/>
                          </w:rPr>
                          <w:t>544,549,223.54</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支付给职工以及为职工支付的现金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给职工以及为职工支付的现金"/>
                        <w:tag w:val="_GBC_f46b69b2947f4d4ca4e1a14aa6b84889"/>
                        <w:id w:val="24721773"/>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给职工以及为职工支付的现金"/>
                        <w:tag w:val="_GBC_24124060057b432d9d022dd13d73efc2"/>
                        <w:id w:val="24721774"/>
                        <w:lock w:val="sdtLocked"/>
                      </w:sdtPr>
                      <w:sdtContent>
                        <w:r w:rsidR="001C1A59">
                          <w:rPr>
                            <w:rFonts w:hint="eastAsia"/>
                            <w:color w:val="000000" w:themeColor="text1"/>
                            <w:szCs w:val="21"/>
                          </w:rPr>
                          <w:t>2,033,360,203.51</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给职工以及为职工支付的现金"/>
                        <w:tag w:val="_GBC_7e66a0d090b046d18290394e1a69c307"/>
                        <w:id w:val="24721775"/>
                        <w:lock w:val="sdtLocked"/>
                      </w:sdtPr>
                      <w:sdtContent>
                        <w:r w:rsidR="001C1A59">
                          <w:rPr>
                            <w:rFonts w:hint="eastAsia"/>
                            <w:color w:val="000000" w:themeColor="text1"/>
                            <w:szCs w:val="21"/>
                          </w:rPr>
                          <w:t>941,413,423.15</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支付的各项税费</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各项税费"/>
                        <w:tag w:val="_GBC_c6b517886ab246b4879e8dd522ef7cc4"/>
                        <w:id w:val="24721776"/>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的各项税费"/>
                        <w:tag w:val="_GBC_487f6f3d981f4d189cd153d93a4f2537"/>
                        <w:id w:val="24721777"/>
                        <w:lock w:val="sdtLocked"/>
                      </w:sdtPr>
                      <w:sdtContent>
                        <w:r w:rsidR="001C1A59">
                          <w:rPr>
                            <w:rFonts w:hint="eastAsia"/>
                            <w:color w:val="000000" w:themeColor="text1"/>
                            <w:szCs w:val="21"/>
                          </w:rPr>
                          <w:t>1,564,364,298.39</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的各项税费"/>
                        <w:tag w:val="_GBC_c8c6d367e5474d83a4422ab1a4bf62d1"/>
                        <w:id w:val="24721778"/>
                        <w:lock w:val="sdtLocked"/>
                      </w:sdtPr>
                      <w:sdtContent>
                        <w:r w:rsidR="001C1A59">
                          <w:rPr>
                            <w:rFonts w:hint="eastAsia"/>
                            <w:color w:val="000000" w:themeColor="text1"/>
                            <w:szCs w:val="21"/>
                          </w:rPr>
                          <w:t>564,388,508.84</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支付其他与经营活动有关的现金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其他与经营活动有关的现金"/>
                        <w:tag w:val="_GBC_87ab76b47fe24d32a186787f37285068"/>
                        <w:id w:val="24721779"/>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的其他与经营活动有关的现金"/>
                        <w:tag w:val="_GBC_2189f6e34d9242439096cfa4c58cce14"/>
                        <w:id w:val="24721780"/>
                        <w:lock w:val="sdtLocked"/>
                      </w:sdtPr>
                      <w:sdtContent>
                        <w:r w:rsidR="001C1A59">
                          <w:rPr>
                            <w:rFonts w:hint="eastAsia"/>
                            <w:color w:val="000000" w:themeColor="text1"/>
                            <w:szCs w:val="21"/>
                          </w:rPr>
                          <w:t>2,728,167,967.84</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的其他与经营活动有关的现金"/>
                        <w:tag w:val="_GBC_8ad10f0fc6f0462c8c43241038a79597"/>
                        <w:id w:val="24721781"/>
                        <w:lock w:val="sdtLocked"/>
                      </w:sdtPr>
                      <w:sdtContent>
                        <w:r w:rsidR="001C1A59">
                          <w:rPr>
                            <w:rFonts w:hint="eastAsia"/>
                            <w:color w:val="000000" w:themeColor="text1"/>
                            <w:szCs w:val="21"/>
                          </w:rPr>
                          <w:t>362,236,538.40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iCs/>
                        <w:szCs w:val="21"/>
                      </w:rPr>
                    </w:pPr>
                    <w:r w:rsidRPr="00626623">
                      <w:rPr>
                        <w:b/>
                        <w:iCs/>
                        <w:szCs w:val="21"/>
                      </w:rPr>
                      <w:t>经营活动现金流出小计</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经营活动现金流出小计"/>
                        <w:tag w:val="_GBC_21d979994c354812b30c1bc1a9594280"/>
                        <w:id w:val="24721782"/>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szCs w:val="21"/>
                        </w:rPr>
                        <w:alias w:val="经营活动现金流出小计"/>
                        <w:tag w:val="_GBC_6afb29b978794eb69cf129d2fcfc776e"/>
                        <w:id w:val="24721783"/>
                        <w:lock w:val="sdtLocked"/>
                      </w:sdtPr>
                      <w:sdtContent>
                        <w:r w:rsidR="001C1A59" w:rsidRPr="00626623">
                          <w:rPr>
                            <w:rFonts w:hint="eastAsia"/>
                            <w:b/>
                            <w:szCs w:val="21"/>
                          </w:rPr>
                          <w:t>81,469,310,050.48</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szCs w:val="21"/>
                        </w:rPr>
                        <w:alias w:val="经营活动现金流出小计"/>
                        <w:tag w:val="_GBC_fe3a31c1e865427f83a98a5382185162"/>
                        <w:id w:val="24721784"/>
                        <w:lock w:val="sdtLocked"/>
                      </w:sdtPr>
                      <w:sdtContent>
                        <w:r w:rsidR="001C1A59" w:rsidRPr="00626623">
                          <w:rPr>
                            <w:rFonts w:hint="eastAsia"/>
                            <w:b/>
                            <w:szCs w:val="21"/>
                          </w:rPr>
                          <w:t>16,101,888,050.03</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300" w:firstLine="632"/>
                      <w:rPr>
                        <w:b/>
                        <w:iCs/>
                        <w:szCs w:val="21"/>
                      </w:rPr>
                    </w:pPr>
                    <w:r w:rsidRPr="00626623">
                      <w:rPr>
                        <w:b/>
                        <w:iCs/>
                        <w:szCs w:val="21"/>
                      </w:rPr>
                      <w:t>经营活动产生的现金流量净额</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经营活动现金流量净额"/>
                        <w:tag w:val="_GBC_6642b7e66e4b4da1aae178b9f217576c"/>
                        <w:id w:val="24721785"/>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szCs w:val="21"/>
                        </w:rPr>
                        <w:alias w:val="经营活动现金流量净额"/>
                        <w:tag w:val="_GBC_908ca4e3adf142748d48342f8dbeb1ba"/>
                        <w:id w:val="24721786"/>
                        <w:lock w:val="sdtLocked"/>
                      </w:sdtPr>
                      <w:sdtContent>
                        <w:r w:rsidR="001C1A59" w:rsidRPr="00626623">
                          <w:rPr>
                            <w:rFonts w:hint="eastAsia"/>
                            <w:b/>
                            <w:szCs w:val="21"/>
                          </w:rPr>
                          <w:t>11,130,432,475.82</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szCs w:val="21"/>
                        </w:rPr>
                        <w:alias w:val="经营活动现金流量净额"/>
                        <w:tag w:val="_GBC_283c4019c78f4a7c9f917764e6a45815"/>
                        <w:id w:val="24721787"/>
                        <w:lock w:val="sdtLocked"/>
                      </w:sdtPr>
                      <w:sdtContent>
                        <w:r w:rsidR="001C1A59" w:rsidRPr="00626623">
                          <w:rPr>
                            <w:rFonts w:hint="eastAsia"/>
                            <w:b/>
                            <w:szCs w:val="21"/>
                          </w:rPr>
                          <w:t>-1,117,341,904.22</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二、投资活动产生的现金流量：</w:t>
                    </w:r>
                  </w:p>
                </w:tc>
                <w:tc>
                  <w:tcPr>
                    <w:tcW w:w="810" w:type="dxa"/>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c>
                  <w:tcPr>
                    <w:tcW w:w="2126" w:type="dxa"/>
                    <w:tcBorders>
                      <w:top w:val="outset" w:sz="6" w:space="0" w:color="auto"/>
                      <w:left w:val="outset" w:sz="6" w:space="0" w:color="auto"/>
                      <w:bottom w:val="outset" w:sz="6" w:space="0" w:color="auto"/>
                      <w:right w:val="outset" w:sz="6" w:space="0" w:color="auto"/>
                    </w:tcBorders>
                  </w:tcPr>
                  <w:p w:rsidR="00DE031E" w:rsidRDefault="00DE031E" w:rsidP="00DE031E">
                    <w:pPr>
                      <w:jc w:val="right"/>
                      <w:rPr>
                        <w:color w:val="000000" w:themeColor="text1"/>
                        <w:szCs w:val="21"/>
                      </w:rPr>
                    </w:pPr>
                  </w:p>
                </w:tc>
                <w:tc>
                  <w:tcPr>
                    <w:tcW w:w="2268" w:type="dxa"/>
                    <w:tcBorders>
                      <w:top w:val="outset" w:sz="6" w:space="0" w:color="auto"/>
                      <w:left w:val="outset" w:sz="6" w:space="0" w:color="auto"/>
                      <w:bottom w:val="outset" w:sz="6" w:space="0" w:color="auto"/>
                      <w:right w:val="outset" w:sz="6" w:space="0" w:color="auto"/>
                    </w:tcBorders>
                  </w:tcPr>
                  <w:p w:rsidR="00DE031E" w:rsidRDefault="00DE031E" w:rsidP="00DE031E">
                    <w:pPr>
                      <w:jc w:val="right"/>
                      <w:rPr>
                        <w:color w:val="000000" w:themeColor="text1"/>
                        <w:szCs w:val="21"/>
                      </w:rPr>
                    </w:pPr>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收回投资收到的现金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回投资所收到的现金"/>
                        <w:tag w:val="_GBC_b85d870367014a1f8902a8375475c430"/>
                        <w:id w:val="24721788"/>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收回投资所收到的现金"/>
                        <w:tag w:val="_GBC_bd11ee87fa1540fa96a4f16b794959f7"/>
                        <w:id w:val="24721789"/>
                        <w:lock w:val="sdtLocked"/>
                      </w:sdtPr>
                      <w:sdtContent>
                        <w:r w:rsidR="001C1A59">
                          <w:rPr>
                            <w:rFonts w:hint="eastAsia"/>
                            <w:szCs w:val="21"/>
                          </w:rPr>
                          <w:t>1,153,717,431.81</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收回投资所收到的现金"/>
                        <w:tag w:val="_GBC_70a919a24a6e45bfb9683ef19ef8fa2f"/>
                        <w:id w:val="24721790"/>
                        <w:lock w:val="sdtLocked"/>
                      </w:sdtPr>
                      <w:sdtContent>
                        <w:r w:rsidR="001C1A59">
                          <w:rPr>
                            <w:rFonts w:hint="eastAsia"/>
                            <w:szCs w:val="21"/>
                          </w:rPr>
                          <w:t>1,161,088,594.20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取得投资收益收到的现金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取得投资收益所收到的现金"/>
                        <w:tag w:val="_GBC_8105763557af4805ba5fd1a049b204c0"/>
                        <w:id w:val="24721791"/>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取得投资收益所收到的现金"/>
                        <w:tag w:val="_GBC_3bea9e17d0aa456b817d1c1c4aee174a"/>
                        <w:id w:val="24721792"/>
                        <w:lock w:val="sdtLocked"/>
                      </w:sdtPr>
                      <w:sdtContent>
                        <w:r w:rsidR="001C1A59">
                          <w:rPr>
                            <w:rFonts w:hint="eastAsia"/>
                            <w:szCs w:val="21"/>
                          </w:rPr>
                          <w:t>745,354,828.93</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取得投资收益所收到的现金"/>
                        <w:tag w:val="_GBC_0d7794cc7e2541c69298a479559d2192"/>
                        <w:id w:val="24721793"/>
                        <w:lock w:val="sdtLocked"/>
                      </w:sdtPr>
                      <w:sdtContent>
                        <w:r w:rsidR="001C1A59">
                          <w:rPr>
                            <w:rFonts w:hint="eastAsia"/>
                            <w:szCs w:val="21"/>
                          </w:rPr>
                          <w:t>164,578,122.34</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收到其他与投资活动有关的现金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到的其他与投资活动有关的现金"/>
                        <w:tag w:val="_GBC_14275ba5cbe542cfb3d477480e0db214"/>
                        <w:id w:val="24721794"/>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收到的其他与投资活动有关的现金"/>
                        <w:tag w:val="_GBC_b5b436a8bcc94dd5bcd1c3e596cffcec"/>
                        <w:id w:val="24721795"/>
                        <w:lock w:val="sdtLocked"/>
                      </w:sdtPr>
                      <w:sdtContent>
                        <w:r w:rsidR="001C1A59">
                          <w:rPr>
                            <w:szCs w:val="21"/>
                          </w:rPr>
                          <w:t>363,603.17</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收到的其他与投资活动有关的现金"/>
                        <w:tag w:val="_GBC_b2397755abdd4e878cb9284894ba07ba"/>
                        <w:id w:val="24721796"/>
                        <w:lock w:val="sdtLocked"/>
                      </w:sdtPr>
                      <w:sdtContent>
                        <w:r w:rsidR="001C1A59">
                          <w:rPr>
                            <w:szCs w:val="21"/>
                          </w:rPr>
                          <w:t>127,856.47</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投资活动现金流入小计</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投资活动现金流入小计"/>
                        <w:tag w:val="_GBC_065bcb57c87541d5a1727ec5480d1360"/>
                        <w:id w:val="24721797"/>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pStyle w:val="a8"/>
                      <w:jc w:val="right"/>
                      <w:rPr>
                        <w:rFonts w:ascii="宋体" w:hAnsi="宋体"/>
                        <w:b/>
                        <w:color w:val="000000" w:themeColor="text1"/>
                      </w:rPr>
                    </w:pPr>
                    <w:sdt>
                      <w:sdtPr>
                        <w:rPr>
                          <w:rFonts w:ascii="宋体" w:hAnsi="宋体" w:hint="eastAsia"/>
                          <w:b/>
                        </w:rPr>
                        <w:alias w:val="投资活动现金流入小计"/>
                        <w:tag w:val="_GBC_7857ce68dac04fb092d6e1cc02356180"/>
                        <w:id w:val="24721798"/>
                        <w:lock w:val="sdtLocked"/>
                      </w:sdtPr>
                      <w:sdtContent>
                        <w:r w:rsidR="001C1A59" w:rsidRPr="00626623">
                          <w:rPr>
                            <w:rFonts w:ascii="宋体" w:hAnsi="宋体"/>
                            <w:b/>
                          </w:rPr>
                          <w:t>1,899,435,863.91</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szCs w:val="21"/>
                        </w:rPr>
                        <w:alias w:val="投资活动现金流入小计"/>
                        <w:tag w:val="_GBC_c5afb09659dc4581829773cedfee687b"/>
                        <w:id w:val="24721799"/>
                        <w:lock w:val="sdtLocked"/>
                      </w:sdtPr>
                      <w:sdtContent>
                        <w:r w:rsidR="001C1A59" w:rsidRPr="00626623">
                          <w:rPr>
                            <w:b/>
                            <w:szCs w:val="21"/>
                          </w:rPr>
                          <w:t>1,325,794,573.01</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投资支付的现金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投资所支付的现金"/>
                        <w:tag w:val="_GBC_fa6a85df34224acfaf8d34a57bd355f0"/>
                        <w:id w:val="24721800"/>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投资所支付的现金"/>
                        <w:tag w:val="_GBC_c57a61c57e4d45a9b0b82aa4c33e51d2"/>
                        <w:id w:val="24721801"/>
                        <w:lock w:val="sdtLocked"/>
                      </w:sdtPr>
                      <w:sdtContent>
                        <w:r w:rsidR="001C1A59">
                          <w:rPr>
                            <w:szCs w:val="21"/>
                          </w:rPr>
                          <w:t>300,000,000.00</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投资所支付的现金"/>
                        <w:tag w:val="_GBC_41ae344739434b53ad06a0d128871fe2"/>
                        <w:id w:val="24721802"/>
                        <w:lock w:val="sdtLocked"/>
                      </w:sdtPr>
                      <w:sdtContent>
                        <w:r w:rsidR="001C1A59">
                          <w:rPr>
                            <w:szCs w:val="21"/>
                          </w:rPr>
                          <w:t>300,000,000.00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购建固定资产、无形资产和其他长期资产支付的现金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pStyle w:val="ae"/>
                      <w:jc w:val="left"/>
                      <w:rPr>
                        <w:rFonts w:ascii="宋体" w:hAnsi="宋体"/>
                        <w:color w:val="000000" w:themeColor="text1"/>
                      </w:rPr>
                    </w:pPr>
                    <w:sdt>
                      <w:sdtPr>
                        <w:rPr>
                          <w:rFonts w:ascii="宋体" w:hAnsi="宋体" w:hint="eastAsia"/>
                          <w:color w:val="000000" w:themeColor="text1"/>
                        </w:rPr>
                        <w:alias w:val="附注_购建固定资产无形资产和其他长期资产所支付的现金"/>
                        <w:tag w:val="_GBC_c0343e70baa34e30becaa6086129918b"/>
                        <w:id w:val="24721803"/>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购建固定资产、无形资产和其他长期资产所支付的现金"/>
                        <w:tag w:val="_GBC_1a1281cf205448a18965e97efe7a625e"/>
                        <w:id w:val="24721804"/>
                        <w:lock w:val="sdtLocked"/>
                      </w:sdtPr>
                      <w:sdtContent>
                        <w:r w:rsidR="001C1A59">
                          <w:rPr>
                            <w:szCs w:val="21"/>
                          </w:rPr>
                          <w:t>103,125,004.88</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购建固定资产、无形资产和其他长期资产所支付的现金"/>
                        <w:tag w:val="_GBC_f9a439a38cc0469db1bf1884b484aef0"/>
                        <w:id w:val="24721805"/>
                        <w:lock w:val="sdtLocked"/>
                      </w:sdtPr>
                      <w:sdtContent>
                        <w:r w:rsidR="001C1A59">
                          <w:rPr>
                            <w:szCs w:val="21"/>
                          </w:rPr>
                          <w:t>110,515,499.45</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支付其他与投资活动有关的现金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其他与投资活动有关的现金"/>
                        <w:tag w:val="_GBC_c799928ae9ea48db850922f9acfeb9d4"/>
                        <w:id w:val="24721806"/>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支付的其他与投资活动有关的现金"/>
                        <w:tag w:val="_GBC_a31c1dd7f7274cbdb5ec4f0b176d24f4"/>
                        <w:id w:val="24721807"/>
                        <w:lock w:val="sdtLocked"/>
                        <w:showingPlcHdr/>
                      </w:sdtP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szCs w:val="21"/>
                        </w:rPr>
                        <w:alias w:val="支付的其他与投资活动有关的现金"/>
                        <w:tag w:val="_GBC_09e1f7d745bc460eac1f4ecd7b1ad6e9"/>
                        <w:id w:val="24721808"/>
                        <w:lock w:val="sdtLocked"/>
                        <w:showingPlcHdr/>
                      </w:sdtP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szCs w:val="21"/>
                      </w:rPr>
                      <w:t>投资活动现金流出小计</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投资活动现金流出小计"/>
                        <w:tag w:val="_GBC_10b62386c8424402937a2e2e1e6a1ddc"/>
                        <w:id w:val="24721809"/>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投资活动现金流出小计"/>
                        <w:tag w:val="_GBC_147c5135cf7f45a181c9e1038e10738d"/>
                        <w:id w:val="24721810"/>
                        <w:lock w:val="sdtLocked"/>
                      </w:sdtPr>
                      <w:sdtContent>
                        <w:r w:rsidR="001C1A59" w:rsidRPr="00626623">
                          <w:rPr>
                            <w:b/>
                            <w:color w:val="000000" w:themeColor="text1"/>
                            <w:szCs w:val="21"/>
                          </w:rPr>
                          <w:t>403,125,004.88</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投资活动现金流出小计"/>
                        <w:tag w:val="_GBC_7b7e48d1436347318714e71296f2d9c8"/>
                        <w:id w:val="24721811"/>
                        <w:lock w:val="sdtLocked"/>
                      </w:sdtPr>
                      <w:sdtContent>
                        <w:r w:rsidR="001C1A59" w:rsidRPr="00626623">
                          <w:rPr>
                            <w:b/>
                            <w:color w:val="000000" w:themeColor="text1"/>
                            <w:szCs w:val="21"/>
                          </w:rPr>
                          <w:t>410,515,499.45</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300" w:firstLine="632"/>
                      <w:rPr>
                        <w:b/>
                        <w:szCs w:val="21"/>
                      </w:rPr>
                    </w:pPr>
                    <w:r w:rsidRPr="00626623">
                      <w:rPr>
                        <w:b/>
                        <w:szCs w:val="21"/>
                      </w:rPr>
                      <w:t>投资活动产生的现金流量净额</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投资活动产生的现金流量净额"/>
                        <w:tag w:val="_GBC_2773ac610ccd4bcaa305cc511661d044"/>
                        <w:id w:val="24721812"/>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投资活动产生的现金流量净额"/>
                        <w:tag w:val="_GBC_2aa465a0f769452cbf57de6300a064a2"/>
                        <w:id w:val="24721813"/>
                        <w:lock w:val="sdtLocked"/>
                      </w:sdtPr>
                      <w:sdtContent>
                        <w:r w:rsidR="001C1A59" w:rsidRPr="00626623">
                          <w:rPr>
                            <w:b/>
                            <w:color w:val="000000" w:themeColor="text1"/>
                            <w:szCs w:val="21"/>
                          </w:rPr>
                          <w:t>1,496,310,859.03</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投资活动产生的现金流量净额"/>
                        <w:tag w:val="_GBC_1ecef92f9ad4429c80137cffed3e6aec"/>
                        <w:id w:val="24721814"/>
                        <w:lock w:val="sdtLocked"/>
                      </w:sdtPr>
                      <w:sdtContent>
                        <w:r w:rsidR="001C1A59" w:rsidRPr="00626623">
                          <w:rPr>
                            <w:b/>
                            <w:color w:val="000000" w:themeColor="text1"/>
                            <w:szCs w:val="21"/>
                          </w:rPr>
                          <w:t>915,279,073.56</w:t>
                        </w:r>
                      </w:sdtContent>
                    </w:sdt>
                  </w:p>
                </w:tc>
              </w:tr>
              <w:tr w:rsidR="00DE031E" w:rsidTr="00DE031E">
                <w:trPr>
                  <w:trHeight w:val="132"/>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三、筹资活动产生的现金流量：</w:t>
                    </w:r>
                  </w:p>
                </w:tc>
                <w:tc>
                  <w:tcPr>
                    <w:tcW w:w="810" w:type="dxa"/>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c>
                  <w:tcPr>
                    <w:tcW w:w="2126" w:type="dxa"/>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c>
                  <w:tcPr>
                    <w:tcW w:w="2268" w:type="dxa"/>
                    <w:tcBorders>
                      <w:top w:val="outset" w:sz="6" w:space="0" w:color="auto"/>
                      <w:left w:val="outset" w:sz="6" w:space="0" w:color="auto"/>
                      <w:bottom w:val="outset" w:sz="6" w:space="0" w:color="auto"/>
                      <w:right w:val="outset" w:sz="6" w:space="0" w:color="auto"/>
                    </w:tcBorders>
                  </w:tcPr>
                  <w:p w:rsidR="00DE031E" w:rsidRDefault="00DE031E" w:rsidP="00DE031E">
                    <w:pPr>
                      <w:rPr>
                        <w:color w:val="000000" w:themeColor="text1"/>
                        <w:szCs w:val="21"/>
                      </w:rPr>
                    </w:pPr>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吸收投资收到的现金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吸收投资所收到的现金"/>
                        <w:tag w:val="_GBC_2f79d583d6cb40c8a19559e32c70d4fa"/>
                        <w:id w:val="24721815"/>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吸收投资所收到的现金"/>
                        <w:tag w:val="_GBC_f08f55850abb4e29a59bf3761523fb24"/>
                        <w:id w:val="24721816"/>
                        <w:lock w:val="sdtLocked"/>
                        <w:showingPlcHdr/>
                      </w:sdtPr>
                      <w:sdtContent>
                        <w:r w:rsidR="001C1A59">
                          <w:rPr>
                            <w:rFonts w:hint="eastAsia"/>
                            <w:color w:val="333399"/>
                          </w:rPr>
                          <w:t xml:space="preserve">　</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吸收投资所收到的现金"/>
                        <w:tag w:val="_GBC_00d18c1656a44e2790be13d3d0ea29b0"/>
                        <w:id w:val="24721817"/>
                        <w:lock w:val="sdtLocked"/>
                      </w:sdtPr>
                      <w:sdtContent>
                        <w:r w:rsidR="001C1A59">
                          <w:rPr>
                            <w:rFonts w:hint="eastAsia"/>
                            <w:color w:val="000000" w:themeColor="text1"/>
                            <w:szCs w:val="21"/>
                          </w:rPr>
                          <w:t>11,149,187,004.00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rFonts w:hint="eastAsia"/>
                        <w:szCs w:val="21"/>
                      </w:rPr>
                      <w:t>取得借款收到的现金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借款所收到的现金"/>
                        <w:tag w:val="_GBC_02b38646147c448da30f97e2ed91035a"/>
                        <w:id w:val="24721818"/>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借款所收到的现金"/>
                        <w:tag w:val="_GBC_540841fe7cca46e695afa1c7ea85fcbe"/>
                        <w:id w:val="24721819"/>
                        <w:lock w:val="sdtLocked"/>
                      </w:sdtPr>
                      <w:sdtContent>
                        <w:r w:rsidR="001C1A59">
                          <w:rPr>
                            <w:rFonts w:hint="eastAsia"/>
                            <w:color w:val="000000" w:themeColor="text1"/>
                            <w:szCs w:val="21"/>
                          </w:rPr>
                          <w:t>30,571,215.34</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借款所收到的现金"/>
                        <w:tag w:val="_GBC_b5fe5af42d9e42c2bca306fe205174c3"/>
                        <w:id w:val="24721820"/>
                        <w:lock w:val="sdtLocked"/>
                      </w:sdtPr>
                      <w:sdtContent>
                        <w:r w:rsidR="001C1A59">
                          <w:rPr>
                            <w:rFonts w:hint="eastAsia"/>
                            <w:color w:val="000000" w:themeColor="text1"/>
                            <w:szCs w:val="21"/>
                          </w:rPr>
                          <w:t>72,223,473.96</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发行债券收到的现金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发行债券收到的现金"/>
                        <w:tag w:val="_GBC_a8a1788760d74d4788aa47e644141894"/>
                        <w:id w:val="24721821"/>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发行债券所收到的现金"/>
                        <w:tag w:val="_GBC_9ce46a1d60124269a631fd643f08a9d2"/>
                        <w:id w:val="24721822"/>
                        <w:lock w:val="sdtLocked"/>
                      </w:sdtPr>
                      <w:sdtContent>
                        <w:r w:rsidR="001C1A59">
                          <w:rPr>
                            <w:rFonts w:hint="eastAsia"/>
                            <w:color w:val="000000" w:themeColor="text1"/>
                            <w:szCs w:val="21"/>
                          </w:rPr>
                          <w:t>95,343,080,000.00</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发行债券所收到的现金"/>
                        <w:tag w:val="_GBC_a726bb25db7645ef86a8097faa880969"/>
                        <w:id w:val="24721823"/>
                        <w:lock w:val="sdtLocked"/>
                      </w:sdtPr>
                      <w:sdtContent>
                        <w:r w:rsidR="001C1A59">
                          <w:rPr>
                            <w:rFonts w:hint="eastAsia"/>
                            <w:color w:val="000000" w:themeColor="text1"/>
                            <w:szCs w:val="21"/>
                          </w:rPr>
                          <w:t>14,700,000,000.00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收到其他与筹资活动有关的现金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收到其他与筹资活动有关的现金"/>
                        <w:tag w:val="_GBC_d8817cd78ab947d99a07ca515ed3a4d2"/>
                        <w:id w:val="24721824"/>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收到其他与筹资活动有关的现金"/>
                        <w:tag w:val="_GBC_50334e16e5f945b28ecf6db88934b7db"/>
                        <w:id w:val="24721825"/>
                        <w:lock w:val="sdtLocked"/>
                        <w:showingPlcHdr/>
                      </w:sdtPr>
                      <w:sdtContent>
                        <w:r w:rsidR="001C1A59">
                          <w:rPr>
                            <w:rFonts w:hint="eastAsia"/>
                            <w:color w:val="333399"/>
                          </w:rPr>
                          <w:t xml:space="preserve">　</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收到其他与筹资活动有关的现金"/>
                        <w:tag w:val="_GBC_ab66f9c8b95c43f3ab53dc665e366a1a"/>
                        <w:id w:val="24721826"/>
                        <w:lock w:val="sdtLocked"/>
                        <w:showingPlcHdr/>
                      </w:sdtPr>
                      <w:sdtContent>
                        <w:r w:rsidR="001C1A59">
                          <w:rPr>
                            <w:rFonts w:hint="eastAsia"/>
                            <w:color w:val="333399"/>
                          </w:rPr>
                          <w:t xml:space="preserve">　</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szCs w:val="21"/>
                      </w:rPr>
                    </w:pPr>
                    <w:r w:rsidRPr="00626623">
                      <w:rPr>
                        <w:b/>
                        <w:iCs/>
                        <w:szCs w:val="21"/>
                      </w:rPr>
                      <w:t>筹资活动现金流入小计</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筹资活动现金流入小计"/>
                        <w:tag w:val="_GBC_fc6b2e77e2d24f879a58b036e6c667ef"/>
                        <w:id w:val="24721827"/>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入小计"/>
                        <w:tag w:val="_GBC_9d98fc2fd4bd4e8cb31d0d48a64f1733"/>
                        <w:id w:val="24721828"/>
                        <w:lock w:val="sdtLocked"/>
                      </w:sdtPr>
                      <w:sdtContent>
                        <w:r w:rsidR="001C1A59" w:rsidRPr="00626623">
                          <w:rPr>
                            <w:rFonts w:hint="eastAsia"/>
                            <w:b/>
                            <w:color w:val="000000" w:themeColor="text1"/>
                            <w:szCs w:val="21"/>
                          </w:rPr>
                          <w:t>95,373,651,215.34</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入小计"/>
                        <w:tag w:val="_GBC_675fb1b7c27b433e9d5783a166362d9d"/>
                        <w:id w:val="24721829"/>
                        <w:lock w:val="sdtLocked"/>
                      </w:sdtPr>
                      <w:sdtContent>
                        <w:r w:rsidR="001C1A59" w:rsidRPr="00626623">
                          <w:rPr>
                            <w:rFonts w:hint="eastAsia"/>
                            <w:b/>
                            <w:color w:val="000000" w:themeColor="text1"/>
                            <w:szCs w:val="21"/>
                          </w:rPr>
                          <w:t>25,921,410,477.96</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偿还债务支付的现金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偿还债务所支付的现金"/>
                        <w:tag w:val="_GBC_e307477159e54a80a22297e980b563fc"/>
                        <w:id w:val="24721830"/>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偿还债务所支付的现金"/>
                        <w:tag w:val="_GBC_3c6ab3ce2ace418b96baade74bb7fa7b"/>
                        <w:id w:val="24721831"/>
                        <w:lock w:val="sdtLocked"/>
                      </w:sdtPr>
                      <w:sdtContent>
                        <w:r w:rsidR="001C1A59">
                          <w:rPr>
                            <w:rFonts w:hint="eastAsia"/>
                            <w:color w:val="000000" w:themeColor="text1"/>
                            <w:szCs w:val="21"/>
                          </w:rPr>
                          <w:t>24,112,197,014.00</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偿还债务所支付的现金"/>
                        <w:tag w:val="_GBC_00a325b28e114332b63c578bb7026c60"/>
                        <w:id w:val="24721832"/>
                        <w:lock w:val="sdtLocked"/>
                      </w:sdtPr>
                      <w:sdtContent>
                        <w:r w:rsidR="001C1A59">
                          <w:rPr>
                            <w:rFonts w:hint="eastAsia"/>
                            <w:color w:val="000000" w:themeColor="text1"/>
                            <w:szCs w:val="21"/>
                          </w:rPr>
                          <w:t>17,105,000,000.00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分配股利、利润或偿付利息支付的现金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分配股利利润或偿付利息所支付的现金"/>
                        <w:tag w:val="_GBC_1b0076f534de4287877d33a385d6f45e"/>
                        <w:id w:val="24721833"/>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分配股利利润或偿付利息所支付的现金"/>
                        <w:tag w:val="_GBC_e1297e3b24d7472faafe39d49880ae97"/>
                        <w:id w:val="24721834"/>
                        <w:lock w:val="sdtLocked"/>
                      </w:sdtPr>
                      <w:sdtContent>
                        <w:r w:rsidR="001C1A59">
                          <w:rPr>
                            <w:rFonts w:hint="eastAsia"/>
                            <w:color w:val="000000" w:themeColor="text1"/>
                            <w:szCs w:val="21"/>
                          </w:rPr>
                          <w:t>2,355,637,685.07</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分配股利利润或偿付利息所支付的现金"/>
                        <w:tag w:val="_GBC_9197b91aafcf45fc85b06de8330efed7"/>
                        <w:id w:val="24721835"/>
                        <w:lock w:val="sdtLocked"/>
                      </w:sdtPr>
                      <w:sdtContent>
                        <w:r w:rsidR="001C1A59">
                          <w:rPr>
                            <w:rFonts w:hint="eastAsia"/>
                            <w:color w:val="000000" w:themeColor="text1"/>
                            <w:szCs w:val="21"/>
                          </w:rPr>
                          <w:t>724,673,067.62</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szCs w:val="21"/>
                      </w:rPr>
                    </w:pPr>
                    <w:r>
                      <w:rPr>
                        <w:szCs w:val="21"/>
                      </w:rPr>
                      <w:t>支付其他与筹资活动有关的现金</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支付的其他与筹资活动有关的现金"/>
                        <w:tag w:val="_GBC_55e90900af9240a4ba907b471f5a440c"/>
                        <w:id w:val="24721836"/>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的其他与筹资活动有关的现金"/>
                        <w:tag w:val="_GBC_00e385542ff54e86a34fd1d42e0f6d06"/>
                        <w:id w:val="24721837"/>
                        <w:lock w:val="sdtLocked"/>
                        <w:showingPlcHdr/>
                      </w:sdtPr>
                      <w:sdtContent>
                        <w:r w:rsidR="001C1A59">
                          <w:rPr>
                            <w:rFonts w:hint="eastAsia"/>
                            <w:color w:val="333399"/>
                          </w:rPr>
                          <w:t xml:space="preserve">　</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支付的其他与筹资活动有关的现金"/>
                        <w:tag w:val="_GBC_817cca46e73d40b291bbd04eb61b64a0"/>
                        <w:id w:val="24721838"/>
                        <w:lock w:val="sdtLocked"/>
                      </w:sdtPr>
                      <w:sdtContent>
                        <w:r w:rsidR="001C1A59">
                          <w:rPr>
                            <w:rFonts w:hint="eastAsia"/>
                            <w:color w:val="000000" w:themeColor="text1"/>
                            <w:szCs w:val="21"/>
                          </w:rPr>
                          <w:t>47,450,868.07</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200" w:firstLine="422"/>
                      <w:rPr>
                        <w:b/>
                        <w:iCs/>
                        <w:szCs w:val="21"/>
                      </w:rPr>
                    </w:pPr>
                    <w:r w:rsidRPr="00626623">
                      <w:rPr>
                        <w:b/>
                        <w:iCs/>
                        <w:szCs w:val="21"/>
                      </w:rPr>
                      <w:t>筹资活动现金流出小计</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筹资活动现金流出小计"/>
                        <w:tag w:val="_GBC_1453afd5a1f74623a2df729561467df7"/>
                        <w:id w:val="24721839"/>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出小计"/>
                        <w:tag w:val="_GBC_95df43191a834119a4dd860de4c2956b"/>
                        <w:id w:val="24721840"/>
                        <w:lock w:val="sdtLocked"/>
                      </w:sdtPr>
                      <w:sdtContent>
                        <w:r w:rsidR="001C1A59" w:rsidRPr="00626623">
                          <w:rPr>
                            <w:rFonts w:hint="eastAsia"/>
                            <w:b/>
                            <w:color w:val="000000" w:themeColor="text1"/>
                            <w:szCs w:val="21"/>
                          </w:rPr>
                          <w:t>26,467,834,699.07</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现金流出小计"/>
                        <w:tag w:val="_GBC_be48640de3d44401b271e371b80219ae"/>
                        <w:id w:val="24721841"/>
                        <w:lock w:val="sdtLocked"/>
                      </w:sdtPr>
                      <w:sdtContent>
                        <w:r w:rsidR="001C1A59" w:rsidRPr="00626623">
                          <w:rPr>
                            <w:rFonts w:hint="eastAsia"/>
                            <w:b/>
                            <w:color w:val="000000" w:themeColor="text1"/>
                            <w:szCs w:val="21"/>
                          </w:rPr>
                          <w:t>17,877,123,935.69</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Pr="00626623" w:rsidRDefault="001C1A59" w:rsidP="00DE031E">
                    <w:pPr>
                      <w:ind w:firstLineChars="300" w:firstLine="632"/>
                      <w:rPr>
                        <w:b/>
                        <w:iCs/>
                        <w:szCs w:val="21"/>
                      </w:rPr>
                    </w:pPr>
                    <w:r w:rsidRPr="00626623">
                      <w:rPr>
                        <w:b/>
                        <w:iCs/>
                        <w:szCs w:val="21"/>
                      </w:rPr>
                      <w:t>筹资活动产生的现金流量净额</w:t>
                    </w:r>
                  </w:p>
                </w:tc>
                <w:tc>
                  <w:tcPr>
                    <w:tcW w:w="810"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rPr>
                        <w:b/>
                        <w:color w:val="000000" w:themeColor="text1"/>
                        <w:szCs w:val="21"/>
                      </w:rPr>
                    </w:pPr>
                    <w:sdt>
                      <w:sdtPr>
                        <w:rPr>
                          <w:rFonts w:hint="eastAsia"/>
                          <w:b/>
                          <w:color w:val="000000" w:themeColor="text1"/>
                          <w:szCs w:val="21"/>
                        </w:rPr>
                        <w:alias w:val="附注_筹资活动产生的现金流量净额"/>
                        <w:tag w:val="_GBC_fa43d0578d784d848859255e6a2528da"/>
                        <w:id w:val="24721842"/>
                        <w:lock w:val="sdtLocked"/>
                        <w:showingPlcHdr/>
                      </w:sdtPr>
                      <w:sdtContent>
                        <w:r w:rsidR="001C1A59" w:rsidRPr="00626623">
                          <w:rPr>
                            <w:rFonts w:hint="eastAsia"/>
                            <w:b/>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产生的现金流量净额"/>
                        <w:tag w:val="_GBC_79e99841b15b49518f5b5721eb19f8e2"/>
                        <w:id w:val="24721843"/>
                        <w:lock w:val="sdtLocked"/>
                      </w:sdtPr>
                      <w:sdtContent>
                        <w:r w:rsidR="001C1A59" w:rsidRPr="00626623">
                          <w:rPr>
                            <w:rFonts w:hint="eastAsia"/>
                            <w:b/>
                            <w:color w:val="000000" w:themeColor="text1"/>
                            <w:szCs w:val="21"/>
                          </w:rPr>
                          <w:t>68,905,816,516.27</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筹资活动产生的现金流量净额"/>
                        <w:tag w:val="_GBC_7d2fc9e92cf84b839be1b0e0cfb66ddb"/>
                        <w:id w:val="24721844"/>
                        <w:lock w:val="sdtLocked"/>
                      </w:sdtPr>
                      <w:sdtContent>
                        <w:r w:rsidR="001C1A59" w:rsidRPr="00626623">
                          <w:rPr>
                            <w:rFonts w:hint="eastAsia"/>
                            <w:b/>
                            <w:color w:val="000000" w:themeColor="text1"/>
                            <w:szCs w:val="21"/>
                          </w:rPr>
                          <w:t>8,044,286,542.27</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四、汇率变动对现金及现金等价物的影响</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汇率变动对现金的影响"/>
                        <w:tag w:val="_GBC_bf04a8a9742a4bd6a48312c403863866"/>
                        <w:id w:val="24721845"/>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汇率变动对现金的影响"/>
                        <w:tag w:val="_GBC_cca37437f9604b6bbc4602a6b7bfb805"/>
                        <w:id w:val="24721846"/>
                        <w:lock w:val="sdtLocked"/>
                      </w:sdtPr>
                      <w:sdtContent>
                        <w:r w:rsidR="001C1A59">
                          <w:rPr>
                            <w:rFonts w:hint="eastAsia"/>
                            <w:color w:val="000000" w:themeColor="text1"/>
                            <w:szCs w:val="21"/>
                          </w:rPr>
                          <w:t>-954,414.68</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汇率变动对现金的影响"/>
                        <w:tag w:val="_GBC_bf69e261a193426c80b3931d75bcf7fd"/>
                        <w:id w:val="24721847"/>
                        <w:lock w:val="sdtLocked"/>
                      </w:sdtPr>
                      <w:sdtContent>
                        <w:r w:rsidR="001C1A59">
                          <w:rPr>
                            <w:rFonts w:hint="eastAsia"/>
                            <w:color w:val="000000" w:themeColor="text1"/>
                            <w:szCs w:val="21"/>
                          </w:rPr>
                          <w:t>7,791,741.03</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五、现金及现金等价物净增加额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rPr>
                        <w:color w:val="000000" w:themeColor="text1"/>
                        <w:szCs w:val="21"/>
                      </w:rPr>
                    </w:pPr>
                    <w:sdt>
                      <w:sdtPr>
                        <w:rPr>
                          <w:rFonts w:hint="eastAsia"/>
                          <w:color w:val="000000" w:themeColor="text1"/>
                          <w:szCs w:val="21"/>
                        </w:rPr>
                        <w:alias w:val="附注_现金及现金等价物净增加额"/>
                        <w:tag w:val="_GBC_860e8340e1ab484790cc6823bb57136d"/>
                        <w:id w:val="24721848"/>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现金及现金等价物净增加额"/>
                        <w:tag w:val="_GBC_c2fc38abfc6c48a88d2c54ff253dbb83"/>
                        <w:id w:val="24721849"/>
                        <w:lock w:val="sdtLocked"/>
                      </w:sdtPr>
                      <w:sdtContent>
                        <w:r w:rsidR="001C1A59" w:rsidRPr="00626623">
                          <w:rPr>
                            <w:rFonts w:hint="eastAsia"/>
                            <w:b/>
                            <w:color w:val="000000" w:themeColor="text1"/>
                            <w:szCs w:val="21"/>
                          </w:rPr>
                          <w:t>81,531,605,436.44</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现金及现金等价物净增加额"/>
                        <w:tag w:val="_GBC_5936c19fd9a74094b034e853dd60ae38"/>
                        <w:id w:val="24721850"/>
                        <w:lock w:val="sdtLocked"/>
                      </w:sdtPr>
                      <w:sdtContent>
                        <w:r w:rsidR="001C1A59" w:rsidRPr="00626623">
                          <w:rPr>
                            <w:rFonts w:hint="eastAsia"/>
                            <w:b/>
                            <w:color w:val="000000" w:themeColor="text1"/>
                            <w:szCs w:val="21"/>
                          </w:rPr>
                          <w:t>7,850,015,452.64</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ind w:firstLineChars="100" w:firstLine="210"/>
                      <w:rPr>
                        <w:b/>
                        <w:bCs/>
                        <w:szCs w:val="21"/>
                      </w:rPr>
                    </w:pPr>
                    <w:r>
                      <w:rPr>
                        <w:rFonts w:hint="eastAsia"/>
                      </w:rPr>
                      <w:lastRenderedPageBreak/>
                      <w:t>加：期初</w:t>
                    </w:r>
                    <w:r>
                      <w:rPr>
                        <w:rFonts w:hint="eastAsia"/>
                        <w:szCs w:val="21"/>
                      </w:rPr>
                      <w:t>现金</w:t>
                    </w:r>
                    <w:r>
                      <w:rPr>
                        <w:rFonts w:hint="eastAsia"/>
                      </w:rPr>
                      <w:t>及现金等价物余额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pStyle w:val="a8"/>
                      <w:jc w:val="left"/>
                      <w:rPr>
                        <w:rFonts w:ascii="宋体" w:hAnsi="宋体"/>
                        <w:color w:val="000000" w:themeColor="text1"/>
                      </w:rPr>
                    </w:pPr>
                    <w:sdt>
                      <w:sdtPr>
                        <w:rPr>
                          <w:rFonts w:ascii="宋体" w:hAnsi="宋体" w:hint="eastAsia"/>
                          <w:color w:val="000000" w:themeColor="text1"/>
                        </w:rPr>
                        <w:alias w:val="附注_现金及现金等价物余额"/>
                        <w:tag w:val="_GBC_39b2e61849ad41a090d5f8a122559685"/>
                        <w:id w:val="24721851"/>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Default="00422DCA" w:rsidP="00DE031E">
                    <w:pPr>
                      <w:pStyle w:val="a8"/>
                      <w:jc w:val="right"/>
                      <w:rPr>
                        <w:rFonts w:ascii="宋体" w:hAnsi="宋体"/>
                        <w:color w:val="000000" w:themeColor="text1"/>
                      </w:rPr>
                    </w:pPr>
                    <w:sdt>
                      <w:sdtPr>
                        <w:rPr>
                          <w:rFonts w:ascii="宋体" w:hAnsi="宋体" w:hint="eastAsia"/>
                          <w:color w:val="000000" w:themeColor="text1"/>
                        </w:rPr>
                        <w:alias w:val="现金及现金等价物余额"/>
                        <w:tag w:val="_GBC_e6a7be662c6f4dcab94ede24e8360dc5"/>
                        <w:id w:val="24721852"/>
                        <w:lock w:val="sdtLocked"/>
                      </w:sdtPr>
                      <w:sdtContent>
                        <w:r w:rsidR="001C1A59">
                          <w:rPr>
                            <w:rFonts w:ascii="宋体" w:hAnsi="宋体" w:hint="eastAsia"/>
                            <w:color w:val="000000" w:themeColor="text1"/>
                          </w:rPr>
                          <w:t>56,248,709,601.48</w:t>
                        </w:r>
                      </w:sdtContent>
                    </w:sdt>
                  </w:p>
                </w:tc>
                <w:tc>
                  <w:tcPr>
                    <w:tcW w:w="2268" w:type="dxa"/>
                    <w:tcBorders>
                      <w:top w:val="outset" w:sz="6" w:space="0" w:color="auto"/>
                      <w:left w:val="outset" w:sz="6" w:space="0" w:color="auto"/>
                      <w:bottom w:val="outset" w:sz="6" w:space="0" w:color="auto"/>
                      <w:right w:val="outset" w:sz="6" w:space="0" w:color="auto"/>
                    </w:tcBorders>
                  </w:tcPr>
                  <w:p w:rsidR="00DE031E" w:rsidRDefault="00422DCA" w:rsidP="00DE031E">
                    <w:pPr>
                      <w:jc w:val="right"/>
                      <w:rPr>
                        <w:color w:val="000000" w:themeColor="text1"/>
                        <w:szCs w:val="21"/>
                      </w:rPr>
                    </w:pPr>
                    <w:sdt>
                      <w:sdtPr>
                        <w:rPr>
                          <w:rFonts w:hint="eastAsia"/>
                          <w:color w:val="000000" w:themeColor="text1"/>
                          <w:szCs w:val="21"/>
                        </w:rPr>
                        <w:alias w:val="现金及现金等价物余额"/>
                        <w:tag w:val="_GBC_16889a83e4b24741952d1dc1b80d390b"/>
                        <w:id w:val="24721853"/>
                        <w:lock w:val="sdtLocked"/>
                      </w:sdtPr>
                      <w:sdtContent>
                        <w:r w:rsidR="001C1A59">
                          <w:rPr>
                            <w:rFonts w:hint="eastAsia"/>
                            <w:color w:val="000000" w:themeColor="text1"/>
                            <w:szCs w:val="21"/>
                          </w:rPr>
                          <w:t>24,105,569,927.10</w:t>
                        </w:r>
                      </w:sdtContent>
                    </w:sdt>
                  </w:p>
                </w:tc>
              </w:tr>
              <w:tr w:rsidR="00DE031E" w:rsidTr="00DE031E">
                <w:trPr>
                  <w:jc w:val="center"/>
                </w:trPr>
                <w:tc>
                  <w:tcPr>
                    <w:tcW w:w="5162" w:type="dxa"/>
                    <w:tcBorders>
                      <w:top w:val="outset" w:sz="6" w:space="0" w:color="auto"/>
                      <w:left w:val="outset" w:sz="6" w:space="0" w:color="auto"/>
                      <w:bottom w:val="outset" w:sz="6" w:space="0" w:color="auto"/>
                      <w:right w:val="outset" w:sz="6" w:space="0" w:color="auto"/>
                    </w:tcBorders>
                  </w:tcPr>
                  <w:p w:rsidR="00DE031E" w:rsidRDefault="001C1A59" w:rsidP="00DE031E">
                    <w:pPr>
                      <w:rPr>
                        <w:b/>
                        <w:bCs/>
                        <w:szCs w:val="21"/>
                      </w:rPr>
                    </w:pPr>
                    <w:r>
                      <w:rPr>
                        <w:b/>
                        <w:bCs/>
                        <w:szCs w:val="21"/>
                      </w:rPr>
                      <w:t>六、期末现金及现金等价物余额</w:t>
                    </w:r>
                  </w:p>
                </w:tc>
                <w:tc>
                  <w:tcPr>
                    <w:tcW w:w="810" w:type="dxa"/>
                    <w:tcBorders>
                      <w:top w:val="outset" w:sz="6" w:space="0" w:color="auto"/>
                      <w:left w:val="outset" w:sz="6" w:space="0" w:color="auto"/>
                      <w:bottom w:val="outset" w:sz="6" w:space="0" w:color="auto"/>
                      <w:right w:val="outset" w:sz="6" w:space="0" w:color="auto"/>
                    </w:tcBorders>
                  </w:tcPr>
                  <w:p w:rsidR="00DE031E" w:rsidRDefault="00422DCA" w:rsidP="00DE031E">
                    <w:pPr>
                      <w:pStyle w:val="a8"/>
                      <w:jc w:val="left"/>
                      <w:rPr>
                        <w:rFonts w:ascii="宋体" w:hAnsi="宋体"/>
                        <w:color w:val="000000" w:themeColor="text1"/>
                      </w:rPr>
                    </w:pPr>
                    <w:sdt>
                      <w:sdtPr>
                        <w:rPr>
                          <w:rFonts w:ascii="宋体" w:hAnsi="宋体" w:hint="eastAsia"/>
                          <w:color w:val="000000" w:themeColor="text1"/>
                        </w:rPr>
                        <w:alias w:val="附注_现金及现金等价物余额"/>
                        <w:tag w:val="_GBC_aa17534be13b4464b15cdf91cbc99599"/>
                        <w:id w:val="24721854"/>
                        <w:lock w:val="sdtLocked"/>
                        <w:showingPlcHdr/>
                      </w:sdtPr>
                      <w:sdtContent>
                        <w:r w:rsidR="001C1A59">
                          <w:rPr>
                            <w:rFonts w:hint="eastAsia"/>
                            <w:color w:val="333399"/>
                          </w:rPr>
                          <w:t xml:space="preserve">　</w:t>
                        </w:r>
                      </w:sdtContent>
                    </w:sdt>
                  </w:p>
                </w:tc>
                <w:tc>
                  <w:tcPr>
                    <w:tcW w:w="2126"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pStyle w:val="a8"/>
                      <w:jc w:val="right"/>
                      <w:rPr>
                        <w:rFonts w:ascii="宋体" w:hAnsi="宋体"/>
                        <w:b/>
                        <w:color w:val="000000" w:themeColor="text1"/>
                      </w:rPr>
                    </w:pPr>
                    <w:sdt>
                      <w:sdtPr>
                        <w:rPr>
                          <w:rFonts w:ascii="宋体" w:hAnsi="宋体" w:hint="eastAsia"/>
                          <w:b/>
                          <w:color w:val="000000" w:themeColor="text1"/>
                        </w:rPr>
                        <w:alias w:val="现金及现金等价物余额"/>
                        <w:tag w:val="_GBC_b3891e8171624053b138fa6daf040290"/>
                        <w:id w:val="24721855"/>
                        <w:lock w:val="sdtLocked"/>
                      </w:sdtPr>
                      <w:sdtContent>
                        <w:r w:rsidR="001C1A59" w:rsidRPr="00626623">
                          <w:rPr>
                            <w:rFonts w:ascii="宋体" w:hAnsi="宋体" w:hint="eastAsia"/>
                            <w:b/>
                            <w:color w:val="000000" w:themeColor="text1"/>
                          </w:rPr>
                          <w:t>137,780,315,037.92</w:t>
                        </w:r>
                      </w:sdtContent>
                    </w:sdt>
                  </w:p>
                </w:tc>
                <w:tc>
                  <w:tcPr>
                    <w:tcW w:w="2268" w:type="dxa"/>
                    <w:tcBorders>
                      <w:top w:val="outset" w:sz="6" w:space="0" w:color="auto"/>
                      <w:left w:val="outset" w:sz="6" w:space="0" w:color="auto"/>
                      <w:bottom w:val="outset" w:sz="6" w:space="0" w:color="auto"/>
                      <w:right w:val="outset" w:sz="6" w:space="0" w:color="auto"/>
                    </w:tcBorders>
                  </w:tcPr>
                  <w:p w:rsidR="00DE031E" w:rsidRPr="00626623" w:rsidRDefault="00422DCA" w:rsidP="00DE031E">
                    <w:pPr>
                      <w:jc w:val="right"/>
                      <w:rPr>
                        <w:b/>
                        <w:color w:val="000000" w:themeColor="text1"/>
                        <w:szCs w:val="21"/>
                      </w:rPr>
                    </w:pPr>
                    <w:sdt>
                      <w:sdtPr>
                        <w:rPr>
                          <w:rFonts w:hint="eastAsia"/>
                          <w:b/>
                          <w:color w:val="000000" w:themeColor="text1"/>
                          <w:szCs w:val="21"/>
                        </w:rPr>
                        <w:alias w:val="现金及现金等价物余额"/>
                        <w:tag w:val="_GBC_717d661c66784122bccdad633c4d6c9a"/>
                        <w:id w:val="24721856"/>
                        <w:lock w:val="sdtLocked"/>
                      </w:sdtPr>
                      <w:sdtContent>
                        <w:r w:rsidR="001C1A59" w:rsidRPr="00626623">
                          <w:rPr>
                            <w:rFonts w:hint="eastAsia"/>
                            <w:b/>
                            <w:color w:val="000000" w:themeColor="text1"/>
                            <w:szCs w:val="21"/>
                          </w:rPr>
                          <w:t>31,955,585,379.74</w:t>
                        </w:r>
                      </w:sdtContent>
                    </w:sdt>
                  </w:p>
                </w:tc>
              </w:tr>
            </w:tbl>
            <w:p w:rsidR="00DE031E" w:rsidRDefault="00DE031E"/>
            <w:p w:rsidR="00DE031E" w:rsidRDefault="001C1A59">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24721857"/>
                  <w:lock w:val="sdtLocked"/>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24721858"/>
                  <w:lock w:val="sdtLocked"/>
                  <w:dataBinding w:prefixMappings="xmlns:clcid-mr='clcid-mr'" w:xpath="/*/clcid-mr:ZhuGuanKuaiJiGongZuoFuZeRenXingMing" w:storeItemID="{89EBAB94-44A0-46A2-B712-30D997D04A6D}"/>
                  <w:text/>
                </w:sdtPr>
                <w:sdtContent>
                  <w:r w:rsidR="00A82E13">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24721859"/>
                  <w:lock w:val="sdtLocked"/>
                  <w:dataBinding w:prefixMappings="xmlns:clcid-mr='clcid-mr'" w:xpath="/*/clcid-mr:KuaiJiJiGouFuZeRenXingMing" w:storeItemID="{89EBAB94-44A0-46A2-B712-30D997D04A6D}"/>
                  <w:text/>
                </w:sdtPr>
                <w:sdtContent>
                  <w:r>
                    <w:rPr>
                      <w:rFonts w:hint="eastAsia"/>
                      <w:szCs w:val="21"/>
                    </w:rPr>
                    <w:t>车晓昕</w:t>
                  </w:r>
                </w:sdtContent>
              </w:sdt>
            </w:p>
          </w:sdtContent>
        </w:sdt>
        <w:p w:rsidR="00DE031E" w:rsidRPr="00983F72" w:rsidRDefault="00422DCA" w:rsidP="00DE031E"/>
      </w:sdtContent>
    </w:sdt>
    <w:p w:rsidR="00DE031E" w:rsidRDefault="00DE031E">
      <w:pPr>
        <w:rPr>
          <w:szCs w:val="21"/>
        </w:rPr>
        <w:sectPr w:rsidR="00DE031E" w:rsidSect="000F6CCA">
          <w:pgSz w:w="11906" w:h="16838"/>
          <w:pgMar w:top="1440" w:right="1797" w:bottom="1525" w:left="1276" w:header="856" w:footer="992" w:gutter="0"/>
          <w:cols w:space="425"/>
          <w:docGrid w:linePitch="312"/>
        </w:sectPr>
      </w:pPr>
    </w:p>
    <w:sdt>
      <w:sdtPr>
        <w:rPr>
          <w:b/>
          <w:szCs w:val="21"/>
        </w:rPr>
        <w:tag w:val="_GBC_3b1dcbfa33024cc0a5c2f3d693817342"/>
        <w:id w:val="24723226"/>
        <w:lock w:val="sdtLocked"/>
        <w:placeholder>
          <w:docPart w:val="GBC22222222222222222222222222222"/>
        </w:placeholder>
      </w:sdtPr>
      <w:sdtEndPr>
        <w:rPr>
          <w:b w:val="0"/>
          <w:color w:val="FF0000"/>
          <w:szCs w:val="24"/>
        </w:rPr>
      </w:sdtEndPr>
      <w:sdtContent>
        <w:sdt>
          <w:sdtPr>
            <w:rPr>
              <w:b/>
              <w:szCs w:val="21"/>
            </w:rPr>
            <w:tag w:val="_GBC_3eeab460b9b64d53b91f5e0ddcd3030f"/>
            <w:id w:val="24722595"/>
            <w:lock w:val="sdtLocked"/>
            <w:placeholder>
              <w:docPart w:val="GBC22222222222222222222222222222"/>
            </w:placeholder>
          </w:sdtPr>
          <w:sdtEndPr>
            <w:rPr>
              <w:rFonts w:hint="eastAsia"/>
              <w:b w:val="0"/>
            </w:rPr>
          </w:sdtEndPr>
          <w:sdtContent>
            <w:p w:rsidR="00DE031E" w:rsidRPr="003D56D6" w:rsidRDefault="001C1A59">
              <w:pPr>
                <w:tabs>
                  <w:tab w:val="left" w:pos="10080"/>
                </w:tabs>
                <w:snapToGrid w:val="0"/>
                <w:spacing w:line="240" w:lineRule="atLeast"/>
                <w:ind w:rightChars="12" w:right="25"/>
                <w:jc w:val="center"/>
                <w:rPr>
                  <w:b/>
                  <w:sz w:val="15"/>
                  <w:szCs w:val="15"/>
                </w:rPr>
              </w:pPr>
              <w:r w:rsidRPr="003D56D6">
                <w:rPr>
                  <w:b/>
                  <w:sz w:val="15"/>
                  <w:szCs w:val="15"/>
                </w:rPr>
                <w:t>合并</w:t>
              </w:r>
              <w:r w:rsidRPr="003D56D6">
                <w:rPr>
                  <w:rFonts w:hint="eastAsia"/>
                  <w:b/>
                  <w:sz w:val="15"/>
                  <w:szCs w:val="15"/>
                </w:rPr>
                <w:t>所有者权益变动表</w:t>
              </w:r>
              <w:r w:rsidRPr="00150D6E">
                <w:rPr>
                  <w:rFonts w:hint="eastAsia"/>
                  <w:b/>
                  <w:sz w:val="15"/>
                  <w:szCs w:val="15"/>
                </w:rPr>
                <w:t>（未经审计）</w:t>
              </w:r>
            </w:p>
            <w:p w:rsidR="00DE031E" w:rsidRPr="003D56D6" w:rsidRDefault="001C1A59">
              <w:pPr>
                <w:jc w:val="center"/>
                <w:rPr>
                  <w:b/>
                  <w:bCs/>
                  <w:sz w:val="15"/>
                  <w:szCs w:val="15"/>
                </w:rPr>
              </w:pPr>
              <w:r w:rsidRPr="003D56D6">
                <w:rPr>
                  <w:sz w:val="15"/>
                  <w:szCs w:val="15"/>
                </w:rPr>
                <w:t>201</w:t>
              </w:r>
              <w:r w:rsidRPr="003D56D6">
                <w:rPr>
                  <w:rFonts w:hint="eastAsia"/>
                  <w:sz w:val="15"/>
                  <w:szCs w:val="15"/>
                </w:rPr>
                <w:t>5</w:t>
              </w:r>
              <w:r w:rsidRPr="003D56D6">
                <w:rPr>
                  <w:sz w:val="15"/>
                  <w:szCs w:val="15"/>
                </w:rPr>
                <w:t>年</w:t>
              </w:r>
              <w:r w:rsidRPr="003D56D6">
                <w:rPr>
                  <w:rFonts w:hint="eastAsia"/>
                  <w:sz w:val="15"/>
                  <w:szCs w:val="15"/>
                </w:rPr>
                <w:t>1—6</w:t>
              </w:r>
              <w:r w:rsidRPr="003D56D6">
                <w:rPr>
                  <w:sz w:val="15"/>
                  <w:szCs w:val="15"/>
                </w:rPr>
                <w:t>月</w:t>
              </w:r>
            </w:p>
            <w:p w:rsidR="00DE031E" w:rsidRPr="003D56D6" w:rsidRDefault="001C1A59">
              <w:pPr>
                <w:tabs>
                  <w:tab w:val="left" w:pos="10080"/>
                </w:tabs>
                <w:snapToGrid w:val="0"/>
                <w:spacing w:line="240" w:lineRule="atLeast"/>
                <w:jc w:val="right"/>
                <w:rPr>
                  <w:sz w:val="15"/>
                  <w:szCs w:val="15"/>
                </w:rPr>
              </w:pPr>
              <w:r w:rsidRPr="003D56D6">
                <w:rPr>
                  <w:sz w:val="15"/>
                  <w:szCs w:val="15"/>
                </w:rPr>
                <w:t>单位:</w:t>
              </w:r>
              <w:sdt>
                <w:sdtPr>
                  <w:rPr>
                    <w:sz w:val="15"/>
                    <w:szCs w:val="15"/>
                  </w:rPr>
                  <w:alias w:val="单位：合并股东权益调节表"/>
                  <w:tag w:val="_GBC_57faea4e453e49ad93821b7dd6ce8bc4"/>
                  <w:id w:val="24721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 w:val="15"/>
                      <w:szCs w:val="15"/>
                    </w:rPr>
                    <w:t>元</w:t>
                  </w:r>
                </w:sdtContent>
              </w:sdt>
              <w:r w:rsidRPr="003D56D6">
                <w:rPr>
                  <w:sz w:val="15"/>
                  <w:szCs w:val="15"/>
                </w:rPr>
                <w:t xml:space="preserve">  币种:</w:t>
              </w:r>
              <w:sdt>
                <w:sdtPr>
                  <w:rPr>
                    <w:sz w:val="15"/>
                    <w:szCs w:val="15"/>
                  </w:rPr>
                  <w:alias w:val="币种：合并股东权益调节表"/>
                  <w:tag w:val="_GBC_cef77704267643d794145c73763360e5"/>
                  <w:id w:val="247218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 w:val="15"/>
                      <w:szCs w:val="15"/>
                    </w:rPr>
                    <w:t>人民币</w:t>
                  </w:r>
                </w:sdtContent>
              </w:sdt>
            </w:p>
            <w:tbl>
              <w:tblPr>
                <w:tblW w:w="15506" w:type="dxa"/>
                <w:jc w:val="center"/>
                <w:tblInd w:w="-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7"/>
                <w:gridCol w:w="1418"/>
                <w:gridCol w:w="283"/>
                <w:gridCol w:w="284"/>
                <w:gridCol w:w="283"/>
                <w:gridCol w:w="1559"/>
                <w:gridCol w:w="284"/>
                <w:gridCol w:w="1276"/>
                <w:gridCol w:w="283"/>
                <w:gridCol w:w="1418"/>
                <w:gridCol w:w="1417"/>
                <w:gridCol w:w="1559"/>
                <w:gridCol w:w="1276"/>
                <w:gridCol w:w="1559"/>
              </w:tblGrid>
              <w:tr w:rsidR="00DE031E" w:rsidRPr="00F92D49" w:rsidTr="00DE031E">
                <w:trPr>
                  <w:cantSplit/>
                  <w:jc w:val="center"/>
                </w:trPr>
                <w:tc>
                  <w:tcPr>
                    <w:tcW w:w="2607" w:type="dxa"/>
                    <w:vMerge w:val="restart"/>
                    <w:vAlign w:val="center"/>
                  </w:tcPr>
                  <w:p w:rsidR="00DE031E" w:rsidRPr="00F92D49" w:rsidRDefault="001C1A59" w:rsidP="00DE031E">
                    <w:pPr>
                      <w:snapToGrid w:val="0"/>
                      <w:spacing w:line="240" w:lineRule="atLeast"/>
                      <w:jc w:val="center"/>
                      <w:rPr>
                        <w:sz w:val="15"/>
                        <w:szCs w:val="15"/>
                      </w:rPr>
                    </w:pPr>
                    <w:r w:rsidRPr="00F92D49">
                      <w:rPr>
                        <w:sz w:val="15"/>
                        <w:szCs w:val="15"/>
                      </w:rPr>
                      <w:t>项目</w:t>
                    </w:r>
                  </w:p>
                </w:tc>
                <w:tc>
                  <w:tcPr>
                    <w:tcW w:w="12899" w:type="dxa"/>
                    <w:gridSpan w:val="13"/>
                    <w:vAlign w:val="center"/>
                  </w:tcPr>
                  <w:p w:rsidR="00DE031E" w:rsidRPr="00F92D49" w:rsidRDefault="001C1A59" w:rsidP="00DE031E">
                    <w:pPr>
                      <w:snapToGrid w:val="0"/>
                      <w:spacing w:line="240" w:lineRule="atLeast"/>
                      <w:ind w:rightChars="-759" w:right="-1594"/>
                      <w:jc w:val="center"/>
                      <w:rPr>
                        <w:sz w:val="15"/>
                        <w:szCs w:val="15"/>
                      </w:rPr>
                    </w:pPr>
                    <w:r w:rsidRPr="00F92D49">
                      <w:rPr>
                        <w:rFonts w:hint="eastAsia"/>
                        <w:sz w:val="15"/>
                        <w:szCs w:val="15"/>
                      </w:rPr>
                      <w:t>本期</w:t>
                    </w:r>
                  </w:p>
                </w:tc>
              </w:tr>
              <w:tr w:rsidR="00DE031E" w:rsidRPr="00F92D49" w:rsidTr="00DE031E">
                <w:trPr>
                  <w:cantSplit/>
                  <w:trHeight w:val="540"/>
                  <w:jc w:val="center"/>
                </w:trPr>
                <w:tc>
                  <w:tcPr>
                    <w:tcW w:w="2607" w:type="dxa"/>
                    <w:vMerge/>
                  </w:tcPr>
                  <w:p w:rsidR="00DE031E" w:rsidRPr="00F92D49" w:rsidRDefault="00DE031E" w:rsidP="00DE031E">
                    <w:pPr>
                      <w:snapToGrid w:val="0"/>
                      <w:spacing w:line="240" w:lineRule="atLeast"/>
                      <w:ind w:rightChars="-759" w:right="-1594"/>
                      <w:rPr>
                        <w:sz w:val="15"/>
                        <w:szCs w:val="15"/>
                      </w:rPr>
                    </w:pPr>
                  </w:p>
                </w:tc>
                <w:tc>
                  <w:tcPr>
                    <w:tcW w:w="10064" w:type="dxa"/>
                    <w:gridSpan w:val="11"/>
                    <w:vAlign w:val="center"/>
                  </w:tcPr>
                  <w:p w:rsidR="00DE031E" w:rsidRPr="00F92D49" w:rsidRDefault="001C1A59" w:rsidP="00DE031E">
                    <w:pPr>
                      <w:snapToGrid w:val="0"/>
                      <w:spacing w:line="240" w:lineRule="atLeast"/>
                      <w:ind w:rightChars="-759" w:right="-1594"/>
                      <w:jc w:val="center"/>
                      <w:rPr>
                        <w:sz w:val="15"/>
                        <w:szCs w:val="15"/>
                      </w:rPr>
                    </w:pPr>
                    <w:r w:rsidRPr="00F92D49">
                      <w:rPr>
                        <w:sz w:val="15"/>
                        <w:szCs w:val="15"/>
                      </w:rPr>
                      <w:t>归属于母公司所有者权益</w:t>
                    </w:r>
                  </w:p>
                </w:tc>
                <w:tc>
                  <w:tcPr>
                    <w:tcW w:w="1276" w:type="dxa"/>
                    <w:vMerge w:val="restart"/>
                    <w:vAlign w:val="center"/>
                  </w:tcPr>
                  <w:p w:rsidR="00DE031E" w:rsidRPr="00F92D49" w:rsidRDefault="001C1A59" w:rsidP="00DE031E">
                    <w:pPr>
                      <w:jc w:val="center"/>
                      <w:rPr>
                        <w:sz w:val="15"/>
                        <w:szCs w:val="15"/>
                      </w:rPr>
                    </w:pPr>
                    <w:r w:rsidRPr="00F92D49">
                      <w:rPr>
                        <w:sz w:val="15"/>
                        <w:szCs w:val="15"/>
                      </w:rPr>
                      <w:t>少数股东权益</w:t>
                    </w:r>
                  </w:p>
                </w:tc>
                <w:tc>
                  <w:tcPr>
                    <w:tcW w:w="1559" w:type="dxa"/>
                    <w:vMerge w:val="restart"/>
                    <w:vAlign w:val="center"/>
                  </w:tcPr>
                  <w:p w:rsidR="00DE031E" w:rsidRPr="00F92D49" w:rsidRDefault="001C1A59" w:rsidP="00DE031E">
                    <w:pPr>
                      <w:jc w:val="center"/>
                      <w:rPr>
                        <w:sz w:val="15"/>
                        <w:szCs w:val="15"/>
                      </w:rPr>
                    </w:pPr>
                    <w:r w:rsidRPr="00F92D49">
                      <w:rPr>
                        <w:sz w:val="15"/>
                        <w:szCs w:val="15"/>
                      </w:rPr>
                      <w:t>所有者权益合计</w:t>
                    </w:r>
                  </w:p>
                </w:tc>
              </w:tr>
              <w:tr w:rsidR="00DE031E" w:rsidRPr="00F92D49" w:rsidTr="00DE031E">
                <w:trPr>
                  <w:cantSplit/>
                  <w:trHeight w:val="352"/>
                  <w:jc w:val="center"/>
                </w:trPr>
                <w:tc>
                  <w:tcPr>
                    <w:tcW w:w="2607" w:type="dxa"/>
                    <w:vMerge/>
                  </w:tcPr>
                  <w:p w:rsidR="00DE031E" w:rsidRPr="00F92D49" w:rsidRDefault="00DE031E" w:rsidP="00DE031E">
                    <w:pPr>
                      <w:snapToGrid w:val="0"/>
                      <w:spacing w:line="240" w:lineRule="atLeast"/>
                      <w:ind w:rightChars="-759" w:right="-1594"/>
                      <w:rPr>
                        <w:sz w:val="15"/>
                        <w:szCs w:val="15"/>
                      </w:rPr>
                    </w:pPr>
                  </w:p>
                </w:tc>
                <w:tc>
                  <w:tcPr>
                    <w:tcW w:w="1418"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股本</w:t>
                    </w:r>
                  </w:p>
                </w:tc>
                <w:tc>
                  <w:tcPr>
                    <w:tcW w:w="850" w:type="dxa"/>
                    <w:gridSpan w:val="3"/>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其他权益工具</w:t>
                    </w:r>
                  </w:p>
                </w:tc>
                <w:tc>
                  <w:tcPr>
                    <w:tcW w:w="1559"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资本公积</w:t>
                    </w:r>
                  </w:p>
                </w:tc>
                <w:tc>
                  <w:tcPr>
                    <w:tcW w:w="284"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减：库存股</w:t>
                    </w:r>
                  </w:p>
                </w:tc>
                <w:tc>
                  <w:tcPr>
                    <w:tcW w:w="1276"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其他综合收益</w:t>
                    </w:r>
                  </w:p>
                </w:tc>
                <w:tc>
                  <w:tcPr>
                    <w:tcW w:w="283"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专项储备</w:t>
                    </w:r>
                  </w:p>
                </w:tc>
                <w:tc>
                  <w:tcPr>
                    <w:tcW w:w="1418"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盈余公积</w:t>
                    </w:r>
                  </w:p>
                </w:tc>
                <w:tc>
                  <w:tcPr>
                    <w:tcW w:w="1417"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一般风险准备</w:t>
                    </w:r>
                  </w:p>
                </w:tc>
                <w:tc>
                  <w:tcPr>
                    <w:tcW w:w="1559" w:type="dxa"/>
                    <w:vMerge w:val="restart"/>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未分配利润</w:t>
                    </w:r>
                  </w:p>
                </w:tc>
                <w:tc>
                  <w:tcPr>
                    <w:tcW w:w="1276" w:type="dxa"/>
                    <w:vMerge/>
                    <w:vAlign w:val="center"/>
                  </w:tcPr>
                  <w:p w:rsidR="00DE031E" w:rsidRPr="00F92D49" w:rsidRDefault="00DE031E" w:rsidP="00DE031E">
                    <w:pPr>
                      <w:jc w:val="center"/>
                      <w:rPr>
                        <w:sz w:val="15"/>
                        <w:szCs w:val="15"/>
                      </w:rPr>
                    </w:pPr>
                  </w:p>
                </w:tc>
                <w:tc>
                  <w:tcPr>
                    <w:tcW w:w="1559" w:type="dxa"/>
                    <w:vMerge/>
                    <w:vAlign w:val="center"/>
                  </w:tcPr>
                  <w:p w:rsidR="00DE031E" w:rsidRPr="00F92D49" w:rsidRDefault="00DE031E" w:rsidP="00DE031E">
                    <w:pPr>
                      <w:jc w:val="center"/>
                      <w:rPr>
                        <w:sz w:val="15"/>
                        <w:szCs w:val="15"/>
                      </w:rPr>
                    </w:pPr>
                  </w:p>
                </w:tc>
              </w:tr>
              <w:tr w:rsidR="00DE031E" w:rsidRPr="00F92D49" w:rsidTr="00DE031E">
                <w:trPr>
                  <w:cantSplit/>
                  <w:trHeight w:val="345"/>
                  <w:jc w:val="center"/>
                </w:trPr>
                <w:tc>
                  <w:tcPr>
                    <w:tcW w:w="2607" w:type="dxa"/>
                    <w:vMerge/>
                  </w:tcPr>
                  <w:p w:rsidR="00DE031E" w:rsidRPr="00F92D49" w:rsidRDefault="00DE031E" w:rsidP="00DE031E">
                    <w:pPr>
                      <w:snapToGrid w:val="0"/>
                      <w:spacing w:line="240" w:lineRule="atLeast"/>
                      <w:ind w:rightChars="-759" w:right="-1594"/>
                      <w:rPr>
                        <w:sz w:val="15"/>
                        <w:szCs w:val="15"/>
                      </w:rPr>
                    </w:pPr>
                  </w:p>
                </w:tc>
                <w:tc>
                  <w:tcPr>
                    <w:tcW w:w="1418" w:type="dxa"/>
                    <w:vMerge/>
                  </w:tcPr>
                  <w:p w:rsidR="00DE031E" w:rsidRPr="00F92D49" w:rsidRDefault="00DE031E" w:rsidP="00DE031E">
                    <w:pPr>
                      <w:snapToGrid w:val="0"/>
                      <w:spacing w:line="240" w:lineRule="atLeast"/>
                      <w:jc w:val="center"/>
                      <w:rPr>
                        <w:sz w:val="15"/>
                        <w:szCs w:val="15"/>
                      </w:rPr>
                    </w:pPr>
                  </w:p>
                </w:tc>
                <w:tc>
                  <w:tcPr>
                    <w:tcW w:w="283" w:type="dxa"/>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优先股</w:t>
                    </w:r>
                  </w:p>
                </w:tc>
                <w:tc>
                  <w:tcPr>
                    <w:tcW w:w="284" w:type="dxa"/>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永续债</w:t>
                    </w:r>
                  </w:p>
                </w:tc>
                <w:tc>
                  <w:tcPr>
                    <w:tcW w:w="283" w:type="dxa"/>
                    <w:vAlign w:val="center"/>
                  </w:tcPr>
                  <w:p w:rsidR="00DE031E" w:rsidRPr="00F92D49" w:rsidRDefault="001C1A59" w:rsidP="00DE031E">
                    <w:pPr>
                      <w:snapToGrid w:val="0"/>
                      <w:spacing w:line="240" w:lineRule="atLeast"/>
                      <w:jc w:val="center"/>
                      <w:rPr>
                        <w:sz w:val="15"/>
                        <w:szCs w:val="15"/>
                      </w:rPr>
                    </w:pPr>
                    <w:r w:rsidRPr="00F92D49">
                      <w:rPr>
                        <w:rFonts w:hint="eastAsia"/>
                        <w:sz w:val="15"/>
                        <w:szCs w:val="15"/>
                      </w:rPr>
                      <w:t>其他</w:t>
                    </w:r>
                  </w:p>
                </w:tc>
                <w:tc>
                  <w:tcPr>
                    <w:tcW w:w="1559" w:type="dxa"/>
                    <w:vMerge/>
                  </w:tcPr>
                  <w:p w:rsidR="00DE031E" w:rsidRPr="00F92D49" w:rsidRDefault="00DE031E" w:rsidP="00DE031E">
                    <w:pPr>
                      <w:snapToGrid w:val="0"/>
                      <w:spacing w:line="240" w:lineRule="atLeast"/>
                      <w:jc w:val="center"/>
                      <w:rPr>
                        <w:sz w:val="15"/>
                        <w:szCs w:val="15"/>
                      </w:rPr>
                    </w:pPr>
                  </w:p>
                </w:tc>
                <w:tc>
                  <w:tcPr>
                    <w:tcW w:w="284" w:type="dxa"/>
                    <w:vMerge/>
                  </w:tcPr>
                  <w:p w:rsidR="00DE031E" w:rsidRPr="00F92D49" w:rsidRDefault="00DE031E" w:rsidP="00DE031E">
                    <w:pPr>
                      <w:snapToGrid w:val="0"/>
                      <w:spacing w:line="240" w:lineRule="atLeast"/>
                      <w:jc w:val="center"/>
                      <w:rPr>
                        <w:sz w:val="15"/>
                        <w:szCs w:val="15"/>
                      </w:rPr>
                    </w:pPr>
                  </w:p>
                </w:tc>
                <w:tc>
                  <w:tcPr>
                    <w:tcW w:w="1276" w:type="dxa"/>
                    <w:vMerge/>
                  </w:tcPr>
                  <w:p w:rsidR="00DE031E" w:rsidRPr="00F92D49" w:rsidRDefault="00DE031E" w:rsidP="00DE031E">
                    <w:pPr>
                      <w:snapToGrid w:val="0"/>
                      <w:spacing w:line="240" w:lineRule="atLeast"/>
                      <w:jc w:val="center"/>
                      <w:rPr>
                        <w:sz w:val="15"/>
                        <w:szCs w:val="15"/>
                      </w:rPr>
                    </w:pPr>
                  </w:p>
                </w:tc>
                <w:tc>
                  <w:tcPr>
                    <w:tcW w:w="283" w:type="dxa"/>
                    <w:vMerge/>
                  </w:tcPr>
                  <w:p w:rsidR="00DE031E" w:rsidRPr="00F92D49" w:rsidRDefault="00DE031E" w:rsidP="00DE031E">
                    <w:pPr>
                      <w:snapToGrid w:val="0"/>
                      <w:spacing w:line="240" w:lineRule="atLeast"/>
                      <w:jc w:val="center"/>
                      <w:rPr>
                        <w:sz w:val="15"/>
                        <w:szCs w:val="15"/>
                      </w:rPr>
                    </w:pPr>
                  </w:p>
                </w:tc>
                <w:tc>
                  <w:tcPr>
                    <w:tcW w:w="1418" w:type="dxa"/>
                    <w:vMerge/>
                  </w:tcPr>
                  <w:p w:rsidR="00DE031E" w:rsidRPr="00F92D49" w:rsidRDefault="00DE031E" w:rsidP="00DE031E">
                    <w:pPr>
                      <w:snapToGrid w:val="0"/>
                      <w:spacing w:line="240" w:lineRule="atLeast"/>
                      <w:jc w:val="center"/>
                      <w:rPr>
                        <w:sz w:val="15"/>
                        <w:szCs w:val="15"/>
                      </w:rPr>
                    </w:pPr>
                  </w:p>
                </w:tc>
                <w:tc>
                  <w:tcPr>
                    <w:tcW w:w="1417" w:type="dxa"/>
                    <w:vMerge/>
                  </w:tcPr>
                  <w:p w:rsidR="00DE031E" w:rsidRPr="00F92D49" w:rsidRDefault="00DE031E" w:rsidP="00DE031E">
                    <w:pPr>
                      <w:snapToGrid w:val="0"/>
                      <w:spacing w:line="240" w:lineRule="atLeast"/>
                      <w:jc w:val="center"/>
                      <w:rPr>
                        <w:sz w:val="15"/>
                        <w:szCs w:val="15"/>
                      </w:rPr>
                    </w:pPr>
                  </w:p>
                </w:tc>
                <w:tc>
                  <w:tcPr>
                    <w:tcW w:w="1559" w:type="dxa"/>
                    <w:vMerge/>
                  </w:tcPr>
                  <w:p w:rsidR="00DE031E" w:rsidRPr="00F92D49" w:rsidRDefault="00DE031E" w:rsidP="00DE031E">
                    <w:pPr>
                      <w:snapToGrid w:val="0"/>
                      <w:spacing w:line="240" w:lineRule="atLeast"/>
                      <w:jc w:val="center"/>
                      <w:rPr>
                        <w:sz w:val="15"/>
                        <w:szCs w:val="15"/>
                      </w:rPr>
                    </w:pPr>
                  </w:p>
                </w:tc>
                <w:tc>
                  <w:tcPr>
                    <w:tcW w:w="1276" w:type="dxa"/>
                    <w:vMerge/>
                  </w:tcPr>
                  <w:p w:rsidR="00DE031E" w:rsidRPr="00F92D49" w:rsidRDefault="00DE031E" w:rsidP="00DE031E">
                    <w:pPr>
                      <w:jc w:val="center"/>
                      <w:rPr>
                        <w:sz w:val="15"/>
                        <w:szCs w:val="15"/>
                      </w:rPr>
                    </w:pPr>
                  </w:p>
                </w:tc>
                <w:tc>
                  <w:tcPr>
                    <w:tcW w:w="1559" w:type="dxa"/>
                    <w:vMerge/>
                    <w:tcBorders>
                      <w:bottom w:val="nil"/>
                    </w:tcBorders>
                  </w:tcPr>
                  <w:p w:rsidR="00DE031E" w:rsidRPr="00F92D49" w:rsidRDefault="00DE031E" w:rsidP="00DE031E">
                    <w:pPr>
                      <w:jc w:val="center"/>
                      <w:rPr>
                        <w:sz w:val="15"/>
                        <w:szCs w:val="15"/>
                      </w:rPr>
                    </w:pPr>
                  </w:p>
                </w:tc>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一、上年</w:t>
                    </w:r>
                    <w:r w:rsidRPr="00F92D49">
                      <w:rPr>
                        <w:rFonts w:hint="eastAsia"/>
                        <w:sz w:val="15"/>
                        <w:szCs w:val="15"/>
                      </w:rPr>
                      <w:t>期</w:t>
                    </w:r>
                    <w:r w:rsidRPr="00F92D49">
                      <w:rPr>
                        <w:sz w:val="15"/>
                        <w:szCs w:val="15"/>
                      </w:rPr>
                      <w:t>末余额</w:t>
                    </w:r>
                  </w:p>
                </w:tc>
                <w:sdt>
                  <w:sdtPr>
                    <w:rPr>
                      <w:sz w:val="15"/>
                      <w:szCs w:val="15"/>
                    </w:rPr>
                    <w:alias w:val="股本"/>
                    <w:tag w:val="_GBC_0c6d10b4149444af9e03828789314f4e"/>
                    <w:id w:val="24721864"/>
                    <w:lock w:val="sdtLocked"/>
                  </w:sdtPr>
                  <w:sdtContent>
                    <w:tc>
                      <w:tcPr>
                        <w:tcW w:w="1418" w:type="dxa"/>
                      </w:tcPr>
                      <w:p w:rsidR="00DE031E" w:rsidRPr="00F92D49" w:rsidRDefault="001C1A59" w:rsidP="00DE031E">
                        <w:pPr>
                          <w:jc w:val="right"/>
                          <w:rPr>
                            <w:sz w:val="15"/>
                            <w:szCs w:val="15"/>
                          </w:rPr>
                        </w:pPr>
                        <w:r w:rsidRPr="00F92D49">
                          <w:rPr>
                            <w:sz w:val="15"/>
                            <w:szCs w:val="15"/>
                          </w:rPr>
                          <w:t>5,808,135,529.00</w:t>
                        </w:r>
                      </w:p>
                    </w:tc>
                  </w:sdtContent>
                </w:sdt>
                <w:sdt>
                  <w:sdtPr>
                    <w:rPr>
                      <w:sz w:val="15"/>
                      <w:szCs w:val="15"/>
                    </w:rPr>
                    <w:alias w:val="其他权益工具-其中：优先股"/>
                    <w:tag w:val="_GBC_982fe865592d4b15a92d62983df136c4"/>
                    <w:id w:val="2472186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权益工具-永续债"/>
                    <w:tag w:val="_GBC_40a1ed824c2a42aaac28b02d5e456282"/>
                    <w:id w:val="24721866"/>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权益工具-其他"/>
                    <w:tag w:val="_GBC_499b812412af495f87aadae11b78a86f"/>
                    <w:id w:val="2472186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
                    <w:tag w:val="_GBC_17765a3568404a1da120e3efb1f6f4e4"/>
                    <w:id w:val="24721868"/>
                    <w:lock w:val="sdtLocked"/>
                  </w:sdtPr>
                  <w:sdtContent>
                    <w:tc>
                      <w:tcPr>
                        <w:tcW w:w="1559" w:type="dxa"/>
                      </w:tcPr>
                      <w:p w:rsidR="00DE031E" w:rsidRPr="00F92D49" w:rsidRDefault="001C1A59" w:rsidP="00DE031E">
                        <w:pPr>
                          <w:jc w:val="right"/>
                          <w:rPr>
                            <w:sz w:val="15"/>
                            <w:szCs w:val="15"/>
                          </w:rPr>
                        </w:pPr>
                        <w:r w:rsidRPr="00F92D49">
                          <w:rPr>
                            <w:sz w:val="15"/>
                            <w:szCs w:val="15"/>
                          </w:rPr>
                          <w:t>19,403,877,003.80</w:t>
                        </w:r>
                      </w:p>
                    </w:tc>
                  </w:sdtContent>
                </w:sdt>
                <w:sdt>
                  <w:sdtPr>
                    <w:rPr>
                      <w:sz w:val="15"/>
                      <w:szCs w:val="15"/>
                    </w:rPr>
                    <w:alias w:val="库存股"/>
                    <w:tag w:val="_GBC_ff0b556e074b4279952ce608e45e952c"/>
                    <w:id w:val="24721869"/>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综合收益（资产负债表项目）"/>
                    <w:tag w:val="_GBC_f9aebbd1b1c84315a34c6118344ff78a"/>
                    <w:id w:val="24721870"/>
                    <w:lock w:val="sdtLocked"/>
                  </w:sdtPr>
                  <w:sdtContent>
                    <w:tc>
                      <w:tcPr>
                        <w:tcW w:w="1276" w:type="dxa"/>
                      </w:tcPr>
                      <w:p w:rsidR="00DE031E" w:rsidRPr="00F92D49" w:rsidRDefault="001C1A59" w:rsidP="00DE031E">
                        <w:pPr>
                          <w:jc w:val="right"/>
                          <w:rPr>
                            <w:sz w:val="15"/>
                            <w:szCs w:val="15"/>
                          </w:rPr>
                        </w:pPr>
                        <w:r w:rsidRPr="00F92D49">
                          <w:rPr>
                            <w:sz w:val="15"/>
                            <w:szCs w:val="15"/>
                          </w:rPr>
                          <w:t>-14,644,207.44</w:t>
                        </w:r>
                      </w:p>
                    </w:tc>
                  </w:sdtContent>
                </w:sdt>
                <w:sdt>
                  <w:sdtPr>
                    <w:rPr>
                      <w:sz w:val="15"/>
                      <w:szCs w:val="15"/>
                    </w:rPr>
                    <w:alias w:val="专项储备"/>
                    <w:tag w:val="_GBC_9eb39a3a39374605966081e833de3d62"/>
                    <w:id w:val="2472187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
                    <w:tag w:val="_GBC_4d0e171ece294c249574e2dd9dd024ac"/>
                    <w:id w:val="24721872"/>
                    <w:lock w:val="sdtLocked"/>
                  </w:sdtPr>
                  <w:sdtContent>
                    <w:tc>
                      <w:tcPr>
                        <w:tcW w:w="1418" w:type="dxa"/>
                      </w:tcPr>
                      <w:p w:rsidR="00DE031E" w:rsidRPr="00F92D49" w:rsidRDefault="001C1A59" w:rsidP="00DE031E">
                        <w:pPr>
                          <w:jc w:val="right"/>
                          <w:rPr>
                            <w:sz w:val="15"/>
                            <w:szCs w:val="15"/>
                          </w:rPr>
                        </w:pPr>
                        <w:r w:rsidRPr="00F92D49">
                          <w:rPr>
                            <w:sz w:val="15"/>
                            <w:szCs w:val="15"/>
                          </w:rPr>
                          <w:t>2,400,210,713.47</w:t>
                        </w:r>
                      </w:p>
                    </w:tc>
                  </w:sdtContent>
                </w:sdt>
                <w:sdt>
                  <w:sdtPr>
                    <w:rPr>
                      <w:sz w:val="15"/>
                      <w:szCs w:val="15"/>
                    </w:rPr>
                    <w:alias w:val="一般风险准备"/>
                    <w:tag w:val="_GBC_05519bf562014f01af8c45c90f8931fd"/>
                    <w:id w:val="24721873"/>
                    <w:lock w:val="sdtLocked"/>
                  </w:sdtPr>
                  <w:sdtContent>
                    <w:tc>
                      <w:tcPr>
                        <w:tcW w:w="1417" w:type="dxa"/>
                      </w:tcPr>
                      <w:p w:rsidR="00DE031E" w:rsidRPr="00F92D49" w:rsidRDefault="001C1A59" w:rsidP="00DE031E">
                        <w:pPr>
                          <w:jc w:val="right"/>
                          <w:rPr>
                            <w:sz w:val="15"/>
                            <w:szCs w:val="15"/>
                          </w:rPr>
                        </w:pPr>
                        <w:r w:rsidRPr="00F92D49">
                          <w:rPr>
                            <w:sz w:val="15"/>
                            <w:szCs w:val="15"/>
                          </w:rPr>
                          <w:t>4,671,608,420.38</w:t>
                        </w:r>
                      </w:p>
                    </w:tc>
                  </w:sdtContent>
                </w:sdt>
                <w:sdt>
                  <w:sdtPr>
                    <w:rPr>
                      <w:sz w:val="15"/>
                      <w:szCs w:val="15"/>
                    </w:rPr>
                    <w:alias w:val="未分配利润"/>
                    <w:tag w:val="_GBC_e15cc3ba9f6240299aa2a5b528ed8bb5"/>
                    <w:id w:val="24721874"/>
                    <w:lock w:val="sdtLocked"/>
                  </w:sdtPr>
                  <w:sdtContent>
                    <w:tc>
                      <w:tcPr>
                        <w:tcW w:w="1559" w:type="dxa"/>
                      </w:tcPr>
                      <w:p w:rsidR="00DE031E" w:rsidRPr="00F92D49" w:rsidRDefault="001C1A59" w:rsidP="00DE031E">
                        <w:pPr>
                          <w:jc w:val="right"/>
                          <w:rPr>
                            <w:sz w:val="15"/>
                            <w:szCs w:val="15"/>
                          </w:rPr>
                        </w:pPr>
                        <w:r w:rsidRPr="00F92D49">
                          <w:rPr>
                            <w:sz w:val="15"/>
                            <w:szCs w:val="15"/>
                          </w:rPr>
                          <w:t>9,268,062,186.17</w:t>
                        </w:r>
                      </w:p>
                    </w:tc>
                  </w:sdtContent>
                </w:sdt>
                <w:sdt>
                  <w:sdtPr>
                    <w:rPr>
                      <w:sz w:val="15"/>
                      <w:szCs w:val="15"/>
                    </w:rPr>
                    <w:alias w:val="少数股东权益"/>
                    <w:tag w:val="_GBC_c7fd558fdc874fe096ada525906f5f26"/>
                    <w:id w:val="24721875"/>
                    <w:lock w:val="sdtLocked"/>
                  </w:sdtPr>
                  <w:sdtContent>
                    <w:tc>
                      <w:tcPr>
                        <w:tcW w:w="1276" w:type="dxa"/>
                      </w:tcPr>
                      <w:p w:rsidR="00DE031E" w:rsidRPr="00F92D49" w:rsidRDefault="001C1A59" w:rsidP="00DE031E">
                        <w:pPr>
                          <w:jc w:val="right"/>
                          <w:rPr>
                            <w:sz w:val="15"/>
                            <w:szCs w:val="15"/>
                          </w:rPr>
                        </w:pPr>
                        <w:r w:rsidRPr="00F92D49">
                          <w:rPr>
                            <w:sz w:val="15"/>
                            <w:szCs w:val="15"/>
                          </w:rPr>
                          <w:t>58,911,510.28</w:t>
                        </w:r>
                      </w:p>
                    </w:tc>
                  </w:sdtContent>
                </w:sdt>
                <w:sdt>
                  <w:sdtPr>
                    <w:rPr>
                      <w:sz w:val="15"/>
                      <w:szCs w:val="15"/>
                    </w:rPr>
                    <w:alias w:val="股东权益合计"/>
                    <w:tag w:val="_GBC_442dec9268e8466ea499b32b3eb59da1"/>
                    <w:id w:val="24721876"/>
                    <w:lock w:val="sdtLocked"/>
                  </w:sdtPr>
                  <w:sdtContent>
                    <w:tc>
                      <w:tcPr>
                        <w:tcW w:w="1559" w:type="dxa"/>
                      </w:tcPr>
                      <w:p w:rsidR="00DE031E" w:rsidRPr="00F92D49" w:rsidRDefault="001C1A59" w:rsidP="00DE031E">
                        <w:pPr>
                          <w:jc w:val="right"/>
                          <w:rPr>
                            <w:sz w:val="15"/>
                            <w:szCs w:val="15"/>
                          </w:rPr>
                        </w:pPr>
                        <w:r w:rsidRPr="00F92D49">
                          <w:rPr>
                            <w:sz w:val="15"/>
                            <w:szCs w:val="15"/>
                          </w:rPr>
                          <w:t>41,596,161,155.66</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加：</w:t>
                    </w:r>
                    <w:r w:rsidRPr="00F92D49">
                      <w:rPr>
                        <w:sz w:val="15"/>
                        <w:szCs w:val="15"/>
                      </w:rPr>
                      <w:t>会计政策变更</w:t>
                    </w:r>
                  </w:p>
                </w:tc>
                <w:sdt>
                  <w:sdtPr>
                    <w:rPr>
                      <w:sz w:val="15"/>
                      <w:szCs w:val="15"/>
                    </w:rPr>
                    <w:alias w:val="会计政策变更导致实收资本（或股本）净额变动金额"/>
                    <w:tag w:val="_GBC_c09674179ce04567bbdc74d40619e0a6"/>
                    <w:id w:val="24721877"/>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会计政策变更导致优先股变动金额"/>
                    <w:tag w:val="_GBC_cbe46d14e1764d73a07ad0d43e35ae86"/>
                    <w:id w:val="2472187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会计政策变更导致永续债变动金额"/>
                    <w:tag w:val="_GBC_2c116f784c51417688bbb09382ebd9fa"/>
                    <w:id w:val="24721879"/>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会计政策变更导致其他权益工具中的其他变动金额"/>
                    <w:tag w:val="_GBC_4cec86d3c0f84e15bf8f5c6c5fe1d770"/>
                    <w:id w:val="2472188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会计政策变更导致资本公积变动金额"/>
                    <w:tag w:val="_GBC_988ab3c6702a4b17988040b16b6d8ccf"/>
                    <w:id w:val="24721881"/>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会计政策变更导致库存股变动金额"/>
                    <w:tag w:val="_GBC_aa4d170130d44daa855018a7b0a59dbd"/>
                    <w:id w:val="24721882"/>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会计政策变更导致其他综合收益变动金额"/>
                    <w:tag w:val="_GBC_5f1ed07c8dad4b9e8bc742dd13cf5145"/>
                    <w:id w:val="24721883"/>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会计政策变更导致专项储备变动金额"/>
                    <w:tag w:val="_GBC_0ad9b945c8e44bc2a67ae3b0043604bc"/>
                    <w:id w:val="2472188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会计政策变更导致盈余公积变动金额"/>
                    <w:tag w:val="_GBC_23f1c404f27043c88e9b093b2272621d"/>
                    <w:id w:val="24721885"/>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会计政策变更导致一般风险准备变动金额"/>
                    <w:tag w:val="_GBC_cb1b5c178a3d49048bcf651f765e6984"/>
                    <w:id w:val="24721886"/>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会计政策变更导致未分配利润变动金额"/>
                    <w:tag w:val="_GBC_03fbcf224f96453a9ed5c217dd4bfd27"/>
                    <w:id w:val="24721887"/>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会计政策变更导致少数股东权益变动金额"/>
                    <w:tag w:val="_GBC_fd067631d404438ea02d264dd48e70d2"/>
                    <w:id w:val="24721888"/>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会计政策变更导致股东权益合计变动金额"/>
                    <w:tag w:val="_GBC_c2d525eff22840f09e6b321deb2de9dc"/>
                    <w:id w:val="24721889"/>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ind w:firstLineChars="200" w:firstLine="300"/>
                      <w:rPr>
                        <w:sz w:val="15"/>
                        <w:szCs w:val="15"/>
                      </w:rPr>
                    </w:pPr>
                    <w:r w:rsidRPr="00F92D49">
                      <w:rPr>
                        <w:sz w:val="15"/>
                        <w:szCs w:val="15"/>
                      </w:rPr>
                      <w:t>前期差错更正</w:t>
                    </w:r>
                  </w:p>
                </w:tc>
                <w:sdt>
                  <w:sdtPr>
                    <w:rPr>
                      <w:sz w:val="15"/>
                      <w:szCs w:val="15"/>
                    </w:rPr>
                    <w:alias w:val="前期差错更正导致实收资本（或股本）净额变动金额"/>
                    <w:tag w:val="_GBC_93f36e0a882744b5861bc7a1dccabaeb"/>
                    <w:id w:val="24721890"/>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前期差错更正导致优先股变动金额"/>
                    <w:tag w:val="_GBC_d6f6def1ae7545468eafa8186027ee5e"/>
                    <w:id w:val="2472189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前期差错更正导致永续债变动金额"/>
                    <w:tag w:val="_GBC_df62292574364a8198663e1267a2ed79"/>
                    <w:id w:val="24721892"/>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前期差错更正导致其他权益工具中的其他变动金额"/>
                    <w:tag w:val="_GBC_663b4fe31ce74275a778cc6df70c3639"/>
                    <w:id w:val="2472189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前期差错更正导致资本公积变动金额"/>
                    <w:tag w:val="_GBC_94c671c7686347a88eb000d09e3d3ddd"/>
                    <w:id w:val="24721894"/>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前期差错更正导致库存股变动金额"/>
                    <w:tag w:val="_GBC_64664cca9dc9486e90495fbeff172f3b"/>
                    <w:id w:val="24721895"/>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前期差错更正导致其他综合收益变动金额"/>
                    <w:tag w:val="_GBC_7e3a01e150c04a54a0ad3810ffe58fdd"/>
                    <w:id w:val="24721896"/>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前期差错更正导致专项储备变动金额"/>
                    <w:tag w:val="_GBC_011ec8b3b27f4052b19d72752b723315"/>
                    <w:id w:val="2472189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前期差错更正导致盈余公积变动金额"/>
                    <w:tag w:val="_GBC_b17e1011b6424dda884e9d25914b0cd9"/>
                    <w:id w:val="24721898"/>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前期差错更正导致一般风险准备变动金额"/>
                    <w:tag w:val="_GBC_344ef63e1eb04723864624f5ac9eb2ac"/>
                    <w:id w:val="24721899"/>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前期差错更正导致未分配利润变动金额"/>
                    <w:tag w:val="_GBC_04871b5d738b4d7f961c55cedd1cb620"/>
                    <w:id w:val="24721900"/>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前期差错更正导致少数股东权益变动金额"/>
                    <w:tag w:val="_GBC_07d019d58b7b4fd8a02aa80d34be2a19"/>
                    <w:id w:val="24721901"/>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前期差错更正导致股东权益合计变动金额"/>
                    <w:tag w:val="_GBC_bae414834150489281217f029021ce34"/>
                    <w:id w:val="24721902"/>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ind w:firstLineChars="200" w:firstLine="300"/>
                      <w:rPr>
                        <w:sz w:val="15"/>
                        <w:szCs w:val="15"/>
                      </w:rPr>
                    </w:pPr>
                    <w:r w:rsidRPr="00F92D49">
                      <w:rPr>
                        <w:rFonts w:hint="eastAsia"/>
                        <w:sz w:val="15"/>
                        <w:szCs w:val="15"/>
                      </w:rPr>
                      <w:t>同一控制下企业合并</w:t>
                    </w:r>
                  </w:p>
                </w:tc>
                <w:sdt>
                  <w:sdtPr>
                    <w:rPr>
                      <w:sz w:val="15"/>
                      <w:szCs w:val="15"/>
                    </w:rPr>
                    <w:alias w:val="同一控制下企业合并导致股本变动金额"/>
                    <w:tag w:val="_GBC_488e53613b3f4fe7bcd2de60f55c0755"/>
                    <w:id w:val="24721903"/>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同一控制下企业合并导致优先股变动金额"/>
                    <w:tag w:val="_GBC_3957ac04959e43b6b1b940c2171c0cfd"/>
                    <w:id w:val="2472190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同一控制下企业合并导致永续债变动金额"/>
                    <w:tag w:val="_GBC_c37c1705ca3944f587225a7ca47801f9"/>
                    <w:id w:val="24721905"/>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同一控制下企业合并导致其他权益工具中的其他变动金额"/>
                    <w:tag w:val="_GBC_e728318ba28446a3bbaa5bda514d6aa4"/>
                    <w:id w:val="2472190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同一控制下企业合并导致资本公积变动金额"/>
                    <w:tag w:val="_GBC_c46915fb73bf44ae92f06f05739812e3"/>
                    <w:id w:val="24721907"/>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同一控制下企业合并导致库存股变动金额"/>
                    <w:tag w:val="_GBC_2306bf2e1b914e188fe32c84db49c978"/>
                    <w:id w:val="24721908"/>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同一控制下企业合并导致其他综合收益变动金额"/>
                    <w:tag w:val="_GBC_b0adbe4224be48aaa832539d7c37eb69"/>
                    <w:id w:val="24721909"/>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同一控制下企业合并导致专项储备变动金额"/>
                    <w:tag w:val="_GBC_53123ae2175e47f499281dd24111466f"/>
                    <w:id w:val="2472191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同一控制下企业合并导致盈余公积变动金额"/>
                    <w:tag w:val="_GBC_2fff66357a4c4cd69263dd5b3dfb3564"/>
                    <w:id w:val="24721911"/>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同一控制下企业合并导致一般风险准备变动金额"/>
                    <w:tag w:val="_GBC_3a9cd2dffb85450dbb12bb815d0377e6"/>
                    <w:id w:val="24721912"/>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同一控制下企业合并导致未分配利润变动金额"/>
                    <w:tag w:val="_GBC_006ffa52dca54ac68ac2fa105901a3c3"/>
                    <w:id w:val="24721913"/>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同一控制下企业合并导致少数股东权益变动金额"/>
                    <w:tag w:val="_GBC_23404c0c316d45728f16761a4006919c"/>
                    <w:id w:val="24721914"/>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同一控制下企业合并导致股东权益合计变动金额"/>
                    <w:tag w:val="_GBC_e1a691549cf14d17b12c7b7ee9923e1b"/>
                    <w:id w:val="24721915"/>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ind w:firstLineChars="200" w:firstLine="300"/>
                      <w:rPr>
                        <w:sz w:val="15"/>
                        <w:szCs w:val="15"/>
                      </w:rPr>
                    </w:pPr>
                    <w:r w:rsidRPr="00F92D49">
                      <w:rPr>
                        <w:rFonts w:hint="eastAsia"/>
                        <w:sz w:val="15"/>
                        <w:szCs w:val="15"/>
                      </w:rPr>
                      <w:t>其他</w:t>
                    </w:r>
                  </w:p>
                </w:tc>
                <w:sdt>
                  <w:sdtPr>
                    <w:rPr>
                      <w:sz w:val="15"/>
                      <w:szCs w:val="15"/>
                    </w:rPr>
                    <w:alias w:val="实收资本变动金额（其他追溯调整）"/>
                    <w:tag w:val="_GBC_3ce4c537c6c14d6ebac9f0acfa456c11"/>
                    <w:id w:val="24721916"/>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优先股变动金额（其他追溯调整）"/>
                    <w:tag w:val="_GBC_9bd80f65003546c9a5f5c12a572f4a0d"/>
                    <w:id w:val="2472191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永续债变动金额（其他追溯调整）"/>
                    <w:tag w:val="_GBC_9773a6ccfe1b40eab076304fc747a3d8"/>
                    <w:id w:val="24721918"/>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权益工具中的其他变动金额（其他追溯调整）"/>
                    <w:tag w:val="_GBC_969e4910380b4f1b8449243cd0c457e7"/>
                    <w:id w:val="2472191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变动金额（其他追溯调整）"/>
                    <w:tag w:val="_GBC_f83a56fb63a440168a0343274dc2b990"/>
                    <w:id w:val="24721920"/>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库存股变动金额（其他追溯调整）"/>
                    <w:tag w:val="_GBC_a18df4f42f77442484184a8acb296947"/>
                    <w:id w:val="24721921"/>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综合收益变动金额（其他追溯调整）"/>
                    <w:tag w:val="_GBC_dc58b36912e0425e966d0bd5b1905959"/>
                    <w:id w:val="24721922"/>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专项储备变动金额（其他追溯调整）"/>
                    <w:tag w:val="_GBC_5ff74747889243619bf99c2d2a1f956f"/>
                    <w:id w:val="2472192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变动金额（其他追溯调整）"/>
                    <w:tag w:val="_GBC_e856558096674dfba47ef191f34bc5c3"/>
                    <w:id w:val="24721924"/>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一般风险准备变动金额（其他追溯调整）"/>
                    <w:tag w:val="_GBC_a7b815ca86384f68b72722d9393a269c"/>
                    <w:id w:val="24721925"/>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未分配利润变动金额（其他追溯调整）"/>
                    <w:tag w:val="_GBC_b183e3d49d3746dfad9419a752120b5d"/>
                    <w:id w:val="24721926"/>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少数股东权益变动金额（其他追溯调整）"/>
                    <w:tag w:val="_GBC_48aa47eb23c0469d82eb2b7904a0ba2a"/>
                    <w:id w:val="24721927"/>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股东权益变动金额（其他追溯调整）"/>
                    <w:tag w:val="_GBC_a716f6f27f394f64aabe1cffb90f3ef4"/>
                    <w:id w:val="24721928"/>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二、本年</w:t>
                    </w:r>
                    <w:r w:rsidRPr="00F92D49">
                      <w:rPr>
                        <w:rFonts w:hint="eastAsia"/>
                        <w:sz w:val="15"/>
                        <w:szCs w:val="15"/>
                      </w:rPr>
                      <w:t>期</w:t>
                    </w:r>
                    <w:r w:rsidRPr="00F92D49">
                      <w:rPr>
                        <w:sz w:val="15"/>
                        <w:szCs w:val="15"/>
                      </w:rPr>
                      <w:t>初余额</w:t>
                    </w:r>
                  </w:p>
                </w:tc>
                <w:sdt>
                  <w:sdtPr>
                    <w:rPr>
                      <w:sz w:val="15"/>
                      <w:szCs w:val="15"/>
                    </w:rPr>
                    <w:alias w:val="股本"/>
                    <w:tag w:val="_GBC_7ffb904e78e6477884ead627a8c631d3"/>
                    <w:id w:val="24721929"/>
                    <w:lock w:val="sdtLocked"/>
                  </w:sdtPr>
                  <w:sdtContent>
                    <w:tc>
                      <w:tcPr>
                        <w:tcW w:w="1418" w:type="dxa"/>
                      </w:tcPr>
                      <w:p w:rsidR="00DE031E" w:rsidRPr="00F92D49" w:rsidRDefault="001C1A59" w:rsidP="00DE031E">
                        <w:pPr>
                          <w:jc w:val="right"/>
                          <w:rPr>
                            <w:sz w:val="15"/>
                            <w:szCs w:val="15"/>
                          </w:rPr>
                        </w:pPr>
                        <w:r w:rsidRPr="00F92D49">
                          <w:rPr>
                            <w:sz w:val="15"/>
                            <w:szCs w:val="15"/>
                          </w:rPr>
                          <w:t>5,808,135,529.00</w:t>
                        </w:r>
                      </w:p>
                    </w:tc>
                  </w:sdtContent>
                </w:sdt>
                <w:sdt>
                  <w:sdtPr>
                    <w:rPr>
                      <w:sz w:val="15"/>
                      <w:szCs w:val="15"/>
                    </w:rPr>
                    <w:alias w:val="其他权益工具-其中：优先股"/>
                    <w:tag w:val="_GBC_dba908bc5e0e4171b7ebfbc41d7847a1"/>
                    <w:id w:val="2472193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权益工具-永续债"/>
                    <w:tag w:val="_GBC_4515a054b6a14ecfbf1fd9407f99e3e4"/>
                    <w:id w:val="24721931"/>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权益工具-其他"/>
                    <w:tag w:val="_GBC_7753d394adf44e1f8f53149adfd044ba"/>
                    <w:id w:val="2472193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
                    <w:tag w:val="_GBC_68dbe5f167e148f0a5f0a3f6330cb542"/>
                    <w:id w:val="24721933"/>
                    <w:lock w:val="sdtLocked"/>
                  </w:sdtPr>
                  <w:sdtContent>
                    <w:tc>
                      <w:tcPr>
                        <w:tcW w:w="1559" w:type="dxa"/>
                      </w:tcPr>
                      <w:p w:rsidR="00DE031E" w:rsidRPr="00F92D49" w:rsidRDefault="001C1A59" w:rsidP="00DE031E">
                        <w:pPr>
                          <w:jc w:val="right"/>
                          <w:rPr>
                            <w:sz w:val="15"/>
                            <w:szCs w:val="15"/>
                          </w:rPr>
                        </w:pPr>
                        <w:r w:rsidRPr="00F92D49">
                          <w:rPr>
                            <w:sz w:val="15"/>
                            <w:szCs w:val="15"/>
                          </w:rPr>
                          <w:t>19,403,877,003.80</w:t>
                        </w:r>
                      </w:p>
                    </w:tc>
                  </w:sdtContent>
                </w:sdt>
                <w:sdt>
                  <w:sdtPr>
                    <w:rPr>
                      <w:sz w:val="15"/>
                      <w:szCs w:val="15"/>
                    </w:rPr>
                    <w:alias w:val="库存股"/>
                    <w:tag w:val="_GBC_890dc2108e9743459a162d1be96c9b38"/>
                    <w:id w:val="24721934"/>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综合收益（资产负债表项目）"/>
                    <w:tag w:val="_GBC_7e7cea458edc4fef83b6aa00b0d6aee4"/>
                    <w:id w:val="24721935"/>
                    <w:lock w:val="sdtLocked"/>
                  </w:sdtPr>
                  <w:sdtContent>
                    <w:tc>
                      <w:tcPr>
                        <w:tcW w:w="1276" w:type="dxa"/>
                      </w:tcPr>
                      <w:p w:rsidR="00DE031E" w:rsidRPr="00F92D49" w:rsidRDefault="001C1A59" w:rsidP="00DE031E">
                        <w:pPr>
                          <w:jc w:val="right"/>
                          <w:rPr>
                            <w:sz w:val="15"/>
                            <w:szCs w:val="15"/>
                          </w:rPr>
                        </w:pPr>
                        <w:r w:rsidRPr="00F92D49">
                          <w:rPr>
                            <w:sz w:val="15"/>
                            <w:szCs w:val="15"/>
                          </w:rPr>
                          <w:t>-14,644,207.44</w:t>
                        </w:r>
                      </w:p>
                    </w:tc>
                  </w:sdtContent>
                </w:sdt>
                <w:sdt>
                  <w:sdtPr>
                    <w:rPr>
                      <w:sz w:val="15"/>
                      <w:szCs w:val="15"/>
                    </w:rPr>
                    <w:alias w:val="专项储备"/>
                    <w:tag w:val="_GBC_0c6e51a496b546c9b745a8e54be8f15f"/>
                    <w:id w:val="2472193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
                    <w:tag w:val="_GBC_1d110a200be1458996f25bcb00197f2a"/>
                    <w:id w:val="24721937"/>
                    <w:lock w:val="sdtLocked"/>
                  </w:sdtPr>
                  <w:sdtContent>
                    <w:tc>
                      <w:tcPr>
                        <w:tcW w:w="1418" w:type="dxa"/>
                      </w:tcPr>
                      <w:p w:rsidR="00DE031E" w:rsidRPr="00F92D49" w:rsidRDefault="001C1A59" w:rsidP="00DE031E">
                        <w:pPr>
                          <w:jc w:val="right"/>
                          <w:rPr>
                            <w:sz w:val="15"/>
                            <w:szCs w:val="15"/>
                          </w:rPr>
                        </w:pPr>
                        <w:r w:rsidRPr="00F92D49">
                          <w:rPr>
                            <w:sz w:val="15"/>
                            <w:szCs w:val="15"/>
                          </w:rPr>
                          <w:t>2,400,210,713.47</w:t>
                        </w:r>
                      </w:p>
                    </w:tc>
                  </w:sdtContent>
                </w:sdt>
                <w:sdt>
                  <w:sdtPr>
                    <w:rPr>
                      <w:sz w:val="15"/>
                      <w:szCs w:val="15"/>
                    </w:rPr>
                    <w:alias w:val="一般风险准备"/>
                    <w:tag w:val="_GBC_717743d5dc924f1d8c14f011cbf3c2b9"/>
                    <w:id w:val="24721938"/>
                    <w:lock w:val="sdtLocked"/>
                  </w:sdtPr>
                  <w:sdtContent>
                    <w:tc>
                      <w:tcPr>
                        <w:tcW w:w="1417" w:type="dxa"/>
                      </w:tcPr>
                      <w:p w:rsidR="00DE031E" w:rsidRPr="00F92D49" w:rsidRDefault="001C1A59" w:rsidP="00DE031E">
                        <w:pPr>
                          <w:jc w:val="right"/>
                          <w:rPr>
                            <w:sz w:val="15"/>
                            <w:szCs w:val="15"/>
                          </w:rPr>
                        </w:pPr>
                        <w:r w:rsidRPr="00F92D49">
                          <w:rPr>
                            <w:sz w:val="15"/>
                            <w:szCs w:val="15"/>
                          </w:rPr>
                          <w:t>4,671,608,420.38</w:t>
                        </w:r>
                      </w:p>
                    </w:tc>
                  </w:sdtContent>
                </w:sdt>
                <w:sdt>
                  <w:sdtPr>
                    <w:rPr>
                      <w:sz w:val="15"/>
                      <w:szCs w:val="15"/>
                    </w:rPr>
                    <w:alias w:val="未分配利润"/>
                    <w:tag w:val="_GBC_da6a75e012994c7dbdfd6cd3df7244d8"/>
                    <w:id w:val="24721939"/>
                    <w:lock w:val="sdtLocked"/>
                  </w:sdtPr>
                  <w:sdtContent>
                    <w:tc>
                      <w:tcPr>
                        <w:tcW w:w="1559" w:type="dxa"/>
                      </w:tcPr>
                      <w:p w:rsidR="00DE031E" w:rsidRPr="00F92D49" w:rsidRDefault="001C1A59" w:rsidP="00DE031E">
                        <w:pPr>
                          <w:jc w:val="right"/>
                          <w:rPr>
                            <w:sz w:val="15"/>
                            <w:szCs w:val="15"/>
                          </w:rPr>
                        </w:pPr>
                        <w:r w:rsidRPr="00F92D49">
                          <w:rPr>
                            <w:sz w:val="15"/>
                            <w:szCs w:val="15"/>
                          </w:rPr>
                          <w:t>9,268,062,186.17</w:t>
                        </w:r>
                      </w:p>
                    </w:tc>
                  </w:sdtContent>
                </w:sdt>
                <w:sdt>
                  <w:sdtPr>
                    <w:rPr>
                      <w:sz w:val="15"/>
                      <w:szCs w:val="15"/>
                    </w:rPr>
                    <w:alias w:val="少数股东权益"/>
                    <w:tag w:val="_GBC_99f25fd6062e41bb8036bd4a399f2ad1"/>
                    <w:id w:val="24721940"/>
                    <w:lock w:val="sdtLocked"/>
                  </w:sdtPr>
                  <w:sdtContent>
                    <w:tc>
                      <w:tcPr>
                        <w:tcW w:w="1276" w:type="dxa"/>
                      </w:tcPr>
                      <w:p w:rsidR="00DE031E" w:rsidRPr="00F92D49" w:rsidRDefault="001C1A59" w:rsidP="00DE031E">
                        <w:pPr>
                          <w:jc w:val="right"/>
                          <w:rPr>
                            <w:sz w:val="15"/>
                            <w:szCs w:val="15"/>
                          </w:rPr>
                        </w:pPr>
                        <w:r w:rsidRPr="00F92D49">
                          <w:rPr>
                            <w:sz w:val="15"/>
                            <w:szCs w:val="15"/>
                          </w:rPr>
                          <w:t>58,911,510.28</w:t>
                        </w:r>
                      </w:p>
                    </w:tc>
                  </w:sdtContent>
                </w:sdt>
                <w:sdt>
                  <w:sdtPr>
                    <w:rPr>
                      <w:sz w:val="15"/>
                      <w:szCs w:val="15"/>
                    </w:rPr>
                    <w:alias w:val="股东权益合计"/>
                    <w:tag w:val="_GBC_9d6e65929de14e19acba2e4a333251a7"/>
                    <w:id w:val="24721941"/>
                    <w:lock w:val="sdtLocked"/>
                  </w:sdtPr>
                  <w:sdtContent>
                    <w:tc>
                      <w:tcPr>
                        <w:tcW w:w="1559" w:type="dxa"/>
                      </w:tcPr>
                      <w:p w:rsidR="00DE031E" w:rsidRPr="00F92D49" w:rsidRDefault="001C1A59" w:rsidP="00DE031E">
                        <w:pPr>
                          <w:jc w:val="right"/>
                          <w:rPr>
                            <w:sz w:val="15"/>
                            <w:szCs w:val="15"/>
                          </w:rPr>
                        </w:pPr>
                        <w:r w:rsidRPr="00F92D49">
                          <w:rPr>
                            <w:sz w:val="15"/>
                            <w:szCs w:val="15"/>
                          </w:rPr>
                          <w:t>41,596,161,155.66</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三、本</w:t>
                    </w:r>
                    <w:r w:rsidRPr="00F92D49">
                      <w:rPr>
                        <w:rFonts w:hint="eastAsia"/>
                        <w:sz w:val="15"/>
                        <w:szCs w:val="15"/>
                      </w:rPr>
                      <w:t>期</w:t>
                    </w:r>
                    <w:r w:rsidRPr="00F92D49">
                      <w:rPr>
                        <w:sz w:val="15"/>
                        <w:szCs w:val="15"/>
                      </w:rPr>
                      <w:t>增减变动金额（减少以“－”号填列）</w:t>
                    </w:r>
                  </w:p>
                </w:tc>
                <w:sdt>
                  <w:sdtPr>
                    <w:rPr>
                      <w:sz w:val="15"/>
                      <w:szCs w:val="15"/>
                    </w:rPr>
                    <w:alias w:val="实收资本（或股本）净额增减变动金额"/>
                    <w:tag w:val="_GBC_97f48e8fa059431594f52db718ff0b70"/>
                    <w:id w:val="24721942"/>
                    <w:lock w:val="sdtLocked"/>
                    <w:showingPlcHdr/>
                  </w:sdtPr>
                  <w:sdtContent>
                    <w:tc>
                      <w:tcPr>
                        <w:tcW w:w="1418" w:type="dxa"/>
                      </w:tcPr>
                      <w:p w:rsidR="00DE031E" w:rsidRPr="00F92D49" w:rsidRDefault="00D4561E" w:rsidP="00DE031E">
                        <w:pPr>
                          <w:jc w:val="right"/>
                          <w:rPr>
                            <w:sz w:val="15"/>
                            <w:szCs w:val="15"/>
                          </w:rPr>
                        </w:pPr>
                        <w:r>
                          <w:rPr>
                            <w:sz w:val="15"/>
                            <w:szCs w:val="15"/>
                          </w:rPr>
                          <w:t xml:space="preserve">     </w:t>
                        </w:r>
                      </w:p>
                    </w:tc>
                  </w:sdtContent>
                </w:sdt>
                <w:sdt>
                  <w:sdtPr>
                    <w:rPr>
                      <w:sz w:val="15"/>
                      <w:szCs w:val="15"/>
                    </w:rPr>
                    <w:alias w:val="其他权益工具中的优先股增减变动金额"/>
                    <w:tag w:val="_GBC_133e9814b8ea45e5894c6f0571711e7b"/>
                    <w:id w:val="2472194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权益工具中的永续债增减变动金额"/>
                    <w:tag w:val="_GBC_fbc37b80f4164abe82529524c4414f88"/>
                    <w:id w:val="24721944"/>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权益工具中的其他增减变动金额"/>
                    <w:tag w:val="_GBC_3a7f7687e8674f45a32aa6a42ebca88c"/>
                    <w:id w:val="2472194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增减变动金额"/>
                    <w:tag w:val="_GBC_b7fb5f5cb7c84e1fb799da57c6195385"/>
                    <w:id w:val="24721946"/>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库存股增减变动金额"/>
                    <w:tag w:val="_GBC_aa12688c99574b6e90d9188a21d9de29"/>
                    <w:id w:val="24721947"/>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综合收益增减变动金额"/>
                    <w:tag w:val="_GBC_d123f8e3c9d54cbb8f7acbc3df0f0f7e"/>
                    <w:id w:val="24721948"/>
                    <w:lock w:val="sdtLocked"/>
                  </w:sdtPr>
                  <w:sdtContent>
                    <w:tc>
                      <w:tcPr>
                        <w:tcW w:w="1276" w:type="dxa"/>
                      </w:tcPr>
                      <w:p w:rsidR="00DE031E" w:rsidRPr="00F92D49" w:rsidRDefault="001C1A59" w:rsidP="00DE031E">
                        <w:pPr>
                          <w:jc w:val="right"/>
                          <w:rPr>
                            <w:sz w:val="15"/>
                            <w:szCs w:val="15"/>
                          </w:rPr>
                        </w:pPr>
                        <w:r w:rsidRPr="00F92D49">
                          <w:rPr>
                            <w:sz w:val="15"/>
                            <w:szCs w:val="15"/>
                          </w:rPr>
                          <w:t>458,364,206.02</w:t>
                        </w:r>
                      </w:p>
                    </w:tc>
                  </w:sdtContent>
                </w:sdt>
                <w:sdt>
                  <w:sdtPr>
                    <w:rPr>
                      <w:sz w:val="15"/>
                      <w:szCs w:val="15"/>
                    </w:rPr>
                    <w:alias w:val="专项储备增减变动金额"/>
                    <w:tag w:val="_GBC_dbc36e10e87b4b74aaffbdcbeef7367f"/>
                    <w:id w:val="2472194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增减变动金额"/>
                    <w:tag w:val="_GBC_0804ce30f18b485199a4d2de5232b4a1"/>
                    <w:id w:val="24721950"/>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一般风险准备增减变动金额"/>
                    <w:tag w:val="_GBC_b8b74db52ed34b4da8a398a063864478"/>
                    <w:id w:val="24721951"/>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未分配利润增减变动金额"/>
                    <w:tag w:val="_GBC_309c90277c884ffc87911778089e7bc5"/>
                    <w:id w:val="24721952"/>
                    <w:lock w:val="sdtLocked"/>
                  </w:sdtPr>
                  <w:sdtContent>
                    <w:tc>
                      <w:tcPr>
                        <w:tcW w:w="1559" w:type="dxa"/>
                      </w:tcPr>
                      <w:p w:rsidR="00DE031E" w:rsidRPr="00F92D49" w:rsidRDefault="001C1A59" w:rsidP="00DE031E">
                        <w:pPr>
                          <w:jc w:val="right"/>
                          <w:rPr>
                            <w:sz w:val="15"/>
                            <w:szCs w:val="15"/>
                          </w:rPr>
                        </w:pPr>
                        <w:r w:rsidRPr="00F92D49">
                          <w:rPr>
                            <w:sz w:val="15"/>
                            <w:szCs w:val="15"/>
                          </w:rPr>
                          <w:t>5,775,509,548.57</w:t>
                        </w:r>
                      </w:p>
                    </w:tc>
                  </w:sdtContent>
                </w:sdt>
                <w:sdt>
                  <w:sdtPr>
                    <w:rPr>
                      <w:sz w:val="15"/>
                      <w:szCs w:val="15"/>
                    </w:rPr>
                    <w:alias w:val="少数股东权益增减变动金额"/>
                    <w:tag w:val="_GBC_015e57c6486646408ee3c68da2a54a2b"/>
                    <w:id w:val="24721953"/>
                    <w:lock w:val="sdtLocked"/>
                  </w:sdtPr>
                  <w:sdtContent>
                    <w:tc>
                      <w:tcPr>
                        <w:tcW w:w="1276" w:type="dxa"/>
                      </w:tcPr>
                      <w:p w:rsidR="00DE031E" w:rsidRPr="00F92D49" w:rsidRDefault="001C1A59" w:rsidP="00DE031E">
                        <w:pPr>
                          <w:jc w:val="right"/>
                          <w:rPr>
                            <w:sz w:val="15"/>
                            <w:szCs w:val="15"/>
                          </w:rPr>
                        </w:pPr>
                        <w:r w:rsidRPr="00F92D49">
                          <w:rPr>
                            <w:sz w:val="15"/>
                            <w:szCs w:val="15"/>
                          </w:rPr>
                          <w:t>28,577,844.83</w:t>
                        </w:r>
                      </w:p>
                    </w:tc>
                  </w:sdtContent>
                </w:sdt>
                <w:sdt>
                  <w:sdtPr>
                    <w:rPr>
                      <w:sz w:val="15"/>
                      <w:szCs w:val="15"/>
                    </w:rPr>
                    <w:alias w:val="股东权益合计增减变动金额"/>
                    <w:tag w:val="_GBC_ef5895ec267c4011b8002c93402fc4de"/>
                    <w:id w:val="24721954"/>
                    <w:lock w:val="sdtLocked"/>
                  </w:sdtPr>
                  <w:sdtContent>
                    <w:tc>
                      <w:tcPr>
                        <w:tcW w:w="1559" w:type="dxa"/>
                      </w:tcPr>
                      <w:p w:rsidR="00DE031E" w:rsidRPr="00F92D49" w:rsidRDefault="001C1A59" w:rsidP="00DE031E">
                        <w:pPr>
                          <w:jc w:val="right"/>
                          <w:rPr>
                            <w:sz w:val="15"/>
                            <w:szCs w:val="15"/>
                          </w:rPr>
                        </w:pPr>
                        <w:r w:rsidRPr="00F92D49">
                          <w:rPr>
                            <w:sz w:val="15"/>
                            <w:szCs w:val="15"/>
                          </w:rPr>
                          <w:t>6,262,451,599.42</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（一）综合收益总额</w:t>
                    </w:r>
                  </w:p>
                </w:tc>
                <w:sdt>
                  <w:sdtPr>
                    <w:rPr>
                      <w:sz w:val="15"/>
                      <w:szCs w:val="15"/>
                    </w:rPr>
                    <w:alias w:val="综合收益总额导致股本变动金额"/>
                    <w:tag w:val="_GBC_481cb388917b4373826bcfe7accb489d"/>
                    <w:id w:val="24721955"/>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综合收益总额导致优先股变动金额"/>
                    <w:tag w:val="_GBC_827f72604665404c89124cec65c384ea"/>
                    <w:id w:val="2472195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综合收益总额导致永续债变动金额"/>
                    <w:tag w:val="_GBC_f22e5b8b0f3749309845723c55e2ceae"/>
                    <w:id w:val="24721957"/>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综合收益总额导致其他权益工具中的其他变动金额"/>
                    <w:tag w:val="_GBC_8fd40b3b2d994910ace8b5fb50d91ac5"/>
                    <w:id w:val="2472195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综合收益总额导致资本公积变动金额"/>
                    <w:tag w:val="_GBC_43b3330670414658b9663d5bc3483afe"/>
                    <w:id w:val="24721959"/>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综合收益总额导致库存股变动金额"/>
                    <w:tag w:val="_GBC_958849866dcf4040b0b04eedb553c198"/>
                    <w:id w:val="24721960"/>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综合收益总额导致其他综合收益变动金额"/>
                    <w:tag w:val="_GBC_35e9930a331d4c23931e611a28af4bb1"/>
                    <w:id w:val="24721961"/>
                    <w:lock w:val="sdtLocked"/>
                  </w:sdtPr>
                  <w:sdtContent>
                    <w:tc>
                      <w:tcPr>
                        <w:tcW w:w="1276" w:type="dxa"/>
                      </w:tcPr>
                      <w:p w:rsidR="00DE031E" w:rsidRPr="00F92D49" w:rsidRDefault="001C1A59" w:rsidP="00DE031E">
                        <w:pPr>
                          <w:jc w:val="right"/>
                          <w:rPr>
                            <w:sz w:val="15"/>
                            <w:szCs w:val="15"/>
                          </w:rPr>
                        </w:pPr>
                        <w:r w:rsidRPr="00F92D49">
                          <w:rPr>
                            <w:sz w:val="15"/>
                            <w:szCs w:val="15"/>
                          </w:rPr>
                          <w:t>458,364,206.02</w:t>
                        </w:r>
                      </w:p>
                    </w:tc>
                  </w:sdtContent>
                </w:sdt>
                <w:sdt>
                  <w:sdtPr>
                    <w:rPr>
                      <w:sz w:val="15"/>
                      <w:szCs w:val="15"/>
                    </w:rPr>
                    <w:alias w:val="综合收益总额导致专项储备变动金额"/>
                    <w:tag w:val="_GBC_6aab059aab234dfd9c1bf709de29c92c"/>
                    <w:id w:val="2472196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综合收益总额导致盈余公积变动金额"/>
                    <w:tag w:val="_GBC_d2dce871c7d94ad08a557ac2aeb15645"/>
                    <w:id w:val="24721963"/>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综合收益总额导致一般风险准备变动金额"/>
                    <w:tag w:val="_GBC_89eed531bee6461d9549c1f49db566ad"/>
                    <w:id w:val="24721964"/>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综合收益总额导致未分配利润变动金额"/>
                    <w:tag w:val="_GBC_6b6eb0c9c96f4688b2a9409dcc0c763f"/>
                    <w:id w:val="24721965"/>
                    <w:lock w:val="sdtLocked"/>
                  </w:sdtPr>
                  <w:sdtContent>
                    <w:tc>
                      <w:tcPr>
                        <w:tcW w:w="1559" w:type="dxa"/>
                      </w:tcPr>
                      <w:p w:rsidR="00DE031E" w:rsidRPr="00F92D49" w:rsidRDefault="001C1A59" w:rsidP="00DE031E">
                        <w:pPr>
                          <w:jc w:val="right"/>
                          <w:rPr>
                            <w:sz w:val="15"/>
                            <w:szCs w:val="15"/>
                          </w:rPr>
                        </w:pPr>
                        <w:r w:rsidRPr="00F92D49">
                          <w:rPr>
                            <w:sz w:val="15"/>
                            <w:szCs w:val="15"/>
                          </w:rPr>
                          <w:t>7,314,665,463.76</w:t>
                        </w:r>
                      </w:p>
                    </w:tc>
                  </w:sdtContent>
                </w:sdt>
                <w:sdt>
                  <w:sdtPr>
                    <w:rPr>
                      <w:sz w:val="15"/>
                      <w:szCs w:val="15"/>
                    </w:rPr>
                    <w:alias w:val="综合收益总额导致少数股东权益变动金额"/>
                    <w:tag w:val="_GBC_cdaf9091ceeb4f0c87ed6d10b981b442"/>
                    <w:id w:val="24721966"/>
                    <w:lock w:val="sdtLocked"/>
                  </w:sdtPr>
                  <w:sdtContent>
                    <w:tc>
                      <w:tcPr>
                        <w:tcW w:w="1276" w:type="dxa"/>
                      </w:tcPr>
                      <w:p w:rsidR="00DE031E" w:rsidRPr="00F92D49" w:rsidRDefault="001C1A59" w:rsidP="00DE031E">
                        <w:pPr>
                          <w:jc w:val="right"/>
                          <w:rPr>
                            <w:sz w:val="15"/>
                            <w:szCs w:val="15"/>
                          </w:rPr>
                        </w:pPr>
                        <w:r w:rsidRPr="00F92D49">
                          <w:rPr>
                            <w:sz w:val="15"/>
                            <w:szCs w:val="15"/>
                          </w:rPr>
                          <w:t>20,462,844.83</w:t>
                        </w:r>
                      </w:p>
                    </w:tc>
                  </w:sdtContent>
                </w:sdt>
                <w:sdt>
                  <w:sdtPr>
                    <w:rPr>
                      <w:sz w:val="15"/>
                      <w:szCs w:val="15"/>
                    </w:rPr>
                    <w:alias w:val="综合收益总额导致股东权益合计变动金额"/>
                    <w:tag w:val="_GBC_bae442d5344247e6ad5412c50613a80a"/>
                    <w:id w:val="24721967"/>
                    <w:lock w:val="sdtLocked"/>
                  </w:sdtPr>
                  <w:sdtContent>
                    <w:tc>
                      <w:tcPr>
                        <w:tcW w:w="1559" w:type="dxa"/>
                      </w:tcPr>
                      <w:p w:rsidR="00DE031E" w:rsidRPr="00F92D49" w:rsidRDefault="001C1A59" w:rsidP="00DE031E">
                        <w:pPr>
                          <w:jc w:val="right"/>
                          <w:rPr>
                            <w:sz w:val="15"/>
                            <w:szCs w:val="15"/>
                          </w:rPr>
                        </w:pPr>
                        <w:r w:rsidRPr="00F92D49">
                          <w:rPr>
                            <w:sz w:val="15"/>
                            <w:szCs w:val="15"/>
                          </w:rPr>
                          <w:t>7,793,492,514.61</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w:t>
                    </w:r>
                    <w:r w:rsidRPr="00F92D49">
                      <w:rPr>
                        <w:rFonts w:hint="eastAsia"/>
                        <w:sz w:val="15"/>
                        <w:szCs w:val="15"/>
                      </w:rPr>
                      <w:t>二</w:t>
                    </w:r>
                    <w:r w:rsidRPr="00F92D49">
                      <w:rPr>
                        <w:sz w:val="15"/>
                        <w:szCs w:val="15"/>
                      </w:rPr>
                      <w:t>）所有者投入和减少资本</w:t>
                    </w:r>
                  </w:p>
                </w:tc>
                <w:sdt>
                  <w:sdtPr>
                    <w:rPr>
                      <w:sz w:val="15"/>
                      <w:szCs w:val="15"/>
                    </w:rPr>
                    <w:alias w:val="所有者投入和减少资本导致实收资本（或股本）净额变动金额"/>
                    <w:tag w:val="_GBC_2136b75d8d3943e0856036061a6bd009"/>
                    <w:id w:val="24721968"/>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所有者投入和减少资本导致其他权益工具中的优先股变动金额"/>
                    <w:tag w:val="_GBC_bb8ec3f268bb43929fdaa6e0233518d7"/>
                    <w:id w:val="2472196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所有者投入和减少资本导致其他权益工具中的永续债变动金额"/>
                    <w:tag w:val="_GBC_ca866c1fadc84ff482b567211c9594a2"/>
                    <w:id w:val="24721970"/>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所有者投入和减少资本导致其他权益工具中的其他变动金额"/>
                    <w:tag w:val="_GBC_39d4c8621dd8412c8034cdd219ffe7b2"/>
                    <w:id w:val="2472197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所有者投入和减少资本导致资本公积变动金额"/>
                    <w:tag w:val="_GBC_5e4e6b8dafd248e1b30211ef8d3b68f1"/>
                    <w:id w:val="24721972"/>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所有者投入和减少资本导致库存股变动金额"/>
                    <w:tag w:val="_GBC_1031ef8f517d4b449d2297057466cae1"/>
                    <w:id w:val="24721973"/>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所有者投入和减少资本导致其他综合收益变动金额"/>
                    <w:tag w:val="_GBC_6bb85df0c51f4e0db8ce23ccdbedf326"/>
                    <w:id w:val="24721974"/>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所有者投入和减少资本导致专项储备变动金额"/>
                    <w:tag w:val="_GBC_dd606d273be344a6a57137cc3c480b78"/>
                    <w:id w:val="2472197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所有者投入和减少资本导致盈余公积变动金额"/>
                    <w:tag w:val="_GBC_274fd5be469e477fabae0c95441ba7e3"/>
                    <w:id w:val="24721976"/>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所有者投入和减少资本导致一般风险准备变动金额"/>
                    <w:tag w:val="_GBC_e3b3d5fbd75d4087990da16f37821985"/>
                    <w:id w:val="24721977"/>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所有者投入和减少资本导致未分配利润变动金额"/>
                    <w:tag w:val="_GBC_cecb41d145f444fdbeb9aab36181261b"/>
                    <w:id w:val="24721978"/>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所有者投入和减少资本导致少数股东权益变动金额"/>
                    <w:tag w:val="_GBC_d9aec9a52ba94b1b82b8661e4d2bb772"/>
                    <w:id w:val="24721979"/>
                    <w:lock w:val="sdtLocked"/>
                  </w:sdtPr>
                  <w:sdtContent>
                    <w:tc>
                      <w:tcPr>
                        <w:tcW w:w="1276" w:type="dxa"/>
                      </w:tcPr>
                      <w:p w:rsidR="00DE031E" w:rsidRPr="00F92D49" w:rsidRDefault="001C1A59" w:rsidP="00DE031E">
                        <w:pPr>
                          <w:jc w:val="right"/>
                          <w:rPr>
                            <w:sz w:val="15"/>
                            <w:szCs w:val="15"/>
                          </w:rPr>
                        </w:pPr>
                        <w:r w:rsidRPr="00F92D49">
                          <w:rPr>
                            <w:sz w:val="15"/>
                            <w:szCs w:val="15"/>
                          </w:rPr>
                          <w:t>8,115,000.00</w:t>
                        </w:r>
                      </w:p>
                    </w:tc>
                  </w:sdtContent>
                </w:sdt>
                <w:sdt>
                  <w:sdtPr>
                    <w:rPr>
                      <w:sz w:val="15"/>
                      <w:szCs w:val="15"/>
                    </w:rPr>
                    <w:alias w:val="所有者投入和减少资本导致股东权益合计变动金额"/>
                    <w:tag w:val="_GBC_74d390902bbf4c65bb687b07102fde1c"/>
                    <w:id w:val="24721980"/>
                    <w:lock w:val="sdtLocked"/>
                  </w:sdtPr>
                  <w:sdtContent>
                    <w:tc>
                      <w:tcPr>
                        <w:tcW w:w="1559" w:type="dxa"/>
                      </w:tcPr>
                      <w:p w:rsidR="00DE031E" w:rsidRPr="00F92D49" w:rsidRDefault="001C1A59" w:rsidP="00DE031E">
                        <w:pPr>
                          <w:jc w:val="right"/>
                          <w:rPr>
                            <w:sz w:val="15"/>
                            <w:szCs w:val="15"/>
                          </w:rPr>
                        </w:pPr>
                        <w:r w:rsidRPr="00F92D49">
                          <w:rPr>
                            <w:sz w:val="15"/>
                            <w:szCs w:val="15"/>
                          </w:rPr>
                          <w:t>8,115,000.00</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1．股东投入的普通股</w:t>
                    </w:r>
                  </w:p>
                </w:tc>
                <w:sdt>
                  <w:sdtPr>
                    <w:rPr>
                      <w:sz w:val="15"/>
                      <w:szCs w:val="15"/>
                    </w:rPr>
                    <w:alias w:val="股东投入的普通股导致股本变动金额"/>
                    <w:tag w:val="_GBC_30cd21c74eca42c1af2d9d3f95c9e3fb"/>
                    <w:id w:val="24721981"/>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股东投入的普通股导致优先股变动金额"/>
                    <w:tag w:val="_GBC_90833fc8acb748fd96d96e1561386358"/>
                    <w:id w:val="2472198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股东投入的普通股导致永续债变动金额"/>
                    <w:tag w:val="_GBC_3d08b667e6624a54a6a6f5f70d2e774f"/>
                    <w:id w:val="24721983"/>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股东投入的普通股导致其他权益工具中的其他变动金额"/>
                    <w:tag w:val="_GBC_d329a616b9084378865df82da1be6b5f"/>
                    <w:id w:val="2472198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股东投入的普通股导致资本公积变动金额"/>
                    <w:tag w:val="_GBC_b81d036065894df193ea6c80d83b13bf"/>
                    <w:id w:val="24721985"/>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股东投入的普通股导致库存股变动金额"/>
                    <w:tag w:val="_GBC_efe94ce0078742f9bd9e000e21d3df1a"/>
                    <w:id w:val="24721986"/>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股东投入的普通股导致其他综合收益变动金额"/>
                    <w:tag w:val="_GBC_4e3f258d0fb1431ab66926e2cb296578"/>
                    <w:id w:val="24721987"/>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股东投入的普通股导致专项储备变动金额"/>
                    <w:tag w:val="_GBC_d405ffda14474e9bbd99c544528ae748"/>
                    <w:id w:val="2472198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股东投入的普通股导致盈余公积变动金额"/>
                    <w:tag w:val="_GBC_fd748f2915b6467788deba55d63731cb"/>
                    <w:id w:val="24721989"/>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股东投入的普通股导致一般风险准备变动金额"/>
                    <w:tag w:val="_GBC_3e345b4bf985449c9562480813710581"/>
                    <w:id w:val="24721990"/>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股东投入的普通股导致未分配利润变动金额"/>
                    <w:tag w:val="_GBC_983a47a88da84642ac3cdd81d7e423f7"/>
                    <w:id w:val="24721991"/>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股东投入的普通股导致少数股东权益变动金额"/>
                    <w:tag w:val="_GBC_2c40e67446574324bf88cad9fc7d9802"/>
                    <w:id w:val="24721992"/>
                    <w:lock w:val="sdtLocked"/>
                  </w:sdtPr>
                  <w:sdtContent>
                    <w:tc>
                      <w:tcPr>
                        <w:tcW w:w="1276" w:type="dxa"/>
                      </w:tcPr>
                      <w:p w:rsidR="00DE031E" w:rsidRPr="00F92D49" w:rsidRDefault="001C1A59" w:rsidP="00DE031E">
                        <w:pPr>
                          <w:jc w:val="right"/>
                          <w:rPr>
                            <w:sz w:val="15"/>
                            <w:szCs w:val="15"/>
                          </w:rPr>
                        </w:pPr>
                        <w:r w:rsidRPr="00F92D49">
                          <w:rPr>
                            <w:sz w:val="15"/>
                            <w:szCs w:val="15"/>
                          </w:rPr>
                          <w:t>8,115,000.00</w:t>
                        </w:r>
                      </w:p>
                    </w:tc>
                  </w:sdtContent>
                </w:sdt>
                <w:sdt>
                  <w:sdtPr>
                    <w:rPr>
                      <w:sz w:val="15"/>
                      <w:szCs w:val="15"/>
                    </w:rPr>
                    <w:alias w:val="股东投入的普通股导致股东权益合计变动金额"/>
                    <w:tag w:val="_GBC_659709f19ec94ee3a215bcc5e634c5d9"/>
                    <w:id w:val="24721993"/>
                    <w:lock w:val="sdtLocked"/>
                  </w:sdtPr>
                  <w:sdtContent>
                    <w:tc>
                      <w:tcPr>
                        <w:tcW w:w="1559" w:type="dxa"/>
                      </w:tcPr>
                      <w:p w:rsidR="00DE031E" w:rsidRPr="00F92D49" w:rsidRDefault="001C1A59" w:rsidP="00DE031E">
                        <w:pPr>
                          <w:jc w:val="right"/>
                          <w:rPr>
                            <w:sz w:val="15"/>
                            <w:szCs w:val="15"/>
                          </w:rPr>
                        </w:pPr>
                        <w:r w:rsidRPr="00F92D49">
                          <w:rPr>
                            <w:sz w:val="15"/>
                            <w:szCs w:val="15"/>
                          </w:rPr>
                          <w:t>8,115,000.00</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2．其他权益工具持有者投入资本</w:t>
                    </w:r>
                  </w:p>
                </w:tc>
                <w:sdt>
                  <w:sdtPr>
                    <w:rPr>
                      <w:sz w:val="15"/>
                      <w:szCs w:val="15"/>
                    </w:rPr>
                    <w:alias w:val="其他权益工具持有者投入资本导致股本变动金额"/>
                    <w:tag w:val="_GBC_6a2eee5d5a9a450b866e9b6c58510368"/>
                    <w:id w:val="24721994"/>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权益工具持有者投入资本导致优先股变动金额"/>
                    <w:tag w:val="_GBC_7c17be055fa444c0abc1128bd29c4317"/>
                    <w:id w:val="2472199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权益工具持有者投入资本导致永续债变动金额"/>
                    <w:tag w:val="_GBC_0e3623f53e964d63b789de22ad66658a"/>
                    <w:id w:val="24721996"/>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权益工具持有者投入资本导致其他权益工具中的其他变动金额"/>
                    <w:tag w:val="_GBC_fd14f98700bc4b8cae7ebec7ccc7b199"/>
                    <w:id w:val="2472199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权益工具持有者投入资本导致资本公积变动金额"/>
                    <w:tag w:val="_GBC_4c189238d5a14bb790ad262c8687d6b1"/>
                    <w:id w:val="24721998"/>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权益工具持有者投入资本导致库存股变动金额"/>
                    <w:tag w:val="_GBC_ace9e97bcfba4f629274e603bee99895"/>
                    <w:id w:val="24721999"/>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权益工具持有者投入资本导致其他综合收益变动金额"/>
                    <w:tag w:val="_GBC_c0b4f11f76cc4f7584a70105df2bd0ee"/>
                    <w:id w:val="24722000"/>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权益工具持有者投入资本导致专项储备变动金额"/>
                    <w:tag w:val="_GBC_df4b592348184af0b7157539d8940436"/>
                    <w:id w:val="2472200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权益工具持有者投入资本导致盈余公积变动金额"/>
                    <w:tag w:val="_GBC_62b26ae9426c41ffbb929f22bb4d7d9a"/>
                    <w:id w:val="24722002"/>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权益工具持有者投入资本导致一般风险准备变动金额"/>
                    <w:tag w:val="_GBC_c936ba022f614a219c5f1febebbebb7b"/>
                    <w:id w:val="24722003"/>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其他权益工具持有者投入资本导致未分配利润变动金额"/>
                    <w:tag w:val="_GBC_b59c733092954582b6fa1ea88a37a325"/>
                    <w:id w:val="24722004"/>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权益工具持有者投入资本导致少数股东权益变动金额"/>
                    <w:tag w:val="_GBC_d6596c77313449628c519dafccb2593f"/>
                    <w:id w:val="24722005"/>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权益工具持有者投入资本导致股东权益合计变动金额"/>
                    <w:tag w:val="_GBC_8f1ddac7d0c244b683483b1985ebd89c"/>
                    <w:id w:val="24722006"/>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3</w:t>
                    </w:r>
                    <w:r w:rsidRPr="00F92D49">
                      <w:rPr>
                        <w:sz w:val="15"/>
                        <w:szCs w:val="15"/>
                      </w:rPr>
                      <w:t>．股份支付计入所有者权益的金额</w:t>
                    </w:r>
                  </w:p>
                </w:tc>
                <w:sdt>
                  <w:sdtPr>
                    <w:rPr>
                      <w:sz w:val="15"/>
                      <w:szCs w:val="15"/>
                    </w:rPr>
                    <w:alias w:val="股份支付计入所有者权益的金额导致实收资本（或股本）净额变动金额"/>
                    <w:tag w:val="_GBC_3791332551bd454b96448cf994e51457"/>
                    <w:id w:val="24722007"/>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股份支付计入所有者权益的金额导致其他权益工具中的优先股变动金额"/>
                    <w:tag w:val="_GBC_a2c47fb408954009a39c5507049f1206"/>
                    <w:id w:val="2472200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股份支付计入所有者权益的金额导致其他权益工具中的永续债变动金额"/>
                    <w:tag w:val="_GBC_21d745acfbef4f388ba66d6434919a0b"/>
                    <w:id w:val="24722009"/>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股份支付计入所有者权益的金额导致其他权益工具中的其他变动金额"/>
                    <w:tag w:val="_GBC_f57f1522382548d9b1b978e472a26a3a"/>
                    <w:id w:val="2472201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股份支付计入所有者权益的金额导致资本公积变动金额"/>
                    <w:tag w:val="_GBC_0ba9f6a2a12947a79fcc6ae5dc683115"/>
                    <w:id w:val="24722011"/>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股份支付计入所有者权益的金额导致库存股变动金额"/>
                    <w:tag w:val="_GBC_de63e365b51041e99fd2a1e96d1ac448"/>
                    <w:id w:val="24722012"/>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股份支付计入所有者权益的金额导致其他综合收益变动金额"/>
                    <w:tag w:val="_GBC_292015fe1f444e0fbf7bc0c7b90748a9"/>
                    <w:id w:val="24722013"/>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股份支付计入所有者权益的金额导致专项储备变动金额"/>
                    <w:tag w:val="_GBC_e8faccb4253f400fa57479fa7eaf8991"/>
                    <w:id w:val="2472201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股份支付计入所有者权益的金额导致盈余公积变动金额"/>
                    <w:tag w:val="_GBC_85e0a39d632b4c9895faf9e279b37485"/>
                    <w:id w:val="24722015"/>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股份支付计入所有者权益的金额导致一般风险准备变动金额"/>
                    <w:tag w:val="_GBC_ecee5f37d1b0402ea471037bfab95d47"/>
                    <w:id w:val="24722016"/>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股份支付计入所有者权益的金额导致未分配利润变动金额"/>
                    <w:tag w:val="_GBC_ca76ac794d11448fbbdac6a6fc56bf30"/>
                    <w:id w:val="24722017"/>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股份支付计入所有者权益的金额导致少数股东权益变动金额"/>
                    <w:tag w:val="_GBC_6d2fb01705584b38a5cd7338f6d7010b"/>
                    <w:id w:val="24722018"/>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股份支付计入所有者权益的金额导致股东权益合计变动金额"/>
                    <w:tag w:val="_GBC_1dd0e6ec44044f609705f8013ea23916"/>
                    <w:id w:val="24722019"/>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4</w:t>
                    </w:r>
                    <w:r w:rsidRPr="00F92D49">
                      <w:rPr>
                        <w:sz w:val="15"/>
                        <w:szCs w:val="15"/>
                      </w:rPr>
                      <w:t>．其他</w:t>
                    </w:r>
                  </w:p>
                </w:tc>
                <w:sdt>
                  <w:sdtPr>
                    <w:rPr>
                      <w:sz w:val="15"/>
                      <w:szCs w:val="15"/>
                    </w:rPr>
                    <w:alias w:val="其他所有者投入和减少资本导致实收资本（或股本）净额变动金额"/>
                    <w:tag w:val="_GBC_c527c71c4fa643c0a7b04719e5a230ef"/>
                    <w:id w:val="24722020"/>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所有者投入和减少资本导致其他权益工具中的优先股变动金额"/>
                    <w:tag w:val="_GBC_2e7c7783c06245f3851d819fede87110"/>
                    <w:id w:val="2472202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所有者投入和减少资本导致其他权益工具中的永续债变动金额"/>
                    <w:tag w:val="_GBC_62fd9a78c7da4f38b77a2a3b851e7358"/>
                    <w:id w:val="24722022"/>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所有者投入和减少资本导致其他权益工具中的其他变动金额"/>
                    <w:tag w:val="_GBC_e99256ce2e9d4b71990075d307cefa44"/>
                    <w:id w:val="2472202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所有者投入和减少资本导致资本公积变动金额"/>
                    <w:tag w:val="_GBC_b9624e4fc85749f68f689c5b08246f55"/>
                    <w:id w:val="24722024"/>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所有者投入和减少资本导致库存股变动金额"/>
                    <w:tag w:val="_GBC_46cee3d9284a4561ab54cd563be64ce7"/>
                    <w:id w:val="24722025"/>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所有者投入和减少资本导致其他综合收益变动金额"/>
                    <w:tag w:val="_GBC_561d88b29dba420dbb0270db86e597ce"/>
                    <w:id w:val="24722026"/>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所有者投入和减少资本导致专项储备变动金额"/>
                    <w:tag w:val="_GBC_3e92406b9198435ea8fff9629700ace1"/>
                    <w:id w:val="2472202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所有者投入和减少资本导致盈余公积变动金额"/>
                    <w:tag w:val="_GBC_97999a28af804707896032c98c71f9ac"/>
                    <w:id w:val="24722028"/>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所有者投入和减少资本导致一般风险准备变动金额"/>
                    <w:tag w:val="_GBC_409c5554df514bc2b863bad127ec481b"/>
                    <w:id w:val="24722029"/>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其他所有者投入和减少资本导致未分配利润变动金额"/>
                    <w:tag w:val="_GBC_2cf5415c5054489b94e4c2d3c1422096"/>
                    <w:id w:val="24722030"/>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所有者投入和减少资本导致少数股东权益变动金额"/>
                    <w:tag w:val="_GBC_cf602e8674d146e587d83e4b56d48aa1"/>
                    <w:id w:val="24722031"/>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所有者投入和减少资本导致股东权益合计变动金额"/>
                    <w:tag w:val="_GBC_28ff968fe8d6459cbac21ca64c9581cc"/>
                    <w:id w:val="24722032"/>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w:t>
                    </w:r>
                    <w:r w:rsidRPr="00F92D49">
                      <w:rPr>
                        <w:rFonts w:hint="eastAsia"/>
                        <w:sz w:val="15"/>
                        <w:szCs w:val="15"/>
                      </w:rPr>
                      <w:t>三</w:t>
                    </w:r>
                    <w:r w:rsidRPr="00F92D49">
                      <w:rPr>
                        <w:sz w:val="15"/>
                        <w:szCs w:val="15"/>
                      </w:rPr>
                      <w:t>）利润分配</w:t>
                    </w:r>
                  </w:p>
                </w:tc>
                <w:sdt>
                  <w:sdtPr>
                    <w:rPr>
                      <w:sz w:val="15"/>
                      <w:szCs w:val="15"/>
                    </w:rPr>
                    <w:alias w:val="利润分配导致实收资本（或股本）净额变动金额"/>
                    <w:tag w:val="_GBC_2851cc52a624492097bc439bcb274218"/>
                    <w:id w:val="24722033"/>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利润分配导致其他权益工具中的优先股变动金额"/>
                    <w:tag w:val="_GBC_ec61dbaac98c4e1c95bb001221e37c66"/>
                    <w:id w:val="2472203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利润分配导致其他权益工具中的永续债变动金额"/>
                    <w:tag w:val="_GBC_b269be15818b4ac294e4df7cf9907492"/>
                    <w:id w:val="24722035"/>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利润分配导致其他权益工具中的其他变动金额"/>
                    <w:tag w:val="_GBC_8fffa4535bd243b5b308f3b916e4407e"/>
                    <w:id w:val="2472203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利润分配导致资本公积变动金额"/>
                    <w:tag w:val="_GBC_1284bdeb0c954c439b359d911823e78a"/>
                    <w:id w:val="24722037"/>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利润分配导致库存股变动金额"/>
                    <w:tag w:val="_GBC_7afb33dfb77f4dc3b254ad9ecef2522c"/>
                    <w:id w:val="24722038"/>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利润分配导致其他综合收益变动金额"/>
                    <w:tag w:val="_GBC_576b308b61db40318d2e74fac8502721"/>
                    <w:id w:val="24722039"/>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利润分配导致专项储备变动金额"/>
                    <w:tag w:val="_GBC_91e943552d8e40c58d5fbddd7de01f97"/>
                    <w:id w:val="2472204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利润分配导致盈余公积变动金额"/>
                    <w:tag w:val="_GBC_836d9e9571b24603948597980ffa90cc"/>
                    <w:id w:val="24722041"/>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利润分配导致一般风险准备变动金额"/>
                    <w:tag w:val="_GBC_2d3fd314934c4ebbb489e203dc126f06"/>
                    <w:id w:val="24722042"/>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利润分配导致未分配利润变动金额"/>
                    <w:tag w:val="_GBC_260b37b1de814c418cb525bf6f7d0120"/>
                    <w:id w:val="24722043"/>
                    <w:lock w:val="sdtLocked"/>
                  </w:sdtPr>
                  <w:sdtContent>
                    <w:tc>
                      <w:tcPr>
                        <w:tcW w:w="1559" w:type="dxa"/>
                      </w:tcPr>
                      <w:p w:rsidR="00DE031E" w:rsidRPr="00F92D49" w:rsidRDefault="001C1A59" w:rsidP="00DE031E">
                        <w:pPr>
                          <w:jc w:val="right"/>
                          <w:rPr>
                            <w:sz w:val="15"/>
                            <w:szCs w:val="15"/>
                          </w:rPr>
                        </w:pPr>
                        <w:r w:rsidRPr="00F92D49">
                          <w:rPr>
                            <w:sz w:val="15"/>
                            <w:szCs w:val="15"/>
                          </w:rPr>
                          <w:t>-1,539,155,915.19</w:t>
                        </w:r>
                      </w:p>
                    </w:tc>
                  </w:sdtContent>
                </w:sdt>
                <w:sdt>
                  <w:sdtPr>
                    <w:rPr>
                      <w:sz w:val="15"/>
                      <w:szCs w:val="15"/>
                    </w:rPr>
                    <w:alias w:val="利润分配导致少数股东权益变动金额"/>
                    <w:tag w:val="_GBC_e182c560bc1d4f318894d856a345307b"/>
                    <w:id w:val="24722044"/>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利润分配导致股东权益合计变动金额"/>
                    <w:tag w:val="_GBC_36fa9a3a4cfc45168eb5d272aa7a4f76"/>
                    <w:id w:val="24722045"/>
                    <w:lock w:val="sdtLocked"/>
                  </w:sdtPr>
                  <w:sdtContent>
                    <w:tc>
                      <w:tcPr>
                        <w:tcW w:w="1559" w:type="dxa"/>
                      </w:tcPr>
                      <w:p w:rsidR="00DE031E" w:rsidRPr="00F92D49" w:rsidRDefault="001C1A59" w:rsidP="00DE031E">
                        <w:pPr>
                          <w:jc w:val="right"/>
                          <w:rPr>
                            <w:sz w:val="15"/>
                            <w:szCs w:val="15"/>
                          </w:rPr>
                        </w:pPr>
                        <w:r w:rsidRPr="00F92D49">
                          <w:rPr>
                            <w:sz w:val="15"/>
                            <w:szCs w:val="15"/>
                          </w:rPr>
                          <w:t>-1,539,155,915.19</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1．提取盈余公积</w:t>
                    </w:r>
                  </w:p>
                </w:tc>
                <w:sdt>
                  <w:sdtPr>
                    <w:rPr>
                      <w:sz w:val="15"/>
                      <w:szCs w:val="15"/>
                    </w:rPr>
                    <w:alias w:val="提取盈余公积导致实收资本（或股本）净额变动金额"/>
                    <w:tag w:val="_GBC_57623c506e0c40a1ade91cb8a5aaf398"/>
                    <w:id w:val="24722046"/>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提取盈余公积导致其他权益工具中的优先股变动金额"/>
                    <w:tag w:val="_GBC_cfdaf47719fa479aa0d9e98a4ffd8545"/>
                    <w:id w:val="2472204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盈余公积导致其他权益工具中的永续债变动金额"/>
                    <w:tag w:val="_GBC_1c63051053774100b5869c81404834cc"/>
                    <w:id w:val="24722048"/>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提取盈余公积导致其他权益工具中的其他变动金额"/>
                    <w:tag w:val="_GBC_26499bfc54c84d5b99f89ca106a9611a"/>
                    <w:id w:val="2472204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盈余公积导致资本公积变动金额"/>
                    <w:tag w:val="_GBC_46c60ff0d56e4c4d9bc307a194f88f46"/>
                    <w:id w:val="24722050"/>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提取盈余公积导致库存股变动金额"/>
                    <w:tag w:val="_GBC_ab7a98cb4ff74e27bb4c6c8754db9b11"/>
                    <w:id w:val="24722051"/>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提取盈余公积导致其他综合收益变动金额"/>
                    <w:tag w:val="_GBC_3553220a26424793952ffb0b2e78f267"/>
                    <w:id w:val="24722052"/>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提取盈余公积导致专项储备变动金额"/>
                    <w:tag w:val="_GBC_18a7e25b01fa4877b9bda043b8fe0411"/>
                    <w:id w:val="2472205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盈余公积导致盈余公积变动金额"/>
                    <w:tag w:val="_GBC_51cede8901aa44609433032238183b1d"/>
                    <w:id w:val="24722054"/>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提取盈余公积导致一般风险准备变动金额"/>
                    <w:tag w:val="_GBC_a9a0056e895747c387552a3d3371eb9e"/>
                    <w:id w:val="24722055"/>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提取盈余公积导致未分配利润变动金额"/>
                    <w:tag w:val="_GBC_49a38d91e67c40c08946c986dfcbee84"/>
                    <w:id w:val="24722056"/>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提取盈余公积导致少数股东权益变动金额"/>
                    <w:tag w:val="_GBC_92d8af388835446784814e7b2ca35b0c"/>
                    <w:id w:val="24722057"/>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提取盈余公积导致股东权益合计变动金额"/>
                    <w:tag w:val="_GBC_20142f4d252246ebb755e9d3bdb0a534"/>
                    <w:id w:val="24722058"/>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2．提取一般风险准备</w:t>
                    </w:r>
                  </w:p>
                </w:tc>
                <w:sdt>
                  <w:sdtPr>
                    <w:rPr>
                      <w:sz w:val="15"/>
                      <w:szCs w:val="15"/>
                    </w:rPr>
                    <w:alias w:val="提取一般风险准备导致实收资本（或股本）净额变动金额"/>
                    <w:tag w:val="_GBC_6ed9670ec7f24b018f96e99a8efe441d"/>
                    <w:id w:val="24722059"/>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提取一般风险准备导致其他权益工具中的优先股变动金额"/>
                    <w:tag w:val="_GBC_6c1af28bcb094ffdb40d9303bd42967e"/>
                    <w:id w:val="2472206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一般风险准备导致其他权益工具中的永续债变动金额"/>
                    <w:tag w:val="_GBC_3047530481d7476d9dfc5e4cd50785e5"/>
                    <w:id w:val="24722061"/>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提取一般风险准备导致其他权益工具中的其他变动金额"/>
                    <w:tag w:val="_GBC_7a33d738f07448e78d284f6b6c5566b9"/>
                    <w:id w:val="2472206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一般风险准备导致资本公积变动金额"/>
                    <w:tag w:val="_GBC_cbd71f74fa0f41ddb258524eda3797ef"/>
                    <w:id w:val="24722063"/>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提取一般风险准备导致库存股变动金额"/>
                    <w:tag w:val="_GBC_3aa9194a9f1b43cea4d7b27f656f2f4c"/>
                    <w:id w:val="24722064"/>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提取一般风险准备导致其他综合收益变动金额"/>
                    <w:tag w:val="_GBC_58abcc0ee0814915ae5c918f603e01d7"/>
                    <w:id w:val="24722065"/>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提取一般风险准备导致专项储备变动金额"/>
                    <w:tag w:val="_GBC_5b70a39a371e47c2a746f67c5a61bc20"/>
                    <w:id w:val="2472206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一般风险准备导致盈余公积变动金额"/>
                    <w:tag w:val="_GBC_f1b9f272e17e4ae09eef9c93d5eb5fec"/>
                    <w:id w:val="24722067"/>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提取一般风险准备导致一般风险准备变动金额"/>
                    <w:tag w:val="_GBC_67f319d35ec3497eaa3d118006f39907"/>
                    <w:id w:val="24722068"/>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提取一般风险准备导致未分配利润变动金额"/>
                    <w:tag w:val="_GBC_70b15506f0ae408580f3e755ace9cb3c"/>
                    <w:id w:val="24722069"/>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提取一般风险准备导致少数股东权益变动金额"/>
                    <w:tag w:val="_GBC_46d6349f57724be6bda517b3809edc9e"/>
                    <w:id w:val="24722070"/>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提取一般风险准备导致股东权益合计变动金额"/>
                    <w:tag w:val="_GBC_4bae56fcf1684c709f90b1fcbdf971e4"/>
                    <w:id w:val="24722071"/>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3．对所有者（或股东）的分配</w:t>
                    </w:r>
                  </w:p>
                </w:tc>
                <w:sdt>
                  <w:sdtPr>
                    <w:rPr>
                      <w:sz w:val="15"/>
                      <w:szCs w:val="15"/>
                    </w:rPr>
                    <w:alias w:val="对所有者（或股东）的分配导致实收资本（或股本）净额变动金额"/>
                    <w:tag w:val="_GBC_be8730efe10947c2ad2f6fdba67fb0a9"/>
                    <w:id w:val="24722072"/>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对所有者（或股东）的分配导致其他权益工具中的优先股变动金额"/>
                    <w:tag w:val="_GBC_36cac875e4c74a81a12f3c7de69e243f"/>
                    <w:id w:val="2472207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对所有者（或股东）的分配导致其他权益工具中的永续债变动金额"/>
                    <w:tag w:val="_GBC_3b51fad731724398856be5fbeb01afa6"/>
                    <w:id w:val="24722074"/>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对所有者（或股东）的分配导致其他权益工具中的其他变动金额"/>
                    <w:tag w:val="_GBC_d0a14220af9b45a8bd48c88dab298639"/>
                    <w:id w:val="2472207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对所有者（或股东）的分配导致资本公积变动金额"/>
                    <w:tag w:val="_GBC_c45f6bb4dfe64f6ba1750f04f3745cda"/>
                    <w:id w:val="24722076"/>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对所有者（或股东）的分配导致库存股变动金额"/>
                    <w:tag w:val="_GBC_1daf915c61dc4199a4b9dfd9555cb6b4"/>
                    <w:id w:val="24722077"/>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对所有者（或股东）的分配导致其他综合收益变动金额"/>
                    <w:tag w:val="_GBC_220fbdc87b394b9b933f081d2b2532cf"/>
                    <w:id w:val="24722078"/>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对所有者（或股东）的分配导致专项储备变动金额"/>
                    <w:tag w:val="_GBC_0438c1b6d1a04fef8979c7fa1247146e"/>
                    <w:id w:val="2472207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对所有者（或股东）的分配导致盈余公积变动金额"/>
                    <w:tag w:val="_GBC_14d38d32346d4331ad03abee52d262e4"/>
                    <w:id w:val="24722080"/>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对所有者（或股东）的分配导致一般风险准备变动金额"/>
                    <w:tag w:val="_GBC_166468d47a6e4399b7483713f22f8497"/>
                    <w:id w:val="24722081"/>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对所有者（或股东）的分配导致未分配利润变动金额"/>
                    <w:tag w:val="_GBC_ea6452f41ba4424692acb1cbfa7a4e26"/>
                    <w:id w:val="24722082"/>
                    <w:lock w:val="sdtLocked"/>
                  </w:sdtPr>
                  <w:sdtContent>
                    <w:tc>
                      <w:tcPr>
                        <w:tcW w:w="1559" w:type="dxa"/>
                      </w:tcPr>
                      <w:p w:rsidR="00DE031E" w:rsidRPr="00F92D49" w:rsidRDefault="001C1A59" w:rsidP="00DE031E">
                        <w:pPr>
                          <w:jc w:val="right"/>
                          <w:rPr>
                            <w:sz w:val="15"/>
                            <w:szCs w:val="15"/>
                          </w:rPr>
                        </w:pPr>
                        <w:r w:rsidRPr="00F92D49">
                          <w:rPr>
                            <w:sz w:val="15"/>
                            <w:szCs w:val="15"/>
                          </w:rPr>
                          <w:t>-1,539,155,915.19</w:t>
                        </w:r>
                      </w:p>
                    </w:tc>
                  </w:sdtContent>
                </w:sdt>
                <w:sdt>
                  <w:sdtPr>
                    <w:rPr>
                      <w:sz w:val="15"/>
                      <w:szCs w:val="15"/>
                    </w:rPr>
                    <w:alias w:val="对所有者（或股东）的分配导致少数股东权益变动金额"/>
                    <w:tag w:val="_GBC_240b7a509479473690f81f3f6443ebdd"/>
                    <w:id w:val="24722083"/>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对所有者（或股东）的分配导致股东权益合计变动金额"/>
                    <w:tag w:val="_GBC_659dba2ebe3c4225ae45ccf6ce13e772"/>
                    <w:id w:val="24722084"/>
                    <w:lock w:val="sdtLocked"/>
                  </w:sdtPr>
                  <w:sdtContent>
                    <w:tc>
                      <w:tcPr>
                        <w:tcW w:w="1559" w:type="dxa"/>
                      </w:tcPr>
                      <w:p w:rsidR="00DE031E" w:rsidRPr="00F92D49" w:rsidRDefault="001C1A59" w:rsidP="00DE031E">
                        <w:pPr>
                          <w:jc w:val="right"/>
                          <w:rPr>
                            <w:sz w:val="15"/>
                            <w:szCs w:val="15"/>
                          </w:rPr>
                        </w:pPr>
                        <w:r w:rsidRPr="00F92D49">
                          <w:rPr>
                            <w:sz w:val="15"/>
                            <w:szCs w:val="15"/>
                          </w:rPr>
                          <w:t>-1,539,155,915.19</w:t>
                        </w: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4．其他</w:t>
                    </w:r>
                  </w:p>
                </w:tc>
                <w:sdt>
                  <w:sdtPr>
                    <w:rPr>
                      <w:sz w:val="15"/>
                      <w:szCs w:val="15"/>
                    </w:rPr>
                    <w:alias w:val="其他利润分配导致实收资本（或股本）净额变动金额"/>
                    <w:tag w:val="_GBC_f86a41a52bef4646aa886b1b62af9ca2"/>
                    <w:id w:val="24722085"/>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利润分配导致其他权益工具中的优先股变动金额"/>
                    <w:tag w:val="_GBC_1166fb01e6414768a6f074101dc0bde8"/>
                    <w:id w:val="2472208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利润分配导致其他权益工具中的永续债变动金额"/>
                    <w:tag w:val="_GBC_a71ca53261264284bd2730c9d3351c91"/>
                    <w:id w:val="24722087"/>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利润分配导致其他权益工具中的其他变动金额"/>
                    <w:tag w:val="_GBC_43ff5d06e2e24be3a4dbb924cc1c9638"/>
                    <w:id w:val="2472208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利润分配导致资本公积变动金额"/>
                    <w:tag w:val="_GBC_690e297607494ffb9ce752e155137b5f"/>
                    <w:id w:val="24722089"/>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利润分配导致库存股变动金额"/>
                    <w:tag w:val="_GBC_6bf05080dae4474893900bc558cd596f"/>
                    <w:id w:val="24722090"/>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利润分配导致其他综合收益变动金额"/>
                    <w:tag w:val="_GBC_94b605bb99314d23bd031b76ca16d6f6"/>
                    <w:id w:val="24722091"/>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利润分配导致专项储备变动金额"/>
                    <w:tag w:val="_GBC_8f54f8a997d74231bb57ec6046f5480a"/>
                    <w:id w:val="2472209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利润分配导致盈余公积变动金额"/>
                    <w:tag w:val="_GBC_f6d18e06d2e44391a337079928175d45"/>
                    <w:id w:val="24722093"/>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利润分配导致一般风险准备变动金额"/>
                    <w:tag w:val="_GBC_250fb2eb35a14e2e8c69b0bc45913481"/>
                    <w:id w:val="24722094"/>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其他利润分配导致未分配利润变动金额"/>
                    <w:tag w:val="_GBC_ba66ff1daab04302ac5d209bf87dee73"/>
                    <w:id w:val="24722095"/>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利润分配导致少数股东权益变动金额"/>
                    <w:tag w:val="_GBC_258ced943163405da1b41d13dd834438"/>
                    <w:id w:val="24722096"/>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利润分配导致股东权益合计变动金额"/>
                    <w:tag w:val="_GBC_be1b050ed0e74260bcdea7959deb5a6a"/>
                    <w:id w:val="24722097"/>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w:t>
                    </w:r>
                    <w:r w:rsidRPr="00F92D49">
                      <w:rPr>
                        <w:rFonts w:hint="eastAsia"/>
                        <w:sz w:val="15"/>
                        <w:szCs w:val="15"/>
                      </w:rPr>
                      <w:t>四</w:t>
                    </w:r>
                    <w:r w:rsidRPr="00F92D49">
                      <w:rPr>
                        <w:sz w:val="15"/>
                        <w:szCs w:val="15"/>
                      </w:rPr>
                      <w:t>）所有者权益内部结转</w:t>
                    </w:r>
                  </w:p>
                </w:tc>
                <w:sdt>
                  <w:sdtPr>
                    <w:rPr>
                      <w:sz w:val="15"/>
                      <w:szCs w:val="15"/>
                    </w:rPr>
                    <w:alias w:val="所有者权益内部结转导致实收资本（或股本）净额变动金额"/>
                    <w:tag w:val="_GBC_b11c3104a0ea4c569011a66c2df804e4"/>
                    <w:id w:val="24722098"/>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所有者权益内部结转导致其他权益工具中的优先股变动金额"/>
                    <w:tag w:val="_GBC_1b1e018a344d449691d6c4b3e1dbe0bb"/>
                    <w:id w:val="2472209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所有者权益内部结转导致其他权益工具中的永续债变动金额"/>
                    <w:tag w:val="_GBC_c933388c0a2047b1978bfc58666107fb"/>
                    <w:id w:val="24722100"/>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所有者权益内部结转导致其他权益工具中的其他变动金额"/>
                    <w:tag w:val="_GBC_8c40d3028232418fa4545a97e2dbc0b8"/>
                    <w:id w:val="2472210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所有者权益内部结转导致资本公积变动金额"/>
                    <w:tag w:val="_GBC_000ad320848d499b9696328fcdf5b37d"/>
                    <w:id w:val="24722102"/>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所有者权益内部结转导致库存股变动金额"/>
                    <w:tag w:val="_GBC_a65b26b0de6d4df0871bd1781cac3be3"/>
                    <w:id w:val="24722103"/>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所有者权益内部结转导致其他综合收益变动金额"/>
                    <w:tag w:val="_GBC_a0f546f119894730ad39e1a27987eddb"/>
                    <w:id w:val="24722104"/>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所有者权益内部结转导致专项储备变动金额"/>
                    <w:tag w:val="_GBC_ce506c278d524b368ca1822aad5fc7c4"/>
                    <w:id w:val="2472210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所有者权益内部结转导致盈余公积变动金额"/>
                    <w:tag w:val="_GBC_a9612697573e4b9da47df234733d488f"/>
                    <w:id w:val="24722106"/>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所有者权益内部结转导致一般风险准备变动金额"/>
                    <w:tag w:val="_GBC_bb4f8b604b9c454987cae9a7bd551880"/>
                    <w:id w:val="24722107"/>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所有者权益内部结转导致未分配利润变动金额"/>
                    <w:tag w:val="_GBC_333263d5dc0744409902eeed23df6c83"/>
                    <w:id w:val="24722108"/>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所有者权益内部结转导致少数股东权益变动金额"/>
                    <w:tag w:val="_GBC_7a3da204ce3646049b03df923d66cf80"/>
                    <w:id w:val="24722109"/>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所有者权益内部结转导致股东权益合计变动金额"/>
                    <w:tag w:val="_GBC_3ada0a68972e4b9f8920f5045a9f6cf8"/>
                    <w:id w:val="24722110"/>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1．资本公积转增资本（或股本）</w:t>
                    </w:r>
                  </w:p>
                </w:tc>
                <w:sdt>
                  <w:sdtPr>
                    <w:rPr>
                      <w:sz w:val="15"/>
                      <w:szCs w:val="15"/>
                    </w:rPr>
                    <w:alias w:val="资本公积转增资本（或股本）导致实收资本（或股本）净额变动金额"/>
                    <w:tag w:val="_GBC_9db68c2d02a74324a707f8a0a4e1e145"/>
                    <w:id w:val="24722111"/>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资本公积转增资本（或股本）导致其他权益工具中的优先股变动金额"/>
                    <w:tag w:val="_GBC_0ca2d2a297f841f9954b74895a302383"/>
                    <w:id w:val="2472211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转增资本（或股本）导致其他权益工具中的永续债变动金额"/>
                    <w:tag w:val="_GBC_dac8cd8080f44352bfadf9bfab96a4e2"/>
                    <w:id w:val="24722113"/>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资本公积转增资本（或股本）导致其他权益工具中的其他变动金额"/>
                    <w:tag w:val="_GBC_640b05b76a704e06952e1118785ef332"/>
                    <w:id w:val="2472211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转增资本（或股本）导致资本公积变动金额"/>
                    <w:tag w:val="_GBC_30de2400658c4f44920e292884cfe421"/>
                    <w:id w:val="24722115"/>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资本公积转增资本（或股本）导致库存股变动金额"/>
                    <w:tag w:val="_GBC_6268d47b970d4db2a5d7e64ae3be06cc"/>
                    <w:id w:val="24722116"/>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资本公积转增资本（或股本）导致其他综合收益变动金额"/>
                    <w:tag w:val="_GBC_880e95e25f574e3eab11f8b21bdd5959"/>
                    <w:id w:val="24722117"/>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资本公积转增资本（或股本）导致专项储备变动金额"/>
                    <w:tag w:val="_GBC_23e7aa5a0a9c4e35b487476acfb820ec"/>
                    <w:id w:val="2472211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转增资本（或股本）导致盈余公积变动金额"/>
                    <w:tag w:val="_GBC_e514d3b9bb0949daa4623e0a596d5d33"/>
                    <w:id w:val="24722119"/>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资本公积转增资本（或股本）导致一般风险准备变动金额"/>
                    <w:tag w:val="_GBC_4995640c2dea4c12938012fc541f32a4"/>
                    <w:id w:val="24722120"/>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资本公积转增资本（或股本）导致未分配利润变动金额"/>
                    <w:tag w:val="_GBC_0cb019dbadc74175946c013af83d71e7"/>
                    <w:id w:val="24722121"/>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资本公积转增资本（或股本）导致少数股东权益变动金额"/>
                    <w:tag w:val="_GBC_c9757cbc4fa8494da8042507570d49a6"/>
                    <w:id w:val="24722122"/>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资本公积转增资本（或股本）导致股东权益合计变动金额"/>
                    <w:tag w:val="_GBC_802060d12bdc4cecae1298de1d168773"/>
                    <w:id w:val="24722123"/>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2．盈余公积转增资本（或股本）</w:t>
                    </w:r>
                  </w:p>
                </w:tc>
                <w:sdt>
                  <w:sdtPr>
                    <w:rPr>
                      <w:sz w:val="15"/>
                      <w:szCs w:val="15"/>
                    </w:rPr>
                    <w:alias w:val="盈余公积转增资本（或股本）导致实收资本（或股本）净额变动金额"/>
                    <w:tag w:val="_GBC_eafb156329a6496f9482adc364a5a048"/>
                    <w:id w:val="24722124"/>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盈余公积转增资本（或股本）导致其他权益工具中的优先股变动金额"/>
                    <w:tag w:val="_GBC_9e3c0c833f2f48118bc6cfe19eeda43f"/>
                    <w:id w:val="2472212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转增资本（或股本）导致其他权益工具中的永续债变动金额"/>
                    <w:tag w:val="_GBC_967122b66e5c4bb18043ad9ec7d070fa"/>
                    <w:id w:val="24722126"/>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盈余公积转增资本（或股本）导致其他权益工具中的其他变动金额"/>
                    <w:tag w:val="_GBC_1339ebbd6af84797bf191fd37ce94f45"/>
                    <w:id w:val="2472212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转增资本（或股本）导致资本公积变动金额"/>
                    <w:tag w:val="_GBC_ef51fc52e8894e1bac71d48d8f6ad3dd"/>
                    <w:id w:val="24722128"/>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盈余公积转增资本（或股本）导致库存股变动金额"/>
                    <w:tag w:val="_GBC_3f4d077e917446aaa06515acff4586c0"/>
                    <w:id w:val="24722129"/>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盈余公积转增资本（或股本）导致其他综合收益变动金额"/>
                    <w:tag w:val="_GBC_7a651627c18e41d1bb4b51253f0b8481"/>
                    <w:id w:val="24722130"/>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盈余公积转增资本（或股本）导致专项储备变动金额"/>
                    <w:tag w:val="_GBC_aeef5ec51bf941668bdbf1a7ac2cbbba"/>
                    <w:id w:val="2472213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转增资本（或股本）导致盈余公积变动金额"/>
                    <w:tag w:val="_GBC_e603227d26d34f83890df29603d99081"/>
                    <w:id w:val="24722132"/>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盈余公积转增资本（或股本）导致一般风险准备变动金额"/>
                    <w:tag w:val="_GBC_afb7371014aa48d78542092c6abfdeea"/>
                    <w:id w:val="24722133"/>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盈余公积转增资本（或股本）导致未分配利润变动金额"/>
                    <w:tag w:val="_GBC_1457ec50f548478faf72965b35d297f2"/>
                    <w:id w:val="24722134"/>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盈余公积转增资本（或股本）导致少数股东权益变动金额"/>
                    <w:tag w:val="_GBC_76833378c1bf4e77b69829506f1497aa"/>
                    <w:id w:val="24722135"/>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盈余公积转增资本（或股本）导致股东权益合计变动金额"/>
                    <w:tag w:val="_GBC_efcad2803e7745c680315a90f030d993"/>
                    <w:id w:val="24722136"/>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3．盈余公积弥补亏损</w:t>
                    </w:r>
                  </w:p>
                </w:tc>
                <w:sdt>
                  <w:sdtPr>
                    <w:rPr>
                      <w:sz w:val="15"/>
                      <w:szCs w:val="15"/>
                    </w:rPr>
                    <w:alias w:val="盈余公积弥补亏损导致实收资本（或股本）净额变动金额"/>
                    <w:tag w:val="_GBC_d96e675317ec4efda34532e70f5ba775"/>
                    <w:id w:val="24722137"/>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盈余公积弥补亏损导致其他权益工具中的优先股变动金额"/>
                    <w:tag w:val="_GBC_09318c810afc4c57a6e2ec49b1dccdd6"/>
                    <w:id w:val="2472213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弥补亏损导致其他权益工具中的永续债变动金额"/>
                    <w:tag w:val="_GBC_b99c057b3bef4910a174eaf8a23b71a2"/>
                    <w:id w:val="24722139"/>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盈余公积弥补亏损导致其他权益工具中的其他变动金额"/>
                    <w:tag w:val="_GBC_e4de9205a8104a4ab26fdce78f098192"/>
                    <w:id w:val="2472214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弥补亏损导致资本公积变动金额"/>
                    <w:tag w:val="_GBC_0f305eb55cfd4724a3da3e5b9e6ce159"/>
                    <w:id w:val="24722141"/>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盈余公积弥补亏损导致库存股变动金额"/>
                    <w:tag w:val="_GBC_c8066994531b4964abd2e795fc785d26"/>
                    <w:id w:val="24722142"/>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盈余公积弥补亏损导致其他综合收益变动金额"/>
                    <w:tag w:val="_GBC_7feb6719ffbf4d27bf4d226b105f733e"/>
                    <w:id w:val="24722143"/>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盈余公积弥补亏损导致专项储备变动金额"/>
                    <w:tag w:val="_GBC_a8513b3c9ff244ee8db231205a58a5da"/>
                    <w:id w:val="2472214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弥补亏损导致盈余公积变动金额"/>
                    <w:tag w:val="_GBC_6c65bb6e687949618102adcce004e610"/>
                    <w:id w:val="24722145"/>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盈余公积弥补亏损导致一般风险准备变动金额"/>
                    <w:tag w:val="_GBC_55729793f9b045ebbf13f1d563ff76ef"/>
                    <w:id w:val="24722146"/>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盈余公积弥补亏损导致未分配利润变动金额"/>
                    <w:tag w:val="_GBC_7e9d220f6b73492c8c024169588a45f4"/>
                    <w:id w:val="24722147"/>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盈余公积弥补亏损导致少数股东权益变动金额"/>
                    <w:tag w:val="_GBC_7910ec8ad0634bccae1811d4de7e530a"/>
                    <w:id w:val="24722148"/>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盈余公积弥补亏损导致股东权益合计变动金额"/>
                    <w:tag w:val="_GBC_32f8dc3511264106aa43eb99420efb7c"/>
                    <w:id w:val="24722149"/>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4．其他</w:t>
                    </w:r>
                  </w:p>
                </w:tc>
                <w:sdt>
                  <w:sdtPr>
                    <w:rPr>
                      <w:sz w:val="15"/>
                      <w:szCs w:val="15"/>
                    </w:rPr>
                    <w:alias w:val="其他所有者权益内部结转导致实收资本（或股本）净额变动金额"/>
                    <w:tag w:val="_GBC_993a05505fb94d0a91b089558de44fce"/>
                    <w:id w:val="24722150"/>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所有者权益内部结转导致其他权益工具中的优先股变动金额"/>
                    <w:tag w:val="_GBC_30ced917bd09466a872975e748eb6c4c"/>
                    <w:id w:val="24722151"/>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所有者权益内部结转导致其他权益工具中的永续债变动金额"/>
                    <w:tag w:val="_GBC_a1d305b59dad491fb4f8ffaee3f65c31"/>
                    <w:id w:val="24722152"/>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所有者权益内部结转导致其他权益工具中的其他变动金额"/>
                    <w:tag w:val="_GBC_8b0d1f8f99544f028fa985218415c815"/>
                    <w:id w:val="2472215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所有者权益内部结转导致资本公积变动金额"/>
                    <w:tag w:val="_GBC_b3e8148d69e140a38d69919d1cdbc100"/>
                    <w:id w:val="24722154"/>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所有者权益内部结转导致库存股变动金额"/>
                    <w:tag w:val="_GBC_31ff889b6ab543d786bec743890ada88"/>
                    <w:id w:val="24722155"/>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所有者权益内部结转导致其他综合收益变动金额"/>
                    <w:tag w:val="_GBC_1327b06c5d2a4f9d9202c9da9c7866be"/>
                    <w:id w:val="24722156"/>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所有者权益内部结转导致专项储备变动金额"/>
                    <w:tag w:val="_GBC_8537b8b65c31492cafa3df2e5f6b2270"/>
                    <w:id w:val="2472215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所有者权益内部结转导致盈余公积变动金额"/>
                    <w:tag w:val="_GBC_1e683fbc4e874f78acc210e3973075ff"/>
                    <w:id w:val="24722158"/>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所有者权益内部结转导致一般风险准备变动金额"/>
                    <w:tag w:val="_GBC_1e447db81e79459ea9ae88a55c127eb2"/>
                    <w:id w:val="24722159"/>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其他所有者权益内部结转导致未分配利润变动金额"/>
                    <w:tag w:val="_GBC_15b900d7e5b743379bc6f99e862d2a52"/>
                    <w:id w:val="24722160"/>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所有者权益内部结转导致少数股东权益变动金额"/>
                    <w:tag w:val="_GBC_eb121ed57c134598ba34e05bc7068c78"/>
                    <w:id w:val="24722161"/>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所有者权益内部结转导致股东权益合计变动金额"/>
                    <w:tag w:val="_GBC_ff2ac4e17c494d679e38c2b242677a3b"/>
                    <w:id w:val="24722162"/>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（五）专项储备</w:t>
                    </w:r>
                  </w:p>
                </w:tc>
                <w:sdt>
                  <w:sdtPr>
                    <w:rPr>
                      <w:sz w:val="15"/>
                      <w:szCs w:val="15"/>
                    </w:rPr>
                    <w:alias w:val="专项储备导致实收资本（或股本）净额变动金额"/>
                    <w:tag w:val="_GBC_c9d16507d5e04809a149be4791a1cbe4"/>
                    <w:id w:val="24722163"/>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专项储备导致其他权益工具中的优先股变动金额"/>
                    <w:tag w:val="_GBC_ffdcc01a63e64680ba9e018c38188b74"/>
                    <w:id w:val="24722164"/>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专项储备导致其他权益工具中的永续债变动金额"/>
                    <w:tag w:val="_GBC_f6223f79a5204e25a073dfab012bc568"/>
                    <w:id w:val="24722165"/>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专项储备导致其他权益工具中的其他变动金额"/>
                    <w:tag w:val="_GBC_b4270cf652e14eff96a44803f10354c5"/>
                    <w:id w:val="2472216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专项储备导致资本公积变动金额"/>
                    <w:tag w:val="_GBC_85909a9b6b044b4b955d3d9ab1d6abf4"/>
                    <w:id w:val="24722167"/>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专项储备导致库存股变动金额"/>
                    <w:tag w:val="_GBC_ffe942cd7f31460b85bb829e33644b01"/>
                    <w:id w:val="24722168"/>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专项储备导致其他综合收益变动金额"/>
                    <w:tag w:val="_GBC_3263be153d654d1e827de1316e802d39"/>
                    <w:id w:val="24722169"/>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专项储备导致专项储备变动金额"/>
                    <w:tag w:val="_GBC_51eb699af9f544c2942a76cd9e5ab725"/>
                    <w:id w:val="2472217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专项储备导致盈余公积变动金额"/>
                    <w:tag w:val="_GBC_d688ef4618e44be898cf238d3284e7ab"/>
                    <w:id w:val="24722171"/>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专项储备导致一般风险准备变动金额"/>
                    <w:tag w:val="_GBC_13714ffe59d646fab9a9214003d103c1"/>
                    <w:id w:val="24722172"/>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专项储备导致未分配利润变动金额"/>
                    <w:tag w:val="_GBC_b3c55ba0245f4f9e879adff9f674b33b"/>
                    <w:id w:val="24722173"/>
                    <w:lock w:val="sdtLocked"/>
                    <w:showingPlcHdr/>
                  </w:sdtPr>
                  <w:sdtContent>
                    <w:tc>
                      <w:tcPr>
                        <w:tcW w:w="1559" w:type="dxa"/>
                      </w:tcPr>
                      <w:p w:rsidR="00DE031E" w:rsidRPr="00F92D49" w:rsidRDefault="00224E5D" w:rsidP="00DE031E">
                        <w:pPr>
                          <w:jc w:val="right"/>
                          <w:rPr>
                            <w:sz w:val="15"/>
                            <w:szCs w:val="15"/>
                          </w:rPr>
                        </w:pPr>
                        <w:r>
                          <w:rPr>
                            <w:sz w:val="15"/>
                            <w:szCs w:val="15"/>
                          </w:rPr>
                          <w:t xml:space="preserve">     </w:t>
                        </w:r>
                      </w:p>
                    </w:tc>
                  </w:sdtContent>
                </w:sdt>
                <w:sdt>
                  <w:sdtPr>
                    <w:rPr>
                      <w:sz w:val="15"/>
                      <w:szCs w:val="15"/>
                    </w:rPr>
                    <w:alias w:val="专项储备导致少数股东权益变动金额"/>
                    <w:tag w:val="_GBC_57f00c8cf4934893bda6aabfc8918860"/>
                    <w:id w:val="24722174"/>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专项储备导致股东权益合计变动金额"/>
                    <w:tag w:val="_GBC_0a42c029915d40a6b89b0bba799c34a8"/>
                    <w:id w:val="24722175"/>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1．本期提取</w:t>
                    </w:r>
                  </w:p>
                </w:tc>
                <w:sdt>
                  <w:sdtPr>
                    <w:rPr>
                      <w:sz w:val="15"/>
                      <w:szCs w:val="15"/>
                    </w:rPr>
                    <w:alias w:val="提取导致实收资本（或股本）净额变动金额"/>
                    <w:tag w:val="_GBC_5943d6f9e110433ba6d32b301772a41c"/>
                    <w:id w:val="24722176"/>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提取导致其他权益工具中的优先股变动金额"/>
                    <w:tag w:val="_GBC_745ab7ca94ce41e5b9b163959af42c3a"/>
                    <w:id w:val="24722177"/>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导致其他权益工具中的永续债变动金额"/>
                    <w:tag w:val="_GBC_a09e546157f140b383c2debce584952b"/>
                    <w:id w:val="24722178"/>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提取导致其他权益工具中的其他变动金额"/>
                    <w:tag w:val="_GBC_b0788bf7232345f99bcefe7abd3887de"/>
                    <w:id w:val="2472217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导致资本公积变动金额"/>
                    <w:tag w:val="_GBC_5ce5420a8f8044179effbd41cd21056a"/>
                    <w:id w:val="24722180"/>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提取导致库存股变动金额"/>
                    <w:tag w:val="_GBC_539f314cd0dd4f23aa43185d5259b218"/>
                    <w:id w:val="24722181"/>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提取导致其他综合收益变动金额"/>
                    <w:tag w:val="_GBC_fb2739bf512340e89a7c603058291c46"/>
                    <w:id w:val="24722182"/>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提取导致专项储备变动金额"/>
                    <w:tag w:val="_GBC_d46f191fd6f6473fa4f9fe48aaa3d6fe"/>
                    <w:id w:val="2472218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提取导致盈余公积变动金额"/>
                    <w:tag w:val="_GBC_fea303d886784e44a17415b1abcdc373"/>
                    <w:id w:val="24722184"/>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提取导致一般风险准备变动金额"/>
                    <w:tag w:val="_GBC_4a355c586cdb4a24ad65d4bfc3c0a871"/>
                    <w:id w:val="24722185"/>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提取导致未分配利润变动金额"/>
                    <w:tag w:val="_GBC_d9098bf5b2fe46a29aa0456b4e78629c"/>
                    <w:id w:val="24722186"/>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提取导致少数股东权益变动金额"/>
                    <w:tag w:val="_GBC_ad3e34e8c7064476af7b26b151447582"/>
                    <w:id w:val="24722187"/>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提取导致股东权益合计变动金额"/>
                    <w:tag w:val="_GBC_ff0bd11df77f4802a79de7771699b65a"/>
                    <w:id w:val="24722188"/>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2．本期使用</w:t>
                    </w:r>
                  </w:p>
                </w:tc>
                <w:sdt>
                  <w:sdtPr>
                    <w:rPr>
                      <w:sz w:val="15"/>
                      <w:szCs w:val="15"/>
                    </w:rPr>
                    <w:alias w:val="使用导致实收资本（或股本）净额变动金额"/>
                    <w:tag w:val="_GBC_181f958547c3487b8d0f482393652a1d"/>
                    <w:id w:val="24722189"/>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使用导致其他权益工具中的优先股变动金额"/>
                    <w:tag w:val="_GBC_4a60a5cbdbd7489eac24f74790eeedcf"/>
                    <w:id w:val="24722190"/>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使用导致其他权益工具中的永续债变动金额"/>
                    <w:tag w:val="_GBC_97e5e1aafe41412c92f472e0641c5f3a"/>
                    <w:id w:val="24722191"/>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使用导致其他权益工具中的其他变动金额"/>
                    <w:tag w:val="_GBC_f8c42e4ec5df4ba2a71abf1993891c7b"/>
                    <w:id w:val="2472219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使用导致资本公积变动金额"/>
                    <w:tag w:val="_GBC_8302d0f9213046c7bb18b6fd11345d5d"/>
                    <w:id w:val="24722193"/>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使用导致库存股变动金额"/>
                    <w:tag w:val="_GBC_48f8f2f981b6428d88261e28193ee014"/>
                    <w:id w:val="24722194"/>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使用导致其他综合收益变动金额"/>
                    <w:tag w:val="_GBC_76623c3fca5e4e14a3a2d795667238c9"/>
                    <w:id w:val="24722195"/>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使用导致专项储备变动金额"/>
                    <w:tag w:val="_GBC_307af4786ea04342a04cbef490744027"/>
                    <w:id w:val="2472219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使用导致盈余公积变动金额"/>
                    <w:tag w:val="_GBC_e8d41a46bdc34e939cc6d8474ee56225"/>
                    <w:id w:val="24722197"/>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使用导致一般风险准备变动金额"/>
                    <w:tag w:val="_GBC_bf9b1f48565a45e499157785ccb0ef95"/>
                    <w:id w:val="24722198"/>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使用导致未分配利润变动金额"/>
                    <w:tag w:val="_GBC_ca8e929a2134411cbc3cc6b7af3a4309"/>
                    <w:id w:val="24722199"/>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使用导致少数股东权益变动金额"/>
                    <w:tag w:val="_GBC_f22ea241b06a4e85be4b9f2cb67f7ea7"/>
                    <w:id w:val="24722200"/>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使用导致股东权益合计变动金额"/>
                    <w:tag w:val="_GBC_0dc6a35cff074cf992bff4c0627a3f72"/>
                    <w:id w:val="24722201"/>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rFonts w:hint="eastAsia"/>
                        <w:sz w:val="15"/>
                        <w:szCs w:val="15"/>
                      </w:rPr>
                      <w:t>（六）其他</w:t>
                    </w:r>
                  </w:p>
                </w:tc>
                <w:sdt>
                  <w:sdtPr>
                    <w:rPr>
                      <w:sz w:val="15"/>
                      <w:szCs w:val="15"/>
                    </w:rPr>
                    <w:alias w:val="其他导致实收资本（或股本）净额变动金额"/>
                    <w:tag w:val="_GBC_401d8f9b9f9544bb84c832c894aea1e7"/>
                    <w:id w:val="24722202"/>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导致其他权益工具中的优先股变动金额"/>
                    <w:tag w:val="_GBC_21baeff8940d4784a7627867901557f0"/>
                    <w:id w:val="24722203"/>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导致其他权益工具中的永续债变动金额"/>
                    <w:tag w:val="_GBC_7fab13391c6d47fead390c8b50ab3c1b"/>
                    <w:id w:val="24722204"/>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导致其他权益工具中的其他变动金额"/>
                    <w:tag w:val="_GBC_8d6f07dc58c74f9d96edbae867951bf0"/>
                    <w:id w:val="24722205"/>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导致资本公积变动金额"/>
                    <w:tag w:val="_GBC_e5eb0d41377b49b29660ac5d77bf437a"/>
                    <w:id w:val="24722206"/>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导致库存股变动金额"/>
                    <w:tag w:val="_GBC_1b1db32888be42f094b719e1cffea0dd"/>
                    <w:id w:val="24722207"/>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导致其他综合收益变动金额"/>
                    <w:tag w:val="_GBC_ee19f67b198d433bb8a11a0c3fb83aa0"/>
                    <w:id w:val="24722208"/>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导致专项储备变动金额"/>
                    <w:tag w:val="_GBC_aeb8bd936ad042679e8cb34e348aa8e8"/>
                    <w:id w:val="24722209"/>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导致盈余公积变动金额"/>
                    <w:tag w:val="_GBC_ee58f1edf9f4406c8a021ddfeba4ea91"/>
                    <w:id w:val="24722210"/>
                    <w:lock w:val="sdtLocked"/>
                  </w:sdtPr>
                  <w:sdtContent>
                    <w:tc>
                      <w:tcPr>
                        <w:tcW w:w="1418" w:type="dxa"/>
                      </w:tcPr>
                      <w:p w:rsidR="00DE031E" w:rsidRPr="00F92D49" w:rsidRDefault="00DE031E" w:rsidP="00DE031E">
                        <w:pPr>
                          <w:jc w:val="right"/>
                          <w:rPr>
                            <w:sz w:val="15"/>
                            <w:szCs w:val="15"/>
                          </w:rPr>
                        </w:pPr>
                      </w:p>
                    </w:tc>
                  </w:sdtContent>
                </w:sdt>
                <w:sdt>
                  <w:sdtPr>
                    <w:rPr>
                      <w:sz w:val="15"/>
                      <w:szCs w:val="15"/>
                    </w:rPr>
                    <w:alias w:val="其他导致一般风险准备变动金额"/>
                    <w:tag w:val="_GBC_0bec4a121fc1478e861fc0c17aa9f1d6"/>
                    <w:id w:val="24722211"/>
                    <w:lock w:val="sdtLocked"/>
                  </w:sdtPr>
                  <w:sdtContent>
                    <w:tc>
                      <w:tcPr>
                        <w:tcW w:w="1417" w:type="dxa"/>
                      </w:tcPr>
                      <w:p w:rsidR="00DE031E" w:rsidRPr="00F92D49" w:rsidRDefault="00DE031E" w:rsidP="00DE031E">
                        <w:pPr>
                          <w:jc w:val="right"/>
                          <w:rPr>
                            <w:sz w:val="15"/>
                            <w:szCs w:val="15"/>
                          </w:rPr>
                        </w:pPr>
                      </w:p>
                    </w:tc>
                  </w:sdtContent>
                </w:sdt>
                <w:sdt>
                  <w:sdtPr>
                    <w:rPr>
                      <w:sz w:val="15"/>
                      <w:szCs w:val="15"/>
                    </w:rPr>
                    <w:alias w:val="其他导致未分配利润变动金额"/>
                    <w:tag w:val="_GBC_fd049f4ddde8433385c0e73918b6de29"/>
                    <w:id w:val="24722212"/>
                    <w:lock w:val="sdtLocked"/>
                  </w:sdtPr>
                  <w:sdtContent>
                    <w:tc>
                      <w:tcPr>
                        <w:tcW w:w="1559" w:type="dxa"/>
                      </w:tcPr>
                      <w:p w:rsidR="00DE031E" w:rsidRPr="00F92D49" w:rsidRDefault="00DE031E" w:rsidP="00DE031E">
                        <w:pPr>
                          <w:jc w:val="right"/>
                          <w:rPr>
                            <w:sz w:val="15"/>
                            <w:szCs w:val="15"/>
                          </w:rPr>
                        </w:pPr>
                      </w:p>
                    </w:tc>
                  </w:sdtContent>
                </w:sdt>
                <w:sdt>
                  <w:sdtPr>
                    <w:rPr>
                      <w:sz w:val="15"/>
                      <w:szCs w:val="15"/>
                    </w:rPr>
                    <w:alias w:val="其他导致少数股东权益变动金额"/>
                    <w:tag w:val="_GBC_375e18c3361c4d76980648c02e05991d"/>
                    <w:id w:val="24722213"/>
                    <w:lock w:val="sdtLocked"/>
                  </w:sdtPr>
                  <w:sdtContent>
                    <w:tc>
                      <w:tcPr>
                        <w:tcW w:w="1276" w:type="dxa"/>
                      </w:tcPr>
                      <w:p w:rsidR="00DE031E" w:rsidRPr="00F92D49" w:rsidRDefault="00DE031E" w:rsidP="00DE031E">
                        <w:pPr>
                          <w:jc w:val="right"/>
                          <w:rPr>
                            <w:sz w:val="15"/>
                            <w:szCs w:val="15"/>
                          </w:rPr>
                        </w:pPr>
                      </w:p>
                    </w:tc>
                  </w:sdtContent>
                </w:sdt>
                <w:sdt>
                  <w:sdtPr>
                    <w:rPr>
                      <w:sz w:val="15"/>
                      <w:szCs w:val="15"/>
                    </w:rPr>
                    <w:alias w:val="其他导致股东权益合计变动金额"/>
                    <w:tag w:val="_GBC_6303db71afe248f9b87e9f4bcb0694ce"/>
                    <w:id w:val="24722214"/>
                    <w:lock w:val="sdtLocked"/>
                  </w:sdtPr>
                  <w:sdtContent>
                    <w:tc>
                      <w:tcPr>
                        <w:tcW w:w="1559" w:type="dxa"/>
                      </w:tcPr>
                      <w:p w:rsidR="00DE031E" w:rsidRPr="00F92D49" w:rsidRDefault="00DE031E" w:rsidP="00DE031E">
                        <w:pPr>
                          <w:jc w:val="right"/>
                          <w:rPr>
                            <w:sz w:val="15"/>
                            <w:szCs w:val="15"/>
                          </w:rPr>
                        </w:pPr>
                      </w:p>
                    </w:tc>
                  </w:sdtContent>
                </w:sdt>
              </w:tr>
              <w:tr w:rsidR="00DE031E" w:rsidRPr="00F92D49" w:rsidTr="00DE031E">
                <w:trPr>
                  <w:jc w:val="center"/>
                </w:trPr>
                <w:tc>
                  <w:tcPr>
                    <w:tcW w:w="2607" w:type="dxa"/>
                  </w:tcPr>
                  <w:p w:rsidR="00DE031E" w:rsidRPr="00F92D49" w:rsidRDefault="001C1A59" w:rsidP="00DE031E">
                    <w:pPr>
                      <w:rPr>
                        <w:sz w:val="15"/>
                        <w:szCs w:val="15"/>
                      </w:rPr>
                    </w:pPr>
                    <w:r w:rsidRPr="00F92D49">
                      <w:rPr>
                        <w:sz w:val="15"/>
                        <w:szCs w:val="15"/>
                      </w:rPr>
                      <w:t>四、本期期末余额</w:t>
                    </w:r>
                  </w:p>
                </w:tc>
                <w:sdt>
                  <w:sdtPr>
                    <w:rPr>
                      <w:sz w:val="15"/>
                      <w:szCs w:val="15"/>
                    </w:rPr>
                    <w:alias w:val="股本"/>
                    <w:tag w:val="_GBC_9c7536afbf6d45a5aa0c4ccd90ba43a9"/>
                    <w:id w:val="24722215"/>
                    <w:lock w:val="sdtLocked"/>
                  </w:sdtPr>
                  <w:sdtContent>
                    <w:tc>
                      <w:tcPr>
                        <w:tcW w:w="1418" w:type="dxa"/>
                      </w:tcPr>
                      <w:p w:rsidR="00DE031E" w:rsidRPr="00F92D49" w:rsidRDefault="001C1A59" w:rsidP="00DE031E">
                        <w:pPr>
                          <w:jc w:val="right"/>
                          <w:rPr>
                            <w:sz w:val="15"/>
                            <w:szCs w:val="15"/>
                          </w:rPr>
                        </w:pPr>
                        <w:r w:rsidRPr="00F92D49">
                          <w:rPr>
                            <w:sz w:val="15"/>
                            <w:szCs w:val="15"/>
                          </w:rPr>
                          <w:t>5,808,135,529.00</w:t>
                        </w:r>
                      </w:p>
                    </w:tc>
                  </w:sdtContent>
                </w:sdt>
                <w:sdt>
                  <w:sdtPr>
                    <w:rPr>
                      <w:sz w:val="15"/>
                      <w:szCs w:val="15"/>
                    </w:rPr>
                    <w:alias w:val="其他权益工具-其中：优先股"/>
                    <w:tag w:val="_GBC_30afaca0f89141ff850f9e2542bd0eac"/>
                    <w:id w:val="24722216"/>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其他权益工具-永续债"/>
                    <w:tag w:val="_GBC_6fdb0a5c2a354bb9a67bab242d14502d"/>
                    <w:id w:val="24722217"/>
                    <w:lock w:val="sdtLocked"/>
                  </w:sdtPr>
                  <w:sdtContent>
                    <w:tc>
                      <w:tcPr>
                        <w:tcW w:w="284" w:type="dxa"/>
                      </w:tcPr>
                      <w:p w:rsidR="00DE031E" w:rsidRPr="00F92D49" w:rsidRDefault="00DE031E" w:rsidP="00DE031E">
                        <w:pPr>
                          <w:jc w:val="right"/>
                          <w:rPr>
                            <w:sz w:val="15"/>
                            <w:szCs w:val="15"/>
                          </w:rPr>
                        </w:pPr>
                      </w:p>
                    </w:tc>
                  </w:sdtContent>
                </w:sdt>
                <w:sdt>
                  <w:sdtPr>
                    <w:rPr>
                      <w:sz w:val="15"/>
                      <w:szCs w:val="15"/>
                    </w:rPr>
                    <w:alias w:val="其他权益工具-其他"/>
                    <w:tag w:val="_GBC_e1af1da77a5c459a9e708999307d59fc"/>
                    <w:id w:val="24722218"/>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资本公积"/>
                    <w:tag w:val="_GBC_d9946e51eab94a5ca39bb0ce6921a96e"/>
                    <w:id w:val="24722219"/>
                    <w:lock w:val="sdtLocked"/>
                  </w:sdtPr>
                  <w:sdtContent>
                    <w:tc>
                      <w:tcPr>
                        <w:tcW w:w="1559" w:type="dxa"/>
                      </w:tcPr>
                      <w:p w:rsidR="00DE031E" w:rsidRPr="00F92D49" w:rsidRDefault="001C1A59" w:rsidP="00DE031E">
                        <w:pPr>
                          <w:jc w:val="right"/>
                          <w:rPr>
                            <w:sz w:val="15"/>
                            <w:szCs w:val="15"/>
                          </w:rPr>
                        </w:pPr>
                        <w:r w:rsidRPr="00F92D49">
                          <w:rPr>
                            <w:sz w:val="15"/>
                            <w:szCs w:val="15"/>
                          </w:rPr>
                          <w:t>19,403,877,003.80</w:t>
                        </w:r>
                      </w:p>
                    </w:tc>
                  </w:sdtContent>
                </w:sdt>
                <w:sdt>
                  <w:sdtPr>
                    <w:rPr>
                      <w:sz w:val="15"/>
                      <w:szCs w:val="15"/>
                    </w:rPr>
                    <w:alias w:val="库存股"/>
                    <w:tag w:val="_GBC_ec3f37daafa74c2e88732ea5cb464a4b"/>
                    <w:id w:val="24722220"/>
                    <w:lock w:val="sdtLocked"/>
                    <w:showingPlcHdr/>
                  </w:sdtPr>
                  <w:sdtContent>
                    <w:tc>
                      <w:tcPr>
                        <w:tcW w:w="284" w:type="dxa"/>
                      </w:tcPr>
                      <w:p w:rsidR="00DE031E" w:rsidRPr="00F92D49" w:rsidRDefault="00DE031E" w:rsidP="00DE031E">
                        <w:pPr>
                          <w:jc w:val="right"/>
                          <w:rPr>
                            <w:sz w:val="15"/>
                            <w:szCs w:val="15"/>
                          </w:rPr>
                        </w:pPr>
                      </w:p>
                    </w:tc>
                  </w:sdtContent>
                </w:sdt>
                <w:sdt>
                  <w:sdtPr>
                    <w:rPr>
                      <w:sz w:val="15"/>
                      <w:szCs w:val="15"/>
                    </w:rPr>
                    <w:alias w:val="其他综合收益（资产负债表项目）"/>
                    <w:tag w:val="_GBC_d876678f17c247bcbd73f7abd9008b3a"/>
                    <w:id w:val="24722221"/>
                    <w:lock w:val="sdtLocked"/>
                  </w:sdtPr>
                  <w:sdtContent>
                    <w:tc>
                      <w:tcPr>
                        <w:tcW w:w="1276" w:type="dxa"/>
                      </w:tcPr>
                      <w:p w:rsidR="00DE031E" w:rsidRPr="00F92D49" w:rsidRDefault="001C1A59" w:rsidP="00DE031E">
                        <w:pPr>
                          <w:jc w:val="right"/>
                          <w:rPr>
                            <w:sz w:val="15"/>
                            <w:szCs w:val="15"/>
                          </w:rPr>
                        </w:pPr>
                        <w:r w:rsidRPr="00F92D49">
                          <w:rPr>
                            <w:sz w:val="15"/>
                            <w:szCs w:val="15"/>
                          </w:rPr>
                          <w:t>443,719,998.58</w:t>
                        </w:r>
                      </w:p>
                    </w:tc>
                  </w:sdtContent>
                </w:sdt>
                <w:sdt>
                  <w:sdtPr>
                    <w:rPr>
                      <w:sz w:val="15"/>
                      <w:szCs w:val="15"/>
                    </w:rPr>
                    <w:alias w:val="专项储备"/>
                    <w:tag w:val="_GBC_2ba8e15cb45a4f06871de8f1f73c2e48"/>
                    <w:id w:val="24722222"/>
                    <w:lock w:val="sdtLocked"/>
                  </w:sdtPr>
                  <w:sdtContent>
                    <w:tc>
                      <w:tcPr>
                        <w:tcW w:w="283" w:type="dxa"/>
                      </w:tcPr>
                      <w:p w:rsidR="00DE031E" w:rsidRPr="00F92D49" w:rsidRDefault="00DE031E" w:rsidP="00DE031E">
                        <w:pPr>
                          <w:jc w:val="right"/>
                          <w:rPr>
                            <w:sz w:val="15"/>
                            <w:szCs w:val="15"/>
                          </w:rPr>
                        </w:pPr>
                      </w:p>
                    </w:tc>
                  </w:sdtContent>
                </w:sdt>
                <w:sdt>
                  <w:sdtPr>
                    <w:rPr>
                      <w:sz w:val="15"/>
                      <w:szCs w:val="15"/>
                    </w:rPr>
                    <w:alias w:val="盈余公积"/>
                    <w:tag w:val="_GBC_9685cb08afc148a7b86696155c5f606a"/>
                    <w:id w:val="24722223"/>
                    <w:lock w:val="sdtLocked"/>
                  </w:sdtPr>
                  <w:sdtContent>
                    <w:tc>
                      <w:tcPr>
                        <w:tcW w:w="1418" w:type="dxa"/>
                      </w:tcPr>
                      <w:p w:rsidR="00DE031E" w:rsidRPr="00F92D49" w:rsidRDefault="001C1A59" w:rsidP="00DE031E">
                        <w:pPr>
                          <w:jc w:val="right"/>
                          <w:rPr>
                            <w:sz w:val="15"/>
                            <w:szCs w:val="15"/>
                          </w:rPr>
                        </w:pPr>
                        <w:r w:rsidRPr="00F92D49">
                          <w:rPr>
                            <w:sz w:val="15"/>
                            <w:szCs w:val="15"/>
                          </w:rPr>
                          <w:t>2,400,210,713.47</w:t>
                        </w:r>
                      </w:p>
                    </w:tc>
                  </w:sdtContent>
                </w:sdt>
                <w:sdt>
                  <w:sdtPr>
                    <w:rPr>
                      <w:sz w:val="15"/>
                      <w:szCs w:val="15"/>
                    </w:rPr>
                    <w:alias w:val="一般风险准备"/>
                    <w:tag w:val="_GBC_eb9d2962c3b947aa95326dac50e584b2"/>
                    <w:id w:val="24722224"/>
                    <w:lock w:val="sdtLocked"/>
                  </w:sdtPr>
                  <w:sdtContent>
                    <w:tc>
                      <w:tcPr>
                        <w:tcW w:w="1417" w:type="dxa"/>
                      </w:tcPr>
                      <w:p w:rsidR="00DE031E" w:rsidRPr="00F92D49" w:rsidRDefault="001C1A59" w:rsidP="00DE031E">
                        <w:pPr>
                          <w:jc w:val="right"/>
                          <w:rPr>
                            <w:sz w:val="15"/>
                            <w:szCs w:val="15"/>
                          </w:rPr>
                        </w:pPr>
                        <w:r w:rsidRPr="00F92D49">
                          <w:rPr>
                            <w:sz w:val="15"/>
                            <w:szCs w:val="15"/>
                          </w:rPr>
                          <w:t>4,671,608,420.38</w:t>
                        </w:r>
                      </w:p>
                    </w:tc>
                  </w:sdtContent>
                </w:sdt>
                <w:sdt>
                  <w:sdtPr>
                    <w:rPr>
                      <w:sz w:val="15"/>
                      <w:szCs w:val="15"/>
                    </w:rPr>
                    <w:alias w:val="未分配利润"/>
                    <w:tag w:val="_GBC_cd483a481558403ca5a426923d52e8db"/>
                    <w:id w:val="24722225"/>
                    <w:lock w:val="sdtLocked"/>
                  </w:sdtPr>
                  <w:sdtContent>
                    <w:tc>
                      <w:tcPr>
                        <w:tcW w:w="1559" w:type="dxa"/>
                      </w:tcPr>
                      <w:p w:rsidR="00DE031E" w:rsidRPr="00F92D49" w:rsidRDefault="001C1A59" w:rsidP="00DE031E">
                        <w:pPr>
                          <w:jc w:val="right"/>
                          <w:rPr>
                            <w:sz w:val="15"/>
                            <w:szCs w:val="15"/>
                          </w:rPr>
                        </w:pPr>
                        <w:r w:rsidRPr="00F92D49">
                          <w:rPr>
                            <w:sz w:val="15"/>
                            <w:szCs w:val="15"/>
                          </w:rPr>
                          <w:t>15,043,571,734.74</w:t>
                        </w:r>
                      </w:p>
                    </w:tc>
                  </w:sdtContent>
                </w:sdt>
                <w:sdt>
                  <w:sdtPr>
                    <w:rPr>
                      <w:sz w:val="15"/>
                      <w:szCs w:val="15"/>
                    </w:rPr>
                    <w:alias w:val="少数股东权益"/>
                    <w:tag w:val="_GBC_e3d2b51493a24098abf16b36552f6c71"/>
                    <w:id w:val="24722226"/>
                    <w:lock w:val="sdtLocked"/>
                  </w:sdtPr>
                  <w:sdtContent>
                    <w:tc>
                      <w:tcPr>
                        <w:tcW w:w="1276" w:type="dxa"/>
                      </w:tcPr>
                      <w:p w:rsidR="00DE031E" w:rsidRPr="00F92D49" w:rsidRDefault="001C1A59" w:rsidP="00DE031E">
                        <w:pPr>
                          <w:jc w:val="right"/>
                          <w:rPr>
                            <w:sz w:val="15"/>
                            <w:szCs w:val="15"/>
                          </w:rPr>
                        </w:pPr>
                        <w:r w:rsidRPr="00F92D49">
                          <w:rPr>
                            <w:sz w:val="15"/>
                            <w:szCs w:val="15"/>
                          </w:rPr>
                          <w:t>87,489,355.11</w:t>
                        </w:r>
                      </w:p>
                    </w:tc>
                  </w:sdtContent>
                </w:sdt>
                <w:sdt>
                  <w:sdtPr>
                    <w:rPr>
                      <w:sz w:val="15"/>
                      <w:szCs w:val="15"/>
                    </w:rPr>
                    <w:alias w:val="股东权益合计"/>
                    <w:tag w:val="_GBC_5b2499fa8712440f8b65d410b5080ca2"/>
                    <w:id w:val="24722227"/>
                    <w:lock w:val="sdtLocked"/>
                  </w:sdtPr>
                  <w:sdtContent>
                    <w:tc>
                      <w:tcPr>
                        <w:tcW w:w="1559" w:type="dxa"/>
                      </w:tcPr>
                      <w:p w:rsidR="00DE031E" w:rsidRPr="00F92D49" w:rsidRDefault="001C1A59" w:rsidP="00DE031E">
                        <w:pPr>
                          <w:jc w:val="right"/>
                          <w:rPr>
                            <w:sz w:val="15"/>
                            <w:szCs w:val="15"/>
                          </w:rPr>
                        </w:pPr>
                        <w:r w:rsidRPr="00F92D49">
                          <w:rPr>
                            <w:sz w:val="15"/>
                            <w:szCs w:val="15"/>
                          </w:rPr>
                          <w:t>47,858,612,755.08</w:t>
                        </w:r>
                      </w:p>
                    </w:tc>
                  </w:sdtContent>
                </w:sdt>
              </w:tr>
            </w:tbl>
            <w:p w:rsidR="00DE031E" w:rsidRDefault="00DE031E">
              <w:pPr>
                <w:snapToGrid w:val="0"/>
                <w:spacing w:line="240" w:lineRule="atLeast"/>
                <w:ind w:rightChars="-759" w:right="-1594"/>
                <w:rPr>
                  <w:szCs w:val="21"/>
                </w:rPr>
              </w:pPr>
            </w:p>
            <w:tbl>
              <w:tblPr>
                <w:tblW w:w="16045" w:type="dxa"/>
                <w:jc w:val="center"/>
                <w:tblInd w:w="-2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511"/>
                <w:gridCol w:w="567"/>
                <w:gridCol w:w="567"/>
                <w:gridCol w:w="284"/>
                <w:gridCol w:w="1559"/>
                <w:gridCol w:w="408"/>
                <w:gridCol w:w="1276"/>
                <w:gridCol w:w="283"/>
                <w:gridCol w:w="1418"/>
                <w:gridCol w:w="1417"/>
                <w:gridCol w:w="1418"/>
                <w:gridCol w:w="1275"/>
                <w:gridCol w:w="1510"/>
              </w:tblGrid>
              <w:tr w:rsidR="00DE031E" w:rsidRPr="007903C3" w:rsidTr="00DE031E">
                <w:trPr>
                  <w:cantSplit/>
                  <w:jc w:val="center"/>
                </w:trPr>
                <w:tc>
                  <w:tcPr>
                    <w:tcW w:w="2552" w:type="dxa"/>
                    <w:vMerge w:val="restart"/>
                    <w:vAlign w:val="center"/>
                  </w:tcPr>
                  <w:p w:rsidR="00DE031E" w:rsidRPr="007903C3" w:rsidRDefault="001C1A59" w:rsidP="00DE031E">
                    <w:pPr>
                      <w:snapToGrid w:val="0"/>
                      <w:spacing w:line="240" w:lineRule="atLeast"/>
                      <w:jc w:val="center"/>
                      <w:rPr>
                        <w:sz w:val="15"/>
                        <w:szCs w:val="15"/>
                      </w:rPr>
                    </w:pPr>
                    <w:r w:rsidRPr="007903C3">
                      <w:rPr>
                        <w:sz w:val="15"/>
                        <w:szCs w:val="15"/>
                      </w:rPr>
                      <w:t>项目</w:t>
                    </w:r>
                  </w:p>
                </w:tc>
                <w:tc>
                  <w:tcPr>
                    <w:tcW w:w="13493" w:type="dxa"/>
                    <w:gridSpan w:val="13"/>
                  </w:tcPr>
                  <w:p w:rsidR="00DE031E" w:rsidRPr="007903C3" w:rsidRDefault="001C1A59" w:rsidP="00DE031E">
                    <w:pPr>
                      <w:snapToGrid w:val="0"/>
                      <w:spacing w:line="240" w:lineRule="atLeast"/>
                      <w:ind w:rightChars="-759" w:right="-1594"/>
                      <w:jc w:val="center"/>
                      <w:rPr>
                        <w:sz w:val="15"/>
                        <w:szCs w:val="15"/>
                      </w:rPr>
                    </w:pPr>
                    <w:r w:rsidRPr="007903C3">
                      <w:rPr>
                        <w:rFonts w:hint="eastAsia"/>
                        <w:sz w:val="15"/>
                        <w:szCs w:val="15"/>
                      </w:rPr>
                      <w:t>上期</w:t>
                    </w:r>
                  </w:p>
                </w:tc>
              </w:tr>
              <w:tr w:rsidR="00DE031E" w:rsidRPr="007903C3" w:rsidTr="00DE031E">
                <w:trPr>
                  <w:cantSplit/>
                  <w:trHeight w:val="471"/>
                  <w:jc w:val="center"/>
                </w:trPr>
                <w:tc>
                  <w:tcPr>
                    <w:tcW w:w="2552" w:type="dxa"/>
                    <w:vMerge/>
                  </w:tcPr>
                  <w:p w:rsidR="00DE031E" w:rsidRPr="007903C3" w:rsidRDefault="00DE031E" w:rsidP="00DE031E">
                    <w:pPr>
                      <w:snapToGrid w:val="0"/>
                      <w:spacing w:line="240" w:lineRule="atLeast"/>
                      <w:ind w:rightChars="-759" w:right="-1594"/>
                      <w:rPr>
                        <w:sz w:val="15"/>
                        <w:szCs w:val="15"/>
                      </w:rPr>
                    </w:pPr>
                  </w:p>
                </w:tc>
                <w:tc>
                  <w:tcPr>
                    <w:tcW w:w="10708" w:type="dxa"/>
                    <w:gridSpan w:val="11"/>
                    <w:vAlign w:val="center"/>
                  </w:tcPr>
                  <w:p w:rsidR="00DE031E" w:rsidRPr="007903C3" w:rsidRDefault="001C1A59" w:rsidP="00DE031E">
                    <w:pPr>
                      <w:snapToGrid w:val="0"/>
                      <w:spacing w:line="240" w:lineRule="atLeast"/>
                      <w:ind w:rightChars="-759" w:right="-1594"/>
                      <w:jc w:val="center"/>
                      <w:rPr>
                        <w:sz w:val="15"/>
                        <w:szCs w:val="15"/>
                      </w:rPr>
                    </w:pPr>
                    <w:r w:rsidRPr="007903C3">
                      <w:rPr>
                        <w:sz w:val="15"/>
                        <w:szCs w:val="15"/>
                      </w:rPr>
                      <w:t>归属于母公司所有者权益</w:t>
                    </w:r>
                  </w:p>
                </w:tc>
                <w:tc>
                  <w:tcPr>
                    <w:tcW w:w="1275" w:type="dxa"/>
                    <w:vMerge w:val="restart"/>
                    <w:vAlign w:val="center"/>
                  </w:tcPr>
                  <w:p w:rsidR="00DE031E" w:rsidRPr="007903C3" w:rsidRDefault="001C1A59" w:rsidP="00DE031E">
                    <w:pPr>
                      <w:jc w:val="center"/>
                      <w:rPr>
                        <w:sz w:val="15"/>
                        <w:szCs w:val="15"/>
                      </w:rPr>
                    </w:pPr>
                    <w:r w:rsidRPr="007903C3">
                      <w:rPr>
                        <w:sz w:val="15"/>
                        <w:szCs w:val="15"/>
                      </w:rPr>
                      <w:t>少数股东权益</w:t>
                    </w:r>
                  </w:p>
                </w:tc>
                <w:tc>
                  <w:tcPr>
                    <w:tcW w:w="1510" w:type="dxa"/>
                    <w:vMerge w:val="restart"/>
                    <w:vAlign w:val="center"/>
                  </w:tcPr>
                  <w:p w:rsidR="00DE031E" w:rsidRPr="007903C3" w:rsidRDefault="001C1A59" w:rsidP="00DE031E">
                    <w:pPr>
                      <w:jc w:val="center"/>
                      <w:rPr>
                        <w:sz w:val="15"/>
                        <w:szCs w:val="15"/>
                      </w:rPr>
                    </w:pPr>
                    <w:r w:rsidRPr="007903C3">
                      <w:rPr>
                        <w:sz w:val="15"/>
                        <w:szCs w:val="15"/>
                      </w:rPr>
                      <w:t>所有者权益合计</w:t>
                    </w:r>
                  </w:p>
                </w:tc>
              </w:tr>
              <w:tr w:rsidR="00DE031E" w:rsidRPr="007903C3" w:rsidTr="00DE031E">
                <w:trPr>
                  <w:cantSplit/>
                  <w:trHeight w:val="383"/>
                  <w:jc w:val="center"/>
                </w:trPr>
                <w:tc>
                  <w:tcPr>
                    <w:tcW w:w="2552" w:type="dxa"/>
                    <w:vMerge/>
                  </w:tcPr>
                  <w:p w:rsidR="00DE031E" w:rsidRPr="007903C3" w:rsidRDefault="00DE031E" w:rsidP="00DE031E">
                    <w:pPr>
                      <w:snapToGrid w:val="0"/>
                      <w:spacing w:line="240" w:lineRule="atLeast"/>
                      <w:ind w:rightChars="-759" w:right="-1594"/>
                      <w:rPr>
                        <w:sz w:val="15"/>
                        <w:szCs w:val="15"/>
                      </w:rPr>
                    </w:pPr>
                  </w:p>
                </w:tc>
                <w:tc>
                  <w:tcPr>
                    <w:tcW w:w="1511" w:type="dxa"/>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股本</w:t>
                    </w:r>
                  </w:p>
                </w:tc>
                <w:tc>
                  <w:tcPr>
                    <w:tcW w:w="1418" w:type="dxa"/>
                    <w:gridSpan w:val="3"/>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其他权益工具</w:t>
                    </w:r>
                  </w:p>
                </w:tc>
                <w:tc>
                  <w:tcPr>
                    <w:tcW w:w="1559" w:type="dxa"/>
                    <w:vMerge w:val="restart"/>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资本公积</w:t>
                    </w:r>
                  </w:p>
                </w:tc>
                <w:tc>
                  <w:tcPr>
                    <w:tcW w:w="408" w:type="dxa"/>
                    <w:vMerge w:val="restart"/>
                    <w:vAlign w:val="center"/>
                  </w:tcPr>
                  <w:p w:rsidR="00DE031E" w:rsidRPr="007903C3" w:rsidRDefault="001C1A59" w:rsidP="00DE031E">
                    <w:pPr>
                      <w:snapToGrid w:val="0"/>
                      <w:spacing w:line="240" w:lineRule="atLeast"/>
                      <w:jc w:val="center"/>
                      <w:rPr>
                        <w:sz w:val="15"/>
                        <w:szCs w:val="15"/>
                      </w:rPr>
                    </w:pPr>
                    <w:r w:rsidRPr="002113E2">
                      <w:rPr>
                        <w:rFonts w:hint="eastAsia"/>
                        <w:sz w:val="11"/>
                        <w:szCs w:val="15"/>
                      </w:rPr>
                      <w:t>减：库存股</w:t>
                    </w:r>
                  </w:p>
                </w:tc>
                <w:tc>
                  <w:tcPr>
                    <w:tcW w:w="1276" w:type="dxa"/>
                    <w:vMerge w:val="restart"/>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其他综合收益</w:t>
                    </w:r>
                  </w:p>
                </w:tc>
                <w:tc>
                  <w:tcPr>
                    <w:tcW w:w="283" w:type="dxa"/>
                    <w:vMerge w:val="restart"/>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专项储备</w:t>
                    </w:r>
                  </w:p>
                </w:tc>
                <w:tc>
                  <w:tcPr>
                    <w:tcW w:w="1418" w:type="dxa"/>
                    <w:vMerge w:val="restart"/>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盈余公积</w:t>
                    </w:r>
                  </w:p>
                </w:tc>
                <w:tc>
                  <w:tcPr>
                    <w:tcW w:w="1417" w:type="dxa"/>
                    <w:vMerge w:val="restart"/>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一般风险准备</w:t>
                    </w:r>
                  </w:p>
                </w:tc>
                <w:tc>
                  <w:tcPr>
                    <w:tcW w:w="1418" w:type="dxa"/>
                    <w:vMerge w:val="restart"/>
                    <w:vAlign w:val="center"/>
                  </w:tcPr>
                  <w:p w:rsidR="00DE031E" w:rsidRPr="007903C3" w:rsidRDefault="001C1A59" w:rsidP="00DE031E">
                    <w:pPr>
                      <w:snapToGrid w:val="0"/>
                      <w:spacing w:line="240" w:lineRule="atLeast"/>
                      <w:jc w:val="center"/>
                      <w:rPr>
                        <w:sz w:val="15"/>
                        <w:szCs w:val="15"/>
                      </w:rPr>
                    </w:pPr>
                    <w:r w:rsidRPr="007903C3">
                      <w:rPr>
                        <w:rFonts w:hint="eastAsia"/>
                        <w:sz w:val="15"/>
                        <w:szCs w:val="15"/>
                      </w:rPr>
                      <w:t>未分配利润</w:t>
                    </w:r>
                  </w:p>
                </w:tc>
                <w:tc>
                  <w:tcPr>
                    <w:tcW w:w="1275" w:type="dxa"/>
                    <w:vMerge/>
                    <w:vAlign w:val="center"/>
                  </w:tcPr>
                  <w:p w:rsidR="00DE031E" w:rsidRPr="007903C3" w:rsidRDefault="00DE031E" w:rsidP="00DE031E">
                    <w:pPr>
                      <w:jc w:val="center"/>
                      <w:rPr>
                        <w:sz w:val="15"/>
                        <w:szCs w:val="15"/>
                      </w:rPr>
                    </w:pPr>
                  </w:p>
                </w:tc>
                <w:tc>
                  <w:tcPr>
                    <w:tcW w:w="1510" w:type="dxa"/>
                    <w:vMerge/>
                  </w:tcPr>
                  <w:p w:rsidR="00DE031E" w:rsidRPr="007903C3" w:rsidRDefault="00DE031E" w:rsidP="00DE031E">
                    <w:pPr>
                      <w:jc w:val="center"/>
                      <w:rPr>
                        <w:sz w:val="15"/>
                        <w:szCs w:val="15"/>
                      </w:rPr>
                    </w:pPr>
                  </w:p>
                </w:tc>
              </w:tr>
              <w:tr w:rsidR="00DE031E" w:rsidRPr="007903C3" w:rsidTr="00DE031E">
                <w:trPr>
                  <w:cantSplit/>
                  <w:trHeight w:val="303"/>
                  <w:jc w:val="center"/>
                </w:trPr>
                <w:tc>
                  <w:tcPr>
                    <w:tcW w:w="2552" w:type="dxa"/>
                    <w:vMerge/>
                  </w:tcPr>
                  <w:p w:rsidR="00DE031E" w:rsidRPr="007903C3" w:rsidRDefault="00DE031E" w:rsidP="00DE031E">
                    <w:pPr>
                      <w:snapToGrid w:val="0"/>
                      <w:spacing w:line="240" w:lineRule="atLeast"/>
                      <w:ind w:rightChars="-759" w:right="-1594"/>
                      <w:rPr>
                        <w:sz w:val="15"/>
                        <w:szCs w:val="15"/>
                      </w:rPr>
                    </w:pPr>
                  </w:p>
                </w:tc>
                <w:tc>
                  <w:tcPr>
                    <w:tcW w:w="1511" w:type="dxa"/>
                  </w:tcPr>
                  <w:p w:rsidR="00DE031E" w:rsidRPr="007903C3" w:rsidRDefault="00DE031E" w:rsidP="00DE031E">
                    <w:pPr>
                      <w:snapToGrid w:val="0"/>
                      <w:spacing w:line="240" w:lineRule="atLeast"/>
                      <w:jc w:val="center"/>
                      <w:rPr>
                        <w:sz w:val="15"/>
                        <w:szCs w:val="15"/>
                      </w:rPr>
                    </w:pPr>
                  </w:p>
                </w:tc>
                <w:tc>
                  <w:tcPr>
                    <w:tcW w:w="567" w:type="dxa"/>
                    <w:vAlign w:val="center"/>
                  </w:tcPr>
                  <w:p w:rsidR="00DE031E" w:rsidRPr="007903C3" w:rsidRDefault="001C1A59" w:rsidP="00DE031E">
                    <w:pPr>
                      <w:jc w:val="center"/>
                      <w:rPr>
                        <w:sz w:val="15"/>
                        <w:szCs w:val="15"/>
                      </w:rPr>
                    </w:pPr>
                    <w:r w:rsidRPr="007903C3">
                      <w:rPr>
                        <w:rFonts w:hint="eastAsia"/>
                        <w:sz w:val="15"/>
                        <w:szCs w:val="15"/>
                      </w:rPr>
                      <w:t>优先股</w:t>
                    </w:r>
                  </w:p>
                </w:tc>
                <w:tc>
                  <w:tcPr>
                    <w:tcW w:w="567" w:type="dxa"/>
                    <w:vAlign w:val="center"/>
                  </w:tcPr>
                  <w:p w:rsidR="00DE031E" w:rsidRPr="007903C3" w:rsidRDefault="001C1A59" w:rsidP="00DE031E">
                    <w:pPr>
                      <w:jc w:val="center"/>
                      <w:rPr>
                        <w:sz w:val="15"/>
                        <w:szCs w:val="15"/>
                      </w:rPr>
                    </w:pPr>
                    <w:r w:rsidRPr="007903C3">
                      <w:rPr>
                        <w:rFonts w:hint="eastAsia"/>
                        <w:sz w:val="15"/>
                        <w:szCs w:val="15"/>
                      </w:rPr>
                      <w:t>永续债</w:t>
                    </w:r>
                  </w:p>
                </w:tc>
                <w:tc>
                  <w:tcPr>
                    <w:tcW w:w="284" w:type="dxa"/>
                    <w:vAlign w:val="center"/>
                  </w:tcPr>
                  <w:p w:rsidR="00DE031E" w:rsidRPr="007903C3" w:rsidRDefault="001C1A59" w:rsidP="00DE031E">
                    <w:pPr>
                      <w:jc w:val="center"/>
                      <w:rPr>
                        <w:sz w:val="15"/>
                        <w:szCs w:val="15"/>
                      </w:rPr>
                    </w:pPr>
                    <w:r w:rsidRPr="007903C3">
                      <w:rPr>
                        <w:rFonts w:hint="eastAsia"/>
                        <w:sz w:val="15"/>
                        <w:szCs w:val="15"/>
                      </w:rPr>
                      <w:t>其他</w:t>
                    </w:r>
                  </w:p>
                </w:tc>
                <w:tc>
                  <w:tcPr>
                    <w:tcW w:w="1559" w:type="dxa"/>
                    <w:vMerge/>
                  </w:tcPr>
                  <w:p w:rsidR="00DE031E" w:rsidRPr="007903C3" w:rsidRDefault="00DE031E" w:rsidP="00DE031E">
                    <w:pPr>
                      <w:snapToGrid w:val="0"/>
                      <w:spacing w:line="240" w:lineRule="atLeast"/>
                      <w:jc w:val="center"/>
                      <w:rPr>
                        <w:sz w:val="15"/>
                        <w:szCs w:val="15"/>
                      </w:rPr>
                    </w:pPr>
                  </w:p>
                </w:tc>
                <w:tc>
                  <w:tcPr>
                    <w:tcW w:w="408" w:type="dxa"/>
                    <w:vMerge/>
                  </w:tcPr>
                  <w:p w:rsidR="00DE031E" w:rsidRPr="007903C3" w:rsidRDefault="00DE031E" w:rsidP="00DE031E">
                    <w:pPr>
                      <w:snapToGrid w:val="0"/>
                      <w:spacing w:line="240" w:lineRule="atLeast"/>
                      <w:jc w:val="center"/>
                      <w:rPr>
                        <w:sz w:val="15"/>
                        <w:szCs w:val="15"/>
                      </w:rPr>
                    </w:pPr>
                  </w:p>
                </w:tc>
                <w:tc>
                  <w:tcPr>
                    <w:tcW w:w="1276" w:type="dxa"/>
                    <w:vMerge/>
                  </w:tcPr>
                  <w:p w:rsidR="00DE031E" w:rsidRPr="007903C3" w:rsidRDefault="00DE031E" w:rsidP="00DE031E">
                    <w:pPr>
                      <w:snapToGrid w:val="0"/>
                      <w:spacing w:line="240" w:lineRule="atLeast"/>
                      <w:jc w:val="center"/>
                      <w:rPr>
                        <w:sz w:val="15"/>
                        <w:szCs w:val="15"/>
                      </w:rPr>
                    </w:pPr>
                  </w:p>
                </w:tc>
                <w:tc>
                  <w:tcPr>
                    <w:tcW w:w="283" w:type="dxa"/>
                    <w:vMerge/>
                  </w:tcPr>
                  <w:p w:rsidR="00DE031E" w:rsidRPr="007903C3" w:rsidRDefault="00DE031E" w:rsidP="00DE031E">
                    <w:pPr>
                      <w:snapToGrid w:val="0"/>
                      <w:spacing w:line="240" w:lineRule="atLeast"/>
                      <w:jc w:val="center"/>
                      <w:rPr>
                        <w:sz w:val="15"/>
                        <w:szCs w:val="15"/>
                      </w:rPr>
                    </w:pPr>
                  </w:p>
                </w:tc>
                <w:tc>
                  <w:tcPr>
                    <w:tcW w:w="1418" w:type="dxa"/>
                    <w:vMerge/>
                  </w:tcPr>
                  <w:p w:rsidR="00DE031E" w:rsidRPr="007903C3" w:rsidRDefault="00DE031E" w:rsidP="00DE031E">
                    <w:pPr>
                      <w:snapToGrid w:val="0"/>
                      <w:spacing w:line="240" w:lineRule="atLeast"/>
                      <w:jc w:val="center"/>
                      <w:rPr>
                        <w:sz w:val="15"/>
                        <w:szCs w:val="15"/>
                      </w:rPr>
                    </w:pPr>
                  </w:p>
                </w:tc>
                <w:tc>
                  <w:tcPr>
                    <w:tcW w:w="1417" w:type="dxa"/>
                    <w:vMerge/>
                  </w:tcPr>
                  <w:p w:rsidR="00DE031E" w:rsidRPr="007903C3" w:rsidRDefault="00DE031E" w:rsidP="00DE031E">
                    <w:pPr>
                      <w:snapToGrid w:val="0"/>
                      <w:spacing w:line="240" w:lineRule="atLeast"/>
                      <w:jc w:val="center"/>
                      <w:rPr>
                        <w:sz w:val="15"/>
                        <w:szCs w:val="15"/>
                      </w:rPr>
                    </w:pPr>
                  </w:p>
                </w:tc>
                <w:tc>
                  <w:tcPr>
                    <w:tcW w:w="1418" w:type="dxa"/>
                    <w:vMerge/>
                  </w:tcPr>
                  <w:p w:rsidR="00DE031E" w:rsidRPr="007903C3" w:rsidRDefault="00DE031E" w:rsidP="00DE031E">
                    <w:pPr>
                      <w:snapToGrid w:val="0"/>
                      <w:spacing w:line="240" w:lineRule="atLeast"/>
                      <w:jc w:val="center"/>
                      <w:rPr>
                        <w:sz w:val="15"/>
                        <w:szCs w:val="15"/>
                      </w:rPr>
                    </w:pPr>
                  </w:p>
                </w:tc>
                <w:tc>
                  <w:tcPr>
                    <w:tcW w:w="1275" w:type="dxa"/>
                    <w:vMerge/>
                  </w:tcPr>
                  <w:p w:rsidR="00DE031E" w:rsidRPr="007903C3" w:rsidRDefault="00DE031E" w:rsidP="00DE031E">
                    <w:pPr>
                      <w:jc w:val="center"/>
                      <w:rPr>
                        <w:sz w:val="15"/>
                        <w:szCs w:val="15"/>
                      </w:rPr>
                    </w:pPr>
                  </w:p>
                </w:tc>
                <w:tc>
                  <w:tcPr>
                    <w:tcW w:w="1510" w:type="dxa"/>
                    <w:vMerge/>
                    <w:tcBorders>
                      <w:bottom w:val="nil"/>
                    </w:tcBorders>
                  </w:tcPr>
                  <w:p w:rsidR="00DE031E" w:rsidRPr="007903C3" w:rsidRDefault="00DE031E" w:rsidP="00DE031E">
                    <w:pPr>
                      <w:jc w:val="center"/>
                      <w:rPr>
                        <w:sz w:val="15"/>
                        <w:szCs w:val="15"/>
                      </w:rPr>
                    </w:pPr>
                  </w:p>
                </w:tc>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一、上年</w:t>
                    </w:r>
                    <w:r w:rsidRPr="007903C3">
                      <w:rPr>
                        <w:rFonts w:hint="eastAsia"/>
                        <w:sz w:val="15"/>
                        <w:szCs w:val="15"/>
                      </w:rPr>
                      <w:t>期</w:t>
                    </w:r>
                    <w:r w:rsidRPr="007903C3">
                      <w:rPr>
                        <w:sz w:val="15"/>
                        <w:szCs w:val="15"/>
                      </w:rPr>
                      <w:t>末余额</w:t>
                    </w:r>
                  </w:p>
                </w:tc>
                <w:sdt>
                  <w:sdtPr>
                    <w:rPr>
                      <w:sz w:val="15"/>
                      <w:szCs w:val="15"/>
                    </w:rPr>
                    <w:alias w:val="股本"/>
                    <w:tag w:val="_GBC_854da413fe924f06ba45aba97c6c6d89"/>
                    <w:id w:val="24722228"/>
                    <w:lock w:val="sdtLocked"/>
                  </w:sdtPr>
                  <w:sdtContent>
                    <w:tc>
                      <w:tcPr>
                        <w:tcW w:w="1511" w:type="dxa"/>
                      </w:tcPr>
                      <w:p w:rsidR="00DE031E" w:rsidRPr="007903C3" w:rsidRDefault="001C1A59" w:rsidP="00DE031E">
                        <w:pPr>
                          <w:jc w:val="right"/>
                          <w:rPr>
                            <w:sz w:val="15"/>
                            <w:szCs w:val="15"/>
                          </w:rPr>
                        </w:pPr>
                        <w:r w:rsidRPr="007903C3">
                          <w:rPr>
                            <w:sz w:val="15"/>
                            <w:szCs w:val="15"/>
                          </w:rPr>
                          <w:t>4,661,099,829.00</w:t>
                        </w:r>
                      </w:p>
                    </w:tc>
                  </w:sdtContent>
                </w:sdt>
                <w:sdt>
                  <w:sdtPr>
                    <w:rPr>
                      <w:sz w:val="15"/>
                      <w:szCs w:val="15"/>
                    </w:rPr>
                    <w:alias w:val="其他权益工具-其中：优先股"/>
                    <w:tag w:val="_GBC_ad4872ac276749f5af81d57acd57f55d"/>
                    <w:id w:val="24722229"/>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永续债"/>
                    <w:tag w:val="_GBC_3e7185ee538247f89d5dfd647cf45a9b"/>
                    <w:id w:val="24722230"/>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其他"/>
                    <w:tag w:val="_GBC_74cc920a4ff44ae39d1d17b524cabe4f"/>
                    <w:id w:val="24722231"/>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资本公积"/>
                    <w:tag w:val="_GBC_1aba68439b674133b6be2b46109570dd"/>
                    <w:id w:val="24722232"/>
                    <w:lock w:val="sdtLocked"/>
                  </w:sdtPr>
                  <w:sdtContent>
                    <w:tc>
                      <w:tcPr>
                        <w:tcW w:w="1559" w:type="dxa"/>
                      </w:tcPr>
                      <w:p w:rsidR="00DE031E" w:rsidRPr="007903C3" w:rsidRDefault="001C1A59" w:rsidP="00DE031E">
                        <w:pPr>
                          <w:jc w:val="right"/>
                          <w:rPr>
                            <w:sz w:val="15"/>
                            <w:szCs w:val="15"/>
                          </w:rPr>
                        </w:pPr>
                        <w:r w:rsidRPr="007903C3">
                          <w:rPr>
                            <w:sz w:val="15"/>
                            <w:szCs w:val="15"/>
                          </w:rPr>
                          <w:t>9,449,176,567.87</w:t>
                        </w:r>
                      </w:p>
                    </w:tc>
                  </w:sdtContent>
                </w:sdt>
                <w:sdt>
                  <w:sdtPr>
                    <w:rPr>
                      <w:sz w:val="15"/>
                      <w:szCs w:val="15"/>
                    </w:rPr>
                    <w:alias w:val="库存股"/>
                    <w:tag w:val="_GBC_6f24df6985a64059a57204a19895fd1f"/>
                    <w:id w:val="24722233"/>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综合收益（资产负债表项目）"/>
                    <w:tag w:val="_GBC_3e651d41ec724e9cbf5773b5eee4cc2a"/>
                    <w:id w:val="24722234"/>
                    <w:lock w:val="sdtLocked"/>
                  </w:sdtPr>
                  <w:sdtContent>
                    <w:tc>
                      <w:tcPr>
                        <w:tcW w:w="1276" w:type="dxa"/>
                      </w:tcPr>
                      <w:p w:rsidR="00DE031E" w:rsidRPr="007903C3" w:rsidRDefault="001C1A59" w:rsidP="00DE031E">
                        <w:pPr>
                          <w:jc w:val="right"/>
                          <w:rPr>
                            <w:sz w:val="15"/>
                            <w:szCs w:val="15"/>
                          </w:rPr>
                        </w:pPr>
                        <w:r w:rsidRPr="007903C3">
                          <w:rPr>
                            <w:sz w:val="15"/>
                            <w:szCs w:val="15"/>
                          </w:rPr>
                          <w:t>-328,813,741.19</w:t>
                        </w:r>
                      </w:p>
                    </w:tc>
                  </w:sdtContent>
                </w:sdt>
                <w:sdt>
                  <w:sdtPr>
                    <w:rPr>
                      <w:sz w:val="15"/>
                      <w:szCs w:val="15"/>
                    </w:rPr>
                    <w:alias w:val="专项储备"/>
                    <w:tag w:val="_GBC_62deeb3aba5643628767e8b201e91104"/>
                    <w:id w:val="24722235"/>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盈余公积"/>
                    <w:tag w:val="_GBC_c156702204e34a5f90fb1ebe40f90907"/>
                    <w:id w:val="24722236"/>
                    <w:lock w:val="sdtLocked"/>
                  </w:sdtPr>
                  <w:sdtContent>
                    <w:tc>
                      <w:tcPr>
                        <w:tcW w:w="1418" w:type="dxa"/>
                      </w:tcPr>
                      <w:p w:rsidR="00DE031E" w:rsidRPr="007903C3" w:rsidRDefault="001C1A59" w:rsidP="00DE031E">
                        <w:pPr>
                          <w:jc w:val="right"/>
                          <w:rPr>
                            <w:sz w:val="15"/>
                            <w:szCs w:val="15"/>
                          </w:rPr>
                        </w:pPr>
                        <w:r w:rsidRPr="007903C3">
                          <w:rPr>
                            <w:sz w:val="15"/>
                            <w:szCs w:val="15"/>
                          </w:rPr>
                          <w:t>2,025,918,119.83</w:t>
                        </w:r>
                      </w:p>
                    </w:tc>
                  </w:sdtContent>
                </w:sdt>
                <w:sdt>
                  <w:sdtPr>
                    <w:rPr>
                      <w:sz w:val="15"/>
                      <w:szCs w:val="15"/>
                    </w:rPr>
                    <w:alias w:val="一般风险准备"/>
                    <w:tag w:val="_GBC_77d988a76f2b4a59b1e8e51e04ca4865"/>
                    <w:id w:val="24722237"/>
                    <w:lock w:val="sdtLocked"/>
                  </w:sdtPr>
                  <w:sdtContent>
                    <w:tc>
                      <w:tcPr>
                        <w:tcW w:w="1417" w:type="dxa"/>
                      </w:tcPr>
                      <w:p w:rsidR="00DE031E" w:rsidRPr="007903C3" w:rsidRDefault="001C1A59" w:rsidP="00DE031E">
                        <w:pPr>
                          <w:jc w:val="right"/>
                          <w:rPr>
                            <w:sz w:val="15"/>
                            <w:szCs w:val="15"/>
                          </w:rPr>
                        </w:pPr>
                        <w:r w:rsidRPr="007903C3">
                          <w:rPr>
                            <w:sz w:val="15"/>
                            <w:szCs w:val="15"/>
                          </w:rPr>
                          <w:t>3,923,023,233.10</w:t>
                        </w:r>
                      </w:p>
                    </w:tc>
                  </w:sdtContent>
                </w:sdt>
                <w:sdt>
                  <w:sdtPr>
                    <w:rPr>
                      <w:sz w:val="15"/>
                      <w:szCs w:val="15"/>
                    </w:rPr>
                    <w:alias w:val="未分配利润"/>
                    <w:tag w:val="_GBC_3acca1b87ed54de8b386610e5ba1421a"/>
                    <w:id w:val="24722238"/>
                    <w:lock w:val="sdtLocked"/>
                  </w:sdtPr>
                  <w:sdtContent>
                    <w:tc>
                      <w:tcPr>
                        <w:tcW w:w="1418" w:type="dxa"/>
                      </w:tcPr>
                      <w:p w:rsidR="00DE031E" w:rsidRPr="007903C3" w:rsidRDefault="001C1A59" w:rsidP="00DE031E">
                        <w:pPr>
                          <w:jc w:val="right"/>
                          <w:rPr>
                            <w:sz w:val="15"/>
                            <w:szCs w:val="15"/>
                          </w:rPr>
                        </w:pPr>
                        <w:r w:rsidRPr="007903C3">
                          <w:rPr>
                            <w:sz w:val="15"/>
                            <w:szCs w:val="15"/>
                          </w:rPr>
                          <w:t>7,428,911,981.62</w:t>
                        </w:r>
                      </w:p>
                    </w:tc>
                  </w:sdtContent>
                </w:sdt>
                <w:sdt>
                  <w:sdtPr>
                    <w:rPr>
                      <w:sz w:val="15"/>
                      <w:szCs w:val="15"/>
                    </w:rPr>
                    <w:alias w:val="少数股东权益"/>
                    <w:tag w:val="_GBC_ec150e53d92249d0b1f4a0e82e553323"/>
                    <w:id w:val="24722239"/>
                    <w:lock w:val="sdtLocked"/>
                  </w:sdtPr>
                  <w:sdtContent>
                    <w:tc>
                      <w:tcPr>
                        <w:tcW w:w="1275" w:type="dxa"/>
                      </w:tcPr>
                      <w:p w:rsidR="00DE031E" w:rsidRPr="007903C3" w:rsidRDefault="001C1A59" w:rsidP="00DE031E">
                        <w:pPr>
                          <w:jc w:val="right"/>
                          <w:rPr>
                            <w:sz w:val="15"/>
                            <w:szCs w:val="15"/>
                          </w:rPr>
                        </w:pPr>
                        <w:r w:rsidRPr="007903C3">
                          <w:rPr>
                            <w:sz w:val="15"/>
                            <w:szCs w:val="15"/>
                          </w:rPr>
                          <w:t>25,064,462.02</w:t>
                        </w:r>
                      </w:p>
                    </w:tc>
                  </w:sdtContent>
                </w:sdt>
                <w:sdt>
                  <w:sdtPr>
                    <w:rPr>
                      <w:sz w:val="15"/>
                      <w:szCs w:val="15"/>
                    </w:rPr>
                    <w:alias w:val="股东权益合计"/>
                    <w:tag w:val="_GBC_033de45e41ec4383b5ed95d4561fbf12"/>
                    <w:id w:val="24722240"/>
                    <w:lock w:val="sdtLocked"/>
                  </w:sdtPr>
                  <w:sdtContent>
                    <w:tc>
                      <w:tcPr>
                        <w:tcW w:w="1510" w:type="dxa"/>
                      </w:tcPr>
                      <w:p w:rsidR="00DE031E" w:rsidRPr="007903C3" w:rsidRDefault="001C1A59" w:rsidP="00DE031E">
                        <w:pPr>
                          <w:jc w:val="right"/>
                          <w:rPr>
                            <w:sz w:val="15"/>
                            <w:szCs w:val="15"/>
                          </w:rPr>
                        </w:pPr>
                        <w:r w:rsidRPr="007903C3">
                          <w:rPr>
                            <w:sz w:val="15"/>
                            <w:szCs w:val="15"/>
                          </w:rPr>
                          <w:t>27,184,380,452.25</w:t>
                        </w: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加：</w:t>
                    </w:r>
                    <w:r w:rsidRPr="007903C3">
                      <w:rPr>
                        <w:sz w:val="15"/>
                        <w:szCs w:val="15"/>
                      </w:rPr>
                      <w:t>会计政策变更</w:t>
                    </w:r>
                  </w:p>
                </w:tc>
                <w:sdt>
                  <w:sdtPr>
                    <w:rPr>
                      <w:sz w:val="15"/>
                      <w:szCs w:val="15"/>
                    </w:rPr>
                    <w:alias w:val="会计政策变更导致实收资本（或股本）净额变动金额"/>
                    <w:tag w:val="_GBC_7f5d706b6e554275b4e679668e44ad68"/>
                    <w:id w:val="24722241"/>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会计政策变更导致优先股变动金额"/>
                    <w:tag w:val="_GBC_7899d33038c14b1fb9d605f9129aee2b"/>
                    <w:id w:val="24722242"/>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会计政策变更导致永续债变动金额"/>
                    <w:tag w:val="_GBC_52519b8c6e3c46829364cb4f010d4848"/>
                    <w:id w:val="24722243"/>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会计政策变更导致其他权益工具中的其他变动金额"/>
                    <w:tag w:val="_GBC_7b4cebdeeb6a4bd09e6a469300de95b3"/>
                    <w:id w:val="24722244"/>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会计政策变更导致资本公积变动金额"/>
                    <w:tag w:val="_GBC_ab28fbce9bec45c589f0d28a0b72b8fd"/>
                    <w:id w:val="24722245"/>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会计政策变更导致库存股变动金额"/>
                    <w:tag w:val="_GBC_ee6bf7ce1f7c483fae4ce9ea7607be5c"/>
                    <w:id w:val="24722246"/>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会计政策变更导致其他综合收益变动金额"/>
                    <w:tag w:val="_GBC_55e24e8177864d2d9629ef6c2ce846dc"/>
                    <w:id w:val="24722247"/>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会计政策变更导致专项储备变动金额"/>
                    <w:tag w:val="_GBC_315baefe38274582aae1855022c44523"/>
                    <w:id w:val="24722248"/>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会计政策变更导致盈余公积变动金额"/>
                    <w:tag w:val="_GBC_581208ae8fef49dea71cc91814498d9e"/>
                    <w:id w:val="24722249"/>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会计政策变更导致一般风险准备变动金额"/>
                    <w:tag w:val="_GBC_b9a7c0a0ac5e4383a43e79bf2417c1e7"/>
                    <w:id w:val="24722250"/>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会计政策变更导致未分配利润变动金额"/>
                    <w:tag w:val="_GBC_2ccdcf3e8e2148be9e5a91bf57c58e35"/>
                    <w:id w:val="24722251"/>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会计政策变更导致少数股东权益变动金额"/>
                    <w:tag w:val="_GBC_ffdb436b9fcf434a8804c4938099c565"/>
                    <w:id w:val="24722252"/>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会计政策变更导致股东权益合计变动金额"/>
                    <w:tag w:val="_GBC_32d2dd3af6474a90a5453421be1a0883"/>
                    <w:id w:val="24722253"/>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ind w:firstLineChars="200" w:firstLine="300"/>
                      <w:rPr>
                        <w:sz w:val="15"/>
                        <w:szCs w:val="15"/>
                      </w:rPr>
                    </w:pPr>
                    <w:r w:rsidRPr="007903C3">
                      <w:rPr>
                        <w:sz w:val="15"/>
                        <w:szCs w:val="15"/>
                      </w:rPr>
                      <w:t>前期差错更正</w:t>
                    </w:r>
                  </w:p>
                </w:tc>
                <w:sdt>
                  <w:sdtPr>
                    <w:rPr>
                      <w:sz w:val="15"/>
                      <w:szCs w:val="15"/>
                    </w:rPr>
                    <w:alias w:val="前期差错更正导致实收资本（或股本）净额变动金额"/>
                    <w:tag w:val="_GBC_e5331680faaa41dea7ca228a155e9ea7"/>
                    <w:id w:val="24722254"/>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前期差错更正导致优先股变动金额"/>
                    <w:tag w:val="_GBC_2fa2f65644a9411a801969255f2cd68c"/>
                    <w:id w:val="24722255"/>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前期差错更正导致永续债变动金额"/>
                    <w:tag w:val="_GBC_77a080aa9dd0493193367b74093001a5"/>
                    <w:id w:val="24722256"/>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前期差错更正导致其他权益工具中的其他变动金额"/>
                    <w:tag w:val="_GBC_dcf60019f2ae4d1392f562f4ba6e4b86"/>
                    <w:id w:val="24722257"/>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前期差错更正导致资本公积变动金额"/>
                    <w:tag w:val="_GBC_87e7e99031c5437294b2bcdc83a86ec7"/>
                    <w:id w:val="24722258"/>
                    <w:lock w:val="sdtLocked"/>
                    <w:showingPlcHdr/>
                  </w:sdtPr>
                  <w:sdtContent>
                    <w:tc>
                      <w:tcPr>
                        <w:tcW w:w="1559" w:type="dxa"/>
                      </w:tcPr>
                      <w:p w:rsidR="00DE031E" w:rsidRPr="007903C3" w:rsidRDefault="00DE031E" w:rsidP="00DE031E">
                        <w:pPr>
                          <w:jc w:val="right"/>
                          <w:rPr>
                            <w:sz w:val="15"/>
                            <w:szCs w:val="15"/>
                          </w:rPr>
                        </w:pPr>
                      </w:p>
                    </w:tc>
                  </w:sdtContent>
                </w:sdt>
                <w:sdt>
                  <w:sdtPr>
                    <w:rPr>
                      <w:sz w:val="15"/>
                      <w:szCs w:val="15"/>
                    </w:rPr>
                    <w:alias w:val="前期差错更正导致库存股变动金额"/>
                    <w:tag w:val="_GBC_5f199f3da1754e1cae4ebd100bcd4377"/>
                    <w:id w:val="24722259"/>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前期差错更正导致其他综合收益变动金额"/>
                    <w:tag w:val="_GBC_c2ea62073a494f7f980d9015df9f45b8"/>
                    <w:id w:val="24722260"/>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前期差错更正导致专项储备变动金额"/>
                    <w:tag w:val="_GBC_db2bd14f7f49435295daf03d80b9d402"/>
                    <w:id w:val="24722261"/>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前期差错更正导致盈余公积变动金额"/>
                    <w:tag w:val="_GBC_abce7751a5d447648dede0f29c643ab3"/>
                    <w:id w:val="24722262"/>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前期差错更正导致一般风险准备变动金额"/>
                    <w:tag w:val="_GBC_4616d57b213b44ae9ba6bfe9ef47efe6"/>
                    <w:id w:val="24722263"/>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前期差错更正导致未分配利润变动金额"/>
                    <w:tag w:val="_GBC_3a41bcbe6fa64179bedea959f8348e0a"/>
                    <w:id w:val="24722264"/>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前期差错更正导致少数股东权益变动金额"/>
                    <w:tag w:val="_GBC_9d01be09200a4ee6b302ddf3d2788b12"/>
                    <w:id w:val="24722265"/>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前期差错更正导致股东权益合计变动金额"/>
                    <w:tag w:val="_GBC_931ae19a17ed4527bc05ce36cd703491"/>
                    <w:id w:val="24722266"/>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ind w:firstLineChars="200" w:firstLine="300"/>
                      <w:rPr>
                        <w:sz w:val="15"/>
                        <w:szCs w:val="15"/>
                      </w:rPr>
                    </w:pPr>
                    <w:r w:rsidRPr="007903C3">
                      <w:rPr>
                        <w:rFonts w:hint="eastAsia"/>
                        <w:sz w:val="15"/>
                        <w:szCs w:val="15"/>
                      </w:rPr>
                      <w:t>同一控制下企业合并</w:t>
                    </w:r>
                  </w:p>
                </w:tc>
                <w:sdt>
                  <w:sdtPr>
                    <w:rPr>
                      <w:sz w:val="15"/>
                      <w:szCs w:val="15"/>
                    </w:rPr>
                    <w:alias w:val="同一控制下企业合并导致股本变动金额"/>
                    <w:tag w:val="_GBC_aa30b12bd02745898caad1fa0092e413"/>
                    <w:id w:val="24722267"/>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同一控制下企业合并导致优先股变动金额"/>
                    <w:tag w:val="_GBC_f22ad34b8209441a972cf2e91d6b7a52"/>
                    <w:id w:val="24722268"/>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同一控制下企业合并导致永续债变动金额"/>
                    <w:tag w:val="_GBC_81cac3539a2048ab96859a2b51148ea8"/>
                    <w:id w:val="24722269"/>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同一控制下企业合并导致其他权益工具中的其他变动金额"/>
                    <w:tag w:val="_GBC_f1e906e410fb4566b1ea0e233beb8969"/>
                    <w:id w:val="24722270"/>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同一控制下企业合并导致资本公积变动金额"/>
                    <w:tag w:val="_GBC_5e7aa23ff0b64cedb003dfbe2e9e84fb"/>
                    <w:id w:val="24722271"/>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同一控制下企业合并导致库存股变动金额"/>
                    <w:tag w:val="_GBC_3141616d179f4c778e185af1763146d7"/>
                    <w:id w:val="24722272"/>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同一控制下企业合并导致其他综合收益变动金额"/>
                    <w:tag w:val="_GBC_524da2cc9c614a639062c64c6643e4d0"/>
                    <w:id w:val="24722273"/>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同一控制下企业合并导致专项储备变动金额"/>
                    <w:tag w:val="_GBC_ce469aff25724bbcb78f6e89d237b02f"/>
                    <w:id w:val="24722274"/>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同一控制下企业合并导致盈余公积变动金额"/>
                    <w:tag w:val="_GBC_d072a379be5d4963870dae76449b4d3f"/>
                    <w:id w:val="24722275"/>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同一控制下企业合并导致一般风险准备变动金额"/>
                    <w:tag w:val="_GBC_e208f7c02b294465b76b26900fbe0cb3"/>
                    <w:id w:val="24722276"/>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同一控制下企业合并导致未分配利润变动金额"/>
                    <w:tag w:val="_GBC_fb30a058c5834199a895b5927f3bca56"/>
                    <w:id w:val="24722277"/>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同一控制下企业合并导致少数股东权益变动金额"/>
                    <w:tag w:val="_GBC_1126a138949d4ffb96ecd1c53b661652"/>
                    <w:id w:val="24722278"/>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同一控制下企业合并导致股东权益合计变动金额"/>
                    <w:tag w:val="_GBC_2f3ffb52807c45f4aec7fb090b6c79a1"/>
                    <w:id w:val="24722279"/>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ind w:firstLineChars="200" w:firstLine="300"/>
                      <w:rPr>
                        <w:sz w:val="15"/>
                        <w:szCs w:val="15"/>
                      </w:rPr>
                    </w:pPr>
                    <w:r w:rsidRPr="007903C3">
                      <w:rPr>
                        <w:rFonts w:hint="eastAsia"/>
                        <w:sz w:val="15"/>
                        <w:szCs w:val="15"/>
                      </w:rPr>
                      <w:t>其他</w:t>
                    </w:r>
                  </w:p>
                </w:tc>
                <w:sdt>
                  <w:sdtPr>
                    <w:rPr>
                      <w:sz w:val="15"/>
                      <w:szCs w:val="15"/>
                    </w:rPr>
                    <w:alias w:val="实收资本变动金额（其他追溯调整）"/>
                    <w:tag w:val="_GBC_7014747b06a044aca34e63237762e1b6"/>
                    <w:id w:val="24722280"/>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优先股变动金额（其他追溯调整）"/>
                    <w:tag w:val="_GBC_24beb026d74c45669cfca2fb9f153cb9"/>
                    <w:id w:val="24722281"/>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永续债变动金额（其他追溯调整）"/>
                    <w:tag w:val="_GBC_812bf0afa0b04166a0740c4fa37bb7dd"/>
                    <w:id w:val="24722282"/>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中的其他变动金额（其他追溯调整）"/>
                    <w:tag w:val="_GBC_54d2ae2f88c4425abae94ea09d4c26c7"/>
                    <w:id w:val="24722283"/>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资本公积变动金额（其他追溯调整）"/>
                    <w:tag w:val="_GBC_4384133fe2ff4f83b61e108fadb43e9f"/>
                    <w:id w:val="24722284"/>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库存股变动金额（其他追溯调整）"/>
                    <w:tag w:val="_GBC_67ff49fdee894fd5a793fd2d89d470fb"/>
                    <w:id w:val="24722285"/>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综合收益变动金额（其他追溯调整）"/>
                    <w:tag w:val="_GBC_8b8ab63d66594f0d80b084fa688c7d0a"/>
                    <w:id w:val="24722286"/>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专项储备变动金额（其他追溯调整）"/>
                    <w:tag w:val="_GBC_45b7d90f922e4b2a9bf9a575b66b380d"/>
                    <w:id w:val="24722287"/>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盈余公积变动金额（其他追溯调整）"/>
                    <w:tag w:val="_GBC_c6b938cdb4e845298e678ed9e4a0f79e"/>
                    <w:id w:val="24722288"/>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一般风险准备变动金额（其他追溯调整）"/>
                    <w:tag w:val="_GBC_8d529a9cf7814ce5abe0feb46552fce6"/>
                    <w:id w:val="24722289"/>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未分配利润变动金额（其他追溯调整）"/>
                    <w:tag w:val="_GBC_acfdd2563a7c41e78c91352fe7c7a567"/>
                    <w:id w:val="24722290"/>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少数股东权益变动金额（其他追溯调整）"/>
                    <w:tag w:val="_GBC_f14b713f144e4112afbdc5ef3f614e03"/>
                    <w:id w:val="24722291"/>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股东权益变动金额（其他追溯调整）"/>
                    <w:tag w:val="_GBC_43a1f32d85424c1f8a13d76062ec30a3"/>
                    <w:id w:val="24722292"/>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二、本年</w:t>
                    </w:r>
                    <w:r w:rsidRPr="007903C3">
                      <w:rPr>
                        <w:rFonts w:hint="eastAsia"/>
                        <w:sz w:val="15"/>
                        <w:szCs w:val="15"/>
                      </w:rPr>
                      <w:t>期</w:t>
                    </w:r>
                    <w:r w:rsidRPr="007903C3">
                      <w:rPr>
                        <w:sz w:val="15"/>
                        <w:szCs w:val="15"/>
                      </w:rPr>
                      <w:t>初余额</w:t>
                    </w:r>
                  </w:p>
                </w:tc>
                <w:sdt>
                  <w:sdtPr>
                    <w:rPr>
                      <w:sz w:val="15"/>
                      <w:szCs w:val="15"/>
                    </w:rPr>
                    <w:alias w:val="股本"/>
                    <w:tag w:val="_GBC_29228dddf11a4efd93c38283aea99940"/>
                    <w:id w:val="24722293"/>
                    <w:lock w:val="sdtLocked"/>
                  </w:sdtPr>
                  <w:sdtContent>
                    <w:tc>
                      <w:tcPr>
                        <w:tcW w:w="1511" w:type="dxa"/>
                      </w:tcPr>
                      <w:p w:rsidR="00DE031E" w:rsidRPr="007903C3" w:rsidRDefault="001C1A59" w:rsidP="00DE031E">
                        <w:pPr>
                          <w:jc w:val="right"/>
                          <w:rPr>
                            <w:sz w:val="15"/>
                            <w:szCs w:val="15"/>
                          </w:rPr>
                        </w:pPr>
                        <w:r w:rsidRPr="007903C3">
                          <w:rPr>
                            <w:sz w:val="15"/>
                            <w:szCs w:val="15"/>
                          </w:rPr>
                          <w:t>4,661,099,829.00</w:t>
                        </w:r>
                      </w:p>
                    </w:tc>
                  </w:sdtContent>
                </w:sdt>
                <w:sdt>
                  <w:sdtPr>
                    <w:rPr>
                      <w:sz w:val="15"/>
                      <w:szCs w:val="15"/>
                    </w:rPr>
                    <w:alias w:val="其他权益工具-其中：优先股"/>
                    <w:tag w:val="_GBC_586f64de03a3460aabbe5038afe82d0c"/>
                    <w:id w:val="24722294"/>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永续债"/>
                    <w:tag w:val="_GBC_b81e57233ebb43849ad885f8489e5d77"/>
                    <w:id w:val="24722295"/>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其他"/>
                    <w:tag w:val="_GBC_c51d61616db94b14bf5c435dcd246b61"/>
                    <w:id w:val="24722296"/>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资本公积"/>
                    <w:tag w:val="_GBC_020ca31040f14d5b9948f64d91e25197"/>
                    <w:id w:val="24722297"/>
                    <w:lock w:val="sdtLocked"/>
                  </w:sdtPr>
                  <w:sdtContent>
                    <w:tc>
                      <w:tcPr>
                        <w:tcW w:w="1559" w:type="dxa"/>
                      </w:tcPr>
                      <w:p w:rsidR="00DE031E" w:rsidRPr="007903C3" w:rsidRDefault="001C1A59" w:rsidP="00DE031E">
                        <w:pPr>
                          <w:jc w:val="right"/>
                          <w:rPr>
                            <w:sz w:val="15"/>
                            <w:szCs w:val="15"/>
                          </w:rPr>
                        </w:pPr>
                        <w:r w:rsidRPr="007903C3">
                          <w:rPr>
                            <w:sz w:val="15"/>
                            <w:szCs w:val="15"/>
                          </w:rPr>
                          <w:t>9,449,176,567.87</w:t>
                        </w:r>
                      </w:p>
                    </w:tc>
                  </w:sdtContent>
                </w:sdt>
                <w:sdt>
                  <w:sdtPr>
                    <w:rPr>
                      <w:sz w:val="15"/>
                      <w:szCs w:val="15"/>
                    </w:rPr>
                    <w:alias w:val="库存股"/>
                    <w:tag w:val="_GBC_badfefb2a7214eb297083b23774a1f7d"/>
                    <w:id w:val="24722298"/>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综合收益（资产负债表项目）"/>
                    <w:tag w:val="_GBC_edb7266ef45f4da099332297613a98cf"/>
                    <w:id w:val="24722299"/>
                    <w:lock w:val="sdtLocked"/>
                  </w:sdtPr>
                  <w:sdtContent>
                    <w:tc>
                      <w:tcPr>
                        <w:tcW w:w="1276" w:type="dxa"/>
                      </w:tcPr>
                      <w:p w:rsidR="00DE031E" w:rsidRPr="007903C3" w:rsidRDefault="001C1A59" w:rsidP="00DE031E">
                        <w:pPr>
                          <w:jc w:val="right"/>
                          <w:rPr>
                            <w:sz w:val="15"/>
                            <w:szCs w:val="15"/>
                          </w:rPr>
                        </w:pPr>
                        <w:r w:rsidRPr="007903C3">
                          <w:rPr>
                            <w:sz w:val="15"/>
                            <w:szCs w:val="15"/>
                          </w:rPr>
                          <w:t>-328,813,741.19</w:t>
                        </w:r>
                      </w:p>
                    </w:tc>
                  </w:sdtContent>
                </w:sdt>
                <w:sdt>
                  <w:sdtPr>
                    <w:rPr>
                      <w:sz w:val="15"/>
                      <w:szCs w:val="15"/>
                    </w:rPr>
                    <w:alias w:val="专项储备"/>
                    <w:tag w:val="_GBC_cdd975d1429e4d7e9a7a3210f7afdb61"/>
                    <w:id w:val="24722300"/>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盈余公积"/>
                    <w:tag w:val="_GBC_2412e5b478a843eb99deba7334d5a181"/>
                    <w:id w:val="24722301"/>
                    <w:lock w:val="sdtLocked"/>
                  </w:sdtPr>
                  <w:sdtContent>
                    <w:tc>
                      <w:tcPr>
                        <w:tcW w:w="1418" w:type="dxa"/>
                      </w:tcPr>
                      <w:p w:rsidR="00DE031E" w:rsidRPr="007903C3" w:rsidRDefault="001C1A59" w:rsidP="00DE031E">
                        <w:pPr>
                          <w:jc w:val="right"/>
                          <w:rPr>
                            <w:sz w:val="15"/>
                            <w:szCs w:val="15"/>
                          </w:rPr>
                        </w:pPr>
                        <w:r w:rsidRPr="007903C3">
                          <w:rPr>
                            <w:sz w:val="15"/>
                            <w:szCs w:val="15"/>
                          </w:rPr>
                          <w:t>2,025,918,119.83</w:t>
                        </w:r>
                      </w:p>
                    </w:tc>
                  </w:sdtContent>
                </w:sdt>
                <w:sdt>
                  <w:sdtPr>
                    <w:rPr>
                      <w:sz w:val="15"/>
                      <w:szCs w:val="15"/>
                    </w:rPr>
                    <w:alias w:val="一般风险准备"/>
                    <w:tag w:val="_GBC_0e21bee450ef463ebe134dfd6a29c056"/>
                    <w:id w:val="24722302"/>
                    <w:lock w:val="sdtLocked"/>
                  </w:sdtPr>
                  <w:sdtContent>
                    <w:tc>
                      <w:tcPr>
                        <w:tcW w:w="1417" w:type="dxa"/>
                      </w:tcPr>
                      <w:p w:rsidR="00DE031E" w:rsidRPr="007903C3" w:rsidRDefault="001C1A59" w:rsidP="00DE031E">
                        <w:pPr>
                          <w:jc w:val="right"/>
                          <w:rPr>
                            <w:sz w:val="15"/>
                            <w:szCs w:val="15"/>
                          </w:rPr>
                        </w:pPr>
                        <w:r w:rsidRPr="007903C3">
                          <w:rPr>
                            <w:sz w:val="15"/>
                            <w:szCs w:val="15"/>
                          </w:rPr>
                          <w:t>3,923,023,233.10</w:t>
                        </w:r>
                      </w:p>
                    </w:tc>
                  </w:sdtContent>
                </w:sdt>
                <w:sdt>
                  <w:sdtPr>
                    <w:rPr>
                      <w:sz w:val="15"/>
                      <w:szCs w:val="15"/>
                    </w:rPr>
                    <w:alias w:val="未分配利润"/>
                    <w:tag w:val="_GBC_b9b83ce3e31743df884eb1e7b063b4b0"/>
                    <w:id w:val="24722303"/>
                    <w:lock w:val="sdtLocked"/>
                  </w:sdtPr>
                  <w:sdtContent>
                    <w:tc>
                      <w:tcPr>
                        <w:tcW w:w="1418" w:type="dxa"/>
                      </w:tcPr>
                      <w:p w:rsidR="00DE031E" w:rsidRPr="007903C3" w:rsidRDefault="001C1A59" w:rsidP="00DE031E">
                        <w:pPr>
                          <w:jc w:val="right"/>
                          <w:rPr>
                            <w:sz w:val="15"/>
                            <w:szCs w:val="15"/>
                          </w:rPr>
                        </w:pPr>
                        <w:r w:rsidRPr="007903C3">
                          <w:rPr>
                            <w:sz w:val="15"/>
                            <w:szCs w:val="15"/>
                          </w:rPr>
                          <w:t>7,428,911,981.62</w:t>
                        </w:r>
                      </w:p>
                    </w:tc>
                  </w:sdtContent>
                </w:sdt>
                <w:sdt>
                  <w:sdtPr>
                    <w:rPr>
                      <w:sz w:val="15"/>
                      <w:szCs w:val="15"/>
                    </w:rPr>
                    <w:alias w:val="少数股东权益"/>
                    <w:tag w:val="_GBC_c64d00e83755454b959523fc682e1cab"/>
                    <w:id w:val="24722304"/>
                    <w:lock w:val="sdtLocked"/>
                  </w:sdtPr>
                  <w:sdtContent>
                    <w:tc>
                      <w:tcPr>
                        <w:tcW w:w="1275" w:type="dxa"/>
                      </w:tcPr>
                      <w:p w:rsidR="00DE031E" w:rsidRPr="007903C3" w:rsidRDefault="001C1A59" w:rsidP="00DE031E">
                        <w:pPr>
                          <w:jc w:val="right"/>
                          <w:rPr>
                            <w:sz w:val="15"/>
                            <w:szCs w:val="15"/>
                          </w:rPr>
                        </w:pPr>
                        <w:r w:rsidRPr="007903C3">
                          <w:rPr>
                            <w:sz w:val="15"/>
                            <w:szCs w:val="15"/>
                          </w:rPr>
                          <w:t>25,064,462.02</w:t>
                        </w:r>
                      </w:p>
                    </w:tc>
                  </w:sdtContent>
                </w:sdt>
                <w:sdt>
                  <w:sdtPr>
                    <w:rPr>
                      <w:sz w:val="15"/>
                      <w:szCs w:val="15"/>
                    </w:rPr>
                    <w:alias w:val="股东权益合计"/>
                    <w:tag w:val="_GBC_860a27843b9e4ef492602c60eb2ea0db"/>
                    <w:id w:val="24722305"/>
                    <w:lock w:val="sdtLocked"/>
                  </w:sdtPr>
                  <w:sdtContent>
                    <w:tc>
                      <w:tcPr>
                        <w:tcW w:w="1510" w:type="dxa"/>
                      </w:tcPr>
                      <w:p w:rsidR="00DE031E" w:rsidRPr="007903C3" w:rsidRDefault="001C1A59" w:rsidP="00DE031E">
                        <w:pPr>
                          <w:jc w:val="right"/>
                          <w:rPr>
                            <w:sz w:val="15"/>
                            <w:szCs w:val="15"/>
                          </w:rPr>
                        </w:pPr>
                        <w:r w:rsidRPr="007903C3">
                          <w:rPr>
                            <w:sz w:val="15"/>
                            <w:szCs w:val="15"/>
                          </w:rPr>
                          <w:t>27,184,380,452.25</w:t>
                        </w: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三、本</w:t>
                    </w:r>
                    <w:r w:rsidRPr="007903C3">
                      <w:rPr>
                        <w:rFonts w:hint="eastAsia"/>
                        <w:sz w:val="15"/>
                        <w:szCs w:val="15"/>
                      </w:rPr>
                      <w:t>期</w:t>
                    </w:r>
                    <w:r w:rsidRPr="007903C3">
                      <w:rPr>
                        <w:sz w:val="15"/>
                        <w:szCs w:val="15"/>
                      </w:rPr>
                      <w:t>增减变动金额（减少以“－”号填列）</w:t>
                    </w:r>
                  </w:p>
                </w:tc>
                <w:sdt>
                  <w:sdtPr>
                    <w:rPr>
                      <w:sz w:val="15"/>
                      <w:szCs w:val="15"/>
                    </w:rPr>
                    <w:alias w:val="实收资本（或股本）净额增减变动金额"/>
                    <w:tag w:val="_GBC_cf199cdbf1234f5e8f4d46908bcec27b"/>
                    <w:id w:val="24722306"/>
                    <w:lock w:val="sdtLocked"/>
                  </w:sdtPr>
                  <w:sdtContent>
                    <w:tc>
                      <w:tcPr>
                        <w:tcW w:w="1511" w:type="dxa"/>
                      </w:tcPr>
                      <w:p w:rsidR="00DE031E" w:rsidRPr="007903C3" w:rsidRDefault="001C1A59" w:rsidP="00DE031E">
                        <w:pPr>
                          <w:jc w:val="right"/>
                          <w:rPr>
                            <w:sz w:val="15"/>
                            <w:szCs w:val="15"/>
                          </w:rPr>
                        </w:pPr>
                        <w:r w:rsidRPr="007903C3">
                          <w:rPr>
                            <w:sz w:val="15"/>
                            <w:szCs w:val="15"/>
                          </w:rPr>
                          <w:t>1,147,035,700.00</w:t>
                        </w:r>
                      </w:p>
                    </w:tc>
                  </w:sdtContent>
                </w:sdt>
                <w:sdt>
                  <w:sdtPr>
                    <w:rPr>
                      <w:sz w:val="15"/>
                      <w:szCs w:val="15"/>
                    </w:rPr>
                    <w:alias w:val="其他权益工具中的优先股增减变动金额"/>
                    <w:tag w:val="_GBC_e487e561657e4d7891c17d9705fafff5"/>
                    <w:id w:val="24722307"/>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中的永续债增减变动金额"/>
                    <w:tag w:val="_GBC_ec06f16ff482481a9ff04355a14cd023"/>
                    <w:id w:val="24722308"/>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中的其他增减变动金额"/>
                    <w:tag w:val="_GBC_67cac0a9572e4e76a54e15485eb43f66"/>
                    <w:id w:val="24722309"/>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资本公积增减变动金额"/>
                    <w:tag w:val="_GBC_736145bd6aa14664bfdaa678bc305906"/>
                    <w:id w:val="24722310"/>
                    <w:lock w:val="sdtLocked"/>
                  </w:sdtPr>
                  <w:sdtContent>
                    <w:tc>
                      <w:tcPr>
                        <w:tcW w:w="1559" w:type="dxa"/>
                      </w:tcPr>
                      <w:p w:rsidR="00DE031E" w:rsidRPr="007903C3" w:rsidRDefault="001C1A59" w:rsidP="00DE031E">
                        <w:pPr>
                          <w:jc w:val="right"/>
                          <w:rPr>
                            <w:sz w:val="15"/>
                            <w:szCs w:val="15"/>
                          </w:rPr>
                        </w:pPr>
                        <w:r w:rsidRPr="007903C3">
                          <w:rPr>
                            <w:sz w:val="15"/>
                            <w:szCs w:val="15"/>
                          </w:rPr>
                          <w:t>9,954,700,435.93</w:t>
                        </w:r>
                      </w:p>
                    </w:tc>
                  </w:sdtContent>
                </w:sdt>
                <w:sdt>
                  <w:sdtPr>
                    <w:rPr>
                      <w:sz w:val="15"/>
                      <w:szCs w:val="15"/>
                    </w:rPr>
                    <w:alias w:val="库存股增减变动金额"/>
                    <w:tag w:val="_GBC_66babe9642424a2c84970596d94a14d0"/>
                    <w:id w:val="24722311"/>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综合收益增减变动金额"/>
                    <w:tag w:val="_GBC_67643b420d9e4b668270971e97b41b55"/>
                    <w:id w:val="24722312"/>
                    <w:lock w:val="sdtLocked"/>
                  </w:sdtPr>
                  <w:sdtContent>
                    <w:tc>
                      <w:tcPr>
                        <w:tcW w:w="1276" w:type="dxa"/>
                      </w:tcPr>
                      <w:p w:rsidR="00DE031E" w:rsidRPr="007903C3" w:rsidRDefault="001C1A59" w:rsidP="00DE031E">
                        <w:pPr>
                          <w:jc w:val="right"/>
                          <w:rPr>
                            <w:sz w:val="15"/>
                            <w:szCs w:val="15"/>
                          </w:rPr>
                        </w:pPr>
                        <w:r w:rsidRPr="007903C3">
                          <w:rPr>
                            <w:sz w:val="15"/>
                            <w:szCs w:val="15"/>
                          </w:rPr>
                          <w:t>265,268,696.19</w:t>
                        </w:r>
                      </w:p>
                    </w:tc>
                  </w:sdtContent>
                </w:sdt>
                <w:sdt>
                  <w:sdtPr>
                    <w:rPr>
                      <w:sz w:val="15"/>
                      <w:szCs w:val="15"/>
                    </w:rPr>
                    <w:alias w:val="专项储备增减变动金额"/>
                    <w:tag w:val="_GBC_9ab4b6e8029c43fbb6ea9cfc45c1b327"/>
                    <w:id w:val="24722313"/>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盈余公积增减变动金额"/>
                    <w:tag w:val="_GBC_990b5aca47c440d38da9e89e7e1fd651"/>
                    <w:id w:val="24722314"/>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一般风险准备增减变动金额"/>
                    <w:tag w:val="_GBC_b2d1e21a3bb6495b8c9f810fbb8e2730"/>
                    <w:id w:val="24722315"/>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未分配利润增减变动金额"/>
                    <w:tag w:val="_GBC_cd64648544fe4e228ff6d9074578f3e0"/>
                    <w:id w:val="24722316"/>
                    <w:lock w:val="sdtLocked"/>
                  </w:sdtPr>
                  <w:sdtContent>
                    <w:tc>
                      <w:tcPr>
                        <w:tcW w:w="1418" w:type="dxa"/>
                      </w:tcPr>
                      <w:p w:rsidR="00DE031E" w:rsidRPr="007903C3" w:rsidRDefault="001C1A59" w:rsidP="00DE031E">
                        <w:pPr>
                          <w:jc w:val="right"/>
                          <w:rPr>
                            <w:sz w:val="15"/>
                            <w:szCs w:val="15"/>
                          </w:rPr>
                        </w:pPr>
                        <w:r w:rsidRPr="007903C3">
                          <w:rPr>
                            <w:sz w:val="15"/>
                            <w:szCs w:val="15"/>
                          </w:rPr>
                          <w:t>1,364,852,213.40</w:t>
                        </w:r>
                      </w:p>
                    </w:tc>
                  </w:sdtContent>
                </w:sdt>
                <w:sdt>
                  <w:sdtPr>
                    <w:rPr>
                      <w:sz w:val="15"/>
                      <w:szCs w:val="15"/>
                    </w:rPr>
                    <w:alias w:val="少数股东权益增减变动金额"/>
                    <w:tag w:val="_GBC_007653fd381a480694970176f77bf4be"/>
                    <w:id w:val="24722317"/>
                    <w:lock w:val="sdtLocked"/>
                  </w:sdtPr>
                  <w:sdtContent>
                    <w:tc>
                      <w:tcPr>
                        <w:tcW w:w="1275" w:type="dxa"/>
                      </w:tcPr>
                      <w:p w:rsidR="00DE031E" w:rsidRPr="007903C3" w:rsidRDefault="001C1A59" w:rsidP="00DE031E">
                        <w:pPr>
                          <w:jc w:val="right"/>
                          <w:rPr>
                            <w:sz w:val="15"/>
                            <w:szCs w:val="15"/>
                          </w:rPr>
                        </w:pPr>
                        <w:r w:rsidRPr="007903C3">
                          <w:rPr>
                            <w:sz w:val="15"/>
                            <w:szCs w:val="15"/>
                          </w:rPr>
                          <w:t>1,906,025.56</w:t>
                        </w:r>
                      </w:p>
                    </w:tc>
                  </w:sdtContent>
                </w:sdt>
                <w:sdt>
                  <w:sdtPr>
                    <w:rPr>
                      <w:sz w:val="15"/>
                      <w:szCs w:val="15"/>
                    </w:rPr>
                    <w:alias w:val="股东权益合计增减变动金额"/>
                    <w:tag w:val="_GBC_4a83597b27e245c08d1f646b62d9dbb5"/>
                    <w:id w:val="24722318"/>
                    <w:lock w:val="sdtLocked"/>
                  </w:sdtPr>
                  <w:sdtContent>
                    <w:tc>
                      <w:tcPr>
                        <w:tcW w:w="1510" w:type="dxa"/>
                      </w:tcPr>
                      <w:p w:rsidR="00DE031E" w:rsidRPr="007903C3" w:rsidRDefault="001C1A59" w:rsidP="00DE031E">
                        <w:pPr>
                          <w:jc w:val="right"/>
                          <w:rPr>
                            <w:sz w:val="15"/>
                            <w:szCs w:val="15"/>
                          </w:rPr>
                        </w:pPr>
                        <w:r w:rsidRPr="007903C3">
                          <w:rPr>
                            <w:sz w:val="15"/>
                            <w:szCs w:val="15"/>
                          </w:rPr>
                          <w:t>12,733,763,071.08</w:t>
                        </w: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（一）综合收益总额</w:t>
                    </w:r>
                  </w:p>
                </w:tc>
                <w:sdt>
                  <w:sdtPr>
                    <w:rPr>
                      <w:sz w:val="15"/>
                      <w:szCs w:val="15"/>
                    </w:rPr>
                    <w:alias w:val="综合收益总额导致股本变动金额"/>
                    <w:tag w:val="_GBC_c661fdcd7e114bf7bad08bb88fd5f9cd"/>
                    <w:id w:val="24722319"/>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综合收益总额导致优先股变动金额"/>
                    <w:tag w:val="_GBC_1dd02a17a0ed4ae1b337424d46c59589"/>
                    <w:id w:val="24722320"/>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综合收益总额导致永续债变动金额"/>
                    <w:tag w:val="_GBC_44a4c9053ef94e26b6320a345f965a68"/>
                    <w:id w:val="24722321"/>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综合收益总额导致其他权益工具中的其他变动金额"/>
                    <w:tag w:val="_GBC_37c7cdec467b454daefc7bbca597d556"/>
                    <w:id w:val="24722322"/>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综合收益总额导致资本公积变动金额"/>
                    <w:tag w:val="_GBC_bbd680eed5e943a3ba023c53f8dbaef9"/>
                    <w:id w:val="24722323"/>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综合收益总额导致库存股变动金额"/>
                    <w:tag w:val="_GBC_81dba68fd263481b8b9de41fc742f65b"/>
                    <w:id w:val="24722324"/>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综合收益总额导致其他综合收益变动金额"/>
                    <w:tag w:val="_GBC_5d80154a31cc487a8fca2d0795d0767d"/>
                    <w:id w:val="24722325"/>
                    <w:lock w:val="sdtLocked"/>
                  </w:sdtPr>
                  <w:sdtContent>
                    <w:tc>
                      <w:tcPr>
                        <w:tcW w:w="1276" w:type="dxa"/>
                      </w:tcPr>
                      <w:p w:rsidR="00DE031E" w:rsidRPr="007903C3" w:rsidRDefault="001C1A59" w:rsidP="00DE031E">
                        <w:pPr>
                          <w:jc w:val="right"/>
                          <w:rPr>
                            <w:sz w:val="15"/>
                            <w:szCs w:val="15"/>
                          </w:rPr>
                        </w:pPr>
                        <w:r w:rsidRPr="007903C3">
                          <w:rPr>
                            <w:sz w:val="15"/>
                            <w:szCs w:val="15"/>
                          </w:rPr>
                          <w:t>265,268,696.19</w:t>
                        </w:r>
                      </w:p>
                    </w:tc>
                  </w:sdtContent>
                </w:sdt>
                <w:sdt>
                  <w:sdtPr>
                    <w:rPr>
                      <w:sz w:val="15"/>
                      <w:szCs w:val="15"/>
                    </w:rPr>
                    <w:alias w:val="综合收益总额导致专项储备变动金额"/>
                    <w:tag w:val="_GBC_ae8c844cb34845c3b16645d890c60706"/>
                    <w:id w:val="24722326"/>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综合收益总额导致盈余公积变动金额"/>
                    <w:tag w:val="_GBC_10c37d120ee4436587ffa83db6b1e23d"/>
                    <w:id w:val="24722327"/>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综合收益总额导致一般风险准备变动金额"/>
                    <w:tag w:val="_GBC_798a59b239344605a4ba4188c21dc365"/>
                    <w:id w:val="24722328"/>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综合收益总额导致未分配利润变动金额"/>
                    <w:tag w:val="_GBC_9a7816da421b4e1db695bb9cae7c5700"/>
                    <w:id w:val="24722329"/>
                    <w:lock w:val="sdtLocked"/>
                  </w:sdtPr>
                  <w:sdtContent>
                    <w:tc>
                      <w:tcPr>
                        <w:tcW w:w="1418" w:type="dxa"/>
                      </w:tcPr>
                      <w:p w:rsidR="00DE031E" w:rsidRPr="007903C3" w:rsidRDefault="001C1A59" w:rsidP="00DE031E">
                        <w:pPr>
                          <w:jc w:val="right"/>
                          <w:rPr>
                            <w:sz w:val="15"/>
                            <w:szCs w:val="15"/>
                          </w:rPr>
                        </w:pPr>
                        <w:r w:rsidRPr="007903C3">
                          <w:rPr>
                            <w:sz w:val="15"/>
                            <w:szCs w:val="15"/>
                          </w:rPr>
                          <w:t>1,364,852,213.40</w:t>
                        </w:r>
                      </w:p>
                    </w:tc>
                  </w:sdtContent>
                </w:sdt>
                <w:sdt>
                  <w:sdtPr>
                    <w:rPr>
                      <w:sz w:val="15"/>
                      <w:szCs w:val="15"/>
                    </w:rPr>
                    <w:alias w:val="综合收益总额导致少数股东权益变动金额"/>
                    <w:tag w:val="_GBC_2fc71a86b75b4afcbb853fbc9b03ca38"/>
                    <w:id w:val="24722330"/>
                    <w:lock w:val="sdtLocked"/>
                  </w:sdtPr>
                  <w:sdtContent>
                    <w:tc>
                      <w:tcPr>
                        <w:tcW w:w="1275" w:type="dxa"/>
                      </w:tcPr>
                      <w:p w:rsidR="00DE031E" w:rsidRPr="007903C3" w:rsidRDefault="001C1A59" w:rsidP="00DE031E">
                        <w:pPr>
                          <w:jc w:val="right"/>
                          <w:rPr>
                            <w:sz w:val="15"/>
                            <w:szCs w:val="15"/>
                          </w:rPr>
                        </w:pPr>
                        <w:r w:rsidRPr="007903C3">
                          <w:rPr>
                            <w:sz w:val="15"/>
                            <w:szCs w:val="15"/>
                          </w:rPr>
                          <w:t>1,906,025.56</w:t>
                        </w:r>
                      </w:p>
                    </w:tc>
                  </w:sdtContent>
                </w:sdt>
                <w:sdt>
                  <w:sdtPr>
                    <w:rPr>
                      <w:sz w:val="15"/>
                      <w:szCs w:val="15"/>
                    </w:rPr>
                    <w:alias w:val="综合收益总额导致股东权益合计变动金额"/>
                    <w:tag w:val="_GBC_35079ff902314600ae5ae7133bfbad35"/>
                    <w:id w:val="24722331"/>
                    <w:lock w:val="sdtLocked"/>
                  </w:sdtPr>
                  <w:sdtContent>
                    <w:tc>
                      <w:tcPr>
                        <w:tcW w:w="1510" w:type="dxa"/>
                      </w:tcPr>
                      <w:p w:rsidR="00DE031E" w:rsidRPr="007903C3" w:rsidRDefault="001C1A59" w:rsidP="00DE031E">
                        <w:pPr>
                          <w:jc w:val="right"/>
                          <w:rPr>
                            <w:sz w:val="15"/>
                            <w:szCs w:val="15"/>
                          </w:rPr>
                        </w:pPr>
                        <w:r w:rsidRPr="007903C3">
                          <w:rPr>
                            <w:sz w:val="15"/>
                            <w:szCs w:val="15"/>
                          </w:rPr>
                          <w:t>1,632,026,935.15</w:t>
                        </w: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w:t>
                    </w:r>
                    <w:r w:rsidRPr="007903C3">
                      <w:rPr>
                        <w:rFonts w:hint="eastAsia"/>
                        <w:sz w:val="15"/>
                        <w:szCs w:val="15"/>
                      </w:rPr>
                      <w:t>二</w:t>
                    </w:r>
                    <w:r w:rsidRPr="007903C3">
                      <w:rPr>
                        <w:sz w:val="15"/>
                        <w:szCs w:val="15"/>
                      </w:rPr>
                      <w:t>）所有者投入和减少资本</w:t>
                    </w:r>
                  </w:p>
                </w:tc>
                <w:sdt>
                  <w:sdtPr>
                    <w:rPr>
                      <w:sz w:val="15"/>
                      <w:szCs w:val="15"/>
                    </w:rPr>
                    <w:alias w:val="所有者投入和减少资本导致实收资本（或股本）净额变动金额"/>
                    <w:tag w:val="_GBC_c7fc3fe916e2471c95b62a8d5367c414"/>
                    <w:id w:val="24722332"/>
                    <w:lock w:val="sdtLocked"/>
                  </w:sdtPr>
                  <w:sdtContent>
                    <w:tc>
                      <w:tcPr>
                        <w:tcW w:w="1511" w:type="dxa"/>
                      </w:tcPr>
                      <w:p w:rsidR="00DE031E" w:rsidRPr="007903C3" w:rsidRDefault="001C1A59" w:rsidP="00DE031E">
                        <w:pPr>
                          <w:jc w:val="right"/>
                          <w:rPr>
                            <w:sz w:val="15"/>
                            <w:szCs w:val="15"/>
                          </w:rPr>
                        </w:pPr>
                        <w:r w:rsidRPr="007903C3">
                          <w:rPr>
                            <w:sz w:val="15"/>
                            <w:szCs w:val="15"/>
                          </w:rPr>
                          <w:t>1,147,035,700.00</w:t>
                        </w:r>
                      </w:p>
                    </w:tc>
                  </w:sdtContent>
                </w:sdt>
                <w:sdt>
                  <w:sdtPr>
                    <w:rPr>
                      <w:sz w:val="15"/>
                      <w:szCs w:val="15"/>
                    </w:rPr>
                    <w:alias w:val="所有者投入和减少资本导致其他权益工具中的优先股变动金额"/>
                    <w:tag w:val="_GBC_f2fd5f1d6b0f46e6b89d9da4ef8eeab9"/>
                    <w:id w:val="24722333"/>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所有者投入和减少资本导致其他权益工具中的永续债变动金额"/>
                    <w:tag w:val="_GBC_72a4e661636f4e338787c7f11bd6586c"/>
                    <w:id w:val="24722334"/>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所有者投入和减少资本导致其他权益工具中的其他变动金额"/>
                    <w:tag w:val="_GBC_204f09a984ef4e88b8cdb9aea91e2bc4"/>
                    <w:id w:val="24722335"/>
                    <w:lock w:val="sdtLocked"/>
                    <w:showingPlcHdr/>
                  </w:sdtPr>
                  <w:sdtContent>
                    <w:tc>
                      <w:tcPr>
                        <w:tcW w:w="284" w:type="dxa"/>
                      </w:tcPr>
                      <w:p w:rsidR="00DE031E" w:rsidRPr="007903C3" w:rsidRDefault="00DE031E" w:rsidP="00DE031E">
                        <w:pPr>
                          <w:jc w:val="right"/>
                          <w:rPr>
                            <w:sz w:val="15"/>
                            <w:szCs w:val="15"/>
                          </w:rPr>
                        </w:pPr>
                      </w:p>
                    </w:tc>
                  </w:sdtContent>
                </w:sdt>
                <w:sdt>
                  <w:sdtPr>
                    <w:rPr>
                      <w:sz w:val="15"/>
                      <w:szCs w:val="15"/>
                    </w:rPr>
                    <w:alias w:val="所有者投入和减少资本导致资本公积变动金额"/>
                    <w:tag w:val="_GBC_27f982b32106414ba21f8c2c8221f466"/>
                    <w:id w:val="24722336"/>
                    <w:lock w:val="sdtLocked"/>
                  </w:sdtPr>
                  <w:sdtContent>
                    <w:tc>
                      <w:tcPr>
                        <w:tcW w:w="1559" w:type="dxa"/>
                      </w:tcPr>
                      <w:p w:rsidR="00DE031E" w:rsidRPr="007903C3" w:rsidRDefault="001C1A59" w:rsidP="00DE031E">
                        <w:pPr>
                          <w:jc w:val="right"/>
                          <w:rPr>
                            <w:sz w:val="15"/>
                            <w:szCs w:val="15"/>
                          </w:rPr>
                        </w:pPr>
                        <w:r w:rsidRPr="007903C3">
                          <w:rPr>
                            <w:sz w:val="15"/>
                            <w:szCs w:val="15"/>
                          </w:rPr>
                          <w:t>9,954,700,435.93</w:t>
                        </w:r>
                      </w:p>
                    </w:tc>
                  </w:sdtContent>
                </w:sdt>
                <w:sdt>
                  <w:sdtPr>
                    <w:rPr>
                      <w:sz w:val="15"/>
                      <w:szCs w:val="15"/>
                    </w:rPr>
                    <w:alias w:val="所有者投入和减少资本导致库存股变动金额"/>
                    <w:tag w:val="_GBC_4a3aa42e37e848898c76c8c6611623fa"/>
                    <w:id w:val="24722337"/>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所有者投入和减少资本导致其他综合收益变动金额"/>
                    <w:tag w:val="_GBC_7096cd70abb34e0f9affbb8fd00e7f05"/>
                    <w:id w:val="24722338"/>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所有者投入和减少资本导致专项储备变动金额"/>
                    <w:tag w:val="_GBC_8def970b180a4090b169224fb7af132d"/>
                    <w:id w:val="24722339"/>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所有者投入和减少资本导致盈余公积变动金额"/>
                    <w:tag w:val="_GBC_d3805221fe5445a38db6432c15320b3e"/>
                    <w:id w:val="24722340"/>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所有者投入和减少资本导致一般风险准备变动金额"/>
                    <w:tag w:val="_GBC_251d24771e7c47bdac370c6c025c0aae"/>
                    <w:id w:val="24722341"/>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所有者投入和减少资本导致未分配利润变动金额"/>
                    <w:tag w:val="_GBC_d4eb7efa39f147beb4e7af97bf016c83"/>
                    <w:id w:val="24722342"/>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所有者投入和减少资本导致少数股东权益变动金额"/>
                    <w:tag w:val="_GBC_95ae8980eb034b729998b44929073851"/>
                    <w:id w:val="24722343"/>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所有者投入和减少资本导致股东权益合计变动金额"/>
                    <w:tag w:val="_GBC_b95904aab6b142d9a5f15f9617fbebec"/>
                    <w:id w:val="24722344"/>
                    <w:lock w:val="sdtLocked"/>
                  </w:sdtPr>
                  <w:sdtContent>
                    <w:tc>
                      <w:tcPr>
                        <w:tcW w:w="1510" w:type="dxa"/>
                      </w:tcPr>
                      <w:p w:rsidR="00DE031E" w:rsidRPr="007903C3" w:rsidRDefault="001C1A59" w:rsidP="00DE031E">
                        <w:pPr>
                          <w:jc w:val="right"/>
                          <w:rPr>
                            <w:sz w:val="15"/>
                            <w:szCs w:val="15"/>
                          </w:rPr>
                        </w:pPr>
                        <w:r w:rsidRPr="007903C3">
                          <w:rPr>
                            <w:sz w:val="15"/>
                            <w:szCs w:val="15"/>
                          </w:rPr>
                          <w:t>11,101,736,135.93</w:t>
                        </w: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1．股东投入的普通股</w:t>
                    </w:r>
                  </w:p>
                </w:tc>
                <w:sdt>
                  <w:sdtPr>
                    <w:rPr>
                      <w:sz w:val="15"/>
                      <w:szCs w:val="15"/>
                    </w:rPr>
                    <w:alias w:val="股东投入的普通股导致股本变动金额"/>
                    <w:tag w:val="_GBC_33bed2a1b4844d7bbb9ee2e125567606"/>
                    <w:id w:val="24722345"/>
                    <w:lock w:val="sdtLocked"/>
                  </w:sdtPr>
                  <w:sdtContent>
                    <w:tc>
                      <w:tcPr>
                        <w:tcW w:w="1511" w:type="dxa"/>
                      </w:tcPr>
                      <w:p w:rsidR="00DE031E" w:rsidRPr="007903C3" w:rsidRDefault="001C1A59" w:rsidP="00DE031E">
                        <w:pPr>
                          <w:jc w:val="right"/>
                          <w:rPr>
                            <w:sz w:val="15"/>
                            <w:szCs w:val="15"/>
                          </w:rPr>
                        </w:pPr>
                        <w:r w:rsidRPr="007903C3">
                          <w:rPr>
                            <w:sz w:val="15"/>
                            <w:szCs w:val="15"/>
                          </w:rPr>
                          <w:t>1,147,035,700.00</w:t>
                        </w:r>
                      </w:p>
                    </w:tc>
                  </w:sdtContent>
                </w:sdt>
                <w:sdt>
                  <w:sdtPr>
                    <w:rPr>
                      <w:sz w:val="15"/>
                      <w:szCs w:val="15"/>
                    </w:rPr>
                    <w:alias w:val="股东投入的普通股导致优先股变动金额"/>
                    <w:tag w:val="_GBC_ece474705f654d62845b14525ea4791e"/>
                    <w:id w:val="24722346"/>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股东投入的普通股导致永续债变动金额"/>
                    <w:tag w:val="_GBC_21ede649bb76451cb1f041574decf38e"/>
                    <w:id w:val="24722347"/>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股东投入的普通股导致其他权益工具中的其他变动金额"/>
                    <w:tag w:val="_GBC_3a5841258d564d8baadf6c3a762da7cf"/>
                    <w:id w:val="24722348"/>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股东投入的普通股导致资本公积变动金额"/>
                    <w:tag w:val="_GBC_07781c78504542688475a98e4e1b03ea"/>
                    <w:id w:val="24722349"/>
                    <w:lock w:val="sdtLocked"/>
                  </w:sdtPr>
                  <w:sdtContent>
                    <w:tc>
                      <w:tcPr>
                        <w:tcW w:w="1559" w:type="dxa"/>
                      </w:tcPr>
                      <w:p w:rsidR="00DE031E" w:rsidRPr="007903C3" w:rsidRDefault="001C1A59" w:rsidP="00DE031E">
                        <w:pPr>
                          <w:jc w:val="right"/>
                          <w:rPr>
                            <w:sz w:val="15"/>
                            <w:szCs w:val="15"/>
                          </w:rPr>
                        </w:pPr>
                        <w:r w:rsidRPr="007903C3">
                          <w:rPr>
                            <w:sz w:val="15"/>
                            <w:szCs w:val="15"/>
                          </w:rPr>
                          <w:t>9,954,700,435.93</w:t>
                        </w:r>
                      </w:p>
                    </w:tc>
                  </w:sdtContent>
                </w:sdt>
                <w:sdt>
                  <w:sdtPr>
                    <w:rPr>
                      <w:sz w:val="15"/>
                      <w:szCs w:val="15"/>
                    </w:rPr>
                    <w:alias w:val="股东投入的普通股导致库存股变动金额"/>
                    <w:tag w:val="_GBC_46fdbf579d8949c3b1d1d0c24ba09c4e"/>
                    <w:id w:val="24722350"/>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股东投入的普通股导致其他综合收益变动金额"/>
                    <w:tag w:val="_GBC_2a09f7bcced1447db8bee62862c2b326"/>
                    <w:id w:val="24722351"/>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股东投入的普通股导致专项储备变动金额"/>
                    <w:tag w:val="_GBC_e7984aca55a84aabad3e422422da01cf"/>
                    <w:id w:val="24722352"/>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股东投入的普通股导致盈余公积变动金额"/>
                    <w:tag w:val="_GBC_1ada37726e2946538dd9f68eb9692892"/>
                    <w:id w:val="24722353"/>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股东投入的普通股导致一般风险准备变动金额"/>
                    <w:tag w:val="_GBC_0c65e21a9e2b47b29dd7b4f4bf6f777f"/>
                    <w:id w:val="24722354"/>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股东投入的普通股导致未分配利润变动金额"/>
                    <w:tag w:val="_GBC_8072d8f8265c4498a3b35916bb192ac5"/>
                    <w:id w:val="24722355"/>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股东投入的普通股导致少数股东权益变动金额"/>
                    <w:tag w:val="_GBC_4f68fa14c87e4efdb3c757ffa4a86a21"/>
                    <w:id w:val="24722356"/>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股东投入的普通股导致股东权益合计变动金额"/>
                    <w:tag w:val="_GBC_f5a8ff08a2e640569889d2b37e30a3c5"/>
                    <w:id w:val="24722357"/>
                    <w:lock w:val="sdtLocked"/>
                  </w:sdtPr>
                  <w:sdtContent>
                    <w:tc>
                      <w:tcPr>
                        <w:tcW w:w="1510" w:type="dxa"/>
                      </w:tcPr>
                      <w:p w:rsidR="00DE031E" w:rsidRPr="007903C3" w:rsidRDefault="001C1A59" w:rsidP="00DE031E">
                        <w:pPr>
                          <w:jc w:val="right"/>
                          <w:rPr>
                            <w:sz w:val="15"/>
                            <w:szCs w:val="15"/>
                          </w:rPr>
                        </w:pPr>
                        <w:r w:rsidRPr="007903C3">
                          <w:rPr>
                            <w:sz w:val="15"/>
                            <w:szCs w:val="15"/>
                          </w:rPr>
                          <w:t>11,101,736,135.93</w:t>
                        </w: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2．其他权益工具持有者投入资本</w:t>
                    </w:r>
                  </w:p>
                </w:tc>
                <w:sdt>
                  <w:sdtPr>
                    <w:rPr>
                      <w:sz w:val="15"/>
                      <w:szCs w:val="15"/>
                    </w:rPr>
                    <w:alias w:val="其他权益工具持有者投入资本导致股本变动金额"/>
                    <w:tag w:val="_GBC_b1a5eb1cfa38438eb6d14aa9cc5222fd"/>
                    <w:id w:val="24722358"/>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其他权益工具持有者投入资本导致优先股变动金额"/>
                    <w:tag w:val="_GBC_abe6cf963b4b41e798f150e058331131"/>
                    <w:id w:val="24722359"/>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持有者投入资本导致永续债变动金额"/>
                    <w:tag w:val="_GBC_75b6e72e4f2145238acc9ea2ac6f734c"/>
                    <w:id w:val="24722360"/>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持有者投入资本导致其他权益工具中的其他变动金额"/>
                    <w:tag w:val="_GBC_0e9df496bfaf4a42a85df89d7fbb5c87"/>
                    <w:id w:val="24722361"/>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其他权益工具持有者投入资本导致资本公积变动金额"/>
                    <w:tag w:val="_GBC_3feb46c14e4046b4b8f65b0e91739977"/>
                    <w:id w:val="24722362"/>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其他权益工具持有者投入资本导致库存股变动金额"/>
                    <w:tag w:val="_GBC_069db7cbb5a24b13aed89d29ce5ffca7"/>
                    <w:id w:val="24722363"/>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权益工具持有者投入资本导致其他综合收益变动金额"/>
                    <w:tag w:val="_GBC_ef79bfe76ae74fef852fdaf522215abc"/>
                    <w:id w:val="24722364"/>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其他权益工具持有者投入资本导致专项储备变动金额"/>
                    <w:tag w:val="_GBC_073ffff1e6a547fd95d41e7986688671"/>
                    <w:id w:val="24722365"/>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其他权益工具持有者投入资本导致盈余公积变动金额"/>
                    <w:tag w:val="_GBC_0c3360c40a9f4b2096b65d996a0c95ca"/>
                    <w:id w:val="24722366"/>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权益工具持有者投入资本导致一般风险准备变动金额"/>
                    <w:tag w:val="_GBC_f5be6b67989749258183b1cc3d2949b8"/>
                    <w:id w:val="24722367"/>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其他权益工具持有者投入资本导致未分配利润变动金额"/>
                    <w:tag w:val="_GBC_01bbb7b9789a41178cdc55b39937c3cf"/>
                    <w:id w:val="24722368"/>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权益工具持有者投入资本导致少数股东权益变动金额"/>
                    <w:tag w:val="_GBC_2665a645a2194307b4cd29cdcd7b5778"/>
                    <w:id w:val="24722369"/>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其他权益工具持有者投入资本导致股东权益合计变动金额"/>
                    <w:tag w:val="_GBC_868e58d601614fd1863ce77aad5956ed"/>
                    <w:id w:val="24722370"/>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3</w:t>
                    </w:r>
                    <w:r w:rsidRPr="007903C3">
                      <w:rPr>
                        <w:sz w:val="15"/>
                        <w:szCs w:val="15"/>
                      </w:rPr>
                      <w:t>．股份支付计入所有者权益的金额</w:t>
                    </w:r>
                  </w:p>
                </w:tc>
                <w:sdt>
                  <w:sdtPr>
                    <w:rPr>
                      <w:sz w:val="15"/>
                      <w:szCs w:val="15"/>
                    </w:rPr>
                    <w:alias w:val="股份支付计入所有者权益的金额导致实收资本（或股本）净额变动金额"/>
                    <w:tag w:val="_GBC_0d13bc1dd1794b0dbea3b911b9bb8d56"/>
                    <w:id w:val="24722371"/>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股份支付计入所有者权益的金额导致其他权益工具中的优先股变动金额"/>
                    <w:tag w:val="_GBC_f6c4361f32904a10ade1796fa678d7af"/>
                    <w:id w:val="24722372"/>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股份支付计入所有者权益的金额导致其他权益工具中的永续债变动金额"/>
                    <w:tag w:val="_GBC_a0b8948de5ee4d1fac5ad4cf27581069"/>
                    <w:id w:val="24722373"/>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股份支付计入所有者权益的金额导致其他权益工具中的其他变动金额"/>
                    <w:tag w:val="_GBC_940cf225529a45e4ad2ce47e95589d2a"/>
                    <w:id w:val="24722374"/>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股份支付计入所有者权益的金额导致资本公积变动金额"/>
                    <w:tag w:val="_GBC_d05289c942ce48619d4716f188123e92"/>
                    <w:id w:val="24722375"/>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股份支付计入所有者权益的金额导致库存股变动金额"/>
                    <w:tag w:val="_GBC_c2b0ab175e7f41baaf05dd536d0df485"/>
                    <w:id w:val="24722376"/>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股份支付计入所有者权益的金额导致其他综合收益变动金额"/>
                    <w:tag w:val="_GBC_62e63f5038924be7b4cb16ca77dbeb55"/>
                    <w:id w:val="24722377"/>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股份支付计入所有者权益的金额导致专项储备变动金额"/>
                    <w:tag w:val="_GBC_1995ebf5dcdf479f9053d9adc8a06047"/>
                    <w:id w:val="24722378"/>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股份支付计入所有者权益的金额导致盈余公积变动金额"/>
                    <w:tag w:val="_GBC_91deb7784b4f4833a6d29bf6a24e55b1"/>
                    <w:id w:val="24722379"/>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股份支付计入所有者权益的金额导致一般风险准备变动金额"/>
                    <w:tag w:val="_GBC_9f6515c6f95444588764053f6668ea19"/>
                    <w:id w:val="24722380"/>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股份支付计入所有者权益的金额导致未分配利润变动金额"/>
                    <w:tag w:val="_GBC_d7d13917fb1c4c5a84637de8423fa3f8"/>
                    <w:id w:val="24722381"/>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股份支付计入所有者权益的金额导致少数股东权益变动金额"/>
                    <w:tag w:val="_GBC_b312e0b21b524839bc3c5118410ccb47"/>
                    <w:id w:val="24722382"/>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股份支付计入所有者权益的金额导致股东权益合计变动金额"/>
                    <w:tag w:val="_GBC_e19f055a60fe487786be714c34cbe8a4"/>
                    <w:id w:val="24722383"/>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4</w:t>
                    </w:r>
                    <w:r w:rsidRPr="007903C3">
                      <w:rPr>
                        <w:sz w:val="15"/>
                        <w:szCs w:val="15"/>
                      </w:rPr>
                      <w:t>．其他</w:t>
                    </w:r>
                  </w:p>
                </w:tc>
                <w:sdt>
                  <w:sdtPr>
                    <w:rPr>
                      <w:sz w:val="15"/>
                      <w:szCs w:val="15"/>
                    </w:rPr>
                    <w:alias w:val="其他所有者投入和减少资本导致实收资本（或股本）净额变动金额"/>
                    <w:tag w:val="_GBC_77236ae3f7d34d72ad7593afe7f8e30a"/>
                    <w:id w:val="24722384"/>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其他所有者投入和减少资本导致其他权益工具中的优先股变动金额"/>
                    <w:tag w:val="_GBC_cfc7e6a154b1408eb7937b2cf069bc97"/>
                    <w:id w:val="24722385"/>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所有者投入和减少资本导致其他权益工具中的永续债变动金额"/>
                    <w:tag w:val="_GBC_69dc281fa7854fabbd7b3af263704fa4"/>
                    <w:id w:val="24722386"/>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所有者投入和减少资本导致其他权益工具中的其他变动金额"/>
                    <w:tag w:val="_GBC_c71b816e4dea4c9c94c93e34faaed24d"/>
                    <w:id w:val="24722387"/>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其他所有者投入和减少资本导致资本公积变动金额"/>
                    <w:tag w:val="_GBC_a56bf5e426f64c3c8df4b3dc2ff2e39a"/>
                    <w:id w:val="24722388"/>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其他所有者投入和减少资本导致库存股变动金额"/>
                    <w:tag w:val="_GBC_a28a784fe5e041e4aa15f1cd0233e21f"/>
                    <w:id w:val="24722389"/>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所有者投入和减少资本导致其他综合收益变动金额"/>
                    <w:tag w:val="_GBC_0dae0dc02a894eeab53571f5d403eee3"/>
                    <w:id w:val="24722390"/>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其他所有者投入和减少资本导致专项储备变动金额"/>
                    <w:tag w:val="_GBC_5c98fd55c5cd43b4bcd919ff7cb58dec"/>
                    <w:id w:val="24722391"/>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其他所有者投入和减少资本导致盈余公积变动金额"/>
                    <w:tag w:val="_GBC_83fa8b1383724af9a770f9add47d75ad"/>
                    <w:id w:val="24722392"/>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所有者投入和减少资本导致一般风险准备变动金额"/>
                    <w:tag w:val="_GBC_6cdb6306b9de418c8103396395b0fd70"/>
                    <w:id w:val="24722393"/>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其他所有者投入和减少资本导致未分配利润变动金额"/>
                    <w:tag w:val="_GBC_35bf9b4c51a24999b9541842a1e7fb47"/>
                    <w:id w:val="24722394"/>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所有者投入和减少资本导致少数股东权益变动金额"/>
                    <w:tag w:val="_GBC_f6975349d6064c8cb8f0e9ad493edb19"/>
                    <w:id w:val="24722395"/>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其他所有者投入和减少资本导致股东权益合计变动金额"/>
                    <w:tag w:val="_GBC_77a2f11e0e334f3a8413109bca6b93c4"/>
                    <w:id w:val="24722396"/>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w:t>
                    </w:r>
                    <w:r w:rsidRPr="007903C3">
                      <w:rPr>
                        <w:rFonts w:hint="eastAsia"/>
                        <w:sz w:val="15"/>
                        <w:szCs w:val="15"/>
                      </w:rPr>
                      <w:t>三</w:t>
                    </w:r>
                    <w:r w:rsidRPr="007903C3">
                      <w:rPr>
                        <w:sz w:val="15"/>
                        <w:szCs w:val="15"/>
                      </w:rPr>
                      <w:t>）利润分配</w:t>
                    </w:r>
                  </w:p>
                </w:tc>
                <w:sdt>
                  <w:sdtPr>
                    <w:rPr>
                      <w:sz w:val="15"/>
                      <w:szCs w:val="15"/>
                    </w:rPr>
                    <w:alias w:val="利润分配导致实收资本（或股本）净额变动金额"/>
                    <w:tag w:val="_GBC_4515f8c0a02342a0aca3c7b0a872f0ef"/>
                    <w:id w:val="24722397"/>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利润分配导致其他权益工具中的优先股变动金额"/>
                    <w:tag w:val="_GBC_956859598b774427a71069bf915aa0af"/>
                    <w:id w:val="24722398"/>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利润分配导致其他权益工具中的永续债变动金额"/>
                    <w:tag w:val="_GBC_d7713cfd89f64315be3201164767bf11"/>
                    <w:id w:val="24722399"/>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利润分配导致其他权益工具中的其他变动金额"/>
                    <w:tag w:val="_GBC_72d1b237cf074966810021ff3fbb8d42"/>
                    <w:id w:val="24722400"/>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利润分配导致资本公积变动金额"/>
                    <w:tag w:val="_GBC_008b092d0d684a408f45effcaea96ca5"/>
                    <w:id w:val="24722401"/>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利润分配导致库存股变动金额"/>
                    <w:tag w:val="_GBC_ce23bca0342840f9bf622cfe4948a129"/>
                    <w:id w:val="24722402"/>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利润分配导致其他综合收益变动金额"/>
                    <w:tag w:val="_GBC_e01df85347834a428343dfb684e1c4c7"/>
                    <w:id w:val="24722403"/>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利润分配导致专项储备变动金额"/>
                    <w:tag w:val="_GBC_acb34edb816546b8af18f57854b81e27"/>
                    <w:id w:val="24722404"/>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利润分配导致盈余公积变动金额"/>
                    <w:tag w:val="_GBC_4e4cd410b78241f4b33254e9ea8f8b1c"/>
                    <w:id w:val="24722405"/>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利润分配导致一般风险准备变动金额"/>
                    <w:tag w:val="_GBC_f79b60fbbcac4ccf9c170ccaf33af09e"/>
                    <w:id w:val="24722406"/>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利润分配导致未分配利润变动金额"/>
                    <w:tag w:val="_GBC_5fd16629d42c4cea99eac50d26b2c4e7"/>
                    <w:id w:val="24722407"/>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利润分配导致少数股东权益变动金额"/>
                    <w:tag w:val="_GBC_c077661fa975459681fcd2aea86ed54a"/>
                    <w:id w:val="24722408"/>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利润分配导致股东权益合计变动金额"/>
                    <w:tag w:val="_GBC_f08e4d3326054b17bd41e89b661062da"/>
                    <w:id w:val="24722409"/>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1．提取盈余公积</w:t>
                    </w:r>
                  </w:p>
                </w:tc>
                <w:sdt>
                  <w:sdtPr>
                    <w:rPr>
                      <w:sz w:val="15"/>
                      <w:szCs w:val="15"/>
                    </w:rPr>
                    <w:alias w:val="提取盈余公积导致实收资本（或股本）净额变动金额"/>
                    <w:tag w:val="_GBC_1a1e2da95b0342bdb3333ac8cc0ba69e"/>
                    <w:id w:val="24722410"/>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提取盈余公积导致其他权益工具中的优先股变动金额"/>
                    <w:tag w:val="_GBC_2c0185a081f54904a024172b245772c2"/>
                    <w:id w:val="24722411"/>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提取盈余公积导致其他权益工具中的永续债变动金额"/>
                    <w:tag w:val="_GBC_647242c770024c87b5d8f8d119855930"/>
                    <w:id w:val="24722412"/>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提取盈余公积导致其他权益工具中的其他变动金额"/>
                    <w:tag w:val="_GBC_5db6d7e499b5427cb358ef82666e6301"/>
                    <w:id w:val="24722413"/>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提取盈余公积导致资本公积变动金额"/>
                    <w:tag w:val="_GBC_4361e69f7e244529a8e3c5a23b0a59aa"/>
                    <w:id w:val="24722414"/>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提取盈余公积导致库存股变动金额"/>
                    <w:tag w:val="_GBC_5bbbe8175f2d4cb5a5a89823aa0f34f4"/>
                    <w:id w:val="24722415"/>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提取盈余公积导致其他综合收益变动金额"/>
                    <w:tag w:val="_GBC_6a90bbb46a1f48bdae1ad10546519b30"/>
                    <w:id w:val="24722416"/>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提取盈余公积导致专项储备变动金额"/>
                    <w:tag w:val="_GBC_41a0ef917d2d422a892e0489c1da7d25"/>
                    <w:id w:val="24722417"/>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提取盈余公积导致盈余公积变动金额"/>
                    <w:tag w:val="_GBC_ece75f8bc93f48ba9c832a962ce566dd"/>
                    <w:id w:val="24722418"/>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提取盈余公积导致一般风险准备变动金额"/>
                    <w:tag w:val="_GBC_4fc10bd7aa624277955de931ca5cf466"/>
                    <w:id w:val="24722419"/>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提取盈余公积导致未分配利润变动金额"/>
                    <w:tag w:val="_GBC_9f4c0eb53a68448aa9854c664a036d51"/>
                    <w:id w:val="24722420"/>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提取盈余公积导致少数股东权益变动金额"/>
                    <w:tag w:val="_GBC_e2a15bc69f304864b4aa8c783a8bb158"/>
                    <w:id w:val="24722421"/>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提取盈余公积导致股东权益合计变动金额"/>
                    <w:tag w:val="_GBC_2bba713f5edb4ac48d1d71dbcbfdc087"/>
                    <w:id w:val="24722422"/>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2．提取一般风险准备</w:t>
                    </w:r>
                  </w:p>
                </w:tc>
                <w:sdt>
                  <w:sdtPr>
                    <w:rPr>
                      <w:sz w:val="15"/>
                      <w:szCs w:val="15"/>
                    </w:rPr>
                    <w:alias w:val="提取一般风险准备导致实收资本（或股本）净额变动金额"/>
                    <w:tag w:val="_GBC_91c03099aae34863b1ebd047b2e58b29"/>
                    <w:id w:val="24722423"/>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提取一般风险准备导致其他权益工具中的优先股变动金额"/>
                    <w:tag w:val="_GBC_f78a504851994eb0b92a9ef8d6538a41"/>
                    <w:id w:val="24722424"/>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提取一般风险准备导致其他权益工具中的永续债变动金额"/>
                    <w:tag w:val="_GBC_c9e292d79e7b444c8fd6726aff30e22d"/>
                    <w:id w:val="24722425"/>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提取一般风险准备导致其他权益工具中的其他变动金额"/>
                    <w:tag w:val="_GBC_d4b0a5fde3b741e9b15ea49be1b98d08"/>
                    <w:id w:val="24722426"/>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提取一般风险准备导致资本公积变动金额"/>
                    <w:tag w:val="_GBC_b48d36341c104938956909532e0f9b43"/>
                    <w:id w:val="24722427"/>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提取一般风险准备导致库存股变动金额"/>
                    <w:tag w:val="_GBC_9c0d7922c561419db193ddee1fb28873"/>
                    <w:id w:val="24722428"/>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提取一般风险准备导致其他综合收益变动金额"/>
                    <w:tag w:val="_GBC_ccefba20cad44b109650f24edfc0d3a1"/>
                    <w:id w:val="24722429"/>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提取一般风险准备导致专项储备变动金额"/>
                    <w:tag w:val="_GBC_9ecdf9d9702c49bfa0b66e119d2b1930"/>
                    <w:id w:val="24722430"/>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提取一般风险准备导致盈余公积变动金额"/>
                    <w:tag w:val="_GBC_b227bd24600a4f35a1789a27938f6405"/>
                    <w:id w:val="24722431"/>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提取一般风险准备导致一般风险准备变动金额"/>
                    <w:tag w:val="_GBC_46d32b0e7d2a4e9397603b5bedc560e2"/>
                    <w:id w:val="24722432"/>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提取一般风险准备导致未分配利润变动金额"/>
                    <w:tag w:val="_GBC_45c8ea53b192406e895e15ff579136be"/>
                    <w:id w:val="24722433"/>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提取一般风险准备导致少数股东权益变动金额"/>
                    <w:tag w:val="_GBC_e361fff0e6ce465c813143945dda2dd3"/>
                    <w:id w:val="24722434"/>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提取一般风险准备导致股东权益合计变动金额"/>
                    <w:tag w:val="_GBC_cf1b373588044caeacfcbe871e1e2eb9"/>
                    <w:id w:val="24722435"/>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3．对所有者（或股东）的分配</w:t>
                    </w:r>
                  </w:p>
                </w:tc>
                <w:sdt>
                  <w:sdtPr>
                    <w:rPr>
                      <w:sz w:val="15"/>
                      <w:szCs w:val="15"/>
                    </w:rPr>
                    <w:alias w:val="对所有者（或股东）的分配导致实收资本（或股本）净额变动金额"/>
                    <w:tag w:val="_GBC_32020ac097514f7a8963ba3b4645b826"/>
                    <w:id w:val="24722436"/>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对所有者（或股东）的分配导致其他权益工具中的优先股变动金额"/>
                    <w:tag w:val="_GBC_54258a9187c54ee38b628d95c4b057aa"/>
                    <w:id w:val="24722437"/>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对所有者（或股东）的分配导致其他权益工具中的永续债变动金额"/>
                    <w:tag w:val="_GBC_ab01c78c9825407eb678542237da77bf"/>
                    <w:id w:val="24722438"/>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对所有者（或股东）的分配导致其他权益工具中的其他变动金额"/>
                    <w:tag w:val="_GBC_92672d547dd74777897845683645a1a3"/>
                    <w:id w:val="24722439"/>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对所有者（或股东）的分配导致资本公积变动金额"/>
                    <w:tag w:val="_GBC_34381df683e546dd9b9491227d559f95"/>
                    <w:id w:val="24722440"/>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对所有者（或股东）的分配导致库存股变动金额"/>
                    <w:tag w:val="_GBC_e8da057308084b45b62dbbfd52c54f17"/>
                    <w:id w:val="24722441"/>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对所有者（或股东）的分配导致其他综合收益变动金额"/>
                    <w:tag w:val="_GBC_9bf019e64a7c4807a0607fb052654303"/>
                    <w:id w:val="24722442"/>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对所有者（或股东）的分配导致专项储备变动金额"/>
                    <w:tag w:val="_GBC_4f402f03ab9742ba9cfa28d9a7729193"/>
                    <w:id w:val="24722443"/>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对所有者（或股东）的分配导致盈余公积变动金额"/>
                    <w:tag w:val="_GBC_1bb1990740b941f4bc9d8c20569426ce"/>
                    <w:id w:val="24722444"/>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对所有者（或股东）的分配导致一般风险准备变动金额"/>
                    <w:tag w:val="_GBC_b161e8312f574672ab463645755af800"/>
                    <w:id w:val="24722445"/>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对所有者（或股东）的分配导致未分配利润变动金额"/>
                    <w:tag w:val="_GBC_b80b0614977743bd8b26b02da9b526b8"/>
                    <w:id w:val="24722446"/>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对所有者（或股东）的分配导致少数股东权益变动金额"/>
                    <w:tag w:val="_GBC_a675a5bb5e9d4d10abc61dfdd7c4c010"/>
                    <w:id w:val="24722447"/>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对所有者（或股东）的分配导致股东权益合计变动金额"/>
                    <w:tag w:val="_GBC_3f65ad1c22e4411c959fc9537055eaab"/>
                    <w:id w:val="24722448"/>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4．其他</w:t>
                    </w:r>
                  </w:p>
                </w:tc>
                <w:sdt>
                  <w:sdtPr>
                    <w:rPr>
                      <w:sz w:val="15"/>
                      <w:szCs w:val="15"/>
                    </w:rPr>
                    <w:alias w:val="其他利润分配导致实收资本（或股本）净额变动金额"/>
                    <w:tag w:val="_GBC_0312d32d39d54347a05a91a946b5ff54"/>
                    <w:id w:val="24722449"/>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其他利润分配导致其他权益工具中的优先股变动金额"/>
                    <w:tag w:val="_GBC_978700df9b08479793b7c0e1ff711ba5"/>
                    <w:id w:val="24722450"/>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利润分配导致其他权益工具中的永续债变动金额"/>
                    <w:tag w:val="_GBC_be9dd499194847c2a318bb829aac88f8"/>
                    <w:id w:val="24722451"/>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利润分配导致其他权益工具中的其他变动金额"/>
                    <w:tag w:val="_GBC_794a323657624054b83c3482f28b670e"/>
                    <w:id w:val="24722452"/>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其他利润分配导致资本公积变动金额"/>
                    <w:tag w:val="_GBC_304a3d6077a94dcfaaf9456f0dd4b1ce"/>
                    <w:id w:val="24722453"/>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其他利润分配导致库存股变动金额"/>
                    <w:tag w:val="_GBC_491c2ecbf6914094b39f76602649eb44"/>
                    <w:id w:val="24722454"/>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利润分配导致其他综合收益变动金额"/>
                    <w:tag w:val="_GBC_8ecd05736627439487939cbdd49cb1f1"/>
                    <w:id w:val="24722455"/>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其他利润分配导致专项储备变动金额"/>
                    <w:tag w:val="_GBC_8395fed1694b4b42b12e0fc63cd105b6"/>
                    <w:id w:val="24722456"/>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其他利润分配导致盈余公积变动金额"/>
                    <w:tag w:val="_GBC_325ff26a3a754e9d896fe3bdb7714a6e"/>
                    <w:id w:val="24722457"/>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利润分配导致一般风险准备变动金额"/>
                    <w:tag w:val="_GBC_9e12bdcaa28f4dd7be3c5166b6dc8dc0"/>
                    <w:id w:val="24722458"/>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其他利润分配导致未分配利润变动金额"/>
                    <w:tag w:val="_GBC_fa8ef7e9046c4aabb5e6a1a48dcef15c"/>
                    <w:id w:val="24722459"/>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利润分配导致少数股东权益变动金额"/>
                    <w:tag w:val="_GBC_1eade97753574eff93ed64831dd71f4a"/>
                    <w:id w:val="24722460"/>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其他利润分配导致股东权益合计变动金额"/>
                    <w:tag w:val="_GBC_5d0f1c8be61f409cbad0a7ae26baae03"/>
                    <w:id w:val="24722461"/>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w:t>
                    </w:r>
                    <w:r w:rsidRPr="007903C3">
                      <w:rPr>
                        <w:rFonts w:hint="eastAsia"/>
                        <w:sz w:val="15"/>
                        <w:szCs w:val="15"/>
                      </w:rPr>
                      <w:t>四</w:t>
                    </w:r>
                    <w:r w:rsidRPr="007903C3">
                      <w:rPr>
                        <w:sz w:val="15"/>
                        <w:szCs w:val="15"/>
                      </w:rPr>
                      <w:t>）所有者权益内部结转</w:t>
                    </w:r>
                  </w:p>
                </w:tc>
                <w:sdt>
                  <w:sdtPr>
                    <w:rPr>
                      <w:sz w:val="15"/>
                      <w:szCs w:val="15"/>
                    </w:rPr>
                    <w:alias w:val="所有者权益内部结转导致实收资本（或股本）净额变动金额"/>
                    <w:tag w:val="_GBC_2b0ffe66cc714ea89055bc1104efd56a"/>
                    <w:id w:val="24722462"/>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所有者权益内部结转导致其他权益工具中的优先股变动金额"/>
                    <w:tag w:val="_GBC_4d7e3c201d6a41a3b8eb19a7c160b53e"/>
                    <w:id w:val="24722463"/>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所有者权益内部结转导致其他权益工具中的永续债变动金额"/>
                    <w:tag w:val="_GBC_dbc3303ee9ce4d1b9276cdd1b56f3fe8"/>
                    <w:id w:val="24722464"/>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所有者权益内部结转导致其他权益工具中的其他变动金额"/>
                    <w:tag w:val="_GBC_2cab6a74577844ffa81888c227201d9a"/>
                    <w:id w:val="24722465"/>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所有者权益内部结转导致资本公积变动金额"/>
                    <w:tag w:val="_GBC_8531069f916942859721d2903ce54190"/>
                    <w:id w:val="24722466"/>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所有者权益内部结转导致库存股变动金额"/>
                    <w:tag w:val="_GBC_d84a4243b71443ceb6ec3b8b08ee452a"/>
                    <w:id w:val="24722467"/>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所有者权益内部结转导致其他综合收益变动金额"/>
                    <w:tag w:val="_GBC_134b0598c9ab42aba55185cdf9e78b50"/>
                    <w:id w:val="24722468"/>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所有者权益内部结转导致专项储备变动金额"/>
                    <w:tag w:val="_GBC_8e5ba80992e441bb8c20272861e2224c"/>
                    <w:id w:val="24722469"/>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所有者权益内部结转导致盈余公积变动金额"/>
                    <w:tag w:val="_GBC_4b92f2c7718d4b4c808eeae471b3c6f1"/>
                    <w:id w:val="24722470"/>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所有者权益内部结转导致一般风险准备变动金额"/>
                    <w:tag w:val="_GBC_6a41b7ccbd2e40faac2052c7c2728a3c"/>
                    <w:id w:val="24722471"/>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所有者权益内部结转导致未分配利润变动金额"/>
                    <w:tag w:val="_GBC_bac86216fb5c46129a9e923be84c7a9d"/>
                    <w:id w:val="24722472"/>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所有者权益内部结转导致少数股东权益变动金额"/>
                    <w:tag w:val="_GBC_23a9e9fa971245748c261f52782192f7"/>
                    <w:id w:val="24722473"/>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所有者权益内部结转导致股东权益合计变动金额"/>
                    <w:tag w:val="_GBC_1168372e9d604a1caa5cb7314b932bca"/>
                    <w:id w:val="24722474"/>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1．资本公积转增资本（或股本）</w:t>
                    </w:r>
                  </w:p>
                </w:tc>
                <w:sdt>
                  <w:sdtPr>
                    <w:rPr>
                      <w:sz w:val="15"/>
                      <w:szCs w:val="15"/>
                    </w:rPr>
                    <w:alias w:val="资本公积转增资本（或股本）导致实收资本（或股本）净额变动金额"/>
                    <w:tag w:val="_GBC_c2b7c94804a1496fb25cd4c80f163f63"/>
                    <w:id w:val="24722475"/>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资本公积转增资本（或股本）导致其他权益工具中的优先股变动金额"/>
                    <w:tag w:val="_GBC_0dabd275ad304b588a0580e25ac7c1f4"/>
                    <w:id w:val="24722476"/>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资本公积转增资本（或股本）导致其他权益工具中的永续债变动金额"/>
                    <w:tag w:val="_GBC_d2db2b2d4880475faa087bee5180adce"/>
                    <w:id w:val="24722477"/>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资本公积转增资本（或股本）导致其他权益工具中的其他变动金额"/>
                    <w:tag w:val="_GBC_90fdbe20200d4ce38a57bc78b4179e33"/>
                    <w:id w:val="24722478"/>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资本公积转增资本（或股本）导致资本公积变动金额"/>
                    <w:tag w:val="_GBC_49b0561ac2be4c4f8b913eb464fd69f0"/>
                    <w:id w:val="24722479"/>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资本公积转增资本（或股本）导致库存股变动金额"/>
                    <w:tag w:val="_GBC_5f292639998d4ca4a5d5f2221ab070d4"/>
                    <w:id w:val="24722480"/>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资本公积转增资本（或股本）导致其他综合收益变动金额"/>
                    <w:tag w:val="_GBC_6c65e152997a4da39b178d1e4e3c1c67"/>
                    <w:id w:val="24722481"/>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资本公积转增资本（或股本）导致专项储备变动金额"/>
                    <w:tag w:val="_GBC_52bec9e641f541af804b3d6a27362924"/>
                    <w:id w:val="24722482"/>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资本公积转增资本（或股本）导致盈余公积变动金额"/>
                    <w:tag w:val="_GBC_25754c7ba91248509ea6395b18d1bee4"/>
                    <w:id w:val="24722483"/>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资本公积转增资本（或股本）导致一般风险准备变动金额"/>
                    <w:tag w:val="_GBC_b03ae3deeb744acbb67cfb8cf7a1dc1c"/>
                    <w:id w:val="24722484"/>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资本公积转增资本（或股本）导致未分配利润变动金额"/>
                    <w:tag w:val="_GBC_10caad1f059d4ac78f40fb623451eb36"/>
                    <w:id w:val="24722485"/>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资本公积转增资本（或股本）导致少数股东权益变动金额"/>
                    <w:tag w:val="_GBC_cdcbce1641514a97b5c3916f3337aef7"/>
                    <w:id w:val="24722486"/>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资本公积转增资本（或股本）导致股东权益合计变动金额"/>
                    <w:tag w:val="_GBC_6a6f402bf9984f39885cda20be2f7c7f"/>
                    <w:id w:val="24722487"/>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2．盈余公积转增资本（或股本）</w:t>
                    </w:r>
                  </w:p>
                </w:tc>
                <w:sdt>
                  <w:sdtPr>
                    <w:rPr>
                      <w:sz w:val="15"/>
                      <w:szCs w:val="15"/>
                    </w:rPr>
                    <w:alias w:val="盈余公积转增资本（或股本）导致实收资本（或股本）净额变动金额"/>
                    <w:tag w:val="_GBC_d4afb2fffa3f4b0db45f0bbec87c9aed"/>
                    <w:id w:val="24722488"/>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盈余公积转增资本（或股本）导致其他权益工具中的优先股变动金额"/>
                    <w:tag w:val="_GBC_d8a487d9c39c492498de2d3e5740f1db"/>
                    <w:id w:val="24722489"/>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盈余公积转增资本（或股本）导致其他权益工具中的永续债变动金额"/>
                    <w:tag w:val="_GBC_358121a220ba4f769a3280492a09c75c"/>
                    <w:id w:val="24722490"/>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盈余公积转增资本（或股本）导致其他权益工具中的其他变动金额"/>
                    <w:tag w:val="_GBC_89b51079c72f4a85b725717099e539fd"/>
                    <w:id w:val="24722491"/>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盈余公积转增资本（或股本）导致资本公积变动金额"/>
                    <w:tag w:val="_GBC_2d1bb025b29a49ebb09eecfe68dca1b6"/>
                    <w:id w:val="24722492"/>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盈余公积转增资本（或股本）导致库存股变动金额"/>
                    <w:tag w:val="_GBC_24ca4c1354784ee79e67cdc7b3d2a0ae"/>
                    <w:id w:val="24722493"/>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盈余公积转增资本（或股本）导致其他综合收益变动金额"/>
                    <w:tag w:val="_GBC_9cba72f809ed468cade76c7bed47f6ed"/>
                    <w:id w:val="24722494"/>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盈余公积转增资本（或股本）导致专项储备变动金额"/>
                    <w:tag w:val="_GBC_5f4a38f704314c5e90acb63414421fa8"/>
                    <w:id w:val="24722495"/>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盈余公积转增资本（或股本）导致盈余公积变动金额"/>
                    <w:tag w:val="_GBC_185fdcaff5904772977f434d3ca56e26"/>
                    <w:id w:val="24722496"/>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盈余公积转增资本（或股本）导致一般风险准备变动金额"/>
                    <w:tag w:val="_GBC_625f224527ec436abddcc797deb6b924"/>
                    <w:id w:val="24722497"/>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盈余公积转增资本（或股本）导致未分配利润变动金额"/>
                    <w:tag w:val="_GBC_b6bd6bfab8cf49ad830bdfc49b931eb6"/>
                    <w:id w:val="24722498"/>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盈余公积转增资本（或股本）导致少数股东权益变动金额"/>
                    <w:tag w:val="_GBC_0dfc256862c74e988d9aa7a816b12861"/>
                    <w:id w:val="24722499"/>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盈余公积转增资本（或股本）导致股东权益合计变动金额"/>
                    <w:tag w:val="_GBC_51722039d81b443594044d55e372e026"/>
                    <w:id w:val="24722500"/>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3．盈余公积弥补亏损</w:t>
                    </w:r>
                  </w:p>
                </w:tc>
                <w:sdt>
                  <w:sdtPr>
                    <w:rPr>
                      <w:sz w:val="15"/>
                      <w:szCs w:val="15"/>
                    </w:rPr>
                    <w:alias w:val="盈余公积弥补亏损导致实收资本（或股本）净额变动金额"/>
                    <w:tag w:val="_GBC_fd80cb73cbdb4d268235abab5a3276b9"/>
                    <w:id w:val="24722501"/>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盈余公积弥补亏损导致其他权益工具中的优先股变动金额"/>
                    <w:tag w:val="_GBC_4e68cf75d84b474f92867067a68f1464"/>
                    <w:id w:val="24722502"/>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盈余公积弥补亏损导致其他权益工具中的永续债变动金额"/>
                    <w:tag w:val="_GBC_a8a01e1b7bf049b4898ca3e0a51197b9"/>
                    <w:id w:val="24722503"/>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盈余公积弥补亏损导致其他权益工具中的其他变动金额"/>
                    <w:tag w:val="_GBC_66d19070fa504272af3943046beafbfb"/>
                    <w:id w:val="24722504"/>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盈余公积弥补亏损导致资本公积变动金额"/>
                    <w:tag w:val="_GBC_bbeadaf9b4b24a3d9b5e5a8057e7fdff"/>
                    <w:id w:val="24722505"/>
                    <w:lock w:val="sdtLocked"/>
                    <w:showingPlcHdr/>
                  </w:sdtPr>
                  <w:sdtContent>
                    <w:tc>
                      <w:tcPr>
                        <w:tcW w:w="1559" w:type="dxa"/>
                      </w:tcPr>
                      <w:p w:rsidR="00DE031E" w:rsidRPr="007903C3" w:rsidRDefault="00DE031E" w:rsidP="00DE031E">
                        <w:pPr>
                          <w:jc w:val="right"/>
                          <w:rPr>
                            <w:sz w:val="15"/>
                            <w:szCs w:val="15"/>
                          </w:rPr>
                        </w:pPr>
                      </w:p>
                    </w:tc>
                  </w:sdtContent>
                </w:sdt>
                <w:sdt>
                  <w:sdtPr>
                    <w:rPr>
                      <w:sz w:val="15"/>
                      <w:szCs w:val="15"/>
                    </w:rPr>
                    <w:alias w:val="盈余公积弥补亏损导致库存股变动金额"/>
                    <w:tag w:val="_GBC_f19048ec3b074cc7bc201caa6edf8c29"/>
                    <w:id w:val="24722506"/>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盈余公积弥补亏损导致其他综合收益变动金额"/>
                    <w:tag w:val="_GBC_c55a47e6c4d14360a2867ab7732d4220"/>
                    <w:id w:val="24722507"/>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盈余公积弥补亏损导致专项储备变动金额"/>
                    <w:tag w:val="_GBC_6e46fabc310949b8be3a5024860ccc41"/>
                    <w:id w:val="24722508"/>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盈余公积弥补亏损导致盈余公积变动金额"/>
                    <w:tag w:val="_GBC_c39a79d07d07479a847793e768c63708"/>
                    <w:id w:val="24722509"/>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盈余公积弥补亏损导致一般风险准备变动金额"/>
                    <w:tag w:val="_GBC_d21cc13224cc4a6f91409a2ecb252062"/>
                    <w:id w:val="24722510"/>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盈余公积弥补亏损导致未分配利润变动金额"/>
                    <w:tag w:val="_GBC_bd91a8b6a9634813b4fc9512c7fa4b98"/>
                    <w:id w:val="24722511"/>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盈余公积弥补亏损导致少数股东权益变动金额"/>
                    <w:tag w:val="_GBC_4e803821839f4045b65dcc4829b05960"/>
                    <w:id w:val="24722512"/>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盈余公积弥补亏损导致股东权益合计变动金额"/>
                    <w:tag w:val="_GBC_3219db77c77244ad8de930ac203652af"/>
                    <w:id w:val="24722513"/>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4．其他</w:t>
                    </w:r>
                  </w:p>
                </w:tc>
                <w:sdt>
                  <w:sdtPr>
                    <w:rPr>
                      <w:sz w:val="15"/>
                      <w:szCs w:val="15"/>
                    </w:rPr>
                    <w:alias w:val="其他所有者权益内部结转导致实收资本（或股本）净额变动金额"/>
                    <w:tag w:val="_GBC_157d47cb91cb45d3821dd7a06559e576"/>
                    <w:id w:val="24722514"/>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其他所有者权益内部结转导致其他权益工具中的优先股变动金额"/>
                    <w:tag w:val="_GBC_68d2281a67174fe9939e0ff020c6cfd1"/>
                    <w:id w:val="24722515"/>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所有者权益内部结转导致其他权益工具中的永续债变动金额"/>
                    <w:tag w:val="_GBC_3fb18e137de2442a96c3beed78b6ec7e"/>
                    <w:id w:val="24722516"/>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所有者权益内部结转导致其他权益工具中的其他变动金额"/>
                    <w:tag w:val="_GBC_8ad349b8eac34942b93f7f0abd0bd5f2"/>
                    <w:id w:val="24722517"/>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其他所有者权益内部结转导致资本公积变动金额"/>
                    <w:tag w:val="_GBC_5aa12e5b90f54d3594eb1819eb885abc"/>
                    <w:id w:val="24722518"/>
                    <w:lock w:val="sdtLocked"/>
                    <w:showingPlcHdr/>
                  </w:sdtPr>
                  <w:sdtContent>
                    <w:tc>
                      <w:tcPr>
                        <w:tcW w:w="1559" w:type="dxa"/>
                      </w:tcPr>
                      <w:p w:rsidR="00DE031E" w:rsidRPr="007903C3" w:rsidRDefault="00DE031E" w:rsidP="00DE031E">
                        <w:pPr>
                          <w:jc w:val="right"/>
                          <w:rPr>
                            <w:sz w:val="15"/>
                            <w:szCs w:val="15"/>
                          </w:rPr>
                        </w:pPr>
                      </w:p>
                    </w:tc>
                  </w:sdtContent>
                </w:sdt>
                <w:sdt>
                  <w:sdtPr>
                    <w:rPr>
                      <w:sz w:val="15"/>
                      <w:szCs w:val="15"/>
                    </w:rPr>
                    <w:alias w:val="其他所有者权益内部结转导致库存股变动金额"/>
                    <w:tag w:val="_GBC_b58d16206f314da4965dd582da896555"/>
                    <w:id w:val="24722519"/>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所有者权益内部结转导致其他综合收益变动金额"/>
                    <w:tag w:val="_GBC_8664dc7392ca4123836f7c157cfa96f0"/>
                    <w:id w:val="24722520"/>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其他所有者权益内部结转导致专项储备变动金额"/>
                    <w:tag w:val="_GBC_ed813617d7b24d5aa1206ad2739ed368"/>
                    <w:id w:val="24722521"/>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其他所有者权益内部结转导致盈余公积变动金额"/>
                    <w:tag w:val="_GBC_be3d19c9935c4763926794eb5355040c"/>
                    <w:id w:val="24722522"/>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所有者权益内部结转导致一般风险准备变动金额"/>
                    <w:tag w:val="_GBC_fc37147ff26946338bbc02a5f7145d26"/>
                    <w:id w:val="24722523"/>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其他所有者权益内部结转导致未分配利润变动金额"/>
                    <w:tag w:val="_GBC_d8b31d9575714b0ca9252bcf5983e68b"/>
                    <w:id w:val="24722524"/>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所有者权益内部结转导致少数股东权益变动金额"/>
                    <w:tag w:val="_GBC_48350b5a4739464d96ce58d3c98c538c"/>
                    <w:id w:val="24722525"/>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其他所有者权益内部结转导致股东权益合计变动金额"/>
                    <w:tag w:val="_GBC_e085e3c5c7fb4d8ba126db44afa087ca"/>
                    <w:id w:val="24722526"/>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（五）专项储备</w:t>
                    </w:r>
                  </w:p>
                </w:tc>
                <w:sdt>
                  <w:sdtPr>
                    <w:rPr>
                      <w:sz w:val="15"/>
                      <w:szCs w:val="15"/>
                    </w:rPr>
                    <w:alias w:val="专项储备导致实收资本（或股本）净额变动金额"/>
                    <w:tag w:val="_GBC_5115f070f2ca4b3aa007cd2dfff8ae5e"/>
                    <w:id w:val="24722527"/>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专项储备导致其他权益工具中的优先股变动金额"/>
                    <w:tag w:val="_GBC_ebe9f45adce54283bcf82f3858ea53a5"/>
                    <w:id w:val="24722528"/>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专项储备导致其他权益工具中的永续债变动金额"/>
                    <w:tag w:val="_GBC_e29e6ffb3f96493ba46db0633f1d14a6"/>
                    <w:id w:val="24722529"/>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专项储备导致其他权益工具中的其他变动金额"/>
                    <w:tag w:val="_GBC_b7f2b0c5b09445a9b198bb2b721752a2"/>
                    <w:id w:val="24722530"/>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专项储备导致资本公积变动金额"/>
                    <w:tag w:val="_GBC_730f2db178a344d48bfa70a006568b87"/>
                    <w:id w:val="24722531"/>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专项储备导致库存股变动金额"/>
                    <w:tag w:val="_GBC_b7edbda71c1649daa78c8f3ed62c5583"/>
                    <w:id w:val="24722532"/>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专项储备导致其他综合收益变动金额"/>
                    <w:tag w:val="_GBC_a7207f4a785c41028641257b4656db62"/>
                    <w:id w:val="24722533"/>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专项储备导致专项储备变动金额"/>
                    <w:tag w:val="_GBC_d7fc9bfad83d47869766a784625f42c7"/>
                    <w:id w:val="24722534"/>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专项储备导致盈余公积变动金额"/>
                    <w:tag w:val="_GBC_735a622e4d5248dbbe61bd011aeb6c52"/>
                    <w:id w:val="24722535"/>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专项储备导致一般风险准备变动金额"/>
                    <w:tag w:val="_GBC_0e94e0de46424d809f735159b990bdf3"/>
                    <w:id w:val="24722536"/>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专项储备导致未分配利润变动金额"/>
                    <w:tag w:val="_GBC_8155ea3cfca145b7a0c2961564659326"/>
                    <w:id w:val="24722537"/>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专项储备导致少数股东权益变动金额"/>
                    <w:tag w:val="_GBC_6ca048884e154d5a93b8eb75f3ec6f7f"/>
                    <w:id w:val="24722538"/>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专项储备导致股东权益合计变动金额"/>
                    <w:tag w:val="_GBC_03bb7c9c59d747079e448137403c922e"/>
                    <w:id w:val="24722539"/>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1．本期提取</w:t>
                    </w:r>
                  </w:p>
                </w:tc>
                <w:sdt>
                  <w:sdtPr>
                    <w:rPr>
                      <w:sz w:val="15"/>
                      <w:szCs w:val="15"/>
                    </w:rPr>
                    <w:alias w:val="提取导致实收资本（或股本）净额变动金额"/>
                    <w:tag w:val="_GBC_4480a286c00947688c41718071d8352d"/>
                    <w:id w:val="24722540"/>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提取导致其他权益工具中的优先股变动金额"/>
                    <w:tag w:val="_GBC_e3485fdbadd645499b2384aaaa153323"/>
                    <w:id w:val="24722541"/>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提取导致其他权益工具中的永续债变动金额"/>
                    <w:tag w:val="_GBC_d610cfe246d34142af83546c738e88fb"/>
                    <w:id w:val="24722542"/>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提取导致其他权益工具中的其他变动金额"/>
                    <w:tag w:val="_GBC_818f759f16ba42e58b7f6c25cc88baf5"/>
                    <w:id w:val="24722543"/>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提取导致资本公积变动金额"/>
                    <w:tag w:val="_GBC_721928d7a29f48ce8ca7c7ca2284309c"/>
                    <w:id w:val="24722544"/>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提取导致库存股变动金额"/>
                    <w:tag w:val="_GBC_47705309508447f78db4c09f323051aa"/>
                    <w:id w:val="24722545"/>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提取导致其他综合收益变动金额"/>
                    <w:tag w:val="_GBC_95876bb6f9e9429e9738dc48cc567b16"/>
                    <w:id w:val="24722546"/>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提取导致专项储备变动金额"/>
                    <w:tag w:val="_GBC_b34b1c9b3f964e709eb0dde69e642e36"/>
                    <w:id w:val="24722547"/>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提取导致盈余公积变动金额"/>
                    <w:tag w:val="_GBC_91b08d4dd37a4a739910b22d5bd467c5"/>
                    <w:id w:val="24722548"/>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提取导致一般风险准备变动金额"/>
                    <w:tag w:val="_GBC_d62165063af34d9fb4d57a462f945165"/>
                    <w:id w:val="24722549"/>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提取导致未分配利润变动金额"/>
                    <w:tag w:val="_GBC_dcc1edc20c204add85ecbdf0b57c60dd"/>
                    <w:id w:val="24722550"/>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提取导致少数股东权益变动金额"/>
                    <w:tag w:val="_GBC_1f627abafaab4bdc89e9a7b15bd811fc"/>
                    <w:id w:val="24722551"/>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提取导致股东权益合计变动金额"/>
                    <w:tag w:val="_GBC_e0a275e77d674101a57c7f0733e73ed4"/>
                    <w:id w:val="24722552"/>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2．本期使用</w:t>
                    </w:r>
                  </w:p>
                </w:tc>
                <w:sdt>
                  <w:sdtPr>
                    <w:rPr>
                      <w:sz w:val="15"/>
                      <w:szCs w:val="15"/>
                    </w:rPr>
                    <w:alias w:val="使用导致实收资本（或股本）净额变动金额"/>
                    <w:tag w:val="_GBC_2c60cbf1ae074bf4b8657a87bd6723d6"/>
                    <w:id w:val="24722553"/>
                    <w:lock w:val="sdtLocked"/>
                  </w:sdtPr>
                  <w:sdtContent>
                    <w:tc>
                      <w:tcPr>
                        <w:tcW w:w="1511" w:type="dxa"/>
                      </w:tcPr>
                      <w:p w:rsidR="00DE031E" w:rsidRPr="007903C3" w:rsidRDefault="00DE031E" w:rsidP="00DE031E">
                        <w:pPr>
                          <w:jc w:val="right"/>
                          <w:rPr>
                            <w:sz w:val="15"/>
                            <w:szCs w:val="15"/>
                          </w:rPr>
                        </w:pPr>
                      </w:p>
                    </w:tc>
                  </w:sdtContent>
                </w:sdt>
                <w:sdt>
                  <w:sdtPr>
                    <w:rPr>
                      <w:sz w:val="15"/>
                      <w:szCs w:val="15"/>
                    </w:rPr>
                    <w:alias w:val="使用导致其他权益工具中的优先股变动金额"/>
                    <w:tag w:val="_GBC_d7a7aa1e1d3743ff8ee85546333665ef"/>
                    <w:id w:val="24722554"/>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使用导致其他权益工具中的永续债变动金额"/>
                    <w:tag w:val="_GBC_0c57d1a971db4613b4a930814e100694"/>
                    <w:id w:val="24722555"/>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使用导致其他权益工具中的其他变动金额"/>
                    <w:tag w:val="_GBC_f3a1095566d9473894434f905c0b45c2"/>
                    <w:id w:val="24722556"/>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使用导致资本公积变动金额"/>
                    <w:tag w:val="_GBC_c1049acd34c949af9d8e1cc5d41e5eb5"/>
                    <w:id w:val="24722557"/>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使用导致库存股变动金额"/>
                    <w:tag w:val="_GBC_3008855c0efb44fda4bb086171723e04"/>
                    <w:id w:val="24722558"/>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使用导致其他综合收益变动金额"/>
                    <w:tag w:val="_GBC_7a47f33e6fb14798b32ae382e524f5c6"/>
                    <w:id w:val="24722559"/>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使用导致专项储备变动金额"/>
                    <w:tag w:val="_GBC_aabec87037174c70bcadec02024d99bf"/>
                    <w:id w:val="24722560"/>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使用导致盈余公积变动金额"/>
                    <w:tag w:val="_GBC_09011cf2dbd9476289a102a03a30cfbd"/>
                    <w:id w:val="24722561"/>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使用导致一般风险准备变动金额"/>
                    <w:tag w:val="_GBC_b223f0b8f6b04dcbb8bdf277dbe3f997"/>
                    <w:id w:val="24722562"/>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使用导致未分配利润变动金额"/>
                    <w:tag w:val="_GBC_cbbba4ff28a0493f9b4aec4cab06d811"/>
                    <w:id w:val="24722563"/>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使用导致少数股东权益变动金额"/>
                    <w:tag w:val="_GBC_9ec6d4e7e9514552ab66e4169f451606"/>
                    <w:id w:val="24722564"/>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使用导致股东权益合计变动金额"/>
                    <w:tag w:val="_GBC_0f53019ac5a343f682406315a514dc53"/>
                    <w:id w:val="24722565"/>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rFonts w:hint="eastAsia"/>
                        <w:sz w:val="15"/>
                        <w:szCs w:val="15"/>
                      </w:rPr>
                      <w:t>（六）其他</w:t>
                    </w:r>
                  </w:p>
                </w:tc>
                <w:sdt>
                  <w:sdtPr>
                    <w:rPr>
                      <w:sz w:val="15"/>
                      <w:szCs w:val="15"/>
                    </w:rPr>
                    <w:alias w:val="其他导致实收资本（或股本）净额变动金额"/>
                    <w:tag w:val="_GBC_0a2e0b25ebf54f71b2cf2ee0df8308f8"/>
                    <w:id w:val="24722566"/>
                    <w:lock w:val="sdtLocked"/>
                    <w:showingPlcHdr/>
                  </w:sdtPr>
                  <w:sdtContent>
                    <w:tc>
                      <w:tcPr>
                        <w:tcW w:w="1511" w:type="dxa"/>
                      </w:tcPr>
                      <w:p w:rsidR="00DE031E" w:rsidRPr="007903C3" w:rsidRDefault="00D4561E" w:rsidP="00DE031E">
                        <w:pPr>
                          <w:jc w:val="right"/>
                          <w:rPr>
                            <w:sz w:val="15"/>
                            <w:szCs w:val="15"/>
                          </w:rPr>
                        </w:pPr>
                        <w:r>
                          <w:rPr>
                            <w:sz w:val="15"/>
                            <w:szCs w:val="15"/>
                          </w:rPr>
                          <w:t xml:space="preserve">     </w:t>
                        </w:r>
                      </w:p>
                    </w:tc>
                  </w:sdtContent>
                </w:sdt>
                <w:sdt>
                  <w:sdtPr>
                    <w:rPr>
                      <w:sz w:val="15"/>
                      <w:szCs w:val="15"/>
                    </w:rPr>
                    <w:alias w:val="其他导致其他权益工具中的优先股变动金额"/>
                    <w:tag w:val="_GBC_570ede3304204b6095a1443ef359dfff"/>
                    <w:id w:val="24722567"/>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导致其他权益工具中的永续债变动金额"/>
                    <w:tag w:val="_GBC_341674fde95c4db3acdcb053de349b86"/>
                    <w:id w:val="24722568"/>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导致其他权益工具中的其他变动金额"/>
                    <w:tag w:val="_GBC_6a2f33bad914493cab615467aa558cd7"/>
                    <w:id w:val="24722569"/>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其他导致资本公积变动金额"/>
                    <w:tag w:val="_GBC_06c87e795095460aade6a4b36d673eff"/>
                    <w:id w:val="24722570"/>
                    <w:lock w:val="sdtLocked"/>
                  </w:sdtPr>
                  <w:sdtContent>
                    <w:tc>
                      <w:tcPr>
                        <w:tcW w:w="1559" w:type="dxa"/>
                      </w:tcPr>
                      <w:p w:rsidR="00DE031E" w:rsidRPr="007903C3" w:rsidRDefault="00DE031E" w:rsidP="00DE031E">
                        <w:pPr>
                          <w:jc w:val="right"/>
                          <w:rPr>
                            <w:sz w:val="15"/>
                            <w:szCs w:val="15"/>
                          </w:rPr>
                        </w:pPr>
                      </w:p>
                    </w:tc>
                  </w:sdtContent>
                </w:sdt>
                <w:sdt>
                  <w:sdtPr>
                    <w:rPr>
                      <w:sz w:val="15"/>
                      <w:szCs w:val="15"/>
                    </w:rPr>
                    <w:alias w:val="其他导致库存股变动金额"/>
                    <w:tag w:val="_GBC_d3c1dc32071a4b4ea4a455f457b7fafd"/>
                    <w:id w:val="24722571"/>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导致其他综合收益变动金额"/>
                    <w:tag w:val="_GBC_80a1a444810d4755a1b367d7b4113fc0"/>
                    <w:id w:val="24722572"/>
                    <w:lock w:val="sdtLocked"/>
                  </w:sdtPr>
                  <w:sdtContent>
                    <w:tc>
                      <w:tcPr>
                        <w:tcW w:w="1276" w:type="dxa"/>
                      </w:tcPr>
                      <w:p w:rsidR="00DE031E" w:rsidRPr="007903C3" w:rsidRDefault="00DE031E" w:rsidP="00DE031E">
                        <w:pPr>
                          <w:jc w:val="right"/>
                          <w:rPr>
                            <w:sz w:val="15"/>
                            <w:szCs w:val="15"/>
                          </w:rPr>
                        </w:pPr>
                      </w:p>
                    </w:tc>
                  </w:sdtContent>
                </w:sdt>
                <w:sdt>
                  <w:sdtPr>
                    <w:rPr>
                      <w:sz w:val="15"/>
                      <w:szCs w:val="15"/>
                    </w:rPr>
                    <w:alias w:val="其他导致专项储备变动金额"/>
                    <w:tag w:val="_GBC_4e67cf6939104df899086bf8915ed541"/>
                    <w:id w:val="24722573"/>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其他导致盈余公积变动金额"/>
                    <w:tag w:val="_GBC_2d4b24e7e15d4794ad3b0426f89c60db"/>
                    <w:id w:val="24722574"/>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导致一般风险准备变动金额"/>
                    <w:tag w:val="_GBC_902aa5a3a2d645fd96088017c7d0b76c"/>
                    <w:id w:val="24722575"/>
                    <w:lock w:val="sdtLocked"/>
                  </w:sdtPr>
                  <w:sdtContent>
                    <w:tc>
                      <w:tcPr>
                        <w:tcW w:w="1417" w:type="dxa"/>
                      </w:tcPr>
                      <w:p w:rsidR="00DE031E" w:rsidRPr="007903C3" w:rsidRDefault="00DE031E" w:rsidP="00DE031E">
                        <w:pPr>
                          <w:jc w:val="right"/>
                          <w:rPr>
                            <w:sz w:val="15"/>
                            <w:szCs w:val="15"/>
                          </w:rPr>
                        </w:pPr>
                      </w:p>
                    </w:tc>
                  </w:sdtContent>
                </w:sdt>
                <w:sdt>
                  <w:sdtPr>
                    <w:rPr>
                      <w:sz w:val="15"/>
                      <w:szCs w:val="15"/>
                    </w:rPr>
                    <w:alias w:val="其他导致未分配利润变动金额"/>
                    <w:tag w:val="_GBC_014bdb8ee7db48e8a9a2a78a3733ad11"/>
                    <w:id w:val="24722576"/>
                    <w:lock w:val="sdtLocked"/>
                  </w:sdtPr>
                  <w:sdtContent>
                    <w:tc>
                      <w:tcPr>
                        <w:tcW w:w="1418" w:type="dxa"/>
                      </w:tcPr>
                      <w:p w:rsidR="00DE031E" w:rsidRPr="007903C3" w:rsidRDefault="00DE031E" w:rsidP="00DE031E">
                        <w:pPr>
                          <w:jc w:val="right"/>
                          <w:rPr>
                            <w:sz w:val="15"/>
                            <w:szCs w:val="15"/>
                          </w:rPr>
                        </w:pPr>
                      </w:p>
                    </w:tc>
                  </w:sdtContent>
                </w:sdt>
                <w:sdt>
                  <w:sdtPr>
                    <w:rPr>
                      <w:sz w:val="15"/>
                      <w:szCs w:val="15"/>
                    </w:rPr>
                    <w:alias w:val="其他导致少数股东权益变动金额"/>
                    <w:tag w:val="_GBC_7d880d6b45a34ddc89095bb0cefb2878"/>
                    <w:id w:val="24722577"/>
                    <w:lock w:val="sdtLocked"/>
                  </w:sdtPr>
                  <w:sdtContent>
                    <w:tc>
                      <w:tcPr>
                        <w:tcW w:w="1275" w:type="dxa"/>
                      </w:tcPr>
                      <w:p w:rsidR="00DE031E" w:rsidRPr="007903C3" w:rsidRDefault="00DE031E" w:rsidP="00DE031E">
                        <w:pPr>
                          <w:jc w:val="right"/>
                          <w:rPr>
                            <w:sz w:val="15"/>
                            <w:szCs w:val="15"/>
                          </w:rPr>
                        </w:pPr>
                      </w:p>
                    </w:tc>
                  </w:sdtContent>
                </w:sdt>
                <w:sdt>
                  <w:sdtPr>
                    <w:rPr>
                      <w:sz w:val="15"/>
                      <w:szCs w:val="15"/>
                    </w:rPr>
                    <w:alias w:val="其他导致股东权益合计变动金额"/>
                    <w:tag w:val="_GBC_ea503b7b104246e29399a1cf383dd4f0"/>
                    <w:id w:val="24722578"/>
                    <w:lock w:val="sdtLocked"/>
                  </w:sdtPr>
                  <w:sdtContent>
                    <w:tc>
                      <w:tcPr>
                        <w:tcW w:w="1510" w:type="dxa"/>
                      </w:tcPr>
                      <w:p w:rsidR="00DE031E" w:rsidRPr="007903C3" w:rsidRDefault="00DE031E" w:rsidP="00DE031E">
                        <w:pPr>
                          <w:jc w:val="right"/>
                          <w:rPr>
                            <w:sz w:val="15"/>
                            <w:szCs w:val="15"/>
                          </w:rPr>
                        </w:pPr>
                      </w:p>
                    </w:tc>
                  </w:sdtContent>
                </w:sdt>
              </w:tr>
              <w:tr w:rsidR="00DE031E" w:rsidRPr="007903C3" w:rsidTr="00DE031E">
                <w:trPr>
                  <w:jc w:val="center"/>
                </w:trPr>
                <w:tc>
                  <w:tcPr>
                    <w:tcW w:w="2552" w:type="dxa"/>
                  </w:tcPr>
                  <w:p w:rsidR="00DE031E" w:rsidRPr="007903C3" w:rsidRDefault="001C1A59" w:rsidP="00DE031E">
                    <w:pPr>
                      <w:rPr>
                        <w:sz w:val="15"/>
                        <w:szCs w:val="15"/>
                      </w:rPr>
                    </w:pPr>
                    <w:r w:rsidRPr="007903C3">
                      <w:rPr>
                        <w:sz w:val="15"/>
                        <w:szCs w:val="15"/>
                      </w:rPr>
                      <w:t>四、本期期末余额</w:t>
                    </w:r>
                  </w:p>
                </w:tc>
                <w:sdt>
                  <w:sdtPr>
                    <w:rPr>
                      <w:sz w:val="15"/>
                      <w:szCs w:val="15"/>
                    </w:rPr>
                    <w:alias w:val="股本"/>
                    <w:tag w:val="_GBC_6abdd34bbccf4e3084fd8b6c65209929"/>
                    <w:id w:val="24722579"/>
                    <w:lock w:val="sdtLocked"/>
                  </w:sdtPr>
                  <w:sdtContent>
                    <w:tc>
                      <w:tcPr>
                        <w:tcW w:w="1511" w:type="dxa"/>
                      </w:tcPr>
                      <w:p w:rsidR="00DE031E" w:rsidRPr="007903C3" w:rsidRDefault="001C1A59" w:rsidP="00DE031E">
                        <w:pPr>
                          <w:jc w:val="right"/>
                          <w:rPr>
                            <w:sz w:val="15"/>
                            <w:szCs w:val="15"/>
                          </w:rPr>
                        </w:pPr>
                        <w:r w:rsidRPr="007903C3">
                          <w:rPr>
                            <w:sz w:val="15"/>
                            <w:szCs w:val="15"/>
                          </w:rPr>
                          <w:t>5,808,135,529.00</w:t>
                        </w:r>
                      </w:p>
                    </w:tc>
                  </w:sdtContent>
                </w:sdt>
                <w:sdt>
                  <w:sdtPr>
                    <w:rPr>
                      <w:sz w:val="15"/>
                      <w:szCs w:val="15"/>
                    </w:rPr>
                    <w:alias w:val="其他权益工具-其中：优先股"/>
                    <w:tag w:val="_GBC_2dd2922b8a684ff99d6eb246a8365b03"/>
                    <w:id w:val="24722580"/>
                    <w:lock w:val="sdtLocked"/>
                    <w:showingPlcHdr/>
                  </w:sdtPr>
                  <w:sdtContent>
                    <w:tc>
                      <w:tcPr>
                        <w:tcW w:w="567" w:type="dxa"/>
                      </w:tcPr>
                      <w:p w:rsidR="00DE031E" w:rsidRPr="007903C3" w:rsidRDefault="00C531A1" w:rsidP="00DE031E">
                        <w:pPr>
                          <w:jc w:val="right"/>
                          <w:rPr>
                            <w:sz w:val="15"/>
                            <w:szCs w:val="15"/>
                          </w:rPr>
                        </w:pPr>
                        <w:r>
                          <w:rPr>
                            <w:sz w:val="15"/>
                            <w:szCs w:val="15"/>
                          </w:rPr>
                          <w:t xml:space="preserve">     </w:t>
                        </w:r>
                      </w:p>
                    </w:tc>
                  </w:sdtContent>
                </w:sdt>
                <w:sdt>
                  <w:sdtPr>
                    <w:rPr>
                      <w:sz w:val="15"/>
                      <w:szCs w:val="15"/>
                    </w:rPr>
                    <w:alias w:val="其他权益工具-永续债"/>
                    <w:tag w:val="_GBC_bc23af12d2b1433aabba1d8e1a6c2ed3"/>
                    <w:id w:val="24722581"/>
                    <w:lock w:val="sdtLocked"/>
                  </w:sdtPr>
                  <w:sdtContent>
                    <w:tc>
                      <w:tcPr>
                        <w:tcW w:w="567" w:type="dxa"/>
                      </w:tcPr>
                      <w:p w:rsidR="00DE031E" w:rsidRPr="007903C3" w:rsidRDefault="00DE031E" w:rsidP="00DE031E">
                        <w:pPr>
                          <w:jc w:val="right"/>
                          <w:rPr>
                            <w:sz w:val="15"/>
                            <w:szCs w:val="15"/>
                          </w:rPr>
                        </w:pPr>
                      </w:p>
                    </w:tc>
                  </w:sdtContent>
                </w:sdt>
                <w:sdt>
                  <w:sdtPr>
                    <w:rPr>
                      <w:sz w:val="15"/>
                      <w:szCs w:val="15"/>
                    </w:rPr>
                    <w:alias w:val="其他权益工具-其他"/>
                    <w:tag w:val="_GBC_8503a4bfa0e84bc784d2fe74857abd5b"/>
                    <w:id w:val="24722582"/>
                    <w:lock w:val="sdtLocked"/>
                  </w:sdtPr>
                  <w:sdtContent>
                    <w:tc>
                      <w:tcPr>
                        <w:tcW w:w="284" w:type="dxa"/>
                      </w:tcPr>
                      <w:p w:rsidR="00DE031E" w:rsidRPr="007903C3" w:rsidRDefault="00DE031E" w:rsidP="00DE031E">
                        <w:pPr>
                          <w:jc w:val="right"/>
                          <w:rPr>
                            <w:sz w:val="15"/>
                            <w:szCs w:val="15"/>
                          </w:rPr>
                        </w:pPr>
                      </w:p>
                    </w:tc>
                  </w:sdtContent>
                </w:sdt>
                <w:sdt>
                  <w:sdtPr>
                    <w:rPr>
                      <w:sz w:val="15"/>
                      <w:szCs w:val="15"/>
                    </w:rPr>
                    <w:alias w:val="资本公积"/>
                    <w:tag w:val="_GBC_f3d346d459b648279b509e2eb751d92e"/>
                    <w:id w:val="24722583"/>
                    <w:lock w:val="sdtLocked"/>
                  </w:sdtPr>
                  <w:sdtContent>
                    <w:tc>
                      <w:tcPr>
                        <w:tcW w:w="1559" w:type="dxa"/>
                      </w:tcPr>
                      <w:p w:rsidR="00DE031E" w:rsidRPr="007903C3" w:rsidRDefault="001C1A59" w:rsidP="00DE031E">
                        <w:pPr>
                          <w:jc w:val="right"/>
                          <w:rPr>
                            <w:sz w:val="15"/>
                            <w:szCs w:val="15"/>
                          </w:rPr>
                        </w:pPr>
                        <w:r w:rsidRPr="007903C3">
                          <w:rPr>
                            <w:sz w:val="15"/>
                            <w:szCs w:val="15"/>
                          </w:rPr>
                          <w:t>19,403,877,003.80</w:t>
                        </w:r>
                      </w:p>
                    </w:tc>
                  </w:sdtContent>
                </w:sdt>
                <w:sdt>
                  <w:sdtPr>
                    <w:rPr>
                      <w:sz w:val="15"/>
                      <w:szCs w:val="15"/>
                    </w:rPr>
                    <w:alias w:val="库存股"/>
                    <w:tag w:val="_GBC_7b0cc65ba868425ea41eaa51ff4ba198"/>
                    <w:id w:val="24722584"/>
                    <w:lock w:val="sdtLocked"/>
                  </w:sdtPr>
                  <w:sdtContent>
                    <w:tc>
                      <w:tcPr>
                        <w:tcW w:w="408" w:type="dxa"/>
                      </w:tcPr>
                      <w:p w:rsidR="00DE031E" w:rsidRPr="007903C3" w:rsidRDefault="00DE031E" w:rsidP="00DE031E">
                        <w:pPr>
                          <w:jc w:val="right"/>
                          <w:rPr>
                            <w:sz w:val="15"/>
                            <w:szCs w:val="15"/>
                          </w:rPr>
                        </w:pPr>
                      </w:p>
                    </w:tc>
                  </w:sdtContent>
                </w:sdt>
                <w:sdt>
                  <w:sdtPr>
                    <w:rPr>
                      <w:sz w:val="15"/>
                      <w:szCs w:val="15"/>
                    </w:rPr>
                    <w:alias w:val="其他综合收益（资产负债表项目）"/>
                    <w:tag w:val="_GBC_5ecdc4404f54426589a9549b6d5e0cd2"/>
                    <w:id w:val="24722585"/>
                    <w:lock w:val="sdtLocked"/>
                  </w:sdtPr>
                  <w:sdtContent>
                    <w:tc>
                      <w:tcPr>
                        <w:tcW w:w="1276" w:type="dxa"/>
                      </w:tcPr>
                      <w:p w:rsidR="00DE031E" w:rsidRPr="007903C3" w:rsidRDefault="001C1A59" w:rsidP="00DE031E">
                        <w:pPr>
                          <w:jc w:val="right"/>
                          <w:rPr>
                            <w:sz w:val="15"/>
                            <w:szCs w:val="15"/>
                          </w:rPr>
                        </w:pPr>
                        <w:r w:rsidRPr="007903C3">
                          <w:rPr>
                            <w:sz w:val="15"/>
                            <w:szCs w:val="15"/>
                          </w:rPr>
                          <w:t>-63,545,045.00</w:t>
                        </w:r>
                      </w:p>
                    </w:tc>
                  </w:sdtContent>
                </w:sdt>
                <w:sdt>
                  <w:sdtPr>
                    <w:rPr>
                      <w:sz w:val="15"/>
                      <w:szCs w:val="15"/>
                    </w:rPr>
                    <w:alias w:val="专项储备"/>
                    <w:tag w:val="_GBC_b0d4c3bd3ac64aaba39245e6d34ac8ca"/>
                    <w:id w:val="24722586"/>
                    <w:lock w:val="sdtLocked"/>
                  </w:sdtPr>
                  <w:sdtContent>
                    <w:tc>
                      <w:tcPr>
                        <w:tcW w:w="283" w:type="dxa"/>
                      </w:tcPr>
                      <w:p w:rsidR="00DE031E" w:rsidRPr="007903C3" w:rsidRDefault="00DE031E" w:rsidP="00DE031E">
                        <w:pPr>
                          <w:jc w:val="right"/>
                          <w:rPr>
                            <w:sz w:val="15"/>
                            <w:szCs w:val="15"/>
                          </w:rPr>
                        </w:pPr>
                      </w:p>
                    </w:tc>
                  </w:sdtContent>
                </w:sdt>
                <w:sdt>
                  <w:sdtPr>
                    <w:rPr>
                      <w:sz w:val="15"/>
                      <w:szCs w:val="15"/>
                    </w:rPr>
                    <w:alias w:val="盈余公积"/>
                    <w:tag w:val="_GBC_2c9e75b4692a4dc498e1601b6fc15c63"/>
                    <w:id w:val="24722587"/>
                    <w:lock w:val="sdtLocked"/>
                  </w:sdtPr>
                  <w:sdtContent>
                    <w:tc>
                      <w:tcPr>
                        <w:tcW w:w="1418" w:type="dxa"/>
                      </w:tcPr>
                      <w:p w:rsidR="00DE031E" w:rsidRPr="007903C3" w:rsidRDefault="001C1A59" w:rsidP="00DE031E">
                        <w:pPr>
                          <w:jc w:val="right"/>
                          <w:rPr>
                            <w:sz w:val="15"/>
                            <w:szCs w:val="15"/>
                          </w:rPr>
                        </w:pPr>
                        <w:r w:rsidRPr="007903C3">
                          <w:rPr>
                            <w:sz w:val="15"/>
                            <w:szCs w:val="15"/>
                          </w:rPr>
                          <w:t>2,025,918,119.83</w:t>
                        </w:r>
                      </w:p>
                    </w:tc>
                  </w:sdtContent>
                </w:sdt>
                <w:sdt>
                  <w:sdtPr>
                    <w:rPr>
                      <w:sz w:val="15"/>
                      <w:szCs w:val="15"/>
                    </w:rPr>
                    <w:alias w:val="一般风险准备"/>
                    <w:tag w:val="_GBC_18a3faef63204eaab273e68f63a122bb"/>
                    <w:id w:val="24722588"/>
                    <w:lock w:val="sdtLocked"/>
                  </w:sdtPr>
                  <w:sdtContent>
                    <w:tc>
                      <w:tcPr>
                        <w:tcW w:w="1417" w:type="dxa"/>
                      </w:tcPr>
                      <w:p w:rsidR="00DE031E" w:rsidRPr="007903C3" w:rsidRDefault="001C1A59" w:rsidP="00DE031E">
                        <w:pPr>
                          <w:jc w:val="right"/>
                          <w:rPr>
                            <w:sz w:val="15"/>
                            <w:szCs w:val="15"/>
                          </w:rPr>
                        </w:pPr>
                        <w:r w:rsidRPr="007903C3">
                          <w:rPr>
                            <w:sz w:val="15"/>
                            <w:szCs w:val="15"/>
                          </w:rPr>
                          <w:t>3,923,023,233.10</w:t>
                        </w:r>
                      </w:p>
                    </w:tc>
                  </w:sdtContent>
                </w:sdt>
                <w:sdt>
                  <w:sdtPr>
                    <w:rPr>
                      <w:sz w:val="15"/>
                      <w:szCs w:val="15"/>
                    </w:rPr>
                    <w:alias w:val="未分配利润"/>
                    <w:tag w:val="_GBC_9c851add43d4403bad7aee4296082c3a"/>
                    <w:id w:val="24722589"/>
                    <w:lock w:val="sdtLocked"/>
                  </w:sdtPr>
                  <w:sdtContent>
                    <w:tc>
                      <w:tcPr>
                        <w:tcW w:w="1418" w:type="dxa"/>
                      </w:tcPr>
                      <w:p w:rsidR="00DE031E" w:rsidRPr="007903C3" w:rsidRDefault="001C1A59" w:rsidP="00DE031E">
                        <w:pPr>
                          <w:jc w:val="right"/>
                          <w:rPr>
                            <w:sz w:val="15"/>
                            <w:szCs w:val="15"/>
                          </w:rPr>
                        </w:pPr>
                        <w:r w:rsidRPr="007903C3">
                          <w:rPr>
                            <w:sz w:val="15"/>
                            <w:szCs w:val="15"/>
                          </w:rPr>
                          <w:t>8,793,764,195.02</w:t>
                        </w:r>
                      </w:p>
                    </w:tc>
                  </w:sdtContent>
                </w:sdt>
                <w:sdt>
                  <w:sdtPr>
                    <w:rPr>
                      <w:sz w:val="15"/>
                      <w:szCs w:val="15"/>
                    </w:rPr>
                    <w:alias w:val="少数股东权益"/>
                    <w:tag w:val="_GBC_c6e6ea3a29da413b8f0564bea9d263e9"/>
                    <w:id w:val="24722590"/>
                    <w:lock w:val="sdtLocked"/>
                  </w:sdtPr>
                  <w:sdtContent>
                    <w:tc>
                      <w:tcPr>
                        <w:tcW w:w="1275" w:type="dxa"/>
                      </w:tcPr>
                      <w:p w:rsidR="00DE031E" w:rsidRPr="007903C3" w:rsidRDefault="001C1A59" w:rsidP="00DE031E">
                        <w:pPr>
                          <w:jc w:val="right"/>
                          <w:rPr>
                            <w:sz w:val="15"/>
                            <w:szCs w:val="15"/>
                          </w:rPr>
                        </w:pPr>
                        <w:r w:rsidRPr="007903C3">
                          <w:rPr>
                            <w:sz w:val="15"/>
                            <w:szCs w:val="15"/>
                          </w:rPr>
                          <w:t>26,970,487.58</w:t>
                        </w:r>
                      </w:p>
                    </w:tc>
                  </w:sdtContent>
                </w:sdt>
                <w:sdt>
                  <w:sdtPr>
                    <w:rPr>
                      <w:sz w:val="15"/>
                      <w:szCs w:val="15"/>
                    </w:rPr>
                    <w:alias w:val="股东权益合计"/>
                    <w:tag w:val="_GBC_ea26fd56f4fd4f329712e6a5b7454d5f"/>
                    <w:id w:val="24722591"/>
                    <w:lock w:val="sdtLocked"/>
                  </w:sdtPr>
                  <w:sdtContent>
                    <w:tc>
                      <w:tcPr>
                        <w:tcW w:w="1510" w:type="dxa"/>
                      </w:tcPr>
                      <w:p w:rsidR="00DE031E" w:rsidRPr="007903C3" w:rsidRDefault="001C1A59" w:rsidP="00DE031E">
                        <w:pPr>
                          <w:jc w:val="right"/>
                          <w:rPr>
                            <w:sz w:val="15"/>
                            <w:szCs w:val="15"/>
                          </w:rPr>
                        </w:pPr>
                        <w:r w:rsidRPr="007903C3">
                          <w:rPr>
                            <w:sz w:val="15"/>
                            <w:szCs w:val="15"/>
                          </w:rPr>
                          <w:t>39,918,143,523.33</w:t>
                        </w:r>
                      </w:p>
                    </w:tc>
                  </w:sdtContent>
                </w:sdt>
              </w:tr>
            </w:tbl>
            <w:p w:rsidR="00DE031E" w:rsidRDefault="001C1A5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24722592"/>
                  <w:lock w:val="sdtLocked"/>
                  <w:placeholder>
                    <w:docPart w:val="GBC22222222222222222222222222222"/>
                  </w:placeholder>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24722593"/>
                  <w:lock w:val="sdtLocked"/>
                  <w:placeholder>
                    <w:docPart w:val="GBC22222222222222222222222222222"/>
                  </w:placeholder>
                  <w:dataBinding w:prefixMappings="xmlns:clcid-mr='clcid-mr'" w:xpath="/*/clcid-mr:ZhuGuanKuaiJiGongZuoFuZeRenXingMing" w:storeItemID="{89EBAB94-44A0-46A2-B712-30D997D04A6D}"/>
                  <w:text/>
                </w:sdtPr>
                <w:sdtContent>
                  <w:r w:rsidR="00A82E13">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4722594"/>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车晓昕</w:t>
                  </w:r>
                </w:sdtContent>
              </w:sdt>
            </w:p>
          </w:sdtContent>
        </w:sdt>
        <w:p w:rsidR="00DE031E" w:rsidRDefault="00DE031E" w:rsidP="00DE031E">
          <w:pPr>
            <w:tabs>
              <w:tab w:val="left" w:pos="10470"/>
            </w:tabs>
            <w:rPr>
              <w:szCs w:val="21"/>
            </w:rPr>
          </w:pPr>
        </w:p>
        <w:sdt>
          <w:sdtPr>
            <w:rPr>
              <w:b/>
              <w:szCs w:val="21"/>
            </w:rPr>
            <w:tag w:val="_GBC_24560eea01804b8b9d3678736eb60ca8"/>
            <w:id w:val="24723225"/>
            <w:lock w:val="sdtLocked"/>
            <w:placeholder>
              <w:docPart w:val="GBC22222222222222222222222222222"/>
            </w:placeholder>
          </w:sdtPr>
          <w:sdtEndPr>
            <w:rPr>
              <w:rFonts w:hint="eastAsia"/>
              <w:b w:val="0"/>
            </w:rPr>
          </w:sdtEndPr>
          <w:sdtContent>
            <w:p w:rsidR="00DE031E" w:rsidRDefault="001C1A59">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r w:rsidRPr="00150D6E">
                <w:rPr>
                  <w:rFonts w:hint="eastAsia"/>
                  <w:b/>
                  <w:szCs w:val="21"/>
                </w:rPr>
                <w:t>（未经审计）</w:t>
              </w:r>
            </w:p>
            <w:p w:rsidR="00DE031E" w:rsidRDefault="001C1A59">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DE031E" w:rsidRDefault="001C1A59">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4722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247225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539" w:type="dxa"/>
                <w:jc w:val="center"/>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0"/>
                <w:gridCol w:w="1418"/>
                <w:gridCol w:w="425"/>
                <w:gridCol w:w="425"/>
                <w:gridCol w:w="284"/>
                <w:gridCol w:w="1559"/>
                <w:gridCol w:w="425"/>
                <w:gridCol w:w="1276"/>
                <w:gridCol w:w="283"/>
                <w:gridCol w:w="1418"/>
                <w:gridCol w:w="1417"/>
                <w:gridCol w:w="1560"/>
                <w:gridCol w:w="1499"/>
              </w:tblGrid>
              <w:tr w:rsidR="00DE031E" w:rsidRPr="00C22063" w:rsidTr="00DE031E">
                <w:trPr>
                  <w:trHeight w:val="20"/>
                  <w:jc w:val="center"/>
                </w:trPr>
                <w:tc>
                  <w:tcPr>
                    <w:tcW w:w="2550" w:type="dxa"/>
                    <w:vMerge w:val="restart"/>
                    <w:vAlign w:val="center"/>
                  </w:tcPr>
                  <w:p w:rsidR="00DE031E" w:rsidRPr="00C22063" w:rsidRDefault="001C1A59" w:rsidP="00DE031E">
                    <w:pPr>
                      <w:adjustRightInd w:val="0"/>
                      <w:snapToGrid w:val="0"/>
                      <w:jc w:val="center"/>
                      <w:rPr>
                        <w:sz w:val="15"/>
                        <w:szCs w:val="15"/>
                      </w:rPr>
                    </w:pPr>
                    <w:r w:rsidRPr="00C22063">
                      <w:rPr>
                        <w:sz w:val="15"/>
                        <w:szCs w:val="15"/>
                      </w:rPr>
                      <w:t>项目</w:t>
                    </w:r>
                  </w:p>
                </w:tc>
                <w:tc>
                  <w:tcPr>
                    <w:tcW w:w="11989" w:type="dxa"/>
                    <w:gridSpan w:val="12"/>
                    <w:vAlign w:val="center"/>
                  </w:tcPr>
                  <w:p w:rsidR="00DE031E" w:rsidRPr="00C22063" w:rsidRDefault="001C1A59" w:rsidP="00DE031E">
                    <w:pPr>
                      <w:adjustRightInd w:val="0"/>
                      <w:snapToGrid w:val="0"/>
                      <w:jc w:val="center"/>
                      <w:rPr>
                        <w:sz w:val="15"/>
                        <w:szCs w:val="15"/>
                      </w:rPr>
                    </w:pPr>
                    <w:r w:rsidRPr="00C22063">
                      <w:rPr>
                        <w:rFonts w:hint="eastAsia"/>
                        <w:sz w:val="15"/>
                        <w:szCs w:val="15"/>
                      </w:rPr>
                      <w:t>本期</w:t>
                    </w:r>
                  </w:p>
                </w:tc>
              </w:tr>
              <w:tr w:rsidR="00DE031E" w:rsidRPr="00C22063" w:rsidTr="00DE031E">
                <w:trPr>
                  <w:trHeight w:val="315"/>
                  <w:jc w:val="center"/>
                </w:trPr>
                <w:tc>
                  <w:tcPr>
                    <w:tcW w:w="2550" w:type="dxa"/>
                    <w:vMerge/>
                  </w:tcPr>
                  <w:p w:rsidR="00DE031E" w:rsidRPr="00C22063" w:rsidRDefault="00DE031E" w:rsidP="00DE031E">
                    <w:pPr>
                      <w:adjustRightInd w:val="0"/>
                      <w:snapToGrid w:val="0"/>
                      <w:rPr>
                        <w:sz w:val="15"/>
                        <w:szCs w:val="15"/>
                      </w:rPr>
                    </w:pPr>
                  </w:p>
                </w:tc>
                <w:tc>
                  <w:tcPr>
                    <w:tcW w:w="1418" w:type="dxa"/>
                    <w:vMerge w:val="restart"/>
                    <w:tcBorders>
                      <w:right w:val="single" w:sz="4" w:space="0" w:color="auto"/>
                    </w:tcBorders>
                    <w:vAlign w:val="center"/>
                  </w:tcPr>
                  <w:p w:rsidR="00DE031E" w:rsidRPr="00C22063" w:rsidRDefault="001C1A59" w:rsidP="00DE031E">
                    <w:pPr>
                      <w:adjustRightInd w:val="0"/>
                      <w:snapToGrid w:val="0"/>
                      <w:jc w:val="center"/>
                      <w:rPr>
                        <w:sz w:val="15"/>
                        <w:szCs w:val="15"/>
                      </w:rPr>
                    </w:pPr>
                    <w:r w:rsidRPr="00C22063">
                      <w:rPr>
                        <w:rFonts w:hint="eastAsia"/>
                        <w:sz w:val="15"/>
                        <w:szCs w:val="15"/>
                      </w:rPr>
                      <w:t>股本</w:t>
                    </w:r>
                  </w:p>
                </w:tc>
                <w:tc>
                  <w:tcPr>
                    <w:tcW w:w="1134" w:type="dxa"/>
                    <w:gridSpan w:val="3"/>
                    <w:tcBorders>
                      <w:left w:val="single" w:sz="4" w:space="0" w:color="auto"/>
                      <w:bottom w:val="single" w:sz="4" w:space="0" w:color="auto"/>
                    </w:tcBorders>
                    <w:vAlign w:val="center"/>
                  </w:tcPr>
                  <w:p w:rsidR="00DE031E" w:rsidRPr="00C22063" w:rsidRDefault="001C1A59" w:rsidP="00DE031E">
                    <w:pPr>
                      <w:adjustRightInd w:val="0"/>
                      <w:snapToGrid w:val="0"/>
                      <w:jc w:val="center"/>
                      <w:rPr>
                        <w:sz w:val="15"/>
                        <w:szCs w:val="15"/>
                      </w:rPr>
                    </w:pPr>
                    <w:r w:rsidRPr="00C22063">
                      <w:rPr>
                        <w:rFonts w:hint="eastAsia"/>
                        <w:sz w:val="15"/>
                        <w:szCs w:val="15"/>
                      </w:rPr>
                      <w:t>其他权益工具</w:t>
                    </w:r>
                  </w:p>
                </w:tc>
                <w:tc>
                  <w:tcPr>
                    <w:tcW w:w="1559" w:type="dxa"/>
                    <w:vMerge w:val="restart"/>
                    <w:vAlign w:val="center"/>
                  </w:tcPr>
                  <w:p w:rsidR="00DE031E" w:rsidRPr="00C22063" w:rsidRDefault="001C1A59" w:rsidP="00DE031E">
                    <w:pPr>
                      <w:adjustRightInd w:val="0"/>
                      <w:snapToGrid w:val="0"/>
                      <w:jc w:val="center"/>
                      <w:rPr>
                        <w:sz w:val="15"/>
                        <w:szCs w:val="15"/>
                      </w:rPr>
                    </w:pPr>
                    <w:r w:rsidRPr="00C22063">
                      <w:rPr>
                        <w:sz w:val="15"/>
                        <w:szCs w:val="15"/>
                      </w:rPr>
                      <w:t>资本公积</w:t>
                    </w:r>
                  </w:p>
                </w:tc>
                <w:tc>
                  <w:tcPr>
                    <w:tcW w:w="425" w:type="dxa"/>
                    <w:vMerge w:val="restart"/>
                    <w:vAlign w:val="center"/>
                  </w:tcPr>
                  <w:p w:rsidR="00DE031E" w:rsidRPr="00C22063" w:rsidRDefault="001C1A59" w:rsidP="00DE031E">
                    <w:pPr>
                      <w:adjustRightInd w:val="0"/>
                      <w:snapToGrid w:val="0"/>
                      <w:jc w:val="center"/>
                      <w:rPr>
                        <w:sz w:val="15"/>
                        <w:szCs w:val="15"/>
                      </w:rPr>
                    </w:pPr>
                    <w:r w:rsidRPr="00C22063">
                      <w:rPr>
                        <w:sz w:val="15"/>
                        <w:szCs w:val="15"/>
                      </w:rPr>
                      <w:t>减：库存股</w:t>
                    </w:r>
                  </w:p>
                </w:tc>
                <w:tc>
                  <w:tcPr>
                    <w:tcW w:w="1276" w:type="dxa"/>
                    <w:vMerge w:val="restart"/>
                    <w:vAlign w:val="center"/>
                  </w:tcPr>
                  <w:p w:rsidR="00DE031E" w:rsidRPr="00C22063" w:rsidRDefault="001C1A59" w:rsidP="00DE031E">
                    <w:pPr>
                      <w:jc w:val="center"/>
                      <w:rPr>
                        <w:sz w:val="15"/>
                        <w:szCs w:val="15"/>
                      </w:rPr>
                    </w:pPr>
                    <w:r w:rsidRPr="00C22063">
                      <w:rPr>
                        <w:rFonts w:hint="eastAsia"/>
                        <w:sz w:val="15"/>
                        <w:szCs w:val="15"/>
                      </w:rPr>
                      <w:t>其他综合收益</w:t>
                    </w:r>
                  </w:p>
                </w:tc>
                <w:tc>
                  <w:tcPr>
                    <w:tcW w:w="283" w:type="dxa"/>
                    <w:vMerge w:val="restart"/>
                    <w:vAlign w:val="center"/>
                  </w:tcPr>
                  <w:p w:rsidR="00DE031E" w:rsidRPr="00C22063" w:rsidRDefault="001C1A59" w:rsidP="00DE031E">
                    <w:pPr>
                      <w:adjustRightInd w:val="0"/>
                      <w:snapToGrid w:val="0"/>
                      <w:jc w:val="center"/>
                      <w:rPr>
                        <w:sz w:val="15"/>
                        <w:szCs w:val="15"/>
                      </w:rPr>
                    </w:pPr>
                    <w:r w:rsidRPr="00C22063">
                      <w:rPr>
                        <w:rFonts w:hint="eastAsia"/>
                        <w:sz w:val="15"/>
                        <w:szCs w:val="15"/>
                      </w:rPr>
                      <w:t>专项储备</w:t>
                    </w:r>
                  </w:p>
                </w:tc>
                <w:tc>
                  <w:tcPr>
                    <w:tcW w:w="1418" w:type="dxa"/>
                    <w:vMerge w:val="restart"/>
                    <w:vAlign w:val="center"/>
                  </w:tcPr>
                  <w:p w:rsidR="00DE031E" w:rsidRPr="00C22063" w:rsidRDefault="001C1A59" w:rsidP="00DE031E">
                    <w:pPr>
                      <w:adjustRightInd w:val="0"/>
                      <w:snapToGrid w:val="0"/>
                      <w:jc w:val="center"/>
                      <w:rPr>
                        <w:sz w:val="15"/>
                        <w:szCs w:val="15"/>
                      </w:rPr>
                    </w:pPr>
                    <w:r w:rsidRPr="00C22063">
                      <w:rPr>
                        <w:sz w:val="15"/>
                        <w:szCs w:val="15"/>
                      </w:rPr>
                      <w:t>盈余公积</w:t>
                    </w:r>
                  </w:p>
                </w:tc>
                <w:tc>
                  <w:tcPr>
                    <w:tcW w:w="1417" w:type="dxa"/>
                    <w:vMerge w:val="restart"/>
                    <w:vAlign w:val="center"/>
                  </w:tcPr>
                  <w:p w:rsidR="00DE031E" w:rsidRPr="00C22063" w:rsidRDefault="001C1A59" w:rsidP="00DE031E">
                    <w:pPr>
                      <w:adjustRightInd w:val="0"/>
                      <w:snapToGrid w:val="0"/>
                      <w:jc w:val="center"/>
                      <w:rPr>
                        <w:sz w:val="15"/>
                        <w:szCs w:val="15"/>
                      </w:rPr>
                    </w:pPr>
                    <w:r w:rsidRPr="00C22063">
                      <w:rPr>
                        <w:sz w:val="15"/>
                        <w:szCs w:val="15"/>
                      </w:rPr>
                      <w:t>一般风险准备</w:t>
                    </w:r>
                  </w:p>
                </w:tc>
                <w:tc>
                  <w:tcPr>
                    <w:tcW w:w="1560" w:type="dxa"/>
                    <w:vMerge w:val="restart"/>
                    <w:vAlign w:val="center"/>
                  </w:tcPr>
                  <w:p w:rsidR="00DE031E" w:rsidRPr="00C22063" w:rsidRDefault="001C1A59" w:rsidP="00DE031E">
                    <w:pPr>
                      <w:adjustRightInd w:val="0"/>
                      <w:snapToGrid w:val="0"/>
                      <w:jc w:val="center"/>
                      <w:rPr>
                        <w:sz w:val="15"/>
                        <w:szCs w:val="15"/>
                      </w:rPr>
                    </w:pPr>
                    <w:r w:rsidRPr="00C22063">
                      <w:rPr>
                        <w:sz w:val="15"/>
                        <w:szCs w:val="15"/>
                      </w:rPr>
                      <w:t>未分配利润</w:t>
                    </w:r>
                  </w:p>
                </w:tc>
                <w:tc>
                  <w:tcPr>
                    <w:tcW w:w="1499" w:type="dxa"/>
                    <w:vMerge w:val="restart"/>
                    <w:vAlign w:val="center"/>
                  </w:tcPr>
                  <w:p w:rsidR="00DE031E" w:rsidRPr="00C22063" w:rsidRDefault="001C1A59" w:rsidP="00DE031E">
                    <w:pPr>
                      <w:adjustRightInd w:val="0"/>
                      <w:snapToGrid w:val="0"/>
                      <w:jc w:val="center"/>
                      <w:rPr>
                        <w:sz w:val="15"/>
                        <w:szCs w:val="15"/>
                      </w:rPr>
                    </w:pPr>
                    <w:r w:rsidRPr="00C22063">
                      <w:rPr>
                        <w:sz w:val="15"/>
                        <w:szCs w:val="15"/>
                      </w:rPr>
                      <w:t>所有者权益合计</w:t>
                    </w:r>
                  </w:p>
                </w:tc>
              </w:tr>
              <w:tr w:rsidR="00DE031E" w:rsidRPr="00C22063" w:rsidTr="00DE031E">
                <w:trPr>
                  <w:trHeight w:val="294"/>
                  <w:jc w:val="center"/>
                </w:trPr>
                <w:tc>
                  <w:tcPr>
                    <w:tcW w:w="2550" w:type="dxa"/>
                    <w:vMerge/>
                  </w:tcPr>
                  <w:p w:rsidR="00DE031E" w:rsidRPr="00C22063" w:rsidRDefault="00DE031E" w:rsidP="00DE031E">
                    <w:pPr>
                      <w:adjustRightInd w:val="0"/>
                      <w:snapToGrid w:val="0"/>
                      <w:rPr>
                        <w:sz w:val="15"/>
                        <w:szCs w:val="15"/>
                      </w:rPr>
                    </w:pPr>
                  </w:p>
                </w:tc>
                <w:tc>
                  <w:tcPr>
                    <w:tcW w:w="1418" w:type="dxa"/>
                    <w:vMerge/>
                    <w:tcBorders>
                      <w:right w:val="single" w:sz="4" w:space="0" w:color="auto"/>
                    </w:tcBorders>
                    <w:vAlign w:val="center"/>
                  </w:tcPr>
                  <w:p w:rsidR="00DE031E" w:rsidRPr="00C22063" w:rsidRDefault="00DE031E" w:rsidP="00DE031E">
                    <w:pPr>
                      <w:adjustRightInd w:val="0"/>
                      <w:snapToGrid w:val="0"/>
                      <w:jc w:val="center"/>
                      <w:rPr>
                        <w:sz w:val="15"/>
                        <w:szCs w:val="15"/>
                      </w:rPr>
                    </w:pPr>
                  </w:p>
                </w:tc>
                <w:tc>
                  <w:tcPr>
                    <w:tcW w:w="425" w:type="dxa"/>
                    <w:tcBorders>
                      <w:top w:val="single" w:sz="4" w:space="0" w:color="auto"/>
                      <w:left w:val="single" w:sz="4" w:space="0" w:color="auto"/>
                      <w:right w:val="single" w:sz="4" w:space="0" w:color="auto"/>
                    </w:tcBorders>
                    <w:vAlign w:val="center"/>
                  </w:tcPr>
                  <w:p w:rsidR="00DE031E" w:rsidRPr="00C22063" w:rsidRDefault="001C1A59" w:rsidP="00DE031E">
                    <w:pPr>
                      <w:adjustRightInd w:val="0"/>
                      <w:snapToGrid w:val="0"/>
                      <w:jc w:val="center"/>
                      <w:rPr>
                        <w:sz w:val="15"/>
                        <w:szCs w:val="15"/>
                      </w:rPr>
                    </w:pPr>
                    <w:r w:rsidRPr="00C22063">
                      <w:rPr>
                        <w:rFonts w:hint="eastAsia"/>
                        <w:sz w:val="15"/>
                        <w:szCs w:val="15"/>
                      </w:rPr>
                      <w:t>优先股</w:t>
                    </w:r>
                  </w:p>
                </w:tc>
                <w:tc>
                  <w:tcPr>
                    <w:tcW w:w="425" w:type="dxa"/>
                    <w:tcBorders>
                      <w:top w:val="single" w:sz="4" w:space="0" w:color="auto"/>
                      <w:left w:val="single" w:sz="4" w:space="0" w:color="auto"/>
                      <w:right w:val="single" w:sz="4" w:space="0" w:color="auto"/>
                    </w:tcBorders>
                    <w:vAlign w:val="center"/>
                  </w:tcPr>
                  <w:p w:rsidR="00DE031E" w:rsidRPr="00C22063" w:rsidRDefault="001C1A59" w:rsidP="00DE031E">
                    <w:pPr>
                      <w:adjustRightInd w:val="0"/>
                      <w:snapToGrid w:val="0"/>
                      <w:jc w:val="center"/>
                      <w:rPr>
                        <w:sz w:val="15"/>
                        <w:szCs w:val="15"/>
                      </w:rPr>
                    </w:pPr>
                    <w:r w:rsidRPr="00C22063">
                      <w:rPr>
                        <w:rFonts w:hint="eastAsia"/>
                        <w:sz w:val="15"/>
                        <w:szCs w:val="15"/>
                      </w:rPr>
                      <w:t>永续债</w:t>
                    </w:r>
                  </w:p>
                </w:tc>
                <w:tc>
                  <w:tcPr>
                    <w:tcW w:w="284" w:type="dxa"/>
                    <w:tcBorders>
                      <w:top w:val="single" w:sz="4" w:space="0" w:color="auto"/>
                      <w:left w:val="single" w:sz="4" w:space="0" w:color="auto"/>
                    </w:tcBorders>
                    <w:vAlign w:val="center"/>
                  </w:tcPr>
                  <w:p w:rsidR="00DE031E" w:rsidRPr="00C22063" w:rsidRDefault="001C1A59" w:rsidP="00DE031E">
                    <w:pPr>
                      <w:adjustRightInd w:val="0"/>
                      <w:snapToGrid w:val="0"/>
                      <w:jc w:val="center"/>
                      <w:rPr>
                        <w:sz w:val="15"/>
                        <w:szCs w:val="15"/>
                      </w:rPr>
                    </w:pPr>
                    <w:r w:rsidRPr="00C22063">
                      <w:rPr>
                        <w:rFonts w:hint="eastAsia"/>
                        <w:sz w:val="15"/>
                        <w:szCs w:val="15"/>
                      </w:rPr>
                      <w:t>其他</w:t>
                    </w:r>
                  </w:p>
                </w:tc>
                <w:tc>
                  <w:tcPr>
                    <w:tcW w:w="1559" w:type="dxa"/>
                    <w:vMerge/>
                  </w:tcPr>
                  <w:p w:rsidR="00DE031E" w:rsidRPr="00C22063" w:rsidRDefault="00DE031E" w:rsidP="00DE031E">
                    <w:pPr>
                      <w:adjustRightInd w:val="0"/>
                      <w:snapToGrid w:val="0"/>
                      <w:jc w:val="center"/>
                      <w:rPr>
                        <w:sz w:val="15"/>
                        <w:szCs w:val="15"/>
                      </w:rPr>
                    </w:pPr>
                  </w:p>
                </w:tc>
                <w:tc>
                  <w:tcPr>
                    <w:tcW w:w="425" w:type="dxa"/>
                    <w:vMerge/>
                  </w:tcPr>
                  <w:p w:rsidR="00DE031E" w:rsidRPr="00C22063" w:rsidRDefault="00DE031E" w:rsidP="00DE031E">
                    <w:pPr>
                      <w:adjustRightInd w:val="0"/>
                      <w:snapToGrid w:val="0"/>
                      <w:jc w:val="center"/>
                      <w:rPr>
                        <w:sz w:val="15"/>
                        <w:szCs w:val="15"/>
                      </w:rPr>
                    </w:pPr>
                  </w:p>
                </w:tc>
                <w:tc>
                  <w:tcPr>
                    <w:tcW w:w="1276" w:type="dxa"/>
                    <w:vMerge/>
                  </w:tcPr>
                  <w:p w:rsidR="00DE031E" w:rsidRPr="00C22063" w:rsidRDefault="00DE031E" w:rsidP="00DE031E">
                    <w:pPr>
                      <w:jc w:val="center"/>
                      <w:rPr>
                        <w:sz w:val="15"/>
                        <w:szCs w:val="15"/>
                      </w:rPr>
                    </w:pPr>
                  </w:p>
                </w:tc>
                <w:tc>
                  <w:tcPr>
                    <w:tcW w:w="283" w:type="dxa"/>
                    <w:vMerge/>
                  </w:tcPr>
                  <w:p w:rsidR="00DE031E" w:rsidRPr="00C22063" w:rsidRDefault="00DE031E" w:rsidP="00DE031E">
                    <w:pPr>
                      <w:adjustRightInd w:val="0"/>
                      <w:snapToGrid w:val="0"/>
                      <w:jc w:val="center"/>
                      <w:rPr>
                        <w:sz w:val="15"/>
                        <w:szCs w:val="15"/>
                      </w:rPr>
                    </w:pPr>
                  </w:p>
                </w:tc>
                <w:tc>
                  <w:tcPr>
                    <w:tcW w:w="1418" w:type="dxa"/>
                    <w:vMerge/>
                  </w:tcPr>
                  <w:p w:rsidR="00DE031E" w:rsidRPr="00C22063" w:rsidRDefault="00DE031E" w:rsidP="00DE031E">
                    <w:pPr>
                      <w:adjustRightInd w:val="0"/>
                      <w:snapToGrid w:val="0"/>
                      <w:jc w:val="center"/>
                      <w:rPr>
                        <w:sz w:val="15"/>
                        <w:szCs w:val="15"/>
                      </w:rPr>
                    </w:pPr>
                  </w:p>
                </w:tc>
                <w:tc>
                  <w:tcPr>
                    <w:tcW w:w="1417" w:type="dxa"/>
                    <w:vMerge/>
                  </w:tcPr>
                  <w:p w:rsidR="00DE031E" w:rsidRPr="00C22063" w:rsidRDefault="00DE031E" w:rsidP="00DE031E">
                    <w:pPr>
                      <w:adjustRightInd w:val="0"/>
                      <w:snapToGrid w:val="0"/>
                      <w:jc w:val="center"/>
                      <w:rPr>
                        <w:sz w:val="15"/>
                        <w:szCs w:val="15"/>
                      </w:rPr>
                    </w:pPr>
                  </w:p>
                </w:tc>
                <w:tc>
                  <w:tcPr>
                    <w:tcW w:w="1560" w:type="dxa"/>
                    <w:vMerge/>
                  </w:tcPr>
                  <w:p w:rsidR="00DE031E" w:rsidRPr="00C22063" w:rsidRDefault="00DE031E" w:rsidP="00DE031E">
                    <w:pPr>
                      <w:adjustRightInd w:val="0"/>
                      <w:snapToGrid w:val="0"/>
                      <w:jc w:val="center"/>
                      <w:rPr>
                        <w:sz w:val="15"/>
                        <w:szCs w:val="15"/>
                      </w:rPr>
                    </w:pPr>
                  </w:p>
                </w:tc>
                <w:tc>
                  <w:tcPr>
                    <w:tcW w:w="1499" w:type="dxa"/>
                    <w:vMerge/>
                  </w:tcPr>
                  <w:p w:rsidR="00DE031E" w:rsidRPr="00C22063" w:rsidRDefault="00DE031E" w:rsidP="00DE031E">
                    <w:pPr>
                      <w:adjustRightInd w:val="0"/>
                      <w:snapToGrid w:val="0"/>
                      <w:jc w:val="center"/>
                      <w:rPr>
                        <w:sz w:val="15"/>
                        <w:szCs w:val="15"/>
                      </w:rPr>
                    </w:pPr>
                  </w:p>
                </w:tc>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一、上年</w:t>
                    </w:r>
                    <w:r w:rsidRPr="00C22063">
                      <w:rPr>
                        <w:rFonts w:hint="eastAsia"/>
                        <w:sz w:val="15"/>
                        <w:szCs w:val="15"/>
                      </w:rPr>
                      <w:t>期</w:t>
                    </w:r>
                    <w:r w:rsidRPr="00C22063">
                      <w:rPr>
                        <w:sz w:val="15"/>
                        <w:szCs w:val="15"/>
                      </w:rPr>
                      <w:t>末余额</w:t>
                    </w:r>
                  </w:p>
                </w:tc>
                <w:sdt>
                  <w:sdtPr>
                    <w:rPr>
                      <w:sz w:val="15"/>
                      <w:szCs w:val="15"/>
                    </w:rPr>
                    <w:alias w:val="股本"/>
                    <w:tag w:val="_GBC_583d333ffbc249ceac96c628209200e7"/>
                    <w:id w:val="24722598"/>
                    <w:lock w:val="sdtLocked"/>
                  </w:sdtPr>
                  <w:sdtContent>
                    <w:tc>
                      <w:tcPr>
                        <w:tcW w:w="1418" w:type="dxa"/>
                        <w:tcBorders>
                          <w:right w:val="single" w:sz="4" w:space="0" w:color="auto"/>
                        </w:tcBorders>
                      </w:tcPr>
                      <w:p w:rsidR="00DE031E" w:rsidRPr="00C22063" w:rsidRDefault="001C1A59" w:rsidP="00DE031E">
                        <w:pPr>
                          <w:jc w:val="right"/>
                          <w:rPr>
                            <w:sz w:val="15"/>
                            <w:szCs w:val="15"/>
                          </w:rPr>
                        </w:pPr>
                        <w:r w:rsidRPr="00C22063">
                          <w:rPr>
                            <w:sz w:val="15"/>
                            <w:szCs w:val="15"/>
                          </w:rPr>
                          <w:t>5,808,135,529.00</w:t>
                        </w:r>
                      </w:p>
                    </w:tc>
                  </w:sdtContent>
                </w:sdt>
                <w:sdt>
                  <w:sdtPr>
                    <w:rPr>
                      <w:sz w:val="15"/>
                      <w:szCs w:val="15"/>
                    </w:rPr>
                    <w:alias w:val="其他权益工具-其中：优先股"/>
                    <w:tag w:val="_GBC_a7f6d469ff1042819a0e01511f46db24"/>
                    <w:id w:val="24722599"/>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永续债"/>
                    <w:tag w:val="_GBC_2a0c0d0793c647bab83a31cb72c08f75"/>
                    <w:id w:val="24722600"/>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其他"/>
                    <w:tag w:val="_GBC_0d141c35dd6f4314b4d372f0e83a2f8d"/>
                    <w:id w:val="24722601"/>
                    <w:lock w:val="sdtLocked"/>
                  </w:sdtPr>
                  <w:sdtContent>
                    <w:tc>
                      <w:tcPr>
                        <w:tcW w:w="284"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资本公积"/>
                    <w:tag w:val="_GBC_51adbc941775431d99d40f010b1d7e7f"/>
                    <w:id w:val="24722602"/>
                    <w:lock w:val="sdtLocked"/>
                  </w:sdtPr>
                  <w:sdtContent>
                    <w:tc>
                      <w:tcPr>
                        <w:tcW w:w="1559" w:type="dxa"/>
                        <w:tcBorders>
                          <w:left w:val="single" w:sz="4" w:space="0" w:color="auto"/>
                        </w:tcBorders>
                      </w:tcPr>
                      <w:p w:rsidR="00DE031E" w:rsidRPr="00C22063" w:rsidRDefault="001C1A59" w:rsidP="00DE031E">
                        <w:pPr>
                          <w:jc w:val="right"/>
                          <w:rPr>
                            <w:sz w:val="15"/>
                            <w:szCs w:val="15"/>
                          </w:rPr>
                        </w:pPr>
                        <w:r w:rsidRPr="00C22063">
                          <w:rPr>
                            <w:sz w:val="15"/>
                            <w:szCs w:val="15"/>
                          </w:rPr>
                          <w:t>19,403,877,003.80</w:t>
                        </w:r>
                      </w:p>
                    </w:tc>
                  </w:sdtContent>
                </w:sdt>
                <w:sdt>
                  <w:sdtPr>
                    <w:rPr>
                      <w:sz w:val="15"/>
                      <w:szCs w:val="15"/>
                    </w:rPr>
                    <w:alias w:val="库存股"/>
                    <w:tag w:val="_GBC_9ed2e6479f584ca89c2144f657d622a8"/>
                    <w:id w:val="24722603"/>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综合收益（资产负债表项目）"/>
                    <w:tag w:val="_GBC_3a76a516a0e9486b9ba08b129b851c40"/>
                    <w:id w:val="24722604"/>
                    <w:lock w:val="sdtLocked"/>
                  </w:sdtPr>
                  <w:sdtContent>
                    <w:tc>
                      <w:tcPr>
                        <w:tcW w:w="1276" w:type="dxa"/>
                      </w:tcPr>
                      <w:p w:rsidR="00DE031E" w:rsidRPr="00C22063" w:rsidRDefault="001C1A59" w:rsidP="00DE031E">
                        <w:pPr>
                          <w:jc w:val="right"/>
                          <w:rPr>
                            <w:sz w:val="15"/>
                            <w:szCs w:val="15"/>
                          </w:rPr>
                        </w:pPr>
                        <w:r w:rsidRPr="00C22063">
                          <w:rPr>
                            <w:sz w:val="15"/>
                            <w:szCs w:val="15"/>
                          </w:rPr>
                          <w:t>64,977,686.65</w:t>
                        </w:r>
                      </w:p>
                    </w:tc>
                  </w:sdtContent>
                </w:sdt>
                <w:sdt>
                  <w:sdtPr>
                    <w:rPr>
                      <w:sz w:val="15"/>
                      <w:szCs w:val="15"/>
                    </w:rPr>
                    <w:alias w:val="专项储备"/>
                    <w:tag w:val="_GBC_c2936a53d61d40e0bfd7b0d5a6d9df8d"/>
                    <w:id w:val="24722605"/>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盈余公积"/>
                    <w:tag w:val="_GBC_e182d0452ddb44d9bb4260c85daf5201"/>
                    <w:id w:val="24722606"/>
                    <w:lock w:val="sdtLocked"/>
                  </w:sdtPr>
                  <w:sdtContent>
                    <w:tc>
                      <w:tcPr>
                        <w:tcW w:w="1418" w:type="dxa"/>
                      </w:tcPr>
                      <w:p w:rsidR="00DE031E" w:rsidRPr="00C22063" w:rsidRDefault="001C1A59" w:rsidP="00DE031E">
                        <w:pPr>
                          <w:jc w:val="right"/>
                          <w:rPr>
                            <w:sz w:val="15"/>
                            <w:szCs w:val="15"/>
                          </w:rPr>
                        </w:pPr>
                        <w:r w:rsidRPr="00C22063">
                          <w:rPr>
                            <w:sz w:val="15"/>
                            <w:szCs w:val="15"/>
                          </w:rPr>
                          <w:t>2,400,210,713.47</w:t>
                        </w:r>
                      </w:p>
                    </w:tc>
                  </w:sdtContent>
                </w:sdt>
                <w:sdt>
                  <w:sdtPr>
                    <w:rPr>
                      <w:sz w:val="15"/>
                      <w:szCs w:val="15"/>
                    </w:rPr>
                    <w:alias w:val="一、上年期末余额一般风险准备"/>
                    <w:tag w:val="_GBC_e7c6ba80002f48d4b19cda6e3a8fb089"/>
                    <w:id w:val="24722607"/>
                    <w:lock w:val="sdtLocked"/>
                  </w:sdtPr>
                  <w:sdtContent>
                    <w:tc>
                      <w:tcPr>
                        <w:tcW w:w="1417" w:type="dxa"/>
                      </w:tcPr>
                      <w:p w:rsidR="00DE031E" w:rsidRPr="00C22063" w:rsidRDefault="001C1A59" w:rsidP="00DE031E">
                        <w:pPr>
                          <w:jc w:val="right"/>
                          <w:rPr>
                            <w:sz w:val="15"/>
                            <w:szCs w:val="15"/>
                          </w:rPr>
                        </w:pPr>
                        <w:r w:rsidRPr="00C22063">
                          <w:rPr>
                            <w:sz w:val="15"/>
                            <w:szCs w:val="15"/>
                          </w:rPr>
                          <w:t>4,671,608,420.38</w:t>
                        </w:r>
                      </w:p>
                    </w:tc>
                  </w:sdtContent>
                </w:sdt>
                <w:sdt>
                  <w:sdtPr>
                    <w:rPr>
                      <w:sz w:val="15"/>
                      <w:szCs w:val="15"/>
                    </w:rPr>
                    <w:alias w:val="未分配利润"/>
                    <w:tag w:val="_GBC_f8d35e7139554ee49bf49207c87b7f16"/>
                    <w:id w:val="24722608"/>
                    <w:lock w:val="sdtLocked"/>
                  </w:sdtPr>
                  <w:sdtContent>
                    <w:tc>
                      <w:tcPr>
                        <w:tcW w:w="1560" w:type="dxa"/>
                      </w:tcPr>
                      <w:p w:rsidR="00DE031E" w:rsidRPr="00C22063" w:rsidRDefault="001C1A59" w:rsidP="00DE031E">
                        <w:pPr>
                          <w:jc w:val="right"/>
                          <w:rPr>
                            <w:sz w:val="15"/>
                            <w:szCs w:val="15"/>
                          </w:rPr>
                        </w:pPr>
                        <w:r w:rsidRPr="00C22063">
                          <w:rPr>
                            <w:sz w:val="15"/>
                            <w:szCs w:val="15"/>
                          </w:rPr>
                          <w:t>8,209,505,884.55</w:t>
                        </w:r>
                      </w:p>
                    </w:tc>
                  </w:sdtContent>
                </w:sdt>
                <w:sdt>
                  <w:sdtPr>
                    <w:rPr>
                      <w:sz w:val="15"/>
                      <w:szCs w:val="15"/>
                    </w:rPr>
                    <w:alias w:val="股东权益合计"/>
                    <w:tag w:val="_GBC_e798b7b189914bb59f0329054faf5f1e"/>
                    <w:id w:val="24722609"/>
                    <w:lock w:val="sdtLocked"/>
                  </w:sdtPr>
                  <w:sdtContent>
                    <w:tc>
                      <w:tcPr>
                        <w:tcW w:w="1499" w:type="dxa"/>
                      </w:tcPr>
                      <w:p w:rsidR="00DE031E" w:rsidRPr="00C22063" w:rsidRDefault="001C1A59" w:rsidP="00DE031E">
                        <w:pPr>
                          <w:jc w:val="right"/>
                          <w:rPr>
                            <w:sz w:val="15"/>
                            <w:szCs w:val="15"/>
                          </w:rPr>
                        </w:pPr>
                        <w:r w:rsidRPr="00C22063">
                          <w:rPr>
                            <w:sz w:val="15"/>
                            <w:szCs w:val="15"/>
                          </w:rPr>
                          <w:t>40,558,315,237.85</w:t>
                        </w: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加：会计政策变更</w:t>
                    </w:r>
                  </w:p>
                </w:tc>
                <w:sdt>
                  <w:sdtPr>
                    <w:rPr>
                      <w:sz w:val="15"/>
                      <w:szCs w:val="15"/>
                    </w:rPr>
                    <w:alias w:val="会计政策变更导致实收资本（或股本）净额变动金额"/>
                    <w:tag w:val="_GBC_6936c9d292c54d9eaf43914b7734867a"/>
                    <w:id w:val="24722610"/>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会计政策变更导致优先股变动金额"/>
                    <w:tag w:val="_GBC_79671f81f107492ba830eb514c2312ad"/>
                    <w:id w:val="24722611"/>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会计政策变更导致永续债变动金额"/>
                    <w:tag w:val="_GBC_0d7b7feb214f4f45b166823fcf6e1b87"/>
                    <w:id w:val="24722612"/>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会计政策变更导致其他权益工具中的其他变动金额"/>
                    <w:tag w:val="_GBC_24311878313744a8a7f34fc6c6df8530"/>
                    <w:id w:val="24722613"/>
                    <w:lock w:val="sdtLocked"/>
                  </w:sdtPr>
                  <w:sdtContent>
                    <w:tc>
                      <w:tcPr>
                        <w:tcW w:w="284"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会计政策变更导致资本公积变动金额"/>
                    <w:tag w:val="_GBC_2a39c1db54d947af88dcefcf007b6371"/>
                    <w:id w:val="24722614"/>
                    <w:lock w:val="sdtLocked"/>
                  </w:sdtPr>
                  <w:sdtContent>
                    <w:tc>
                      <w:tcPr>
                        <w:tcW w:w="1559"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会计政策变更导致库存股变动金额"/>
                    <w:tag w:val="_GBC_072cb2558f88475c9d5638e0678b6be9"/>
                    <w:id w:val="24722615"/>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会计政策变更导致其他综合收益变动金额"/>
                    <w:tag w:val="_GBC_fc88583f97da4eb7970e3a6b48e6cdc0"/>
                    <w:id w:val="24722616"/>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会计政策变更导致专项储备变动金额"/>
                    <w:tag w:val="_GBC_5ae8de50d93145608ee03d01001871e0"/>
                    <w:id w:val="24722617"/>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会计政策变更导致盈余公积变动金额"/>
                    <w:tag w:val="_GBC_41e30fbe1428420e8f76e33dfcfc5c24"/>
                    <w:id w:val="24722618"/>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加：会计政策变更一般风险准备"/>
                    <w:tag w:val="_GBC_e7eb752f9680453bb095cb8bd4baf0e6"/>
                    <w:id w:val="24722619"/>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会计政策变更导致未分配利润变动金额"/>
                    <w:tag w:val="_GBC_6377093d188842298a641b07370458af"/>
                    <w:id w:val="24722620"/>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会计政策变更导致股东权益合计变动金额"/>
                    <w:tag w:val="_GBC_bdddf6356795461fa00dde53f549eee2"/>
                    <w:id w:val="24722621"/>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ind w:firstLineChars="200" w:firstLine="300"/>
                      <w:rPr>
                        <w:sz w:val="15"/>
                        <w:szCs w:val="15"/>
                      </w:rPr>
                    </w:pPr>
                    <w:r w:rsidRPr="00C22063">
                      <w:rPr>
                        <w:sz w:val="15"/>
                        <w:szCs w:val="15"/>
                      </w:rPr>
                      <w:t>前期差错更正</w:t>
                    </w:r>
                  </w:p>
                </w:tc>
                <w:sdt>
                  <w:sdtPr>
                    <w:rPr>
                      <w:sz w:val="15"/>
                      <w:szCs w:val="15"/>
                    </w:rPr>
                    <w:alias w:val="前期差错更正导致实收资本（或股本）净额变动金额"/>
                    <w:tag w:val="_GBC_ee6b3339506e46208a01654a3c6d65fd"/>
                    <w:id w:val="24722622"/>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前期差错更正导致优先股变动金额"/>
                    <w:tag w:val="_GBC_b2e428f0f9004626a841d3c758973d17"/>
                    <w:id w:val="24722623"/>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前期差错更正导致永续债变动金额"/>
                    <w:tag w:val="_GBC_a54acd52f7e741d39ca7526b1526e1a0"/>
                    <w:id w:val="24722624"/>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前期差错更正导致其他权益工具中的其他变动金额"/>
                    <w:tag w:val="_GBC_9a26486ef2f14a32a03eed6f89265d0e"/>
                    <w:id w:val="24722625"/>
                    <w:lock w:val="sdtLocked"/>
                  </w:sdtPr>
                  <w:sdtContent>
                    <w:tc>
                      <w:tcPr>
                        <w:tcW w:w="284"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前期差错更正导致资本公积变动金额"/>
                    <w:tag w:val="_GBC_137858386bd547c99b325998277b41c5"/>
                    <w:id w:val="24722626"/>
                    <w:lock w:val="sdtLocked"/>
                  </w:sdtPr>
                  <w:sdtContent>
                    <w:tc>
                      <w:tcPr>
                        <w:tcW w:w="1559"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前期差错更正导致库存股变动金额"/>
                    <w:tag w:val="_GBC_784924b9f9ac40eaaf013ce6ce342018"/>
                    <w:id w:val="24722627"/>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前期差错更正导致其他综合收益变动金额"/>
                    <w:tag w:val="_GBC_3860309cbc2f47409baf0f6f13b6425d"/>
                    <w:id w:val="24722628"/>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前期差错更正导致专项储备变动金额"/>
                    <w:tag w:val="_GBC_86b27c984e974efc931e5427e93db379"/>
                    <w:id w:val="24722629"/>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前期差错更正导致盈余公积变动金额"/>
                    <w:tag w:val="_GBC_37232f263b5a48019fbe2e75dbb24778"/>
                    <w:id w:val="24722630"/>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前期差错更正一般风险准备"/>
                    <w:tag w:val="_GBC_de37c6be688b44a1a16313ec8d8ccc18"/>
                    <w:id w:val="24722631"/>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前期差错更正导致未分配利润变动金额"/>
                    <w:tag w:val="_GBC_14caa941a474470fa4ca2fffb8667aaf"/>
                    <w:id w:val="24722632"/>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前期差错更正导致股东权益合计变动金额"/>
                    <w:tag w:val="_GBC_b26149d92d2b4c6a9c604f85f9d09476"/>
                    <w:id w:val="24722633"/>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ind w:firstLineChars="200" w:firstLine="300"/>
                      <w:rPr>
                        <w:sz w:val="15"/>
                        <w:szCs w:val="15"/>
                      </w:rPr>
                    </w:pPr>
                    <w:r w:rsidRPr="00C22063">
                      <w:rPr>
                        <w:rFonts w:hint="eastAsia"/>
                        <w:sz w:val="15"/>
                        <w:szCs w:val="15"/>
                      </w:rPr>
                      <w:t>其他</w:t>
                    </w:r>
                  </w:p>
                </w:tc>
                <w:sdt>
                  <w:sdtPr>
                    <w:rPr>
                      <w:sz w:val="15"/>
                      <w:szCs w:val="15"/>
                    </w:rPr>
                    <w:alias w:val="实收资本变动金额（其他追溯调整）"/>
                    <w:tag w:val="_GBC_d53c751726464cfe83a47b7159657f5e"/>
                    <w:id w:val="24722634"/>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优先股变动金额（其他追溯调整）"/>
                    <w:tag w:val="_GBC_97a435280c994beab51290714820242a"/>
                    <w:id w:val="24722635"/>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永续债变动金额（其他追溯调整）"/>
                    <w:tag w:val="_GBC_f61473621eee44fb9efe1a12d8dcfd3f"/>
                    <w:id w:val="24722636"/>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中的其他变动金额（其他追溯调整）"/>
                    <w:tag w:val="_GBC_9daf96e7466e43c9bd477f768c531456"/>
                    <w:id w:val="24722637"/>
                    <w:lock w:val="sdtLocked"/>
                  </w:sdtPr>
                  <w:sdtContent>
                    <w:tc>
                      <w:tcPr>
                        <w:tcW w:w="284"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资本公积变动金额（其他追溯调整）"/>
                    <w:tag w:val="_GBC_2f4d3ea28b4240229840933077713958"/>
                    <w:id w:val="24722638"/>
                    <w:lock w:val="sdtLocked"/>
                  </w:sdtPr>
                  <w:sdtContent>
                    <w:tc>
                      <w:tcPr>
                        <w:tcW w:w="1559"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库存股变动金额（其他追溯调整）"/>
                    <w:tag w:val="_GBC_ddbf7964893a46dc9400f3f7a010644f"/>
                    <w:id w:val="24722639"/>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综合收益变动金额（其他追溯调整）"/>
                    <w:tag w:val="_GBC_0cd35894243f40679daa30afb7b1073d"/>
                    <w:id w:val="24722640"/>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专项储备变动金额（其他追溯调整）"/>
                    <w:tag w:val="_GBC_91af8974a3264fdc89e0a9f707443a16"/>
                    <w:id w:val="24722641"/>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盈余公积变动金额（其他追溯调整）"/>
                    <w:tag w:val="_GBC_3168af887db04734bbf493dca4f2e37f"/>
                    <w:id w:val="24722642"/>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其他一般风险准备"/>
                    <w:tag w:val="_GBC_3f6fc3ffd2354e74ac6df9ae38c783b5"/>
                    <w:id w:val="24722643"/>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未分配利润变动金额（其他追溯调整）"/>
                    <w:tag w:val="_GBC_eda7952e114147678ca1499015d63826"/>
                    <w:id w:val="24722644"/>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股东权益变动金额（其他追溯调整）"/>
                    <w:tag w:val="_GBC_82716933795e49e9adeced8e2d1751d8"/>
                    <w:id w:val="24722645"/>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二、本年</w:t>
                    </w:r>
                    <w:r w:rsidRPr="00C22063">
                      <w:rPr>
                        <w:rFonts w:hint="eastAsia"/>
                        <w:sz w:val="15"/>
                        <w:szCs w:val="15"/>
                      </w:rPr>
                      <w:t>期</w:t>
                    </w:r>
                    <w:r w:rsidRPr="00C22063">
                      <w:rPr>
                        <w:sz w:val="15"/>
                        <w:szCs w:val="15"/>
                      </w:rPr>
                      <w:t>初余额</w:t>
                    </w:r>
                  </w:p>
                </w:tc>
                <w:sdt>
                  <w:sdtPr>
                    <w:rPr>
                      <w:sz w:val="15"/>
                      <w:szCs w:val="15"/>
                    </w:rPr>
                    <w:alias w:val="股本"/>
                    <w:tag w:val="_GBC_ba34079e60d94b358c4ae8930467139a"/>
                    <w:id w:val="24722646"/>
                    <w:lock w:val="sdtLocked"/>
                  </w:sdtPr>
                  <w:sdtContent>
                    <w:tc>
                      <w:tcPr>
                        <w:tcW w:w="1418" w:type="dxa"/>
                        <w:tcBorders>
                          <w:right w:val="single" w:sz="4" w:space="0" w:color="auto"/>
                        </w:tcBorders>
                      </w:tcPr>
                      <w:p w:rsidR="00DE031E" w:rsidRPr="00C22063" w:rsidRDefault="001C1A59" w:rsidP="00DE031E">
                        <w:pPr>
                          <w:jc w:val="right"/>
                          <w:rPr>
                            <w:sz w:val="15"/>
                            <w:szCs w:val="15"/>
                          </w:rPr>
                        </w:pPr>
                        <w:r w:rsidRPr="00C22063">
                          <w:rPr>
                            <w:sz w:val="15"/>
                            <w:szCs w:val="15"/>
                          </w:rPr>
                          <w:t>5,808,135,529.00</w:t>
                        </w:r>
                      </w:p>
                    </w:tc>
                  </w:sdtContent>
                </w:sdt>
                <w:sdt>
                  <w:sdtPr>
                    <w:rPr>
                      <w:sz w:val="15"/>
                      <w:szCs w:val="15"/>
                    </w:rPr>
                    <w:alias w:val="其他权益工具-其中：优先股"/>
                    <w:tag w:val="_GBC_6f8ba20835314d84a3a10a005dccec61"/>
                    <w:id w:val="24722647"/>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永续债"/>
                    <w:tag w:val="_GBC_2e73898f386143029ef2dbb6cb8fb860"/>
                    <w:id w:val="24722648"/>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其他"/>
                    <w:tag w:val="_GBC_377eab080a5e4f44ae9e2499dd4d0ae9"/>
                    <w:id w:val="24722649"/>
                    <w:lock w:val="sdtLocked"/>
                  </w:sdtPr>
                  <w:sdtContent>
                    <w:tc>
                      <w:tcPr>
                        <w:tcW w:w="284"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资本公积"/>
                    <w:tag w:val="_GBC_2545cc95ae014d3abcb7f9df116332b3"/>
                    <w:id w:val="24722650"/>
                    <w:lock w:val="sdtLocked"/>
                  </w:sdtPr>
                  <w:sdtContent>
                    <w:tc>
                      <w:tcPr>
                        <w:tcW w:w="1559" w:type="dxa"/>
                        <w:tcBorders>
                          <w:left w:val="single" w:sz="4" w:space="0" w:color="auto"/>
                        </w:tcBorders>
                      </w:tcPr>
                      <w:p w:rsidR="00DE031E" w:rsidRPr="00C22063" w:rsidRDefault="001C1A59" w:rsidP="00DE031E">
                        <w:pPr>
                          <w:jc w:val="right"/>
                          <w:rPr>
                            <w:sz w:val="15"/>
                            <w:szCs w:val="15"/>
                          </w:rPr>
                        </w:pPr>
                        <w:r w:rsidRPr="00C22063">
                          <w:rPr>
                            <w:sz w:val="15"/>
                            <w:szCs w:val="15"/>
                          </w:rPr>
                          <w:t>19,403,877,003.80</w:t>
                        </w:r>
                      </w:p>
                    </w:tc>
                  </w:sdtContent>
                </w:sdt>
                <w:sdt>
                  <w:sdtPr>
                    <w:rPr>
                      <w:sz w:val="15"/>
                      <w:szCs w:val="15"/>
                    </w:rPr>
                    <w:alias w:val="库存股"/>
                    <w:tag w:val="_GBC_2a643e284053411ab5c3910672f604ff"/>
                    <w:id w:val="24722651"/>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综合收益（资产负债表项目）"/>
                    <w:tag w:val="_GBC_184c4292b636416f9e2bf9ad64beec96"/>
                    <w:id w:val="24722652"/>
                    <w:lock w:val="sdtLocked"/>
                  </w:sdtPr>
                  <w:sdtContent>
                    <w:tc>
                      <w:tcPr>
                        <w:tcW w:w="1276" w:type="dxa"/>
                      </w:tcPr>
                      <w:p w:rsidR="00DE031E" w:rsidRPr="00C22063" w:rsidRDefault="001C1A59" w:rsidP="00DE031E">
                        <w:pPr>
                          <w:jc w:val="right"/>
                          <w:rPr>
                            <w:sz w:val="15"/>
                            <w:szCs w:val="15"/>
                          </w:rPr>
                        </w:pPr>
                        <w:r w:rsidRPr="00C22063">
                          <w:rPr>
                            <w:sz w:val="15"/>
                            <w:szCs w:val="15"/>
                          </w:rPr>
                          <w:t>64,977,686.65</w:t>
                        </w:r>
                      </w:p>
                    </w:tc>
                  </w:sdtContent>
                </w:sdt>
                <w:sdt>
                  <w:sdtPr>
                    <w:rPr>
                      <w:sz w:val="15"/>
                      <w:szCs w:val="15"/>
                    </w:rPr>
                    <w:alias w:val="专项储备"/>
                    <w:tag w:val="_GBC_2e855fe5876c4d6c90750ac45e2ed745"/>
                    <w:id w:val="24722653"/>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盈余公积"/>
                    <w:tag w:val="_GBC_3b4c95f045b541dc91650112461fd0b6"/>
                    <w:id w:val="24722654"/>
                    <w:lock w:val="sdtLocked"/>
                  </w:sdtPr>
                  <w:sdtContent>
                    <w:tc>
                      <w:tcPr>
                        <w:tcW w:w="1418" w:type="dxa"/>
                      </w:tcPr>
                      <w:p w:rsidR="00DE031E" w:rsidRPr="00C22063" w:rsidRDefault="001C1A59" w:rsidP="00DE031E">
                        <w:pPr>
                          <w:jc w:val="right"/>
                          <w:rPr>
                            <w:sz w:val="15"/>
                            <w:szCs w:val="15"/>
                          </w:rPr>
                        </w:pPr>
                        <w:r w:rsidRPr="00C22063">
                          <w:rPr>
                            <w:sz w:val="15"/>
                            <w:szCs w:val="15"/>
                          </w:rPr>
                          <w:t>2,400,210,713.47</w:t>
                        </w:r>
                      </w:p>
                    </w:tc>
                  </w:sdtContent>
                </w:sdt>
                <w:sdt>
                  <w:sdtPr>
                    <w:rPr>
                      <w:sz w:val="15"/>
                      <w:szCs w:val="15"/>
                    </w:rPr>
                    <w:alias w:val="二、本年期初余额一般风险准备"/>
                    <w:tag w:val="_GBC_6a1fdc5cf9ca4da29aa6354e009be573"/>
                    <w:id w:val="24722655"/>
                    <w:lock w:val="sdtLocked"/>
                  </w:sdtPr>
                  <w:sdtContent>
                    <w:tc>
                      <w:tcPr>
                        <w:tcW w:w="1417" w:type="dxa"/>
                      </w:tcPr>
                      <w:p w:rsidR="00DE031E" w:rsidRPr="00C22063" w:rsidRDefault="001C1A59" w:rsidP="00DE031E">
                        <w:pPr>
                          <w:jc w:val="right"/>
                          <w:rPr>
                            <w:sz w:val="15"/>
                            <w:szCs w:val="15"/>
                          </w:rPr>
                        </w:pPr>
                        <w:r w:rsidRPr="00C22063">
                          <w:rPr>
                            <w:sz w:val="15"/>
                            <w:szCs w:val="15"/>
                          </w:rPr>
                          <w:t>4,671,608,420.38</w:t>
                        </w:r>
                      </w:p>
                    </w:tc>
                  </w:sdtContent>
                </w:sdt>
                <w:sdt>
                  <w:sdtPr>
                    <w:rPr>
                      <w:sz w:val="15"/>
                      <w:szCs w:val="15"/>
                    </w:rPr>
                    <w:alias w:val="未分配利润"/>
                    <w:tag w:val="_GBC_b009218c639445918155256142364f34"/>
                    <w:id w:val="24722656"/>
                    <w:lock w:val="sdtLocked"/>
                  </w:sdtPr>
                  <w:sdtContent>
                    <w:tc>
                      <w:tcPr>
                        <w:tcW w:w="1560" w:type="dxa"/>
                      </w:tcPr>
                      <w:p w:rsidR="00DE031E" w:rsidRPr="00C22063" w:rsidRDefault="001C1A59" w:rsidP="00DE031E">
                        <w:pPr>
                          <w:jc w:val="right"/>
                          <w:rPr>
                            <w:sz w:val="15"/>
                            <w:szCs w:val="15"/>
                          </w:rPr>
                        </w:pPr>
                        <w:r w:rsidRPr="00C22063">
                          <w:rPr>
                            <w:sz w:val="15"/>
                            <w:szCs w:val="15"/>
                          </w:rPr>
                          <w:t>8,209,505,884.55</w:t>
                        </w:r>
                      </w:p>
                    </w:tc>
                  </w:sdtContent>
                </w:sdt>
                <w:sdt>
                  <w:sdtPr>
                    <w:rPr>
                      <w:sz w:val="15"/>
                      <w:szCs w:val="15"/>
                    </w:rPr>
                    <w:alias w:val="股东权益合计"/>
                    <w:tag w:val="_GBC_79e0a12c791f45fd9cad2ae5aaa5005e"/>
                    <w:id w:val="24722657"/>
                    <w:lock w:val="sdtLocked"/>
                  </w:sdtPr>
                  <w:sdtContent>
                    <w:tc>
                      <w:tcPr>
                        <w:tcW w:w="1499" w:type="dxa"/>
                      </w:tcPr>
                      <w:p w:rsidR="00DE031E" w:rsidRPr="00C22063" w:rsidRDefault="001C1A59" w:rsidP="00DE031E">
                        <w:pPr>
                          <w:jc w:val="right"/>
                          <w:rPr>
                            <w:sz w:val="15"/>
                            <w:szCs w:val="15"/>
                          </w:rPr>
                        </w:pPr>
                        <w:r w:rsidRPr="00C22063">
                          <w:rPr>
                            <w:sz w:val="15"/>
                            <w:szCs w:val="15"/>
                          </w:rPr>
                          <w:t>40,558,315,237.85</w:t>
                        </w: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三、本</w:t>
                    </w:r>
                    <w:r w:rsidRPr="00C22063">
                      <w:rPr>
                        <w:rFonts w:hint="eastAsia"/>
                        <w:sz w:val="15"/>
                        <w:szCs w:val="15"/>
                      </w:rPr>
                      <w:t>期</w:t>
                    </w:r>
                    <w:r w:rsidRPr="00C22063">
                      <w:rPr>
                        <w:sz w:val="15"/>
                        <w:szCs w:val="15"/>
                      </w:rPr>
                      <w:t>增减变动金额（减少以“－”号填列）</w:t>
                    </w:r>
                  </w:p>
                </w:tc>
                <w:sdt>
                  <w:sdtPr>
                    <w:rPr>
                      <w:sz w:val="15"/>
                      <w:szCs w:val="15"/>
                    </w:rPr>
                    <w:alias w:val="实收资本（或股本）净额增减变动金额"/>
                    <w:tag w:val="_GBC_9411d68808554eab9f3c1ef64107388b"/>
                    <w:id w:val="24722658"/>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中的优先股增减变动金额"/>
                    <w:tag w:val="_GBC_34441963446246739d5305433baf19bc"/>
                    <w:id w:val="24722659"/>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中的永续债增减变动金额"/>
                    <w:tag w:val="_GBC_ccd07e6a79dc43af9b0726f20f7feac1"/>
                    <w:id w:val="24722660"/>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中的其他增减变动金额"/>
                    <w:tag w:val="_GBC_74521b0d456640b2a3fea5b54a188654"/>
                    <w:id w:val="24722661"/>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资本公积增减变动金额"/>
                    <w:tag w:val="_GBC_dfbff46c92c0478d8870e11eed6624e9"/>
                    <w:id w:val="24722662"/>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库存股增减变动金额"/>
                    <w:tag w:val="_GBC_c7253099b93649aa91266cb4db282f3d"/>
                    <w:id w:val="24722663"/>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综合收益增减变动金额"/>
                    <w:tag w:val="_GBC_2bd055b7c69146c6957f4840bac7e833"/>
                    <w:id w:val="24722664"/>
                    <w:lock w:val="sdtLocked"/>
                  </w:sdtPr>
                  <w:sdtContent>
                    <w:tc>
                      <w:tcPr>
                        <w:tcW w:w="1276" w:type="dxa"/>
                      </w:tcPr>
                      <w:p w:rsidR="00DE031E" w:rsidRPr="00C22063" w:rsidRDefault="001C1A59" w:rsidP="00DE031E">
                        <w:pPr>
                          <w:jc w:val="right"/>
                          <w:rPr>
                            <w:sz w:val="15"/>
                            <w:szCs w:val="15"/>
                          </w:rPr>
                        </w:pPr>
                        <w:r w:rsidRPr="00C22063">
                          <w:rPr>
                            <w:sz w:val="15"/>
                            <w:szCs w:val="15"/>
                          </w:rPr>
                          <w:t>173,046,241.23</w:t>
                        </w:r>
                      </w:p>
                    </w:tc>
                  </w:sdtContent>
                </w:sdt>
                <w:sdt>
                  <w:sdtPr>
                    <w:rPr>
                      <w:sz w:val="15"/>
                      <w:szCs w:val="15"/>
                    </w:rPr>
                    <w:alias w:val="专项储备增减变动金额"/>
                    <w:tag w:val="_GBC_43214fd9b3ed440fbfc07077d1b0e80b"/>
                    <w:id w:val="24722665"/>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盈余公积增减变动金额"/>
                    <w:tag w:val="_GBC_b4dbb14fdd54464b877de11311094274"/>
                    <w:id w:val="24722666"/>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三、本期增减变动金额（减少以“－”号填列）一般风险准备"/>
                    <w:tag w:val="_GBC_f82cbce9cd194fe6addb4b74fed81c40"/>
                    <w:id w:val="24722667"/>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未分配利润增减变动金额"/>
                    <w:tag w:val="_GBC_c2b7d4df644e4540a02dffe24f98df56"/>
                    <w:id w:val="24722668"/>
                    <w:lock w:val="sdtLocked"/>
                  </w:sdtPr>
                  <w:sdtContent>
                    <w:tc>
                      <w:tcPr>
                        <w:tcW w:w="1560" w:type="dxa"/>
                      </w:tcPr>
                      <w:p w:rsidR="00DE031E" w:rsidRPr="00C22063" w:rsidRDefault="001C1A59" w:rsidP="00DE031E">
                        <w:pPr>
                          <w:jc w:val="right"/>
                          <w:rPr>
                            <w:sz w:val="15"/>
                            <w:szCs w:val="15"/>
                          </w:rPr>
                        </w:pPr>
                        <w:r w:rsidRPr="00C22063">
                          <w:rPr>
                            <w:sz w:val="15"/>
                            <w:szCs w:val="15"/>
                          </w:rPr>
                          <w:t>5,140,172,133.89</w:t>
                        </w:r>
                      </w:p>
                    </w:tc>
                  </w:sdtContent>
                </w:sdt>
                <w:sdt>
                  <w:sdtPr>
                    <w:rPr>
                      <w:sz w:val="15"/>
                      <w:szCs w:val="15"/>
                    </w:rPr>
                    <w:alias w:val="股东权益合计增减变动金额"/>
                    <w:tag w:val="_GBC_e71e8a76f3cf4a568b05358967cd3388"/>
                    <w:id w:val="24722669"/>
                    <w:lock w:val="sdtLocked"/>
                  </w:sdtPr>
                  <w:sdtContent>
                    <w:tc>
                      <w:tcPr>
                        <w:tcW w:w="1499" w:type="dxa"/>
                      </w:tcPr>
                      <w:p w:rsidR="00DE031E" w:rsidRPr="00C22063" w:rsidRDefault="001C1A59" w:rsidP="00DE031E">
                        <w:pPr>
                          <w:jc w:val="right"/>
                          <w:rPr>
                            <w:sz w:val="15"/>
                            <w:szCs w:val="15"/>
                          </w:rPr>
                        </w:pPr>
                        <w:r w:rsidRPr="00C22063">
                          <w:rPr>
                            <w:sz w:val="15"/>
                            <w:szCs w:val="15"/>
                          </w:rPr>
                          <w:t>5,313,218,375.12</w:t>
                        </w: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（一）综合收益总额</w:t>
                    </w:r>
                  </w:p>
                </w:tc>
                <w:sdt>
                  <w:sdtPr>
                    <w:rPr>
                      <w:sz w:val="15"/>
                      <w:szCs w:val="15"/>
                    </w:rPr>
                    <w:alias w:val="综合收益总额导致股本变动金额"/>
                    <w:tag w:val="_GBC_c689b18648f24df59ddf31ca7d33d400"/>
                    <w:id w:val="24722670"/>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综合收益总额导致优先股变动金额"/>
                    <w:tag w:val="_GBC_9dee220e8a9b4522a3f270756b9a56d4"/>
                    <w:id w:val="24722671"/>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综合收益总额导致永续债变动金额"/>
                    <w:tag w:val="_GBC_a89c2963fb14482696638100d36d268d"/>
                    <w:id w:val="24722672"/>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综合收益总额导致其他权益工具中的其他变动金额"/>
                    <w:tag w:val="_GBC_c5c2a40b55294530b9ba5c333e5c2278"/>
                    <w:id w:val="24722673"/>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综合收益总额导致资本公积变动金额"/>
                    <w:tag w:val="_GBC_e13f9a3101f04fb186a9a6bc63e2b3f4"/>
                    <w:id w:val="24722674"/>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综合收益总额导致库存股变动金额"/>
                    <w:tag w:val="_GBC_6fdcf0c9ab07476fadf4dfa8a0abef3e"/>
                    <w:id w:val="24722675"/>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综合收益总额导致其他综合收益变动金额"/>
                    <w:tag w:val="_GBC_f3eb3ef606a14b5d972d60fac9faa539"/>
                    <w:id w:val="24722676"/>
                    <w:lock w:val="sdtLocked"/>
                  </w:sdtPr>
                  <w:sdtContent>
                    <w:tc>
                      <w:tcPr>
                        <w:tcW w:w="1276" w:type="dxa"/>
                      </w:tcPr>
                      <w:p w:rsidR="00DE031E" w:rsidRPr="00C22063" w:rsidRDefault="001C1A59" w:rsidP="00DE031E">
                        <w:pPr>
                          <w:jc w:val="right"/>
                          <w:rPr>
                            <w:sz w:val="15"/>
                            <w:szCs w:val="15"/>
                          </w:rPr>
                        </w:pPr>
                        <w:r w:rsidRPr="00C22063">
                          <w:rPr>
                            <w:sz w:val="15"/>
                            <w:szCs w:val="15"/>
                          </w:rPr>
                          <w:t>173,046,241.23</w:t>
                        </w:r>
                      </w:p>
                    </w:tc>
                  </w:sdtContent>
                </w:sdt>
                <w:sdt>
                  <w:sdtPr>
                    <w:rPr>
                      <w:sz w:val="15"/>
                      <w:szCs w:val="15"/>
                    </w:rPr>
                    <w:alias w:val="综合收益总额导致专项储备变动金额"/>
                    <w:tag w:val="_GBC_39220a5b026140db95f22e0dc82e5973"/>
                    <w:id w:val="24722677"/>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综合收益总额导致盈余公积变动金额"/>
                    <w:tag w:val="_GBC_083b74ee41c94588849a984369d568c3"/>
                    <w:id w:val="24722678"/>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一）综合收益总额一般风险准备"/>
                    <w:tag w:val="_GBC_e26e70c92efa4550a14da645a1e2a510"/>
                    <w:id w:val="24722679"/>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综合收益总额导致未分配利润变动金额"/>
                    <w:tag w:val="_GBC_35f3a83eec174a30ae49fde8f04be5e1"/>
                    <w:id w:val="24722680"/>
                    <w:lock w:val="sdtLocked"/>
                  </w:sdtPr>
                  <w:sdtContent>
                    <w:tc>
                      <w:tcPr>
                        <w:tcW w:w="1560" w:type="dxa"/>
                      </w:tcPr>
                      <w:p w:rsidR="00DE031E" w:rsidRPr="00C22063" w:rsidRDefault="001C1A59" w:rsidP="00DE031E">
                        <w:pPr>
                          <w:jc w:val="right"/>
                          <w:rPr>
                            <w:sz w:val="15"/>
                            <w:szCs w:val="15"/>
                          </w:rPr>
                        </w:pPr>
                        <w:r w:rsidRPr="00C22063">
                          <w:rPr>
                            <w:sz w:val="15"/>
                            <w:szCs w:val="15"/>
                          </w:rPr>
                          <w:t>6,679,328,049.08</w:t>
                        </w:r>
                      </w:p>
                    </w:tc>
                  </w:sdtContent>
                </w:sdt>
                <w:sdt>
                  <w:sdtPr>
                    <w:rPr>
                      <w:sz w:val="15"/>
                      <w:szCs w:val="15"/>
                    </w:rPr>
                    <w:alias w:val="综合收益总额导致股东权益合计变动金额"/>
                    <w:tag w:val="_GBC_bab8c507c6c84ca4a3a35684c08765d7"/>
                    <w:id w:val="24722681"/>
                    <w:lock w:val="sdtLocked"/>
                  </w:sdtPr>
                  <w:sdtContent>
                    <w:tc>
                      <w:tcPr>
                        <w:tcW w:w="1499" w:type="dxa"/>
                      </w:tcPr>
                      <w:p w:rsidR="00DE031E" w:rsidRPr="00C22063" w:rsidRDefault="001C1A59" w:rsidP="00DE031E">
                        <w:pPr>
                          <w:jc w:val="right"/>
                          <w:rPr>
                            <w:sz w:val="15"/>
                            <w:szCs w:val="15"/>
                          </w:rPr>
                        </w:pPr>
                        <w:r w:rsidRPr="00C22063">
                          <w:rPr>
                            <w:sz w:val="15"/>
                            <w:szCs w:val="15"/>
                          </w:rPr>
                          <w:t>6,852,374,290.31</w:t>
                        </w: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w:t>
                    </w:r>
                    <w:r w:rsidRPr="00C22063">
                      <w:rPr>
                        <w:rFonts w:hint="eastAsia"/>
                        <w:sz w:val="15"/>
                        <w:szCs w:val="15"/>
                      </w:rPr>
                      <w:t>二</w:t>
                    </w:r>
                    <w:r w:rsidRPr="00C22063">
                      <w:rPr>
                        <w:sz w:val="15"/>
                        <w:szCs w:val="15"/>
                      </w:rPr>
                      <w:t>）所有者投入和减少资本</w:t>
                    </w:r>
                  </w:p>
                </w:tc>
                <w:sdt>
                  <w:sdtPr>
                    <w:rPr>
                      <w:sz w:val="15"/>
                      <w:szCs w:val="15"/>
                    </w:rPr>
                    <w:alias w:val="所有者投入和减少资本导致实收资本（或股本）净额变动金额"/>
                    <w:tag w:val="_GBC_86e23a6d9639454fb38e741593cd6a87"/>
                    <w:id w:val="24722682"/>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所有者投入和减少资本导致其他权益工具中的优先股变动金额"/>
                    <w:tag w:val="_GBC_9736d22f059e4a7aa8393f321a8eb7ef"/>
                    <w:id w:val="24722683"/>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所有者投入和减少资本导致其他权益工具中的永续债变动金额"/>
                    <w:tag w:val="_GBC_5d7c928a3e6442e3bd5c4757da5aeedb"/>
                    <w:id w:val="24722684"/>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所有者投入和减少资本导致其他权益工具中的其他变动金额"/>
                    <w:tag w:val="_GBC_e15aac2765774a22947a8e9964b8d919"/>
                    <w:id w:val="24722685"/>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所有者投入和减少资本导致资本公积变动金额"/>
                    <w:tag w:val="_GBC_2e37be65544a4422b020a34ab2ca963b"/>
                    <w:id w:val="24722686"/>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所有者投入和减少资本导致库存股变动金额"/>
                    <w:tag w:val="_GBC_7a4e0417082744768cf10075c58e8bb2"/>
                    <w:id w:val="24722687"/>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所有者投入和减少资本导致其他综合收益变动金额"/>
                    <w:tag w:val="_GBC_6990d9b07dc946a7a7a273a95fb4f0d4"/>
                    <w:id w:val="24722688"/>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所有者投入和减少资本导致专项储备变动金额"/>
                    <w:tag w:val="_GBC_109e59f57ca14ed9a53970527ded93b3"/>
                    <w:id w:val="24722689"/>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所有者投入和减少资本导致盈余公积变动金额"/>
                    <w:tag w:val="_GBC_113e43ecd0e649c5a34acee97f4e85a2"/>
                    <w:id w:val="24722690"/>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二）所有者投入和减少资本一般风险准备"/>
                    <w:tag w:val="_GBC_8bb7ab4d32994e54b4416ed7791e41b3"/>
                    <w:id w:val="24722691"/>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所有者投入和减少资本导致未分配利润变动金额"/>
                    <w:tag w:val="_GBC_6940fe012fe6458d98b4530b198f8a52"/>
                    <w:id w:val="24722692"/>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所有者投入和减少资本导致股东权益合计变动金额"/>
                    <w:tag w:val="_GBC_9fcc0ef82029402d8537b6bc589d221b"/>
                    <w:id w:val="24722693"/>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1．股东投入的普通股</w:t>
                    </w:r>
                  </w:p>
                </w:tc>
                <w:sdt>
                  <w:sdtPr>
                    <w:rPr>
                      <w:sz w:val="15"/>
                      <w:szCs w:val="15"/>
                    </w:rPr>
                    <w:alias w:val="股东投入的普通股导致股本变动金额"/>
                    <w:tag w:val="_GBC_7b622256c1624a6ea422ea03238eacb2"/>
                    <w:id w:val="24722694"/>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股东投入的普通股导致优先股变动金额"/>
                    <w:tag w:val="_GBC_58c6ba973b63402c86e5cd46b4bd4324"/>
                    <w:id w:val="24722695"/>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股东投入的普通股导致永续债变动金额"/>
                    <w:tag w:val="_GBC_69c00dceccfe46a6be8f2981a7d515dc"/>
                    <w:id w:val="24722696"/>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股东投入的普通股导致其他权益工具中的其他变动金额"/>
                    <w:tag w:val="_GBC_5315ca0608d140ee89869b8755edf1e6"/>
                    <w:id w:val="24722697"/>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股东投入的普通股导致资本公积变动金额"/>
                    <w:tag w:val="_GBC_c1915b9c43634422bb6299978e5ecf0e"/>
                    <w:id w:val="24722698"/>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股东投入的普通股导致库存股变动金额"/>
                    <w:tag w:val="_GBC_8ab5cc3771de49f3ac9d2d54aa3d358a"/>
                    <w:id w:val="24722699"/>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股东投入的普通股导致其他综合收益变动金额"/>
                    <w:tag w:val="_GBC_bd83e12c1cc14e85856c7de2c72f76f4"/>
                    <w:id w:val="24722700"/>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股东投入的普通股导致专项储备变动金额"/>
                    <w:tag w:val="_GBC_b887aa85a8d042c18f94c09901ceaf06"/>
                    <w:id w:val="24722701"/>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股东投入的普通股导致盈余公积变动金额"/>
                    <w:tag w:val="_GBC_15a62fb7f2c745a686cc80f452fb9476"/>
                    <w:id w:val="24722702"/>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1．股东投入的普通股一般风险准备"/>
                    <w:tag w:val="_GBC_c894c5b185a94fd399c437861a90dc6a"/>
                    <w:id w:val="24722703"/>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股东投入的普通股导致未分配利润变动金额"/>
                    <w:tag w:val="_GBC_cbe845f28be5493b9d857fd5f090ba47"/>
                    <w:id w:val="24722704"/>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股东投入的普通股导致其他的归属于母公司所有者权益变动金额"/>
                    <w:tag w:val="_GBC_93cf2005d08c4d95b9d5433c5a26df7b"/>
                    <w:id w:val="24722705"/>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2．其他权益工具持有者投入资本</w:t>
                    </w:r>
                  </w:p>
                </w:tc>
                <w:sdt>
                  <w:sdtPr>
                    <w:rPr>
                      <w:sz w:val="15"/>
                      <w:szCs w:val="15"/>
                    </w:rPr>
                    <w:alias w:val="其他权益工具持有者投入资本导致股本变动金额"/>
                    <w:tag w:val="_GBC_0ac2b7c363da4958b5c8601dccaeb313"/>
                    <w:id w:val="24722706"/>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持有者投入资本导致优先股变动金额"/>
                    <w:tag w:val="_GBC_cd07727555f146f0983abc577fdbae50"/>
                    <w:id w:val="24722707"/>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持有者投入资本导致永续债变动金额"/>
                    <w:tag w:val="_GBC_5cdb9ac76a7b4a2cb6b280906e30b1ae"/>
                    <w:id w:val="24722708"/>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持有者投入资本导致其他权益工具中的其他变动金额"/>
                    <w:tag w:val="_GBC_ebd58c3a098f40b599361804d933124f"/>
                    <w:id w:val="24722709"/>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持有者投入资本导致资本公积变动金额"/>
                    <w:tag w:val="_GBC_bdea20c569b7466e8e2f5011ee0170b0"/>
                    <w:id w:val="24722710"/>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其他权益工具持有者投入资本导致库存股变动金额"/>
                    <w:tag w:val="_GBC_d1af61119e7e479ca5d5a43946238adf"/>
                    <w:id w:val="24722711"/>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权益工具持有者投入资本导致其他综合收益变动金额"/>
                    <w:tag w:val="_GBC_eeacdca8b24e4179b4a708246b957831"/>
                    <w:id w:val="24722712"/>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其他权益工具持有者投入资本导致专项储备变动金额"/>
                    <w:tag w:val="_GBC_9aa0025647dc40a780e7f203d13778cb"/>
                    <w:id w:val="24722713"/>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其他权益工具持有者投入资本导致盈余公积变动金额"/>
                    <w:tag w:val="_GBC_e5e58b60bf484d52a72719c4698f8986"/>
                    <w:id w:val="24722714"/>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2．其他权益工具持有者投入资本一般风险准备"/>
                    <w:tag w:val="_GBC_3642b42e9e254355b13dacc333ba1aee"/>
                    <w:id w:val="24722715"/>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其他权益工具持有者投入资本导致未分配利润变动金额"/>
                    <w:tag w:val="_GBC_3b469e81b34d4338aada691360272169"/>
                    <w:id w:val="24722716"/>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其他权益工具持有者投入资本导致其他的归属于母公司所有者权益变动金额"/>
                    <w:tag w:val="_GBC_16d9706e7f464a37a6e2c56dc45c4b5c"/>
                    <w:id w:val="24722717"/>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3</w:t>
                    </w:r>
                    <w:r w:rsidRPr="00C22063">
                      <w:rPr>
                        <w:sz w:val="15"/>
                        <w:szCs w:val="15"/>
                      </w:rPr>
                      <w:t>．股份支付计入所有者权益的金额</w:t>
                    </w:r>
                  </w:p>
                </w:tc>
                <w:sdt>
                  <w:sdtPr>
                    <w:rPr>
                      <w:sz w:val="15"/>
                      <w:szCs w:val="15"/>
                    </w:rPr>
                    <w:alias w:val="股份支付计入所有者权益的金额导致实收资本（或股本）净额变动金额"/>
                    <w:tag w:val="_GBC_1d25f834070142d89afa50655223c158"/>
                    <w:id w:val="24722718"/>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股份支付计入所有者权益的金额导致其他权益工具中的优先股变动金额"/>
                    <w:tag w:val="_GBC_4ea07ec488a44c22bb4799618fffad1a"/>
                    <w:id w:val="24722719"/>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股份支付计入所有者权益的金额导致其他权益工具中的永续债变动金额"/>
                    <w:tag w:val="_GBC_b0d1f5655c484e9d87befba2f2042e1d"/>
                    <w:id w:val="24722720"/>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股份支付计入所有者权益的金额导致其他权益工具中的其他变动金额"/>
                    <w:tag w:val="_GBC_7c1869c02c7246f182b9779802094f11"/>
                    <w:id w:val="24722721"/>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股份支付计入所有者权益的金额导致资本公积变动金额"/>
                    <w:tag w:val="_GBC_5ef53f40bf7f4dc2bc5156dfceebaa38"/>
                    <w:id w:val="24722722"/>
                    <w:lock w:val="sdtLocked"/>
                    <w:showingPlcHdr/>
                  </w:sdtPr>
                  <w:sdtContent>
                    <w:tc>
                      <w:tcPr>
                        <w:tcW w:w="1559" w:type="dxa"/>
                      </w:tcPr>
                      <w:p w:rsidR="00DE031E" w:rsidRPr="00C22063" w:rsidRDefault="00DE031E" w:rsidP="00DE031E">
                        <w:pPr>
                          <w:jc w:val="right"/>
                          <w:rPr>
                            <w:sz w:val="15"/>
                            <w:szCs w:val="15"/>
                          </w:rPr>
                        </w:pPr>
                      </w:p>
                    </w:tc>
                  </w:sdtContent>
                </w:sdt>
                <w:sdt>
                  <w:sdtPr>
                    <w:rPr>
                      <w:sz w:val="15"/>
                      <w:szCs w:val="15"/>
                    </w:rPr>
                    <w:alias w:val="股份支付计入所有者权益的金额导致库存股变动金额"/>
                    <w:tag w:val="_GBC_3ccc2d42bf2a40c1abdd644b469c44b9"/>
                    <w:id w:val="24722723"/>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股份支付计入所有者权益的金额导致其他综合收益变动金额"/>
                    <w:tag w:val="_GBC_071ccc7016e54f16b65177a9005eaebb"/>
                    <w:id w:val="24722724"/>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股份支付计入所有者权益的金额导致专项储备变动金额"/>
                    <w:tag w:val="_GBC_a4743550064946a98ff9650d0865fe14"/>
                    <w:id w:val="24722725"/>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股份支付计入所有者权益的金额导致盈余公积变动金额"/>
                    <w:tag w:val="_GBC_c4074cd8ea35409096bd0386651ff4dd"/>
                    <w:id w:val="24722726"/>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3．股份支付计入所有者权益的金额一般风险准备"/>
                    <w:tag w:val="_GBC_ae09e2cf212f410bac7ea7fceab9ee7d"/>
                    <w:id w:val="24722727"/>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股份支付计入所有者权益的金额导致未分配利润变动金额"/>
                    <w:tag w:val="_GBC_f35d7cab4d3b46b490de9f513ed96d2c"/>
                    <w:id w:val="24722728"/>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股份支付计入所有者权益的金额导致股东权益合计变动金额"/>
                    <w:tag w:val="_GBC_6b90a98925e144418a6150be377ac9ee"/>
                    <w:id w:val="24722729"/>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4</w:t>
                    </w:r>
                    <w:r w:rsidRPr="00C22063">
                      <w:rPr>
                        <w:sz w:val="15"/>
                        <w:szCs w:val="15"/>
                      </w:rPr>
                      <w:t>．其他</w:t>
                    </w:r>
                  </w:p>
                </w:tc>
                <w:sdt>
                  <w:sdtPr>
                    <w:rPr>
                      <w:sz w:val="15"/>
                      <w:szCs w:val="15"/>
                    </w:rPr>
                    <w:alias w:val="其他所有者投入和减少资本导致实收资本（或股本）净额变动金额"/>
                    <w:tag w:val="_GBC_cf9066e29ce44001b8cc4619dd756283"/>
                    <w:id w:val="24722730"/>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投入和减少资本导致其他权益工具中的优先股变动金额"/>
                    <w:tag w:val="_GBC_f8b1698cb5bb44daa1a37c30b7b98aa1"/>
                    <w:id w:val="24722731"/>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投入和减少资本导致其他权益工具中的永续债变动金额"/>
                    <w:tag w:val="_GBC_9a834598cb444e7db00835e6ad016e1e"/>
                    <w:id w:val="24722732"/>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投入和减少资本导致其他权益工具中的其他变动金额"/>
                    <w:tag w:val="_GBC_3c63ca66c8014e8eb12c62e7abaf0ed2"/>
                    <w:id w:val="24722733"/>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投入和减少资本导致资本公积变动金额"/>
                    <w:tag w:val="_GBC_042c67df5ff64c5ca47e87f56174eb19"/>
                    <w:id w:val="24722734"/>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其他所有者投入和减少资本导致库存股变动金额"/>
                    <w:tag w:val="_GBC_97f80cf181b04351a05641a8143b30a5"/>
                    <w:id w:val="24722735"/>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所有者投入和减少资本导致其他综合收益变动金额"/>
                    <w:tag w:val="_GBC_d76a6cbf0fea43b5b588634052e94fb8"/>
                    <w:id w:val="24722736"/>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其他所有者投入和减少资本导致专项储备变动金额"/>
                    <w:tag w:val="_GBC_3211e48925de4f5280473ee8ef2f064c"/>
                    <w:id w:val="24722737"/>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其他所有者投入和减少资本导致盈余公积变动金额"/>
                    <w:tag w:val="_GBC_cdaad5d86425452db9e9fc3f3c962ef3"/>
                    <w:id w:val="24722738"/>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4．其他一般风险准备"/>
                    <w:tag w:val="_GBC_b412269d336f40b7bd80320a92afc71f"/>
                    <w:id w:val="24722739"/>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其他所有者投入和减少资本导致未分配利润变动金额"/>
                    <w:tag w:val="_GBC_4d93eff4a7604169afb73ec05489a2a0"/>
                    <w:id w:val="24722740"/>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其他所有者投入和减少资本导致股东权益合计变动金额"/>
                    <w:tag w:val="_GBC_3dd4bde22d1b4b6d8c742501c0ca5bd0"/>
                    <w:id w:val="24722741"/>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w:t>
                    </w:r>
                    <w:r w:rsidRPr="00C22063">
                      <w:rPr>
                        <w:rFonts w:hint="eastAsia"/>
                        <w:sz w:val="15"/>
                        <w:szCs w:val="15"/>
                      </w:rPr>
                      <w:t>三</w:t>
                    </w:r>
                    <w:r w:rsidRPr="00C22063">
                      <w:rPr>
                        <w:sz w:val="15"/>
                        <w:szCs w:val="15"/>
                      </w:rPr>
                      <w:t>）利润分配</w:t>
                    </w:r>
                  </w:p>
                </w:tc>
                <w:sdt>
                  <w:sdtPr>
                    <w:rPr>
                      <w:sz w:val="15"/>
                      <w:szCs w:val="15"/>
                    </w:rPr>
                    <w:alias w:val="利润分配导致实收资本（或股本）净额变动金额"/>
                    <w:tag w:val="_GBC_ba5da375315042148f107155e56ff721"/>
                    <w:id w:val="24722742"/>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利润分配导致其他权益工具中的优先股变动金额"/>
                    <w:tag w:val="_GBC_6843340cce12421ea4661a309536967a"/>
                    <w:id w:val="24722743"/>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利润分配导致其他权益工具中的永续债变动金额"/>
                    <w:tag w:val="_GBC_86e6dfd4216946358a7061faa274254b"/>
                    <w:id w:val="24722744"/>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利润分配导致其他权益工具中的其他变动金额"/>
                    <w:tag w:val="_GBC_2f6722fed43d4ebaaae3b36aac4b14c3"/>
                    <w:id w:val="24722745"/>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利润分配导致资本公积变动金额"/>
                    <w:tag w:val="_GBC_67443085e1f645d782cf732ffb088b66"/>
                    <w:id w:val="24722746"/>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利润分配导致库存股变动金额"/>
                    <w:tag w:val="_GBC_67dc09481eb04a4f8050d84bd4b8263d"/>
                    <w:id w:val="24722747"/>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利润分配导致其他综合收益变动金额"/>
                    <w:tag w:val="_GBC_f90f5dbe8d994b82b6b1e3a9e8599192"/>
                    <w:id w:val="24722748"/>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利润分配导致专项储备变动金额"/>
                    <w:tag w:val="_GBC_066afab7581b47c690feb48569730de8"/>
                    <w:id w:val="24722749"/>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利润分配导致盈余公积变动金额"/>
                    <w:tag w:val="_GBC_4290be0299f04ed9adeb1173a422152f"/>
                    <w:id w:val="24722750"/>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三）利润分配一般风险准备"/>
                    <w:tag w:val="_GBC_6b31f9e3970a40389d3ce043133e585a"/>
                    <w:id w:val="24722751"/>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利润分配导致未分配利润变动金额"/>
                    <w:tag w:val="_GBC_456281a08ffa4873a3b77d0a51aa912f"/>
                    <w:id w:val="24722752"/>
                    <w:lock w:val="sdtLocked"/>
                  </w:sdtPr>
                  <w:sdtContent>
                    <w:tc>
                      <w:tcPr>
                        <w:tcW w:w="1560" w:type="dxa"/>
                      </w:tcPr>
                      <w:p w:rsidR="00DE031E" w:rsidRPr="00C22063" w:rsidRDefault="001C1A59" w:rsidP="00DE031E">
                        <w:pPr>
                          <w:jc w:val="right"/>
                          <w:rPr>
                            <w:sz w:val="15"/>
                            <w:szCs w:val="15"/>
                          </w:rPr>
                        </w:pPr>
                        <w:r w:rsidRPr="00C22063">
                          <w:rPr>
                            <w:sz w:val="15"/>
                            <w:szCs w:val="15"/>
                          </w:rPr>
                          <w:t>-1,539,155,915.19</w:t>
                        </w:r>
                      </w:p>
                    </w:tc>
                  </w:sdtContent>
                </w:sdt>
                <w:sdt>
                  <w:sdtPr>
                    <w:rPr>
                      <w:sz w:val="15"/>
                      <w:szCs w:val="15"/>
                    </w:rPr>
                    <w:alias w:val="利润分配导致股东权益合计变动金额"/>
                    <w:tag w:val="_GBC_33328c22e60b420da1745f3fd92acb6a"/>
                    <w:id w:val="24722753"/>
                    <w:lock w:val="sdtLocked"/>
                  </w:sdtPr>
                  <w:sdtContent>
                    <w:tc>
                      <w:tcPr>
                        <w:tcW w:w="1499" w:type="dxa"/>
                      </w:tcPr>
                      <w:p w:rsidR="00DE031E" w:rsidRPr="00C22063" w:rsidRDefault="001C1A59" w:rsidP="00DE031E">
                        <w:pPr>
                          <w:jc w:val="right"/>
                          <w:rPr>
                            <w:sz w:val="15"/>
                            <w:szCs w:val="15"/>
                          </w:rPr>
                        </w:pPr>
                        <w:r w:rsidRPr="00C22063">
                          <w:rPr>
                            <w:sz w:val="15"/>
                            <w:szCs w:val="15"/>
                          </w:rPr>
                          <w:t>-1,539,155,915.19</w:t>
                        </w: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1．提取盈余公积</w:t>
                    </w:r>
                  </w:p>
                </w:tc>
                <w:sdt>
                  <w:sdtPr>
                    <w:rPr>
                      <w:sz w:val="15"/>
                      <w:szCs w:val="15"/>
                    </w:rPr>
                    <w:alias w:val="提取盈余公积导致实收资本（或股本）净额变动金额"/>
                    <w:tag w:val="_GBC_2c8fdc9259514a98bedda169b4efcb86"/>
                    <w:id w:val="24722754"/>
                    <w:lock w:val="sdtLocked"/>
                    <w:showingPlcHdr/>
                  </w:sdtPr>
                  <w:sdtContent>
                    <w:tc>
                      <w:tcPr>
                        <w:tcW w:w="1418" w:type="dxa"/>
                        <w:tcBorders>
                          <w:right w:val="single" w:sz="4" w:space="0" w:color="auto"/>
                        </w:tcBorders>
                      </w:tcPr>
                      <w:p w:rsidR="00DE031E" w:rsidRPr="00C22063" w:rsidRDefault="00D4561E" w:rsidP="00DE031E">
                        <w:pPr>
                          <w:jc w:val="right"/>
                          <w:rPr>
                            <w:sz w:val="15"/>
                            <w:szCs w:val="15"/>
                          </w:rPr>
                        </w:pPr>
                        <w:r>
                          <w:rPr>
                            <w:sz w:val="15"/>
                            <w:szCs w:val="15"/>
                          </w:rPr>
                          <w:t xml:space="preserve">     </w:t>
                        </w:r>
                      </w:p>
                    </w:tc>
                  </w:sdtContent>
                </w:sdt>
                <w:sdt>
                  <w:sdtPr>
                    <w:rPr>
                      <w:sz w:val="15"/>
                      <w:szCs w:val="15"/>
                    </w:rPr>
                    <w:alias w:val="提取盈余公积导致其他权益工具中的优先股变动金额"/>
                    <w:tag w:val="_GBC_af1008b1eff1458cb39cb52da98f90c6"/>
                    <w:id w:val="24722755"/>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提取盈余公积导致其他权益工具中的永续债变动金额"/>
                    <w:tag w:val="_GBC_dcf44bbeaade43f6b9e3dc9c83b71ce3"/>
                    <w:id w:val="24722756"/>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提取盈余公积导致其他权益工具中的其他变动金额"/>
                    <w:tag w:val="_GBC_2646feecce1d4ebc992ee8f3eab51f7c"/>
                    <w:id w:val="24722757"/>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提取盈余公积导致资本公积变动金额"/>
                    <w:tag w:val="_GBC_c86ef3b83baf436f80331d297c96fd21"/>
                    <w:id w:val="24722758"/>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提取盈余公积导致库存股变动金额"/>
                    <w:tag w:val="_GBC_8911d206086646c2956534af594fa872"/>
                    <w:id w:val="24722759"/>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提取盈余公积导致其他综合收益变动金额"/>
                    <w:tag w:val="_GBC_36bea30c01af46e29b8caa4587677067"/>
                    <w:id w:val="24722760"/>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提取盈余公积导致专项储备变动金额"/>
                    <w:tag w:val="_GBC_f86a91d62d734d2aad80c75204716eab"/>
                    <w:id w:val="24722761"/>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提取盈余公积导致盈余公积变动金额"/>
                    <w:tag w:val="_GBC_d0464b2d84d44c88a82eb9239222327e"/>
                    <w:id w:val="24722762"/>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1．提取盈余公积一般风险准备"/>
                    <w:tag w:val="_GBC_6f33de066afe410f9c480ec248a98a58"/>
                    <w:id w:val="24722763"/>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提取盈余公积导致未分配利润变动金额"/>
                    <w:tag w:val="_GBC_c36b81557b7b427bb31d49c43332f615"/>
                    <w:id w:val="24722764"/>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提取盈余公积导致股东权益合计变动金额"/>
                    <w:tag w:val="_GBC_59f2510ebb934b69884b4641e5208d82"/>
                    <w:id w:val="24722765"/>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2</w:t>
                    </w:r>
                    <w:r w:rsidRPr="00C22063">
                      <w:rPr>
                        <w:sz w:val="15"/>
                        <w:szCs w:val="15"/>
                      </w:rPr>
                      <w:t>．对所有者（或股东）的分配</w:t>
                    </w:r>
                  </w:p>
                </w:tc>
                <w:sdt>
                  <w:sdtPr>
                    <w:rPr>
                      <w:sz w:val="15"/>
                      <w:szCs w:val="15"/>
                    </w:rPr>
                    <w:alias w:val="对所有者（或股东）的分配导致实收资本（或股本）净额变动金额"/>
                    <w:tag w:val="_GBC_42b99dd2b1a54361bc865e7535b3ad5a"/>
                    <w:id w:val="24722766"/>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对所有者（或股东）的分配导致其他权益工具中的优先股变动金额"/>
                    <w:tag w:val="_GBC_31c856729d804dbda1b036226ca6a689"/>
                    <w:id w:val="24722767"/>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对所有者（或股东）的分配导致其他权益工具中的永续债变动金额"/>
                    <w:tag w:val="_GBC_12adb57480fc46988abe9ba07ae7186a"/>
                    <w:id w:val="24722768"/>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对所有者（或股东）的分配导致其他权益工具中的其他变动金额"/>
                    <w:tag w:val="_GBC_984f03f505084c1a9a000a625dd3e648"/>
                    <w:id w:val="24722769"/>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对所有者（或股东）的分配导致资本公积变动金额"/>
                    <w:tag w:val="_GBC_c513390a4c4e4d0c8c88b03011aee603"/>
                    <w:id w:val="24722770"/>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对所有者（或股东）的分配导致库存股变动金额"/>
                    <w:tag w:val="_GBC_cd6758c250fc4ec9a81f103fb54dbb1c"/>
                    <w:id w:val="24722771"/>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对所有者（或股东）的分配导致其他综合收益变动金额"/>
                    <w:tag w:val="_GBC_bd96ac95323240db9b74385bc0610c95"/>
                    <w:id w:val="24722772"/>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对所有者（或股东）的分配导致专项储备变动金额"/>
                    <w:tag w:val="_GBC_cb101f1038f74d6e9cffe2c51618c1f4"/>
                    <w:id w:val="24722773"/>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对所有者（或股东）的分配导致盈余公积变动金额"/>
                    <w:tag w:val="_GBC_c84ea83604284513b4a34c2458cb7a62"/>
                    <w:id w:val="24722774"/>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2．对所有者（或股东）的分配一般风险准备"/>
                    <w:tag w:val="_GBC_cf352b90fd6a455dbf35f614b69be597"/>
                    <w:id w:val="24722775"/>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对所有者（或股东）的分配导致未分配利润变动金额"/>
                    <w:tag w:val="_GBC_7143e74536934bf4ac180344c71707ff"/>
                    <w:id w:val="24722776"/>
                    <w:lock w:val="sdtLocked"/>
                  </w:sdtPr>
                  <w:sdtContent>
                    <w:tc>
                      <w:tcPr>
                        <w:tcW w:w="1560" w:type="dxa"/>
                      </w:tcPr>
                      <w:p w:rsidR="00DE031E" w:rsidRPr="00C22063" w:rsidRDefault="001C1A59" w:rsidP="00DE031E">
                        <w:pPr>
                          <w:jc w:val="right"/>
                          <w:rPr>
                            <w:sz w:val="15"/>
                            <w:szCs w:val="15"/>
                          </w:rPr>
                        </w:pPr>
                        <w:r w:rsidRPr="00C22063">
                          <w:rPr>
                            <w:sz w:val="15"/>
                            <w:szCs w:val="15"/>
                          </w:rPr>
                          <w:t>-1,539,155,915.19</w:t>
                        </w:r>
                      </w:p>
                    </w:tc>
                  </w:sdtContent>
                </w:sdt>
                <w:sdt>
                  <w:sdtPr>
                    <w:rPr>
                      <w:sz w:val="15"/>
                      <w:szCs w:val="15"/>
                    </w:rPr>
                    <w:alias w:val="对所有者（或股东）的分配导致股东权益合计变动金额"/>
                    <w:tag w:val="_GBC_523965ad2bd34184be036f34a9c551a8"/>
                    <w:id w:val="24722777"/>
                    <w:lock w:val="sdtLocked"/>
                  </w:sdtPr>
                  <w:sdtContent>
                    <w:tc>
                      <w:tcPr>
                        <w:tcW w:w="1499" w:type="dxa"/>
                      </w:tcPr>
                      <w:p w:rsidR="00DE031E" w:rsidRPr="00C22063" w:rsidRDefault="001C1A59" w:rsidP="00DE031E">
                        <w:pPr>
                          <w:jc w:val="right"/>
                          <w:rPr>
                            <w:sz w:val="15"/>
                            <w:szCs w:val="15"/>
                          </w:rPr>
                        </w:pPr>
                        <w:r w:rsidRPr="00C22063">
                          <w:rPr>
                            <w:sz w:val="15"/>
                            <w:szCs w:val="15"/>
                          </w:rPr>
                          <w:t>-1,539,155,915.19</w:t>
                        </w: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3</w:t>
                    </w:r>
                    <w:r w:rsidRPr="00C22063">
                      <w:rPr>
                        <w:sz w:val="15"/>
                        <w:szCs w:val="15"/>
                      </w:rPr>
                      <w:t>．其他</w:t>
                    </w:r>
                  </w:p>
                </w:tc>
                <w:sdt>
                  <w:sdtPr>
                    <w:rPr>
                      <w:sz w:val="15"/>
                      <w:szCs w:val="15"/>
                    </w:rPr>
                    <w:alias w:val="其他利润分配导致实收资本（或股本）净额变动金额"/>
                    <w:tag w:val="_GBC_b9f8f666f5e948c4882edb21d6b51f17"/>
                    <w:id w:val="24722778"/>
                    <w:lock w:val="sdtLocked"/>
                    <w:showingPlcHdr/>
                  </w:sdtPr>
                  <w:sdtContent>
                    <w:tc>
                      <w:tcPr>
                        <w:tcW w:w="1418" w:type="dxa"/>
                        <w:tcBorders>
                          <w:right w:val="single" w:sz="4" w:space="0" w:color="auto"/>
                        </w:tcBorders>
                      </w:tcPr>
                      <w:p w:rsidR="00DE031E" w:rsidRPr="00C22063" w:rsidRDefault="00C531A1" w:rsidP="00DE031E">
                        <w:pPr>
                          <w:jc w:val="right"/>
                          <w:rPr>
                            <w:sz w:val="15"/>
                            <w:szCs w:val="15"/>
                          </w:rPr>
                        </w:pPr>
                        <w:r>
                          <w:rPr>
                            <w:sz w:val="15"/>
                            <w:szCs w:val="15"/>
                          </w:rPr>
                          <w:t xml:space="preserve">     </w:t>
                        </w:r>
                      </w:p>
                    </w:tc>
                  </w:sdtContent>
                </w:sdt>
                <w:sdt>
                  <w:sdtPr>
                    <w:rPr>
                      <w:sz w:val="15"/>
                      <w:szCs w:val="15"/>
                    </w:rPr>
                    <w:alias w:val="其他利润分配导致其他权益工具中的优先股变动金额"/>
                    <w:tag w:val="_GBC_79a55a8da89c43e1affc1a2b7a6da7c4"/>
                    <w:id w:val="24722779"/>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利润分配导致其他权益工具中的永续债变动金额"/>
                    <w:tag w:val="_GBC_476e1722b13e4cc2acb175684003047a"/>
                    <w:id w:val="24722780"/>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利润分配导致其他权益工具中的其他变动金额"/>
                    <w:tag w:val="_GBC_ae67552e7f2c440a8a039e2a96bad6b1"/>
                    <w:id w:val="24722781"/>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其他利润分配导致资本公积变动金额"/>
                    <w:tag w:val="_GBC_0d96f3395d1d4d1595e1fbb709116464"/>
                    <w:id w:val="24722782"/>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其他利润分配导致库存股变动金额"/>
                    <w:tag w:val="_GBC_cbd4a50cc254452cb6c85d5094b6c32f"/>
                    <w:id w:val="24722783"/>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利润分配导致其他综合收益变动金额"/>
                    <w:tag w:val="_GBC_29dce4f502bb409fbc20cc71a96f4f43"/>
                    <w:id w:val="24722784"/>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其他利润分配导致专项储备变动金额"/>
                    <w:tag w:val="_GBC_ae85d858b9744b5bbb615092b6e47910"/>
                    <w:id w:val="24722785"/>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其他利润分配导致盈余公积变动金额"/>
                    <w:tag w:val="_GBC_af4d1c9998e349749a6eac939dc31cc8"/>
                    <w:id w:val="24722786"/>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3．其他一般风险准备"/>
                    <w:tag w:val="_GBC_18cbfce6955a48a98d345cb1fedbfa91"/>
                    <w:id w:val="24722787"/>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其他利润分配导致未分配利润变动金额"/>
                    <w:tag w:val="_GBC_b2d6e32da71642f4831741cd0fb2a074"/>
                    <w:id w:val="24722788"/>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其他利润分配导致股东权益合计变动金额"/>
                    <w:tag w:val="_GBC_1feec320748d45388c0db3a97a4cf7bf"/>
                    <w:id w:val="24722789"/>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w:t>
                    </w:r>
                    <w:r w:rsidRPr="00C22063">
                      <w:rPr>
                        <w:rFonts w:hint="eastAsia"/>
                        <w:sz w:val="15"/>
                        <w:szCs w:val="15"/>
                      </w:rPr>
                      <w:t>四</w:t>
                    </w:r>
                    <w:r w:rsidRPr="00C22063">
                      <w:rPr>
                        <w:sz w:val="15"/>
                        <w:szCs w:val="15"/>
                      </w:rPr>
                      <w:t>）所有者权益内部结转</w:t>
                    </w:r>
                  </w:p>
                </w:tc>
                <w:sdt>
                  <w:sdtPr>
                    <w:rPr>
                      <w:sz w:val="15"/>
                      <w:szCs w:val="15"/>
                    </w:rPr>
                    <w:alias w:val="所有者权益内部结转导致实收资本（或股本）净额变动金额"/>
                    <w:tag w:val="_GBC_ca2aea73783446d8bdb8ec81d8cd0585"/>
                    <w:id w:val="24722790"/>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所有者权益内部结转导致其他权益工具中的优先股变动金额"/>
                    <w:tag w:val="_GBC_b83ca684901c45d58ac1e97f9282d61c"/>
                    <w:id w:val="24722791"/>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所有者权益内部结转导致其他权益工具中的永续债变动金额"/>
                    <w:tag w:val="_GBC_1e774c9ece1e41959726d44a36c7e4f5"/>
                    <w:id w:val="24722792"/>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所有者权益内部结转导致其他权益工具中的其他变动金额"/>
                    <w:tag w:val="_GBC_2b0bf1a57d444f978382d99690dc558f"/>
                    <w:id w:val="24722793"/>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所有者权益内部结转导致资本公积变动金额"/>
                    <w:tag w:val="_GBC_fca0b102fce243e9a3c89ba4a1bcb3df"/>
                    <w:id w:val="24722794"/>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所有者权益内部结转导致库存股变动金额"/>
                    <w:tag w:val="_GBC_f4dda8c6d86e4d3d85823cade39d4e46"/>
                    <w:id w:val="24722795"/>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所有者权益内部结转导致其他综合收益变动金额"/>
                    <w:tag w:val="_GBC_0a55aa27f0b347528948807c6ecac842"/>
                    <w:id w:val="24722796"/>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所有者权益内部结转导致专项储备变动金额"/>
                    <w:tag w:val="_GBC_e7927af3e24d40a895fc2e4f5cec1c5d"/>
                    <w:id w:val="24722797"/>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所有者权益内部结转导致盈余公积变动金额"/>
                    <w:tag w:val="_GBC_cb32fa8f9d1d4ecaafac36620a12151b"/>
                    <w:id w:val="24722798"/>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四）所有者权益内部结转一般风险准备"/>
                    <w:tag w:val="_GBC_ad607a1449da4a3b8fe9566f22076b3e"/>
                    <w:id w:val="24722799"/>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所有者权益内部结转导致未分配利润变动金额"/>
                    <w:tag w:val="_GBC_6640db4b017c4b5caddffb7f75dabd02"/>
                    <w:id w:val="24722800"/>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所有者权益内部结转导致股东权益合计变动金额"/>
                    <w:tag w:val="_GBC_f875a33dfa58486c9480f6bee06e838f"/>
                    <w:id w:val="24722801"/>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1．资本公积转增资本（或股本）</w:t>
                    </w:r>
                  </w:p>
                </w:tc>
                <w:sdt>
                  <w:sdtPr>
                    <w:rPr>
                      <w:sz w:val="15"/>
                      <w:szCs w:val="15"/>
                    </w:rPr>
                    <w:alias w:val="资本公积转增资本（或股本）导致实收资本（或股本）净额变动金额"/>
                    <w:tag w:val="_GBC_084eb01286664f7eb61a38e3652bb338"/>
                    <w:id w:val="24722802"/>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资本公积转增资本（或股本）导致其他权益工具中的优先股变动金额"/>
                    <w:tag w:val="_GBC_aa9e2ce914fe448b8cf0040a4123765b"/>
                    <w:id w:val="24722803"/>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资本公积转增资本（或股本）导致其他权益工具中的永续债变动金额"/>
                    <w:tag w:val="_GBC_fc687a9a89bf43c99d28e9ad2054eb66"/>
                    <w:id w:val="24722804"/>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资本公积转增资本（或股本）导致其他权益工具中的其他变动金额"/>
                    <w:tag w:val="_GBC_66215524cd074a38acd5f8bd4af9b2b6"/>
                    <w:id w:val="24722805"/>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资本公积转增资本（或股本）导致资本公积变动金额"/>
                    <w:tag w:val="_GBC_aa28b5e27ef54d62b88507f789ae4826"/>
                    <w:id w:val="24722806"/>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资本公积转增资本（或股本）导致库存股变动金额"/>
                    <w:tag w:val="_GBC_f6297c85bd47496daeb178318b3290ee"/>
                    <w:id w:val="24722807"/>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资本公积转增资本（或股本）导致其他综合收益变动金额"/>
                    <w:tag w:val="_GBC_9bcc5eb3f62c45bc846a3361fb154123"/>
                    <w:id w:val="24722808"/>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资本公积转增资本（或股本）导致专项储备变动金额"/>
                    <w:tag w:val="_GBC_fa8b640f492544a6ab8d5292826291c2"/>
                    <w:id w:val="24722809"/>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资本公积转增资本（或股本）导致盈余公积变动金额"/>
                    <w:tag w:val="_GBC_9631caf75b3045599323a7c303620a76"/>
                    <w:id w:val="24722810"/>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1．资本公积转增资本（或股本）一般风险准备"/>
                    <w:tag w:val="_GBC_5e006658f28f435cb3ef8161e9be180a"/>
                    <w:id w:val="24722811"/>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资本公积转增资本（或股本）导致未分配利润变动金额"/>
                    <w:tag w:val="_GBC_8365467ce6484f798084fbfb1a05636e"/>
                    <w:id w:val="24722812"/>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资本公积转增资本（或股本）导致股东权益合计变动金额"/>
                    <w:tag w:val="_GBC_3b0e16cbdc8241ef8234493a1a2793e1"/>
                    <w:id w:val="24722813"/>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2．盈余公积转增资本（或股本）</w:t>
                    </w:r>
                  </w:p>
                </w:tc>
                <w:sdt>
                  <w:sdtPr>
                    <w:rPr>
                      <w:sz w:val="15"/>
                      <w:szCs w:val="15"/>
                    </w:rPr>
                    <w:alias w:val="盈余公积转增资本（或股本）导致实收资本（或股本）净额变动金额"/>
                    <w:tag w:val="_GBC_45fd2db9b144404998b58c75645395b3"/>
                    <w:id w:val="24722814"/>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盈余公积转增资本（或股本）导致其他权益工具中的优先股变动金额"/>
                    <w:tag w:val="_GBC_f1d0aa71e029456fb12cd96a3635ea23"/>
                    <w:id w:val="24722815"/>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盈余公积转增资本（或股本）导致其他权益工具中的永续债变动金额"/>
                    <w:tag w:val="_GBC_63cc9fe5c9894e82a1fde669f3ce7130"/>
                    <w:id w:val="24722816"/>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盈余公积转增资本（或股本）导致其他权益工具中的其他变动金额"/>
                    <w:tag w:val="_GBC_58432e295f354ca89c4fbeefac5a919d"/>
                    <w:id w:val="24722817"/>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盈余公积转增资本（或股本）导致资本公积变动金额"/>
                    <w:tag w:val="_GBC_18ff8655266e44e38a43344195d3707e"/>
                    <w:id w:val="24722818"/>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盈余公积转增资本（或股本）导致库存股变动金额"/>
                    <w:tag w:val="_GBC_bfa0a9a0daa5400ead5e72c6b3f7aa1c"/>
                    <w:id w:val="24722819"/>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盈余公积转增资本（或股本）导致其他综合收益变动金额"/>
                    <w:tag w:val="_GBC_da99848072324d198d06c654e311a376"/>
                    <w:id w:val="24722820"/>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盈余公积转增资本（或股本）导致专项储备变动金额"/>
                    <w:tag w:val="_GBC_d4e648e6b7ff4dc88db02532e2693a0e"/>
                    <w:id w:val="24722821"/>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盈余公积转增资本（或股本）导致盈余公积变动金额"/>
                    <w:tag w:val="_GBC_edab473ca5144d29abff70144b20ac3c"/>
                    <w:id w:val="24722822"/>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2．盈余公积转增资本（或股本）一般风险准备"/>
                    <w:tag w:val="_GBC_7f9117f2e30a48288de82281d42d84e1"/>
                    <w:id w:val="24722823"/>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盈余公积转增资本（或股本）导致未分配利润变动金额"/>
                    <w:tag w:val="_GBC_48a3b1d590d6424d9aff758ddb8abdb7"/>
                    <w:id w:val="24722824"/>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盈余公积转增资本（或股本）导致股东权益合计变动金额"/>
                    <w:tag w:val="_GBC_965d5dcbedf241a391148016be3edce7"/>
                    <w:id w:val="24722825"/>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3．盈余公积弥补亏损</w:t>
                    </w:r>
                  </w:p>
                </w:tc>
                <w:sdt>
                  <w:sdtPr>
                    <w:rPr>
                      <w:sz w:val="15"/>
                      <w:szCs w:val="15"/>
                    </w:rPr>
                    <w:alias w:val="盈余公积弥补亏损导致实收资本（或股本）净额变动金额"/>
                    <w:tag w:val="_GBC_5d48a5e9136847799570f6a5c7cef694"/>
                    <w:id w:val="24722826"/>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盈余公积弥补亏损导致其他权益工具中的优先股变动金额"/>
                    <w:tag w:val="_GBC_88e846fa9c38423bbcb4a99c285835ee"/>
                    <w:id w:val="24722827"/>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盈余公积弥补亏损导致其他权益工具中的永续债变动金额"/>
                    <w:tag w:val="_GBC_2973af3f015d4026b18c0cdb49fc5439"/>
                    <w:id w:val="24722828"/>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盈余公积弥补亏损导致其他权益工具中的其他变动金额"/>
                    <w:tag w:val="_GBC_5564ea9999314224b12e17bdfb3524dd"/>
                    <w:id w:val="24722829"/>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盈余公积弥补亏损导致资本公积变动金额"/>
                    <w:tag w:val="_GBC_c84ec11685554628ab96da1b104930b5"/>
                    <w:id w:val="24722830"/>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盈余公积弥补亏损导致库存股变动金额"/>
                    <w:tag w:val="_GBC_20b725b514504790bf4fcb0d97180ae0"/>
                    <w:id w:val="24722831"/>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盈余公积弥补亏损导致其他综合收益变动金额"/>
                    <w:tag w:val="_GBC_fc1048146ffa4876a3967c24bb5845c9"/>
                    <w:id w:val="24722832"/>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盈余公积弥补亏损导致专项储备变动金额"/>
                    <w:tag w:val="_GBC_1ef13efafffe4b069ede2fec79758312"/>
                    <w:id w:val="24722833"/>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盈余公积弥补亏损导致盈余公积变动金额"/>
                    <w:tag w:val="_GBC_67f03a80d06247c9a8a4e39552666c1b"/>
                    <w:id w:val="24722834"/>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3．盈余公积弥补亏损一般风险准备"/>
                    <w:tag w:val="_GBC_483830b01ddb47d389b05450a9fa4c10"/>
                    <w:id w:val="24722835"/>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盈余公积弥补亏损导致未分配利润变动金额"/>
                    <w:tag w:val="_GBC_c1b05f8c990b4b1a8bba1c78e3fdc78c"/>
                    <w:id w:val="24722836"/>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盈余公积弥补亏损导致股东权益合计变动金额"/>
                    <w:tag w:val="_GBC_e4aebf343e0f4523b9018476c22f3fec"/>
                    <w:id w:val="24722837"/>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4．其他</w:t>
                    </w:r>
                  </w:p>
                </w:tc>
                <w:sdt>
                  <w:sdtPr>
                    <w:rPr>
                      <w:sz w:val="15"/>
                      <w:szCs w:val="15"/>
                    </w:rPr>
                    <w:alias w:val="其他所有者权益内部结转导致实收资本（或股本）净额变动金额"/>
                    <w:tag w:val="_GBC_97df4d1c9be844589112fe9d033597a1"/>
                    <w:id w:val="24722838"/>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权益内部结转导致其他权益工具中的优先股变动金额"/>
                    <w:tag w:val="_GBC_ed8623648965431faf339e766c363e24"/>
                    <w:id w:val="24722839"/>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权益内部结转导致其他权益工具中的永续债变动金额"/>
                    <w:tag w:val="_GBC_1e0867ff94764a8c88892cac382d3f04"/>
                    <w:id w:val="24722840"/>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权益内部结转导致其他权益工具中的其他变动金额"/>
                    <w:tag w:val="_GBC_94e9ad626ba04fedab6eba469476395d"/>
                    <w:id w:val="24722841"/>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其他所有者权益内部结转导致资本公积变动金额"/>
                    <w:tag w:val="_GBC_0a8de2079bf249febf82a246d224f481"/>
                    <w:id w:val="24722842"/>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其他所有者权益内部结转导致库存股变动金额"/>
                    <w:tag w:val="_GBC_73f57d3753b846ad851f62cdc9879a25"/>
                    <w:id w:val="24722843"/>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所有者权益内部结转导致其他综合收益变动金额"/>
                    <w:tag w:val="_GBC_6b2b35999c0f4c139ba0d1d36416e6ae"/>
                    <w:id w:val="24722844"/>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其他所有者权益内部结转导致专项储备变动金额"/>
                    <w:tag w:val="_GBC_609e946da70a4708acd534a362d272cd"/>
                    <w:id w:val="24722845"/>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其他所有者权益内部结转导致盈余公积变动金额"/>
                    <w:tag w:val="_GBC_d850fb4f3e2547ba99690943ba1c90b5"/>
                    <w:id w:val="24722846"/>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4．其他一般风险准备"/>
                    <w:tag w:val="_GBC_bac68337443b4321b19eda537b8428ca"/>
                    <w:id w:val="24722847"/>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其他所有者权益内部结转导致未分配利润变动金额"/>
                    <w:tag w:val="_GBC_5101daa8807f40fb92c07dfc87115f2b"/>
                    <w:id w:val="24722848"/>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其他所有者权益内部结转导致股东权益合计变动金额"/>
                    <w:tag w:val="_GBC_bdcd89bcc14d41f5b7567fd1c2eea1d1"/>
                    <w:id w:val="24722849"/>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vAlign w:val="center"/>
                  </w:tcPr>
                  <w:p w:rsidR="00DE031E" w:rsidRPr="00C22063" w:rsidRDefault="001C1A59" w:rsidP="00DE031E">
                    <w:pPr>
                      <w:rPr>
                        <w:sz w:val="15"/>
                        <w:szCs w:val="15"/>
                      </w:rPr>
                    </w:pPr>
                    <w:r w:rsidRPr="00C22063">
                      <w:rPr>
                        <w:rFonts w:hint="eastAsia"/>
                        <w:sz w:val="15"/>
                        <w:szCs w:val="15"/>
                      </w:rPr>
                      <w:t xml:space="preserve"> （五）专项储备</w:t>
                    </w:r>
                  </w:p>
                </w:tc>
                <w:sdt>
                  <w:sdtPr>
                    <w:rPr>
                      <w:sz w:val="15"/>
                      <w:szCs w:val="15"/>
                    </w:rPr>
                    <w:alias w:val="专项储备导致实收资本（或股本）净额变动金额"/>
                    <w:tag w:val="_GBC_f1b054408cbe4196b2b33a927258093d"/>
                    <w:id w:val="24722850"/>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专项储备导致其他权益工具中的优先股变动金额"/>
                    <w:tag w:val="_GBC_316660df83eb4a499be7d7ee85097c38"/>
                    <w:id w:val="24722851"/>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专项储备导致其他权益工具中的永续债变动金额"/>
                    <w:tag w:val="_GBC_d60a83f1c6674d88a406518e351acaac"/>
                    <w:id w:val="24722852"/>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专项储备导致其他权益工具中的其他变动金额"/>
                    <w:tag w:val="_GBC_f3169882a64d4788b6c1d75c61eba773"/>
                    <w:id w:val="24722853"/>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专项储备导致资本公积变动金额"/>
                    <w:tag w:val="_GBC_30dc3f1de6c845d38e58bb9763738a9d"/>
                    <w:id w:val="24722854"/>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专项储备导致库存股变动金额"/>
                    <w:tag w:val="_GBC_228e4a62751e488f8e7322105d62077a"/>
                    <w:id w:val="24722855"/>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专项储备导致其他综合收益变动金额"/>
                    <w:tag w:val="_GBC_c0800497a3014a3182ea35227107aeff"/>
                    <w:id w:val="24722856"/>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专项储备导致专项储备变动金额"/>
                    <w:tag w:val="_GBC_95c373e83263474eb617db37c864136c"/>
                    <w:id w:val="24722857"/>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专项储备导致盈余公积变动金额"/>
                    <w:tag w:val="_GBC_20b44454e6d04a2a98680af00e503992"/>
                    <w:id w:val="24722858"/>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五）专项储备一般风险准备"/>
                    <w:tag w:val="_GBC_d229a71e9fc746369beabfa0e7d365d2"/>
                    <w:id w:val="24722859"/>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专项储备导致未分配利润变动金额"/>
                    <w:tag w:val="_GBC_1b6f77b7c9ef4340ac368175bc963067"/>
                    <w:id w:val="24722860"/>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专项储备导致股东权益合计变动金额"/>
                    <w:tag w:val="_GBC_8f69578052804f5b9caf0a508e63cebc"/>
                    <w:id w:val="24722861"/>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vAlign w:val="center"/>
                  </w:tcPr>
                  <w:p w:rsidR="00DE031E" w:rsidRPr="00C22063" w:rsidRDefault="001C1A59" w:rsidP="00DE031E">
                    <w:pPr>
                      <w:rPr>
                        <w:sz w:val="15"/>
                        <w:szCs w:val="15"/>
                      </w:rPr>
                    </w:pPr>
                    <w:r w:rsidRPr="00C22063">
                      <w:rPr>
                        <w:rFonts w:hint="eastAsia"/>
                        <w:sz w:val="15"/>
                        <w:szCs w:val="15"/>
                      </w:rPr>
                      <w:t>1．本期提取</w:t>
                    </w:r>
                  </w:p>
                </w:tc>
                <w:sdt>
                  <w:sdtPr>
                    <w:rPr>
                      <w:sz w:val="15"/>
                      <w:szCs w:val="15"/>
                    </w:rPr>
                    <w:alias w:val="提取导致实收资本（或股本）净额变动金额"/>
                    <w:tag w:val="_GBC_62a2b59991d74f99b8e152a7e3a4e3c1"/>
                    <w:id w:val="24722862"/>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提取导致其他权益工具中的优先股变动金额"/>
                    <w:tag w:val="_GBC_c448d655d359424bbad5606e171b2336"/>
                    <w:id w:val="24722863"/>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提取导致其他权益工具中的永续债变动金额"/>
                    <w:tag w:val="_GBC_53946e067f2048338f1d095b072b710a"/>
                    <w:id w:val="24722864"/>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提取导致其他权益工具中的其他变动金额"/>
                    <w:tag w:val="_GBC_c3be6e404bc8459b90ab90ffb62a3b3e"/>
                    <w:id w:val="24722865"/>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提取导致资本公积变动金额"/>
                    <w:tag w:val="_GBC_c64ef6d60417498cb1a160ce3a6f6368"/>
                    <w:id w:val="24722866"/>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提取导致库存股变动金额"/>
                    <w:tag w:val="_GBC_00943c502a1b461b885352879a7db097"/>
                    <w:id w:val="24722867"/>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提取导致其他综合收益变动金额"/>
                    <w:tag w:val="_GBC_dcb4c07050c549bca3ea697cff8b2934"/>
                    <w:id w:val="24722868"/>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提取导致专项储备变动金额"/>
                    <w:tag w:val="_GBC_ba902094ffa248cb8e3877ce9eeff459"/>
                    <w:id w:val="24722869"/>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提取导致盈余公积变动金额"/>
                    <w:tag w:val="_GBC_567d41e2024a4473b484d8a9755feefb"/>
                    <w:id w:val="24722870"/>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1．本期提取一般风险准备"/>
                    <w:tag w:val="_GBC_e242d02573e34f7e82e98ceef564534d"/>
                    <w:id w:val="24722871"/>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提取导致未分配利润变动金额"/>
                    <w:tag w:val="_GBC_2af758bf2e634153b94656575a587376"/>
                    <w:id w:val="24722872"/>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提取导致股东权益合计变动金额"/>
                    <w:tag w:val="_GBC_ae5c10b3f55549d1a32351dc9d750a24"/>
                    <w:id w:val="24722873"/>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vAlign w:val="center"/>
                  </w:tcPr>
                  <w:p w:rsidR="00DE031E" w:rsidRPr="00C22063" w:rsidRDefault="001C1A59" w:rsidP="00DE031E">
                    <w:pPr>
                      <w:rPr>
                        <w:sz w:val="15"/>
                        <w:szCs w:val="15"/>
                      </w:rPr>
                    </w:pPr>
                    <w:r w:rsidRPr="00C22063">
                      <w:rPr>
                        <w:rFonts w:hint="eastAsia"/>
                        <w:sz w:val="15"/>
                        <w:szCs w:val="15"/>
                      </w:rPr>
                      <w:t>2．本期使用</w:t>
                    </w:r>
                  </w:p>
                </w:tc>
                <w:sdt>
                  <w:sdtPr>
                    <w:rPr>
                      <w:sz w:val="15"/>
                      <w:szCs w:val="15"/>
                    </w:rPr>
                    <w:alias w:val="使用导致实收资本（或股本）净额变动金额"/>
                    <w:tag w:val="_GBC_22b1ee3fca104d83bca358af456d1951"/>
                    <w:id w:val="24722874"/>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使用导致其他权益工具中的优先股变动金额"/>
                    <w:tag w:val="_GBC_fd9833a4056849ed8707c879e8e92c9c"/>
                    <w:id w:val="24722875"/>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使用导致其他权益工具中的永续债变动金额"/>
                    <w:tag w:val="_GBC_704a7e8679454576a34f88e62acc7db5"/>
                    <w:id w:val="24722876"/>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使用导致其他权益工具中的其他变动金额"/>
                    <w:tag w:val="_GBC_d9c03995cc454ad8a82fb3d04035f185"/>
                    <w:id w:val="24722877"/>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使用导致资本公积变动金额"/>
                    <w:tag w:val="_GBC_3885d76a0f4a4913a62a4112462f1b0e"/>
                    <w:id w:val="24722878"/>
                    <w:lock w:val="sdtLocked"/>
                  </w:sdtPr>
                  <w:sdtContent>
                    <w:tc>
                      <w:tcPr>
                        <w:tcW w:w="1559" w:type="dxa"/>
                      </w:tcPr>
                      <w:p w:rsidR="00DE031E" w:rsidRPr="00C22063" w:rsidRDefault="00DE031E" w:rsidP="00DE031E">
                        <w:pPr>
                          <w:jc w:val="right"/>
                          <w:rPr>
                            <w:sz w:val="15"/>
                            <w:szCs w:val="15"/>
                          </w:rPr>
                        </w:pPr>
                      </w:p>
                    </w:tc>
                  </w:sdtContent>
                </w:sdt>
                <w:sdt>
                  <w:sdtPr>
                    <w:rPr>
                      <w:sz w:val="15"/>
                      <w:szCs w:val="15"/>
                    </w:rPr>
                    <w:alias w:val="使用导致库存股变动金额"/>
                    <w:tag w:val="_GBC_7cc8a4c1a99a4019827e384f72e5a875"/>
                    <w:id w:val="24722879"/>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使用导致其他综合收益变动金额"/>
                    <w:tag w:val="_GBC_73f38d3458ea41b491ddfd7cd0ea4b91"/>
                    <w:id w:val="24722880"/>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使用导致专项储备变动金额"/>
                    <w:tag w:val="_GBC_ce9d46a3b666495ea03f46e46246ac07"/>
                    <w:id w:val="24722881"/>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使用导致盈余公积变动金额"/>
                    <w:tag w:val="_GBC_221a5a295d8e42739ad1341e6c42a730"/>
                    <w:id w:val="24722882"/>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2．本期使用一般风险准备"/>
                    <w:tag w:val="_GBC_07393c5355544c49bd0f8a14c539b31c"/>
                    <w:id w:val="24722883"/>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使用导致未分配利润变动金额"/>
                    <w:tag w:val="_GBC_6dc8291cbd3a430b90ef17a65ea75aad"/>
                    <w:id w:val="24722884"/>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使用导致股东权益合计变动金额"/>
                    <w:tag w:val="_GBC_429342ce161b4174aca098378203cb31"/>
                    <w:id w:val="24722885"/>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rFonts w:hint="eastAsia"/>
                        <w:sz w:val="15"/>
                        <w:szCs w:val="15"/>
                      </w:rPr>
                      <w:t>（六）其他</w:t>
                    </w:r>
                  </w:p>
                </w:tc>
                <w:sdt>
                  <w:sdtPr>
                    <w:rPr>
                      <w:sz w:val="15"/>
                      <w:szCs w:val="15"/>
                    </w:rPr>
                    <w:alias w:val="其他导致实收资本（或股本）净额变动金额"/>
                    <w:tag w:val="_GBC_d0e082387bdc44dea980c0664feb58ae"/>
                    <w:id w:val="24722886"/>
                    <w:lock w:val="sdtLocked"/>
                  </w:sdtPr>
                  <w:sdtContent>
                    <w:tc>
                      <w:tcPr>
                        <w:tcW w:w="1418" w:type="dxa"/>
                        <w:tcBorders>
                          <w:right w:val="single" w:sz="4" w:space="0" w:color="auto"/>
                        </w:tcBorders>
                      </w:tcPr>
                      <w:p w:rsidR="00DE031E" w:rsidRPr="00C22063" w:rsidRDefault="00DE031E" w:rsidP="00DE031E">
                        <w:pPr>
                          <w:jc w:val="right"/>
                          <w:rPr>
                            <w:sz w:val="15"/>
                            <w:szCs w:val="15"/>
                          </w:rPr>
                        </w:pPr>
                      </w:p>
                    </w:tc>
                  </w:sdtContent>
                </w:sdt>
                <w:sdt>
                  <w:sdtPr>
                    <w:rPr>
                      <w:sz w:val="15"/>
                      <w:szCs w:val="15"/>
                    </w:rPr>
                    <w:alias w:val="其他导致其他权益工具中的优先股变动金额"/>
                    <w:tag w:val="_GBC_fb4d17c50af74f17940954b101bdf49d"/>
                    <w:id w:val="24722887"/>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导致其他权益工具中的永续债变动金额"/>
                    <w:tag w:val="_GBC_c19f1466fd9540e5bf5b38e6bcfa7f43"/>
                    <w:id w:val="24722888"/>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导致其他权益工具中的其他变动金额"/>
                    <w:tag w:val="_GBC_fc5fc85e20df48dfbcea93466ea92b01"/>
                    <w:id w:val="24722889"/>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其他导致资本公积变动金额"/>
                    <w:tag w:val="_GBC_f2b3a6489dd14ccab11e8f099f85dd5d"/>
                    <w:id w:val="24722890"/>
                    <w:lock w:val="sdtLocked"/>
                    <w:showingPlcHdr/>
                  </w:sdtPr>
                  <w:sdtContent>
                    <w:tc>
                      <w:tcPr>
                        <w:tcW w:w="1559" w:type="dxa"/>
                      </w:tcPr>
                      <w:p w:rsidR="00DE031E" w:rsidRPr="00C22063" w:rsidRDefault="00D65A2F" w:rsidP="00DE031E">
                        <w:pPr>
                          <w:jc w:val="right"/>
                          <w:rPr>
                            <w:sz w:val="15"/>
                            <w:szCs w:val="15"/>
                          </w:rPr>
                        </w:pPr>
                        <w:r>
                          <w:rPr>
                            <w:sz w:val="15"/>
                            <w:szCs w:val="15"/>
                          </w:rPr>
                          <w:t xml:space="preserve">     </w:t>
                        </w:r>
                      </w:p>
                    </w:tc>
                  </w:sdtContent>
                </w:sdt>
                <w:sdt>
                  <w:sdtPr>
                    <w:rPr>
                      <w:sz w:val="15"/>
                      <w:szCs w:val="15"/>
                    </w:rPr>
                    <w:alias w:val="其他导致库存股变动金额"/>
                    <w:tag w:val="_GBC_6498b45ee000460c81ac7c4b366a037a"/>
                    <w:id w:val="24722891"/>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导致其他综合收益变动金额"/>
                    <w:tag w:val="_GBC_66d8f42ef51641b2b0ae3816c96eecdf"/>
                    <w:id w:val="24722892"/>
                    <w:lock w:val="sdtLocked"/>
                  </w:sdtPr>
                  <w:sdtContent>
                    <w:tc>
                      <w:tcPr>
                        <w:tcW w:w="1276" w:type="dxa"/>
                      </w:tcPr>
                      <w:p w:rsidR="00DE031E" w:rsidRPr="00C22063" w:rsidRDefault="00DE031E" w:rsidP="00DE031E">
                        <w:pPr>
                          <w:jc w:val="right"/>
                          <w:rPr>
                            <w:sz w:val="15"/>
                            <w:szCs w:val="15"/>
                          </w:rPr>
                        </w:pPr>
                      </w:p>
                    </w:tc>
                  </w:sdtContent>
                </w:sdt>
                <w:sdt>
                  <w:sdtPr>
                    <w:rPr>
                      <w:sz w:val="15"/>
                      <w:szCs w:val="15"/>
                    </w:rPr>
                    <w:alias w:val="其他导致专项储备变动金额"/>
                    <w:tag w:val="_GBC_89f834c340664692bfd8dc09308561c1"/>
                    <w:id w:val="24722893"/>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其他导致盈余公积变动金额"/>
                    <w:tag w:val="_GBC_4f4c655eb6824d048f48191a8330ad07"/>
                    <w:id w:val="24722894"/>
                    <w:lock w:val="sdtLocked"/>
                  </w:sdtPr>
                  <w:sdtContent>
                    <w:tc>
                      <w:tcPr>
                        <w:tcW w:w="1418" w:type="dxa"/>
                      </w:tcPr>
                      <w:p w:rsidR="00DE031E" w:rsidRPr="00C22063" w:rsidRDefault="00DE031E" w:rsidP="00DE031E">
                        <w:pPr>
                          <w:jc w:val="right"/>
                          <w:rPr>
                            <w:sz w:val="15"/>
                            <w:szCs w:val="15"/>
                          </w:rPr>
                        </w:pPr>
                      </w:p>
                    </w:tc>
                  </w:sdtContent>
                </w:sdt>
                <w:sdt>
                  <w:sdtPr>
                    <w:rPr>
                      <w:sz w:val="15"/>
                      <w:szCs w:val="15"/>
                    </w:rPr>
                    <w:alias w:val="（六）其他一般风险准备"/>
                    <w:tag w:val="_GBC_c83fa59ff97e4151ae322dc9bc2409de"/>
                    <w:id w:val="24722895"/>
                    <w:lock w:val="sdtLocked"/>
                  </w:sdtPr>
                  <w:sdtContent>
                    <w:tc>
                      <w:tcPr>
                        <w:tcW w:w="1417" w:type="dxa"/>
                      </w:tcPr>
                      <w:p w:rsidR="00DE031E" w:rsidRPr="00C22063" w:rsidRDefault="00DE031E" w:rsidP="00DE031E">
                        <w:pPr>
                          <w:jc w:val="right"/>
                          <w:rPr>
                            <w:sz w:val="15"/>
                            <w:szCs w:val="15"/>
                          </w:rPr>
                        </w:pPr>
                      </w:p>
                    </w:tc>
                  </w:sdtContent>
                </w:sdt>
                <w:sdt>
                  <w:sdtPr>
                    <w:rPr>
                      <w:sz w:val="15"/>
                      <w:szCs w:val="15"/>
                    </w:rPr>
                    <w:alias w:val="其他导致未分配利润变动金额"/>
                    <w:tag w:val="_GBC_8669edf341584816a95d6b2633184c52"/>
                    <w:id w:val="24722896"/>
                    <w:lock w:val="sdtLocked"/>
                  </w:sdtPr>
                  <w:sdtContent>
                    <w:tc>
                      <w:tcPr>
                        <w:tcW w:w="1560" w:type="dxa"/>
                      </w:tcPr>
                      <w:p w:rsidR="00DE031E" w:rsidRPr="00C22063" w:rsidRDefault="00DE031E" w:rsidP="00DE031E">
                        <w:pPr>
                          <w:jc w:val="right"/>
                          <w:rPr>
                            <w:sz w:val="15"/>
                            <w:szCs w:val="15"/>
                          </w:rPr>
                        </w:pPr>
                      </w:p>
                    </w:tc>
                  </w:sdtContent>
                </w:sdt>
                <w:sdt>
                  <w:sdtPr>
                    <w:rPr>
                      <w:sz w:val="15"/>
                      <w:szCs w:val="15"/>
                    </w:rPr>
                    <w:alias w:val="其他导致股东权益合计变动金额"/>
                    <w:tag w:val="_GBC_b252dd00f5c84c94a1462c8e5b1fdb25"/>
                    <w:id w:val="24722897"/>
                    <w:lock w:val="sdtLocked"/>
                  </w:sdtPr>
                  <w:sdtContent>
                    <w:tc>
                      <w:tcPr>
                        <w:tcW w:w="1499" w:type="dxa"/>
                      </w:tcPr>
                      <w:p w:rsidR="00DE031E" w:rsidRPr="00C22063" w:rsidRDefault="00DE031E" w:rsidP="00DE031E">
                        <w:pPr>
                          <w:jc w:val="right"/>
                          <w:rPr>
                            <w:sz w:val="15"/>
                            <w:szCs w:val="15"/>
                          </w:rPr>
                        </w:pPr>
                      </w:p>
                    </w:tc>
                  </w:sdtContent>
                </w:sdt>
              </w:tr>
              <w:tr w:rsidR="00DE031E" w:rsidRPr="00C22063" w:rsidTr="00DE031E">
                <w:trPr>
                  <w:trHeight w:val="20"/>
                  <w:jc w:val="center"/>
                </w:trPr>
                <w:tc>
                  <w:tcPr>
                    <w:tcW w:w="2550" w:type="dxa"/>
                  </w:tcPr>
                  <w:p w:rsidR="00DE031E" w:rsidRPr="00C22063" w:rsidRDefault="001C1A59" w:rsidP="00DE031E">
                    <w:pPr>
                      <w:rPr>
                        <w:sz w:val="15"/>
                        <w:szCs w:val="15"/>
                      </w:rPr>
                    </w:pPr>
                    <w:r w:rsidRPr="00C22063">
                      <w:rPr>
                        <w:sz w:val="15"/>
                        <w:szCs w:val="15"/>
                      </w:rPr>
                      <w:t>四、本期期末余额</w:t>
                    </w:r>
                  </w:p>
                </w:tc>
                <w:sdt>
                  <w:sdtPr>
                    <w:rPr>
                      <w:sz w:val="15"/>
                      <w:szCs w:val="15"/>
                    </w:rPr>
                    <w:alias w:val="股本"/>
                    <w:tag w:val="_GBC_9f88021da3e04c92848122dd94e287ea"/>
                    <w:id w:val="24722898"/>
                    <w:lock w:val="sdtLocked"/>
                  </w:sdtPr>
                  <w:sdtContent>
                    <w:tc>
                      <w:tcPr>
                        <w:tcW w:w="1418" w:type="dxa"/>
                        <w:tcBorders>
                          <w:right w:val="single" w:sz="4" w:space="0" w:color="auto"/>
                        </w:tcBorders>
                      </w:tcPr>
                      <w:p w:rsidR="00DE031E" w:rsidRPr="00C22063" w:rsidRDefault="001C1A59" w:rsidP="00DE031E">
                        <w:pPr>
                          <w:jc w:val="right"/>
                          <w:rPr>
                            <w:sz w:val="15"/>
                            <w:szCs w:val="15"/>
                          </w:rPr>
                        </w:pPr>
                        <w:r w:rsidRPr="00C22063">
                          <w:rPr>
                            <w:sz w:val="15"/>
                            <w:szCs w:val="15"/>
                          </w:rPr>
                          <w:t>5,808,135,529.00</w:t>
                        </w:r>
                      </w:p>
                    </w:tc>
                  </w:sdtContent>
                </w:sdt>
                <w:sdt>
                  <w:sdtPr>
                    <w:rPr>
                      <w:sz w:val="15"/>
                      <w:szCs w:val="15"/>
                    </w:rPr>
                    <w:alias w:val="其他权益工具-其中：优先股"/>
                    <w:tag w:val="_GBC_1864d58e038c486ba7e2b7e9f78c094e"/>
                    <w:id w:val="24722899"/>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永续债"/>
                    <w:tag w:val="_GBC_ec5fed07ee304701a8d76ca9986cf0fa"/>
                    <w:id w:val="24722900"/>
                    <w:lock w:val="sdtLocked"/>
                  </w:sdtPr>
                  <w:sdtContent>
                    <w:tc>
                      <w:tcPr>
                        <w:tcW w:w="425" w:type="dxa"/>
                        <w:tcBorders>
                          <w:left w:val="single" w:sz="4" w:space="0" w:color="auto"/>
                          <w:right w:val="single" w:sz="4" w:space="0" w:color="auto"/>
                        </w:tcBorders>
                      </w:tcPr>
                      <w:p w:rsidR="00DE031E" w:rsidRPr="00C22063" w:rsidRDefault="00DE031E" w:rsidP="00DE031E">
                        <w:pPr>
                          <w:jc w:val="right"/>
                          <w:rPr>
                            <w:sz w:val="15"/>
                            <w:szCs w:val="15"/>
                          </w:rPr>
                        </w:pPr>
                      </w:p>
                    </w:tc>
                  </w:sdtContent>
                </w:sdt>
                <w:sdt>
                  <w:sdtPr>
                    <w:rPr>
                      <w:sz w:val="15"/>
                      <w:szCs w:val="15"/>
                    </w:rPr>
                    <w:alias w:val="其他权益工具-其他"/>
                    <w:tag w:val="_GBC_37a25eecd49f426a8991c355f26bb162"/>
                    <w:id w:val="24722901"/>
                    <w:lock w:val="sdtLocked"/>
                  </w:sdtPr>
                  <w:sdtContent>
                    <w:tc>
                      <w:tcPr>
                        <w:tcW w:w="284" w:type="dxa"/>
                        <w:tcBorders>
                          <w:left w:val="single" w:sz="4" w:space="0" w:color="auto"/>
                        </w:tcBorders>
                      </w:tcPr>
                      <w:p w:rsidR="00DE031E" w:rsidRPr="00C22063" w:rsidRDefault="00DE031E" w:rsidP="00DE031E">
                        <w:pPr>
                          <w:jc w:val="right"/>
                          <w:rPr>
                            <w:sz w:val="15"/>
                            <w:szCs w:val="15"/>
                          </w:rPr>
                        </w:pPr>
                      </w:p>
                    </w:tc>
                  </w:sdtContent>
                </w:sdt>
                <w:sdt>
                  <w:sdtPr>
                    <w:rPr>
                      <w:sz w:val="15"/>
                      <w:szCs w:val="15"/>
                    </w:rPr>
                    <w:alias w:val="资本公积"/>
                    <w:tag w:val="_GBC_7325f4ac259f4518b04611bbec36250d"/>
                    <w:id w:val="24722902"/>
                    <w:lock w:val="sdtLocked"/>
                  </w:sdtPr>
                  <w:sdtContent>
                    <w:tc>
                      <w:tcPr>
                        <w:tcW w:w="1559" w:type="dxa"/>
                      </w:tcPr>
                      <w:p w:rsidR="00DE031E" w:rsidRPr="00C22063" w:rsidRDefault="001C1A59" w:rsidP="00DE031E">
                        <w:pPr>
                          <w:jc w:val="right"/>
                          <w:rPr>
                            <w:sz w:val="15"/>
                            <w:szCs w:val="15"/>
                          </w:rPr>
                        </w:pPr>
                        <w:r w:rsidRPr="00C22063">
                          <w:rPr>
                            <w:sz w:val="15"/>
                            <w:szCs w:val="15"/>
                          </w:rPr>
                          <w:t>19,403,877,003.80</w:t>
                        </w:r>
                      </w:p>
                    </w:tc>
                  </w:sdtContent>
                </w:sdt>
                <w:sdt>
                  <w:sdtPr>
                    <w:rPr>
                      <w:sz w:val="15"/>
                      <w:szCs w:val="15"/>
                    </w:rPr>
                    <w:alias w:val="库存股"/>
                    <w:tag w:val="_GBC_d2678425187d4f0e8816c7449e800e33"/>
                    <w:id w:val="24722903"/>
                    <w:lock w:val="sdtLocked"/>
                  </w:sdtPr>
                  <w:sdtContent>
                    <w:tc>
                      <w:tcPr>
                        <w:tcW w:w="425" w:type="dxa"/>
                      </w:tcPr>
                      <w:p w:rsidR="00DE031E" w:rsidRPr="00C22063" w:rsidRDefault="00DE031E" w:rsidP="00DE031E">
                        <w:pPr>
                          <w:jc w:val="right"/>
                          <w:rPr>
                            <w:sz w:val="15"/>
                            <w:szCs w:val="15"/>
                          </w:rPr>
                        </w:pPr>
                      </w:p>
                    </w:tc>
                  </w:sdtContent>
                </w:sdt>
                <w:sdt>
                  <w:sdtPr>
                    <w:rPr>
                      <w:sz w:val="15"/>
                      <w:szCs w:val="15"/>
                    </w:rPr>
                    <w:alias w:val="其他综合收益（资产负债表项目）"/>
                    <w:tag w:val="_GBC_29f3fca6a8e04f8e9d31e1b483478035"/>
                    <w:id w:val="24722904"/>
                    <w:lock w:val="sdtLocked"/>
                  </w:sdtPr>
                  <w:sdtContent>
                    <w:tc>
                      <w:tcPr>
                        <w:tcW w:w="1276" w:type="dxa"/>
                      </w:tcPr>
                      <w:p w:rsidR="00DE031E" w:rsidRPr="00C22063" w:rsidRDefault="001C1A59" w:rsidP="00DE031E">
                        <w:pPr>
                          <w:jc w:val="right"/>
                          <w:rPr>
                            <w:sz w:val="15"/>
                            <w:szCs w:val="15"/>
                          </w:rPr>
                        </w:pPr>
                        <w:r w:rsidRPr="00C22063">
                          <w:rPr>
                            <w:sz w:val="15"/>
                            <w:szCs w:val="15"/>
                          </w:rPr>
                          <w:t>238,023,927.88</w:t>
                        </w:r>
                      </w:p>
                    </w:tc>
                  </w:sdtContent>
                </w:sdt>
                <w:sdt>
                  <w:sdtPr>
                    <w:rPr>
                      <w:sz w:val="15"/>
                      <w:szCs w:val="15"/>
                    </w:rPr>
                    <w:alias w:val="专项储备"/>
                    <w:tag w:val="_GBC_777794e65544442089314634a90d9c01"/>
                    <w:id w:val="24722905"/>
                    <w:lock w:val="sdtLocked"/>
                  </w:sdtPr>
                  <w:sdtContent>
                    <w:tc>
                      <w:tcPr>
                        <w:tcW w:w="283" w:type="dxa"/>
                      </w:tcPr>
                      <w:p w:rsidR="00DE031E" w:rsidRPr="00C22063" w:rsidRDefault="00DE031E" w:rsidP="00DE031E">
                        <w:pPr>
                          <w:jc w:val="right"/>
                          <w:rPr>
                            <w:sz w:val="15"/>
                            <w:szCs w:val="15"/>
                          </w:rPr>
                        </w:pPr>
                      </w:p>
                    </w:tc>
                  </w:sdtContent>
                </w:sdt>
                <w:sdt>
                  <w:sdtPr>
                    <w:rPr>
                      <w:sz w:val="15"/>
                      <w:szCs w:val="15"/>
                    </w:rPr>
                    <w:alias w:val="盈余公积"/>
                    <w:tag w:val="_GBC_8f968e85528047aca76a2014673040ba"/>
                    <w:id w:val="24722906"/>
                    <w:lock w:val="sdtLocked"/>
                  </w:sdtPr>
                  <w:sdtContent>
                    <w:tc>
                      <w:tcPr>
                        <w:tcW w:w="1418" w:type="dxa"/>
                      </w:tcPr>
                      <w:p w:rsidR="00DE031E" w:rsidRPr="00C22063" w:rsidRDefault="001C1A59" w:rsidP="00DE031E">
                        <w:pPr>
                          <w:jc w:val="right"/>
                          <w:rPr>
                            <w:sz w:val="15"/>
                            <w:szCs w:val="15"/>
                          </w:rPr>
                        </w:pPr>
                        <w:r w:rsidRPr="00C22063">
                          <w:rPr>
                            <w:sz w:val="15"/>
                            <w:szCs w:val="15"/>
                          </w:rPr>
                          <w:t>2,400,210,713.47</w:t>
                        </w:r>
                      </w:p>
                    </w:tc>
                  </w:sdtContent>
                </w:sdt>
                <w:sdt>
                  <w:sdtPr>
                    <w:rPr>
                      <w:sz w:val="15"/>
                      <w:szCs w:val="15"/>
                    </w:rPr>
                    <w:alias w:val="四、本期期末余额一般风险准备"/>
                    <w:tag w:val="_GBC_e3cfb38c341649068d728683ae2806bd"/>
                    <w:id w:val="24722907"/>
                    <w:lock w:val="sdtLocked"/>
                  </w:sdtPr>
                  <w:sdtContent>
                    <w:tc>
                      <w:tcPr>
                        <w:tcW w:w="1417" w:type="dxa"/>
                      </w:tcPr>
                      <w:p w:rsidR="00DE031E" w:rsidRPr="00C22063" w:rsidRDefault="001C1A59" w:rsidP="00DE031E">
                        <w:pPr>
                          <w:jc w:val="right"/>
                          <w:rPr>
                            <w:sz w:val="15"/>
                            <w:szCs w:val="15"/>
                          </w:rPr>
                        </w:pPr>
                        <w:r w:rsidRPr="00C22063">
                          <w:rPr>
                            <w:sz w:val="15"/>
                            <w:szCs w:val="15"/>
                          </w:rPr>
                          <w:t>4,671,608,420.38</w:t>
                        </w:r>
                      </w:p>
                    </w:tc>
                  </w:sdtContent>
                </w:sdt>
                <w:sdt>
                  <w:sdtPr>
                    <w:rPr>
                      <w:sz w:val="15"/>
                      <w:szCs w:val="15"/>
                    </w:rPr>
                    <w:alias w:val="未分配利润"/>
                    <w:tag w:val="_GBC_04c9a3ea207c4cfbbc60e3c32cdaee19"/>
                    <w:id w:val="24722908"/>
                    <w:lock w:val="sdtLocked"/>
                  </w:sdtPr>
                  <w:sdtContent>
                    <w:tc>
                      <w:tcPr>
                        <w:tcW w:w="1560" w:type="dxa"/>
                      </w:tcPr>
                      <w:p w:rsidR="00DE031E" w:rsidRPr="00C22063" w:rsidRDefault="001C1A59" w:rsidP="00DE031E">
                        <w:pPr>
                          <w:jc w:val="right"/>
                          <w:rPr>
                            <w:sz w:val="15"/>
                            <w:szCs w:val="15"/>
                          </w:rPr>
                        </w:pPr>
                        <w:r w:rsidRPr="00C22063">
                          <w:rPr>
                            <w:sz w:val="15"/>
                            <w:szCs w:val="15"/>
                          </w:rPr>
                          <w:t>13,349,678,018.44</w:t>
                        </w:r>
                      </w:p>
                    </w:tc>
                  </w:sdtContent>
                </w:sdt>
                <w:sdt>
                  <w:sdtPr>
                    <w:rPr>
                      <w:sz w:val="15"/>
                      <w:szCs w:val="15"/>
                    </w:rPr>
                    <w:alias w:val="股东权益合计"/>
                    <w:tag w:val="_GBC_93957076bb104cd5a096309d34e988c0"/>
                    <w:id w:val="24722909"/>
                    <w:lock w:val="sdtLocked"/>
                  </w:sdtPr>
                  <w:sdtContent>
                    <w:tc>
                      <w:tcPr>
                        <w:tcW w:w="1499" w:type="dxa"/>
                      </w:tcPr>
                      <w:p w:rsidR="00DE031E" w:rsidRPr="00C22063" w:rsidRDefault="001C1A59" w:rsidP="00DE031E">
                        <w:pPr>
                          <w:jc w:val="right"/>
                          <w:rPr>
                            <w:sz w:val="15"/>
                            <w:szCs w:val="15"/>
                          </w:rPr>
                        </w:pPr>
                        <w:r w:rsidRPr="00C22063">
                          <w:rPr>
                            <w:sz w:val="15"/>
                            <w:szCs w:val="15"/>
                          </w:rPr>
                          <w:t>45,871,533,612.97</w:t>
                        </w:r>
                      </w:p>
                    </w:tc>
                  </w:sdtContent>
                </w:sdt>
              </w:tr>
            </w:tbl>
            <w:p w:rsidR="00DE031E" w:rsidRDefault="00DE031E"/>
            <w:p w:rsidR="00DE031E" w:rsidRDefault="00DE031E">
              <w:pPr>
                <w:rPr>
                  <w:szCs w:val="21"/>
                </w:rPr>
              </w:pPr>
            </w:p>
            <w:tbl>
              <w:tblPr>
                <w:tblW w:w="14622" w:type="dxa"/>
                <w:jc w:val="center"/>
                <w:tblInd w:w="-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75"/>
                <w:gridCol w:w="1454"/>
                <w:gridCol w:w="388"/>
                <w:gridCol w:w="426"/>
                <w:gridCol w:w="425"/>
                <w:gridCol w:w="1559"/>
                <w:gridCol w:w="284"/>
                <w:gridCol w:w="1417"/>
                <w:gridCol w:w="284"/>
                <w:gridCol w:w="1417"/>
                <w:gridCol w:w="1418"/>
                <w:gridCol w:w="1417"/>
                <w:gridCol w:w="1558"/>
              </w:tblGrid>
              <w:tr w:rsidR="00DE031E" w:rsidRPr="00E803EA" w:rsidTr="00DE031E">
                <w:trPr>
                  <w:trHeight w:val="20"/>
                  <w:jc w:val="center"/>
                </w:trPr>
                <w:tc>
                  <w:tcPr>
                    <w:tcW w:w="2575" w:type="dxa"/>
                    <w:vMerge w:val="restart"/>
                    <w:vAlign w:val="center"/>
                  </w:tcPr>
                  <w:p w:rsidR="00DE031E" w:rsidRPr="00E803EA" w:rsidRDefault="001C1A59" w:rsidP="00DE031E">
                    <w:pPr>
                      <w:adjustRightInd w:val="0"/>
                      <w:snapToGrid w:val="0"/>
                      <w:jc w:val="center"/>
                      <w:rPr>
                        <w:sz w:val="15"/>
                        <w:szCs w:val="15"/>
                      </w:rPr>
                    </w:pPr>
                    <w:r w:rsidRPr="00E803EA">
                      <w:rPr>
                        <w:sz w:val="15"/>
                        <w:szCs w:val="15"/>
                      </w:rPr>
                      <w:lastRenderedPageBreak/>
                      <w:t>项目</w:t>
                    </w:r>
                  </w:p>
                </w:tc>
                <w:tc>
                  <w:tcPr>
                    <w:tcW w:w="12047" w:type="dxa"/>
                    <w:gridSpan w:val="12"/>
                  </w:tcPr>
                  <w:p w:rsidR="00DE031E" w:rsidRPr="00E803EA" w:rsidRDefault="001C1A59" w:rsidP="00DE031E">
                    <w:pPr>
                      <w:adjustRightInd w:val="0"/>
                      <w:snapToGrid w:val="0"/>
                      <w:jc w:val="center"/>
                      <w:rPr>
                        <w:sz w:val="15"/>
                        <w:szCs w:val="15"/>
                      </w:rPr>
                    </w:pPr>
                    <w:r w:rsidRPr="00E803EA">
                      <w:rPr>
                        <w:rFonts w:hint="eastAsia"/>
                        <w:sz w:val="15"/>
                        <w:szCs w:val="15"/>
                      </w:rPr>
                      <w:t>上期</w:t>
                    </w:r>
                  </w:p>
                </w:tc>
              </w:tr>
              <w:tr w:rsidR="00DE031E" w:rsidRPr="00E803EA" w:rsidTr="00DE031E">
                <w:trPr>
                  <w:trHeight w:val="315"/>
                  <w:jc w:val="center"/>
                </w:trPr>
                <w:tc>
                  <w:tcPr>
                    <w:tcW w:w="2575" w:type="dxa"/>
                    <w:vMerge/>
                  </w:tcPr>
                  <w:p w:rsidR="00DE031E" w:rsidRPr="00E803EA" w:rsidRDefault="00DE031E" w:rsidP="00DE031E">
                    <w:pPr>
                      <w:adjustRightInd w:val="0"/>
                      <w:snapToGrid w:val="0"/>
                      <w:rPr>
                        <w:sz w:val="15"/>
                        <w:szCs w:val="15"/>
                      </w:rPr>
                    </w:pPr>
                  </w:p>
                </w:tc>
                <w:tc>
                  <w:tcPr>
                    <w:tcW w:w="1454" w:type="dxa"/>
                    <w:vMerge w:val="restart"/>
                    <w:tcBorders>
                      <w:right w:val="single" w:sz="4" w:space="0" w:color="auto"/>
                    </w:tcBorders>
                    <w:vAlign w:val="center"/>
                  </w:tcPr>
                  <w:p w:rsidR="00DE031E" w:rsidRPr="00E803EA" w:rsidRDefault="001C1A59" w:rsidP="00DE031E">
                    <w:pPr>
                      <w:adjustRightInd w:val="0"/>
                      <w:snapToGrid w:val="0"/>
                      <w:jc w:val="center"/>
                      <w:rPr>
                        <w:sz w:val="15"/>
                        <w:szCs w:val="15"/>
                      </w:rPr>
                    </w:pPr>
                    <w:r w:rsidRPr="00E803EA">
                      <w:rPr>
                        <w:rFonts w:hint="eastAsia"/>
                        <w:sz w:val="15"/>
                        <w:szCs w:val="15"/>
                      </w:rPr>
                      <w:t>股本</w:t>
                    </w:r>
                  </w:p>
                </w:tc>
                <w:tc>
                  <w:tcPr>
                    <w:tcW w:w="1239" w:type="dxa"/>
                    <w:gridSpan w:val="3"/>
                    <w:tcBorders>
                      <w:left w:val="single" w:sz="4" w:space="0" w:color="auto"/>
                      <w:bottom w:val="single" w:sz="4" w:space="0" w:color="auto"/>
                    </w:tcBorders>
                    <w:vAlign w:val="center"/>
                  </w:tcPr>
                  <w:p w:rsidR="00DE031E" w:rsidRPr="00E803EA" w:rsidRDefault="001C1A59" w:rsidP="00DE031E">
                    <w:pPr>
                      <w:adjustRightInd w:val="0"/>
                      <w:snapToGrid w:val="0"/>
                      <w:jc w:val="center"/>
                      <w:rPr>
                        <w:sz w:val="15"/>
                        <w:szCs w:val="15"/>
                      </w:rPr>
                    </w:pPr>
                    <w:r w:rsidRPr="00E803EA">
                      <w:rPr>
                        <w:rFonts w:hint="eastAsia"/>
                        <w:sz w:val="15"/>
                        <w:szCs w:val="15"/>
                      </w:rPr>
                      <w:t>其他权益工具</w:t>
                    </w:r>
                  </w:p>
                </w:tc>
                <w:tc>
                  <w:tcPr>
                    <w:tcW w:w="1559" w:type="dxa"/>
                    <w:vMerge w:val="restart"/>
                    <w:vAlign w:val="center"/>
                  </w:tcPr>
                  <w:p w:rsidR="00DE031E" w:rsidRPr="00E803EA" w:rsidRDefault="001C1A59" w:rsidP="00DE031E">
                    <w:pPr>
                      <w:adjustRightInd w:val="0"/>
                      <w:snapToGrid w:val="0"/>
                      <w:jc w:val="center"/>
                      <w:rPr>
                        <w:sz w:val="15"/>
                        <w:szCs w:val="15"/>
                      </w:rPr>
                    </w:pPr>
                    <w:r w:rsidRPr="00E803EA">
                      <w:rPr>
                        <w:sz w:val="15"/>
                        <w:szCs w:val="15"/>
                      </w:rPr>
                      <w:t>资本公积</w:t>
                    </w:r>
                  </w:p>
                </w:tc>
                <w:tc>
                  <w:tcPr>
                    <w:tcW w:w="284" w:type="dxa"/>
                    <w:vMerge w:val="restart"/>
                    <w:vAlign w:val="center"/>
                  </w:tcPr>
                  <w:p w:rsidR="00DE031E" w:rsidRPr="00E803EA" w:rsidRDefault="001C1A59" w:rsidP="00DE031E">
                    <w:pPr>
                      <w:adjustRightInd w:val="0"/>
                      <w:snapToGrid w:val="0"/>
                      <w:jc w:val="center"/>
                      <w:rPr>
                        <w:sz w:val="15"/>
                        <w:szCs w:val="15"/>
                      </w:rPr>
                    </w:pPr>
                    <w:r w:rsidRPr="00E803EA">
                      <w:rPr>
                        <w:sz w:val="15"/>
                        <w:szCs w:val="15"/>
                      </w:rPr>
                      <w:t>减：库存股</w:t>
                    </w:r>
                  </w:p>
                </w:tc>
                <w:tc>
                  <w:tcPr>
                    <w:tcW w:w="1417" w:type="dxa"/>
                    <w:vMerge w:val="restart"/>
                    <w:vAlign w:val="center"/>
                  </w:tcPr>
                  <w:p w:rsidR="00DE031E" w:rsidRPr="00E803EA" w:rsidRDefault="001C1A59" w:rsidP="00DE031E">
                    <w:pPr>
                      <w:jc w:val="center"/>
                      <w:rPr>
                        <w:sz w:val="15"/>
                        <w:szCs w:val="15"/>
                      </w:rPr>
                    </w:pPr>
                    <w:r w:rsidRPr="00E803EA">
                      <w:rPr>
                        <w:rFonts w:hint="eastAsia"/>
                        <w:sz w:val="15"/>
                        <w:szCs w:val="15"/>
                      </w:rPr>
                      <w:t>其他综合收益</w:t>
                    </w:r>
                  </w:p>
                </w:tc>
                <w:tc>
                  <w:tcPr>
                    <w:tcW w:w="284" w:type="dxa"/>
                    <w:vMerge w:val="restart"/>
                    <w:vAlign w:val="center"/>
                  </w:tcPr>
                  <w:p w:rsidR="00DE031E" w:rsidRPr="00E803EA" w:rsidRDefault="001C1A59" w:rsidP="00DE031E">
                    <w:pPr>
                      <w:adjustRightInd w:val="0"/>
                      <w:snapToGrid w:val="0"/>
                      <w:jc w:val="center"/>
                      <w:rPr>
                        <w:sz w:val="15"/>
                        <w:szCs w:val="15"/>
                      </w:rPr>
                    </w:pPr>
                    <w:r w:rsidRPr="00E803EA">
                      <w:rPr>
                        <w:rFonts w:hint="eastAsia"/>
                        <w:sz w:val="15"/>
                        <w:szCs w:val="15"/>
                      </w:rPr>
                      <w:t>专项储备</w:t>
                    </w:r>
                  </w:p>
                </w:tc>
                <w:tc>
                  <w:tcPr>
                    <w:tcW w:w="1417" w:type="dxa"/>
                    <w:vMerge w:val="restart"/>
                    <w:vAlign w:val="center"/>
                  </w:tcPr>
                  <w:p w:rsidR="00DE031E" w:rsidRPr="00E803EA" w:rsidRDefault="001C1A59" w:rsidP="00DE031E">
                    <w:pPr>
                      <w:adjustRightInd w:val="0"/>
                      <w:snapToGrid w:val="0"/>
                      <w:jc w:val="center"/>
                      <w:rPr>
                        <w:sz w:val="15"/>
                        <w:szCs w:val="15"/>
                      </w:rPr>
                    </w:pPr>
                    <w:r w:rsidRPr="00E803EA">
                      <w:rPr>
                        <w:sz w:val="15"/>
                        <w:szCs w:val="15"/>
                      </w:rPr>
                      <w:t>盈余公积</w:t>
                    </w:r>
                  </w:p>
                </w:tc>
                <w:tc>
                  <w:tcPr>
                    <w:tcW w:w="1418" w:type="dxa"/>
                    <w:vMerge w:val="restart"/>
                    <w:vAlign w:val="center"/>
                  </w:tcPr>
                  <w:p w:rsidR="00DE031E" w:rsidRPr="00E803EA" w:rsidRDefault="001C1A59" w:rsidP="00DE031E">
                    <w:pPr>
                      <w:adjustRightInd w:val="0"/>
                      <w:snapToGrid w:val="0"/>
                      <w:jc w:val="center"/>
                      <w:rPr>
                        <w:sz w:val="15"/>
                        <w:szCs w:val="15"/>
                      </w:rPr>
                    </w:pPr>
                    <w:r w:rsidRPr="00E803EA">
                      <w:rPr>
                        <w:sz w:val="15"/>
                        <w:szCs w:val="15"/>
                      </w:rPr>
                      <w:t>一般风险准备</w:t>
                    </w:r>
                  </w:p>
                </w:tc>
                <w:tc>
                  <w:tcPr>
                    <w:tcW w:w="1417" w:type="dxa"/>
                    <w:vMerge w:val="restart"/>
                    <w:vAlign w:val="center"/>
                  </w:tcPr>
                  <w:p w:rsidR="00DE031E" w:rsidRPr="00E803EA" w:rsidRDefault="001C1A59" w:rsidP="00DE031E">
                    <w:pPr>
                      <w:adjustRightInd w:val="0"/>
                      <w:snapToGrid w:val="0"/>
                      <w:jc w:val="center"/>
                      <w:rPr>
                        <w:sz w:val="15"/>
                        <w:szCs w:val="15"/>
                      </w:rPr>
                    </w:pPr>
                    <w:r w:rsidRPr="00E803EA">
                      <w:rPr>
                        <w:sz w:val="15"/>
                        <w:szCs w:val="15"/>
                      </w:rPr>
                      <w:t>未分配利润</w:t>
                    </w:r>
                  </w:p>
                </w:tc>
                <w:tc>
                  <w:tcPr>
                    <w:tcW w:w="1558" w:type="dxa"/>
                    <w:vMerge w:val="restart"/>
                    <w:vAlign w:val="center"/>
                  </w:tcPr>
                  <w:p w:rsidR="00DE031E" w:rsidRPr="00E803EA" w:rsidRDefault="001C1A59" w:rsidP="00DE031E">
                    <w:pPr>
                      <w:adjustRightInd w:val="0"/>
                      <w:snapToGrid w:val="0"/>
                      <w:jc w:val="center"/>
                      <w:rPr>
                        <w:sz w:val="15"/>
                        <w:szCs w:val="15"/>
                      </w:rPr>
                    </w:pPr>
                    <w:r w:rsidRPr="00E803EA">
                      <w:rPr>
                        <w:sz w:val="15"/>
                        <w:szCs w:val="15"/>
                      </w:rPr>
                      <w:t>所有者权益合计</w:t>
                    </w:r>
                  </w:p>
                </w:tc>
              </w:tr>
              <w:tr w:rsidR="00DE031E" w:rsidRPr="00E803EA" w:rsidTr="00DE031E">
                <w:trPr>
                  <w:trHeight w:val="294"/>
                  <w:jc w:val="center"/>
                </w:trPr>
                <w:tc>
                  <w:tcPr>
                    <w:tcW w:w="2575" w:type="dxa"/>
                    <w:vMerge/>
                  </w:tcPr>
                  <w:p w:rsidR="00DE031E" w:rsidRPr="00E803EA" w:rsidRDefault="00DE031E" w:rsidP="00DE031E">
                    <w:pPr>
                      <w:adjustRightInd w:val="0"/>
                      <w:snapToGrid w:val="0"/>
                      <w:rPr>
                        <w:sz w:val="15"/>
                        <w:szCs w:val="15"/>
                      </w:rPr>
                    </w:pPr>
                  </w:p>
                </w:tc>
                <w:tc>
                  <w:tcPr>
                    <w:tcW w:w="1454" w:type="dxa"/>
                    <w:vMerge/>
                    <w:tcBorders>
                      <w:right w:val="single" w:sz="4" w:space="0" w:color="auto"/>
                    </w:tcBorders>
                  </w:tcPr>
                  <w:p w:rsidR="00DE031E" w:rsidRPr="00E803EA" w:rsidRDefault="00DE031E" w:rsidP="00DE031E">
                    <w:pPr>
                      <w:adjustRightInd w:val="0"/>
                      <w:snapToGrid w:val="0"/>
                      <w:jc w:val="center"/>
                      <w:rPr>
                        <w:sz w:val="15"/>
                        <w:szCs w:val="15"/>
                      </w:rPr>
                    </w:pPr>
                  </w:p>
                </w:tc>
                <w:tc>
                  <w:tcPr>
                    <w:tcW w:w="388" w:type="dxa"/>
                    <w:tcBorders>
                      <w:top w:val="single" w:sz="4" w:space="0" w:color="auto"/>
                      <w:left w:val="single" w:sz="4" w:space="0" w:color="auto"/>
                      <w:right w:val="single" w:sz="4" w:space="0" w:color="auto"/>
                    </w:tcBorders>
                    <w:vAlign w:val="center"/>
                  </w:tcPr>
                  <w:p w:rsidR="00DE031E" w:rsidRPr="00E803EA" w:rsidRDefault="001C1A59" w:rsidP="00DE031E">
                    <w:pPr>
                      <w:adjustRightInd w:val="0"/>
                      <w:snapToGrid w:val="0"/>
                      <w:jc w:val="center"/>
                      <w:rPr>
                        <w:sz w:val="15"/>
                        <w:szCs w:val="15"/>
                      </w:rPr>
                    </w:pPr>
                    <w:r w:rsidRPr="00E803EA">
                      <w:rPr>
                        <w:rFonts w:hint="eastAsia"/>
                        <w:sz w:val="15"/>
                        <w:szCs w:val="15"/>
                      </w:rPr>
                      <w:t>优先股</w:t>
                    </w:r>
                  </w:p>
                </w:tc>
                <w:tc>
                  <w:tcPr>
                    <w:tcW w:w="426" w:type="dxa"/>
                    <w:tcBorders>
                      <w:top w:val="single" w:sz="4" w:space="0" w:color="auto"/>
                      <w:left w:val="single" w:sz="4" w:space="0" w:color="auto"/>
                      <w:right w:val="single" w:sz="4" w:space="0" w:color="auto"/>
                    </w:tcBorders>
                    <w:vAlign w:val="center"/>
                  </w:tcPr>
                  <w:p w:rsidR="00DE031E" w:rsidRPr="00E803EA" w:rsidRDefault="001C1A59" w:rsidP="00DE031E">
                    <w:pPr>
                      <w:adjustRightInd w:val="0"/>
                      <w:snapToGrid w:val="0"/>
                      <w:jc w:val="center"/>
                      <w:rPr>
                        <w:sz w:val="15"/>
                        <w:szCs w:val="15"/>
                      </w:rPr>
                    </w:pPr>
                    <w:r w:rsidRPr="00E803EA">
                      <w:rPr>
                        <w:rFonts w:hint="eastAsia"/>
                        <w:sz w:val="15"/>
                        <w:szCs w:val="15"/>
                      </w:rPr>
                      <w:t>永续债</w:t>
                    </w:r>
                  </w:p>
                </w:tc>
                <w:tc>
                  <w:tcPr>
                    <w:tcW w:w="425" w:type="dxa"/>
                    <w:tcBorders>
                      <w:top w:val="single" w:sz="4" w:space="0" w:color="auto"/>
                      <w:left w:val="single" w:sz="4" w:space="0" w:color="auto"/>
                    </w:tcBorders>
                    <w:vAlign w:val="center"/>
                  </w:tcPr>
                  <w:p w:rsidR="00DE031E" w:rsidRPr="00E803EA" w:rsidRDefault="001C1A59" w:rsidP="00DE031E">
                    <w:pPr>
                      <w:adjustRightInd w:val="0"/>
                      <w:snapToGrid w:val="0"/>
                      <w:jc w:val="center"/>
                      <w:rPr>
                        <w:sz w:val="15"/>
                        <w:szCs w:val="15"/>
                      </w:rPr>
                    </w:pPr>
                    <w:r w:rsidRPr="00E803EA">
                      <w:rPr>
                        <w:rFonts w:hint="eastAsia"/>
                        <w:sz w:val="15"/>
                        <w:szCs w:val="15"/>
                      </w:rPr>
                      <w:t>其他</w:t>
                    </w:r>
                  </w:p>
                </w:tc>
                <w:tc>
                  <w:tcPr>
                    <w:tcW w:w="1559" w:type="dxa"/>
                    <w:vMerge/>
                  </w:tcPr>
                  <w:p w:rsidR="00DE031E" w:rsidRPr="00E803EA" w:rsidRDefault="00DE031E" w:rsidP="00DE031E">
                    <w:pPr>
                      <w:adjustRightInd w:val="0"/>
                      <w:snapToGrid w:val="0"/>
                      <w:jc w:val="center"/>
                      <w:rPr>
                        <w:sz w:val="15"/>
                        <w:szCs w:val="15"/>
                      </w:rPr>
                    </w:pPr>
                  </w:p>
                </w:tc>
                <w:tc>
                  <w:tcPr>
                    <w:tcW w:w="284" w:type="dxa"/>
                    <w:vMerge/>
                  </w:tcPr>
                  <w:p w:rsidR="00DE031E" w:rsidRPr="00E803EA" w:rsidRDefault="00DE031E" w:rsidP="00DE031E">
                    <w:pPr>
                      <w:adjustRightInd w:val="0"/>
                      <w:snapToGrid w:val="0"/>
                      <w:jc w:val="center"/>
                      <w:rPr>
                        <w:sz w:val="15"/>
                        <w:szCs w:val="15"/>
                      </w:rPr>
                    </w:pPr>
                  </w:p>
                </w:tc>
                <w:tc>
                  <w:tcPr>
                    <w:tcW w:w="1417" w:type="dxa"/>
                    <w:vMerge/>
                  </w:tcPr>
                  <w:p w:rsidR="00DE031E" w:rsidRPr="00E803EA" w:rsidRDefault="00DE031E" w:rsidP="00DE031E">
                    <w:pPr>
                      <w:jc w:val="center"/>
                      <w:rPr>
                        <w:sz w:val="15"/>
                        <w:szCs w:val="15"/>
                      </w:rPr>
                    </w:pPr>
                  </w:p>
                </w:tc>
                <w:tc>
                  <w:tcPr>
                    <w:tcW w:w="284" w:type="dxa"/>
                    <w:vMerge/>
                  </w:tcPr>
                  <w:p w:rsidR="00DE031E" w:rsidRPr="00E803EA" w:rsidRDefault="00DE031E" w:rsidP="00DE031E">
                    <w:pPr>
                      <w:adjustRightInd w:val="0"/>
                      <w:snapToGrid w:val="0"/>
                      <w:jc w:val="center"/>
                      <w:rPr>
                        <w:sz w:val="15"/>
                        <w:szCs w:val="15"/>
                      </w:rPr>
                    </w:pPr>
                  </w:p>
                </w:tc>
                <w:tc>
                  <w:tcPr>
                    <w:tcW w:w="1417" w:type="dxa"/>
                    <w:vMerge/>
                  </w:tcPr>
                  <w:p w:rsidR="00DE031E" w:rsidRPr="00E803EA" w:rsidRDefault="00DE031E" w:rsidP="00DE031E">
                    <w:pPr>
                      <w:adjustRightInd w:val="0"/>
                      <w:snapToGrid w:val="0"/>
                      <w:jc w:val="center"/>
                      <w:rPr>
                        <w:sz w:val="15"/>
                        <w:szCs w:val="15"/>
                      </w:rPr>
                    </w:pPr>
                  </w:p>
                </w:tc>
                <w:tc>
                  <w:tcPr>
                    <w:tcW w:w="1418" w:type="dxa"/>
                    <w:vMerge/>
                  </w:tcPr>
                  <w:p w:rsidR="00DE031E" w:rsidRPr="00E803EA" w:rsidRDefault="00DE031E" w:rsidP="00DE031E">
                    <w:pPr>
                      <w:adjustRightInd w:val="0"/>
                      <w:snapToGrid w:val="0"/>
                      <w:jc w:val="center"/>
                      <w:rPr>
                        <w:sz w:val="15"/>
                        <w:szCs w:val="15"/>
                      </w:rPr>
                    </w:pPr>
                  </w:p>
                </w:tc>
                <w:tc>
                  <w:tcPr>
                    <w:tcW w:w="1417" w:type="dxa"/>
                    <w:vMerge/>
                  </w:tcPr>
                  <w:p w:rsidR="00DE031E" w:rsidRPr="00E803EA" w:rsidRDefault="00DE031E" w:rsidP="00DE031E">
                    <w:pPr>
                      <w:adjustRightInd w:val="0"/>
                      <w:snapToGrid w:val="0"/>
                      <w:jc w:val="center"/>
                      <w:rPr>
                        <w:sz w:val="15"/>
                        <w:szCs w:val="15"/>
                      </w:rPr>
                    </w:pPr>
                  </w:p>
                </w:tc>
                <w:tc>
                  <w:tcPr>
                    <w:tcW w:w="1558" w:type="dxa"/>
                    <w:vMerge/>
                  </w:tcPr>
                  <w:p w:rsidR="00DE031E" w:rsidRPr="00E803EA" w:rsidRDefault="00DE031E" w:rsidP="00DE031E">
                    <w:pPr>
                      <w:adjustRightInd w:val="0"/>
                      <w:snapToGrid w:val="0"/>
                      <w:jc w:val="center"/>
                      <w:rPr>
                        <w:sz w:val="15"/>
                        <w:szCs w:val="15"/>
                      </w:rPr>
                    </w:pPr>
                  </w:p>
                </w:tc>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一、上年</w:t>
                    </w:r>
                    <w:r w:rsidRPr="00E803EA">
                      <w:rPr>
                        <w:rFonts w:hint="eastAsia"/>
                        <w:sz w:val="15"/>
                        <w:szCs w:val="15"/>
                      </w:rPr>
                      <w:t>期</w:t>
                    </w:r>
                    <w:r w:rsidRPr="00E803EA">
                      <w:rPr>
                        <w:sz w:val="15"/>
                        <w:szCs w:val="15"/>
                      </w:rPr>
                      <w:t>末余额</w:t>
                    </w:r>
                  </w:p>
                </w:tc>
                <w:sdt>
                  <w:sdtPr>
                    <w:rPr>
                      <w:sz w:val="15"/>
                      <w:szCs w:val="15"/>
                    </w:rPr>
                    <w:alias w:val="股本"/>
                    <w:tag w:val="_GBC_0b94c718f2794086b8469e6d97efb497"/>
                    <w:id w:val="24722910"/>
                    <w:lock w:val="sdtLocked"/>
                  </w:sdtPr>
                  <w:sdtContent>
                    <w:tc>
                      <w:tcPr>
                        <w:tcW w:w="1454" w:type="dxa"/>
                        <w:tcBorders>
                          <w:right w:val="single" w:sz="4" w:space="0" w:color="auto"/>
                        </w:tcBorders>
                      </w:tcPr>
                      <w:p w:rsidR="00DE031E" w:rsidRPr="00E803EA" w:rsidRDefault="001C1A59" w:rsidP="00DE031E">
                        <w:pPr>
                          <w:jc w:val="right"/>
                          <w:rPr>
                            <w:sz w:val="15"/>
                            <w:szCs w:val="15"/>
                          </w:rPr>
                        </w:pPr>
                        <w:r w:rsidRPr="00E803EA">
                          <w:rPr>
                            <w:sz w:val="15"/>
                            <w:szCs w:val="15"/>
                          </w:rPr>
                          <w:t>4,661,099,829.00</w:t>
                        </w:r>
                      </w:p>
                    </w:tc>
                  </w:sdtContent>
                </w:sdt>
                <w:sdt>
                  <w:sdtPr>
                    <w:rPr>
                      <w:sz w:val="15"/>
                      <w:szCs w:val="15"/>
                    </w:rPr>
                    <w:alias w:val="其他权益工具-其中：优先股"/>
                    <w:tag w:val="_GBC_3ef6785fae574bf7ac70b244335f43ff"/>
                    <w:id w:val="24722911"/>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永续债"/>
                    <w:tag w:val="_GBC_5689d7fcd8dc412887990aa2c35fcc70"/>
                    <w:id w:val="24722912"/>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其他"/>
                    <w:tag w:val="_GBC_0c54703603994692b0ce850c9d185c37"/>
                    <w:id w:val="24722913"/>
                    <w:lock w:val="sdtLocked"/>
                  </w:sdtPr>
                  <w:sdtContent>
                    <w:tc>
                      <w:tcPr>
                        <w:tcW w:w="425"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资本公积"/>
                    <w:tag w:val="_GBC_ff3bcedd78cc4ee99d1657f220561416"/>
                    <w:id w:val="24722914"/>
                    <w:lock w:val="sdtLocked"/>
                  </w:sdtPr>
                  <w:sdtContent>
                    <w:tc>
                      <w:tcPr>
                        <w:tcW w:w="1559" w:type="dxa"/>
                        <w:tcBorders>
                          <w:left w:val="single" w:sz="4" w:space="0" w:color="auto"/>
                        </w:tcBorders>
                      </w:tcPr>
                      <w:p w:rsidR="00DE031E" w:rsidRPr="00E803EA" w:rsidRDefault="001C1A59" w:rsidP="00DE031E">
                        <w:pPr>
                          <w:jc w:val="right"/>
                          <w:rPr>
                            <w:sz w:val="15"/>
                            <w:szCs w:val="15"/>
                          </w:rPr>
                        </w:pPr>
                        <w:r w:rsidRPr="00E803EA">
                          <w:rPr>
                            <w:sz w:val="15"/>
                            <w:szCs w:val="15"/>
                          </w:rPr>
                          <w:t>9,449,176,567.87</w:t>
                        </w:r>
                      </w:p>
                    </w:tc>
                  </w:sdtContent>
                </w:sdt>
                <w:sdt>
                  <w:sdtPr>
                    <w:rPr>
                      <w:sz w:val="15"/>
                      <w:szCs w:val="15"/>
                    </w:rPr>
                    <w:alias w:val="库存股"/>
                    <w:tag w:val="_GBC_7c3028b0517a42bdbf6064be16301591"/>
                    <w:id w:val="2472291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综合收益（资产负债表项目）"/>
                    <w:tag w:val="_GBC_74098f4d62df4fd284a356d203934def"/>
                    <w:id w:val="24722916"/>
                    <w:lock w:val="sdtLocked"/>
                  </w:sdtPr>
                  <w:sdtContent>
                    <w:tc>
                      <w:tcPr>
                        <w:tcW w:w="1417" w:type="dxa"/>
                      </w:tcPr>
                      <w:p w:rsidR="00DE031E" w:rsidRPr="00E803EA" w:rsidRDefault="001C1A59" w:rsidP="00DE031E">
                        <w:pPr>
                          <w:jc w:val="right"/>
                          <w:rPr>
                            <w:sz w:val="15"/>
                            <w:szCs w:val="15"/>
                          </w:rPr>
                        </w:pPr>
                        <w:r w:rsidRPr="00E803EA">
                          <w:rPr>
                            <w:sz w:val="15"/>
                            <w:szCs w:val="15"/>
                          </w:rPr>
                          <w:t>-130,272,714.49</w:t>
                        </w:r>
                      </w:p>
                    </w:tc>
                  </w:sdtContent>
                </w:sdt>
                <w:sdt>
                  <w:sdtPr>
                    <w:rPr>
                      <w:sz w:val="15"/>
                      <w:szCs w:val="15"/>
                    </w:rPr>
                    <w:alias w:val="专项储备"/>
                    <w:tag w:val="_GBC_f7c21cc7f3304231b66a579c535010a8"/>
                    <w:id w:val="2472291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
                    <w:tag w:val="_GBC_973b45a1952046debbaf74d36611e83f"/>
                    <w:id w:val="24722918"/>
                    <w:lock w:val="sdtLocked"/>
                  </w:sdtPr>
                  <w:sdtContent>
                    <w:tc>
                      <w:tcPr>
                        <w:tcW w:w="1417" w:type="dxa"/>
                      </w:tcPr>
                      <w:p w:rsidR="00DE031E" w:rsidRPr="00E803EA" w:rsidRDefault="001C1A59" w:rsidP="00DE031E">
                        <w:pPr>
                          <w:jc w:val="right"/>
                          <w:rPr>
                            <w:sz w:val="15"/>
                            <w:szCs w:val="15"/>
                          </w:rPr>
                        </w:pPr>
                        <w:r w:rsidRPr="00E803EA">
                          <w:rPr>
                            <w:sz w:val="15"/>
                            <w:szCs w:val="15"/>
                          </w:rPr>
                          <w:t>2,025,918,119.83</w:t>
                        </w:r>
                      </w:p>
                    </w:tc>
                  </w:sdtContent>
                </w:sdt>
                <w:sdt>
                  <w:sdtPr>
                    <w:rPr>
                      <w:sz w:val="15"/>
                      <w:szCs w:val="15"/>
                    </w:rPr>
                    <w:alias w:val="一、上年期末余额一般风险准备"/>
                    <w:tag w:val="_GBC_a8c18749f07141668b151339944e7cb7"/>
                    <w:id w:val="24722919"/>
                    <w:lock w:val="sdtLocked"/>
                  </w:sdtPr>
                  <w:sdtContent>
                    <w:tc>
                      <w:tcPr>
                        <w:tcW w:w="1418" w:type="dxa"/>
                      </w:tcPr>
                      <w:p w:rsidR="00DE031E" w:rsidRPr="00E803EA" w:rsidRDefault="001C1A59" w:rsidP="00DE031E">
                        <w:pPr>
                          <w:jc w:val="right"/>
                          <w:rPr>
                            <w:sz w:val="15"/>
                            <w:szCs w:val="15"/>
                          </w:rPr>
                        </w:pPr>
                        <w:r w:rsidRPr="00E803EA">
                          <w:rPr>
                            <w:sz w:val="15"/>
                            <w:szCs w:val="15"/>
                          </w:rPr>
                          <w:t>3,923,023,233.10</w:t>
                        </w:r>
                      </w:p>
                    </w:tc>
                  </w:sdtContent>
                </w:sdt>
                <w:sdt>
                  <w:sdtPr>
                    <w:rPr>
                      <w:sz w:val="15"/>
                      <w:szCs w:val="15"/>
                    </w:rPr>
                    <w:alias w:val="未分配利润"/>
                    <w:tag w:val="_GBC_8937d1a2bb954fe69536d056f1a1957d"/>
                    <w:id w:val="24722920"/>
                    <w:lock w:val="sdtLocked"/>
                  </w:sdtPr>
                  <w:sdtContent>
                    <w:tc>
                      <w:tcPr>
                        <w:tcW w:w="1417" w:type="dxa"/>
                      </w:tcPr>
                      <w:p w:rsidR="00DE031E" w:rsidRPr="00E803EA" w:rsidRDefault="001C1A59" w:rsidP="00DE031E">
                        <w:pPr>
                          <w:jc w:val="right"/>
                          <w:rPr>
                            <w:sz w:val="15"/>
                            <w:szCs w:val="15"/>
                          </w:rPr>
                        </w:pPr>
                        <w:r w:rsidRPr="00E803EA">
                          <w:rPr>
                            <w:sz w:val="15"/>
                            <w:szCs w:val="15"/>
                          </w:rPr>
                          <w:t>6,478,102,465.01</w:t>
                        </w:r>
                      </w:p>
                    </w:tc>
                  </w:sdtContent>
                </w:sdt>
                <w:sdt>
                  <w:sdtPr>
                    <w:rPr>
                      <w:sz w:val="15"/>
                      <w:szCs w:val="15"/>
                    </w:rPr>
                    <w:alias w:val="股东权益合计"/>
                    <w:tag w:val="_GBC_a0e706d44f164e27a80c18eb09d3dc86"/>
                    <w:id w:val="24722921"/>
                    <w:lock w:val="sdtLocked"/>
                  </w:sdtPr>
                  <w:sdtContent>
                    <w:tc>
                      <w:tcPr>
                        <w:tcW w:w="1558" w:type="dxa"/>
                      </w:tcPr>
                      <w:p w:rsidR="00DE031E" w:rsidRPr="00E803EA" w:rsidRDefault="001C1A59" w:rsidP="00DE031E">
                        <w:pPr>
                          <w:jc w:val="right"/>
                          <w:rPr>
                            <w:sz w:val="15"/>
                            <w:szCs w:val="15"/>
                          </w:rPr>
                        </w:pPr>
                        <w:r w:rsidRPr="00E803EA">
                          <w:rPr>
                            <w:sz w:val="15"/>
                            <w:szCs w:val="15"/>
                          </w:rPr>
                          <w:t>26,407,047,500.32</w:t>
                        </w: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加：会计政策变更</w:t>
                    </w:r>
                  </w:p>
                </w:tc>
                <w:sdt>
                  <w:sdtPr>
                    <w:rPr>
                      <w:sz w:val="15"/>
                      <w:szCs w:val="15"/>
                    </w:rPr>
                    <w:alias w:val="会计政策变更导致实收资本（或股本）净额变动金额"/>
                    <w:tag w:val="_GBC_c8f26630280d4aa2b1fde77dbdb5e220"/>
                    <w:id w:val="24722922"/>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会计政策变更导致优先股变动金额"/>
                    <w:tag w:val="_GBC_4497539e60b34717b68508d89b3a0994"/>
                    <w:id w:val="24722923"/>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会计政策变更导致永续债变动金额"/>
                    <w:tag w:val="_GBC_aa57c7c4b95c4e86a8085ca0db9c24d6"/>
                    <w:id w:val="24722924"/>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会计政策变更导致其他权益工具中的其他变动金额"/>
                    <w:tag w:val="_GBC_f4842520612b49f2b33dc3d4ec815c97"/>
                    <w:id w:val="24722925"/>
                    <w:lock w:val="sdtLocked"/>
                  </w:sdtPr>
                  <w:sdtContent>
                    <w:tc>
                      <w:tcPr>
                        <w:tcW w:w="425"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会计政策变更导致资本公积变动金额"/>
                    <w:tag w:val="_GBC_57ad89b924074eee818846736056a647"/>
                    <w:id w:val="24722926"/>
                    <w:lock w:val="sdtLocked"/>
                  </w:sdtPr>
                  <w:sdtContent>
                    <w:tc>
                      <w:tcPr>
                        <w:tcW w:w="1559"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会计政策变更导致库存股变动金额"/>
                    <w:tag w:val="_GBC_9749940b2a494ed7acef1ddcf22598df"/>
                    <w:id w:val="2472292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会计政策变更导致其他综合收益变动金额"/>
                    <w:tag w:val="_GBC_eb258d12dac84621a368b8000391b0eb"/>
                    <w:id w:val="2472292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会计政策变更导致专项储备变动金额"/>
                    <w:tag w:val="_GBC_1e924fe918e74391b10edf287076a289"/>
                    <w:id w:val="2472292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会计政策变更导致盈余公积变动金额"/>
                    <w:tag w:val="_GBC_56fa88fdf6f24176a086fca815843909"/>
                    <w:id w:val="2472293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加：会计政策变更一般风险准备"/>
                    <w:tag w:val="_GBC_015a011dd0bd4622b08d4b616dca847e"/>
                    <w:id w:val="24722931"/>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会计政策变更导致未分配利润变动金额"/>
                    <w:tag w:val="_GBC_7c18145bd007499aa86b7378006a5535"/>
                    <w:id w:val="2472293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会计政策变更导致股东权益合计变动金额"/>
                    <w:tag w:val="_GBC_aeca160d2f214c6aac892578577580ad"/>
                    <w:id w:val="24722933"/>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ind w:firstLineChars="200" w:firstLine="300"/>
                      <w:rPr>
                        <w:sz w:val="15"/>
                        <w:szCs w:val="15"/>
                      </w:rPr>
                    </w:pPr>
                    <w:r w:rsidRPr="00E803EA">
                      <w:rPr>
                        <w:sz w:val="15"/>
                        <w:szCs w:val="15"/>
                      </w:rPr>
                      <w:t>前期差错更正</w:t>
                    </w:r>
                  </w:p>
                </w:tc>
                <w:sdt>
                  <w:sdtPr>
                    <w:rPr>
                      <w:sz w:val="15"/>
                      <w:szCs w:val="15"/>
                    </w:rPr>
                    <w:alias w:val="前期差错更正导致实收资本（或股本）净额变动金额"/>
                    <w:tag w:val="_GBC_dceb489717084a29b76c96970b5870b3"/>
                    <w:id w:val="24722934"/>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前期差错更正导致优先股变动金额"/>
                    <w:tag w:val="_GBC_22bfe96f87eb4c1e9842e63293f31c51"/>
                    <w:id w:val="24722935"/>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前期差错更正导致永续债变动金额"/>
                    <w:tag w:val="_GBC_f676f2d3300845699d54863555eb2f4e"/>
                    <w:id w:val="24722936"/>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前期差错更正导致其他权益工具中的其他变动金额"/>
                    <w:tag w:val="_GBC_deb3e8a640e2408e9ddb378bd8f1a244"/>
                    <w:id w:val="24722937"/>
                    <w:lock w:val="sdtLocked"/>
                  </w:sdtPr>
                  <w:sdtContent>
                    <w:tc>
                      <w:tcPr>
                        <w:tcW w:w="425"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前期差错更正导致资本公积变动金额"/>
                    <w:tag w:val="_GBC_8690a96674394b36bfed346fbf7d629e"/>
                    <w:id w:val="24722938"/>
                    <w:lock w:val="sdtLocked"/>
                  </w:sdtPr>
                  <w:sdtContent>
                    <w:tc>
                      <w:tcPr>
                        <w:tcW w:w="1559"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前期差错更正导致库存股变动金额"/>
                    <w:tag w:val="_GBC_6cc9b32f7143444ba65f4723ceb5580b"/>
                    <w:id w:val="2472293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前期差错更正导致其他综合收益变动金额"/>
                    <w:tag w:val="_GBC_ccd73d9543bd446dbdbc1e6a3dcf0ebf"/>
                    <w:id w:val="2472294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前期差错更正导致专项储备变动金额"/>
                    <w:tag w:val="_GBC_32813263afbc41feabab11462d478836"/>
                    <w:id w:val="2472294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前期差错更正导致盈余公积变动金额"/>
                    <w:tag w:val="_GBC_2c011e6947c5444382a3df3a579f6c1a"/>
                    <w:id w:val="2472294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前期差错更正一般风险准备"/>
                    <w:tag w:val="_GBC_6c904959966b4dfcbae7274590376e49"/>
                    <w:id w:val="24722943"/>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前期差错更正导致未分配利润变动金额"/>
                    <w:tag w:val="_GBC_1f4513cb94a7496c8b393f60bf62181a"/>
                    <w:id w:val="2472294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前期差错更正导致股东权益合计变动金额"/>
                    <w:tag w:val="_GBC_2f9be54efc1e4aaabf5510a0cc326c8b"/>
                    <w:id w:val="24722945"/>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ind w:firstLineChars="200" w:firstLine="300"/>
                      <w:rPr>
                        <w:sz w:val="15"/>
                        <w:szCs w:val="15"/>
                      </w:rPr>
                    </w:pPr>
                    <w:r w:rsidRPr="00E803EA">
                      <w:rPr>
                        <w:rFonts w:hint="eastAsia"/>
                        <w:sz w:val="15"/>
                        <w:szCs w:val="15"/>
                      </w:rPr>
                      <w:t>其他</w:t>
                    </w:r>
                  </w:p>
                </w:tc>
                <w:sdt>
                  <w:sdtPr>
                    <w:rPr>
                      <w:sz w:val="15"/>
                      <w:szCs w:val="15"/>
                    </w:rPr>
                    <w:alias w:val="实收资本变动金额（其他追溯调整）"/>
                    <w:tag w:val="_GBC_a119c3032a9844b9996f0d36dc780f4d"/>
                    <w:id w:val="24722946"/>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优先股变动金额（其他追溯调整）"/>
                    <w:tag w:val="_GBC_cf0cb138c1a142f98c5d52a58b5ddc6b"/>
                    <w:id w:val="24722947"/>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永续债变动金额（其他追溯调整）"/>
                    <w:tag w:val="_GBC_c6fca138a3a241cb81788c08c049a13b"/>
                    <w:id w:val="24722948"/>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中的其他变动金额（其他追溯调整）"/>
                    <w:tag w:val="_GBC_2496c6be99034972a2ef3d2b683fc2b5"/>
                    <w:id w:val="24722949"/>
                    <w:lock w:val="sdtLocked"/>
                  </w:sdtPr>
                  <w:sdtContent>
                    <w:tc>
                      <w:tcPr>
                        <w:tcW w:w="425"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资本公积变动金额（其他追溯调整）"/>
                    <w:tag w:val="_GBC_aeb3726b8f20453aa15b9d10f6b0ad44"/>
                    <w:id w:val="24722950"/>
                    <w:lock w:val="sdtLocked"/>
                    <w:showingPlcHdr/>
                  </w:sdtPr>
                  <w:sdtContent>
                    <w:tc>
                      <w:tcPr>
                        <w:tcW w:w="1559"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库存股变动金额（其他追溯调整）"/>
                    <w:tag w:val="_GBC_647e1f3b4a104d50988356b981a52ed2"/>
                    <w:id w:val="2472295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综合收益变动金额（其他追溯调整）"/>
                    <w:tag w:val="_GBC_1fdda27510844cada3a4d77dc3da1e4a"/>
                    <w:id w:val="2472295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专项储备变动金额（其他追溯调整）"/>
                    <w:tag w:val="_GBC_e5c1940714994a448f47e75a2b164172"/>
                    <w:id w:val="2472295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变动金额（其他追溯调整）"/>
                    <w:tag w:val="_GBC_8e4af539f2f846c1a47f81a862e7203c"/>
                    <w:id w:val="2472295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一般风险准备"/>
                    <w:tag w:val="_GBC_22a37ce25cbf4588a2ef26b7f8a1ccff"/>
                    <w:id w:val="24722955"/>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未分配利润变动金额（其他追溯调整）"/>
                    <w:tag w:val="_GBC_a9d649f3df274375be907686f2a071b3"/>
                    <w:id w:val="2472295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股东权益变动金额（其他追溯调整）"/>
                    <w:tag w:val="_GBC_de82119734274e04980dec25ee6df3d8"/>
                    <w:id w:val="24722957"/>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二、本年</w:t>
                    </w:r>
                    <w:r w:rsidRPr="00E803EA">
                      <w:rPr>
                        <w:rFonts w:hint="eastAsia"/>
                        <w:sz w:val="15"/>
                        <w:szCs w:val="15"/>
                      </w:rPr>
                      <w:t>期</w:t>
                    </w:r>
                    <w:r w:rsidRPr="00E803EA">
                      <w:rPr>
                        <w:sz w:val="15"/>
                        <w:szCs w:val="15"/>
                      </w:rPr>
                      <w:t>初余额</w:t>
                    </w:r>
                  </w:p>
                </w:tc>
                <w:sdt>
                  <w:sdtPr>
                    <w:rPr>
                      <w:sz w:val="15"/>
                      <w:szCs w:val="15"/>
                    </w:rPr>
                    <w:alias w:val="股本"/>
                    <w:tag w:val="_GBC_ed68e83375594749990463f5b8c17bfb"/>
                    <w:id w:val="24722958"/>
                    <w:lock w:val="sdtLocked"/>
                  </w:sdtPr>
                  <w:sdtContent>
                    <w:tc>
                      <w:tcPr>
                        <w:tcW w:w="1454" w:type="dxa"/>
                        <w:tcBorders>
                          <w:right w:val="single" w:sz="4" w:space="0" w:color="auto"/>
                        </w:tcBorders>
                      </w:tcPr>
                      <w:p w:rsidR="00DE031E" w:rsidRPr="00E803EA" w:rsidRDefault="001C1A59" w:rsidP="00DE031E">
                        <w:pPr>
                          <w:jc w:val="right"/>
                          <w:rPr>
                            <w:sz w:val="15"/>
                            <w:szCs w:val="15"/>
                          </w:rPr>
                        </w:pPr>
                        <w:r w:rsidRPr="00E803EA">
                          <w:rPr>
                            <w:sz w:val="15"/>
                            <w:szCs w:val="15"/>
                          </w:rPr>
                          <w:t>4,661,099,829.00</w:t>
                        </w:r>
                      </w:p>
                    </w:tc>
                  </w:sdtContent>
                </w:sdt>
                <w:sdt>
                  <w:sdtPr>
                    <w:rPr>
                      <w:sz w:val="15"/>
                      <w:szCs w:val="15"/>
                    </w:rPr>
                    <w:alias w:val="其他权益工具-其中：优先股"/>
                    <w:tag w:val="_GBC_9981b20be36f40e38defe22c50c0918e"/>
                    <w:id w:val="24722959"/>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永续债"/>
                    <w:tag w:val="_GBC_1aa9e8fd34ea4cd1a9685c1bc0bb8293"/>
                    <w:id w:val="24722960"/>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其他"/>
                    <w:tag w:val="_GBC_119fac0b1d8e4e5083b2dc305f9139de"/>
                    <w:id w:val="24722961"/>
                    <w:lock w:val="sdtLocked"/>
                  </w:sdtPr>
                  <w:sdtContent>
                    <w:tc>
                      <w:tcPr>
                        <w:tcW w:w="425"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资本公积"/>
                    <w:tag w:val="_GBC_b4e703d2c1df42c6b0fdda6cb9013f80"/>
                    <w:id w:val="24722962"/>
                    <w:lock w:val="sdtLocked"/>
                  </w:sdtPr>
                  <w:sdtContent>
                    <w:tc>
                      <w:tcPr>
                        <w:tcW w:w="1559" w:type="dxa"/>
                        <w:tcBorders>
                          <w:left w:val="single" w:sz="4" w:space="0" w:color="auto"/>
                        </w:tcBorders>
                      </w:tcPr>
                      <w:p w:rsidR="00DE031E" w:rsidRPr="00E803EA" w:rsidRDefault="001C1A59" w:rsidP="00DE031E">
                        <w:pPr>
                          <w:jc w:val="right"/>
                          <w:rPr>
                            <w:sz w:val="15"/>
                            <w:szCs w:val="15"/>
                          </w:rPr>
                        </w:pPr>
                        <w:r w:rsidRPr="00E803EA">
                          <w:rPr>
                            <w:sz w:val="15"/>
                            <w:szCs w:val="15"/>
                          </w:rPr>
                          <w:t>9,449,176,567.87</w:t>
                        </w:r>
                      </w:p>
                    </w:tc>
                  </w:sdtContent>
                </w:sdt>
                <w:sdt>
                  <w:sdtPr>
                    <w:rPr>
                      <w:sz w:val="15"/>
                      <w:szCs w:val="15"/>
                    </w:rPr>
                    <w:alias w:val="库存股"/>
                    <w:tag w:val="_GBC_9a28a9201523489b945dfcf1b66bda05"/>
                    <w:id w:val="2472296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综合收益（资产负债表项目）"/>
                    <w:tag w:val="_GBC_fb9d19f3591647569090b0f835b4542a"/>
                    <w:id w:val="24722964"/>
                    <w:lock w:val="sdtLocked"/>
                  </w:sdtPr>
                  <w:sdtContent>
                    <w:tc>
                      <w:tcPr>
                        <w:tcW w:w="1417" w:type="dxa"/>
                      </w:tcPr>
                      <w:p w:rsidR="00DE031E" w:rsidRPr="00E803EA" w:rsidRDefault="001C1A59" w:rsidP="00DE031E">
                        <w:pPr>
                          <w:jc w:val="right"/>
                          <w:rPr>
                            <w:sz w:val="15"/>
                            <w:szCs w:val="15"/>
                          </w:rPr>
                        </w:pPr>
                        <w:r w:rsidRPr="00E803EA">
                          <w:rPr>
                            <w:sz w:val="15"/>
                            <w:szCs w:val="15"/>
                          </w:rPr>
                          <w:t>-130,272,714.49</w:t>
                        </w:r>
                      </w:p>
                    </w:tc>
                  </w:sdtContent>
                </w:sdt>
                <w:sdt>
                  <w:sdtPr>
                    <w:rPr>
                      <w:sz w:val="15"/>
                      <w:szCs w:val="15"/>
                    </w:rPr>
                    <w:alias w:val="专项储备"/>
                    <w:tag w:val="_GBC_5d3a95a2a57b485cbe5fb78e893a7739"/>
                    <w:id w:val="24722965"/>
                    <w:lock w:val="sdtLocked"/>
                    <w:showingPlcHdr/>
                  </w:sdtPr>
                  <w:sdtContent>
                    <w:tc>
                      <w:tcPr>
                        <w:tcW w:w="284" w:type="dxa"/>
                      </w:tcPr>
                      <w:p w:rsidR="00DE031E" w:rsidRPr="00E803EA" w:rsidRDefault="00DE031E" w:rsidP="00DE031E">
                        <w:pPr>
                          <w:jc w:val="right"/>
                          <w:rPr>
                            <w:sz w:val="15"/>
                            <w:szCs w:val="15"/>
                          </w:rPr>
                        </w:pPr>
                      </w:p>
                    </w:tc>
                  </w:sdtContent>
                </w:sdt>
                <w:sdt>
                  <w:sdtPr>
                    <w:rPr>
                      <w:sz w:val="15"/>
                      <w:szCs w:val="15"/>
                    </w:rPr>
                    <w:alias w:val="盈余公积"/>
                    <w:tag w:val="_GBC_a26d138497b24e9cafc3b71845071d26"/>
                    <w:id w:val="24722966"/>
                    <w:lock w:val="sdtLocked"/>
                  </w:sdtPr>
                  <w:sdtContent>
                    <w:tc>
                      <w:tcPr>
                        <w:tcW w:w="1417" w:type="dxa"/>
                      </w:tcPr>
                      <w:p w:rsidR="00DE031E" w:rsidRPr="00E803EA" w:rsidRDefault="001C1A59" w:rsidP="00DE031E">
                        <w:pPr>
                          <w:jc w:val="right"/>
                          <w:rPr>
                            <w:sz w:val="15"/>
                            <w:szCs w:val="15"/>
                          </w:rPr>
                        </w:pPr>
                        <w:r w:rsidRPr="00E803EA">
                          <w:rPr>
                            <w:sz w:val="15"/>
                            <w:szCs w:val="15"/>
                          </w:rPr>
                          <w:t>2,025,918,119.83</w:t>
                        </w:r>
                      </w:p>
                    </w:tc>
                  </w:sdtContent>
                </w:sdt>
                <w:sdt>
                  <w:sdtPr>
                    <w:rPr>
                      <w:sz w:val="15"/>
                      <w:szCs w:val="15"/>
                    </w:rPr>
                    <w:alias w:val="二、本年期初余额一般风险准备"/>
                    <w:tag w:val="_GBC_c488f68a32f84c3eabf34498cf197edb"/>
                    <w:id w:val="24722967"/>
                    <w:lock w:val="sdtLocked"/>
                  </w:sdtPr>
                  <w:sdtContent>
                    <w:tc>
                      <w:tcPr>
                        <w:tcW w:w="1418" w:type="dxa"/>
                      </w:tcPr>
                      <w:p w:rsidR="00DE031E" w:rsidRPr="00E803EA" w:rsidRDefault="001C1A59" w:rsidP="00DE031E">
                        <w:pPr>
                          <w:jc w:val="right"/>
                          <w:rPr>
                            <w:sz w:val="15"/>
                            <w:szCs w:val="15"/>
                          </w:rPr>
                        </w:pPr>
                        <w:r w:rsidRPr="00E803EA">
                          <w:rPr>
                            <w:sz w:val="15"/>
                            <w:szCs w:val="15"/>
                          </w:rPr>
                          <w:t>3,923,023,233.10</w:t>
                        </w:r>
                      </w:p>
                    </w:tc>
                  </w:sdtContent>
                </w:sdt>
                <w:sdt>
                  <w:sdtPr>
                    <w:rPr>
                      <w:sz w:val="15"/>
                      <w:szCs w:val="15"/>
                    </w:rPr>
                    <w:alias w:val="未分配利润"/>
                    <w:tag w:val="_GBC_19aa1f7f367b45779e928cbb4f3b54d7"/>
                    <w:id w:val="24722968"/>
                    <w:lock w:val="sdtLocked"/>
                  </w:sdtPr>
                  <w:sdtContent>
                    <w:tc>
                      <w:tcPr>
                        <w:tcW w:w="1417" w:type="dxa"/>
                      </w:tcPr>
                      <w:p w:rsidR="00DE031E" w:rsidRPr="00E803EA" w:rsidRDefault="001C1A59" w:rsidP="00DE031E">
                        <w:pPr>
                          <w:jc w:val="right"/>
                          <w:rPr>
                            <w:sz w:val="15"/>
                            <w:szCs w:val="15"/>
                          </w:rPr>
                        </w:pPr>
                        <w:r w:rsidRPr="00E803EA">
                          <w:rPr>
                            <w:sz w:val="15"/>
                            <w:szCs w:val="15"/>
                          </w:rPr>
                          <w:t>6,478,102,465.01</w:t>
                        </w:r>
                      </w:p>
                    </w:tc>
                  </w:sdtContent>
                </w:sdt>
                <w:sdt>
                  <w:sdtPr>
                    <w:rPr>
                      <w:sz w:val="15"/>
                      <w:szCs w:val="15"/>
                    </w:rPr>
                    <w:alias w:val="股东权益合计"/>
                    <w:tag w:val="_GBC_d90a3c9b2c0644ffae294a2dac101ddf"/>
                    <w:id w:val="24722969"/>
                    <w:lock w:val="sdtLocked"/>
                  </w:sdtPr>
                  <w:sdtContent>
                    <w:tc>
                      <w:tcPr>
                        <w:tcW w:w="1558" w:type="dxa"/>
                      </w:tcPr>
                      <w:p w:rsidR="00DE031E" w:rsidRPr="00E803EA" w:rsidRDefault="001C1A59" w:rsidP="00DE031E">
                        <w:pPr>
                          <w:jc w:val="right"/>
                          <w:rPr>
                            <w:sz w:val="15"/>
                            <w:szCs w:val="15"/>
                          </w:rPr>
                        </w:pPr>
                        <w:r w:rsidRPr="00E803EA">
                          <w:rPr>
                            <w:sz w:val="15"/>
                            <w:szCs w:val="15"/>
                          </w:rPr>
                          <w:t>26,407,047,500.32</w:t>
                        </w: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三、本</w:t>
                    </w:r>
                    <w:r w:rsidRPr="00E803EA">
                      <w:rPr>
                        <w:rFonts w:hint="eastAsia"/>
                        <w:sz w:val="15"/>
                        <w:szCs w:val="15"/>
                      </w:rPr>
                      <w:t>期</w:t>
                    </w:r>
                    <w:r w:rsidRPr="00E803EA">
                      <w:rPr>
                        <w:sz w:val="15"/>
                        <w:szCs w:val="15"/>
                      </w:rPr>
                      <w:t>增减变动金额（减少以“－”号填列）</w:t>
                    </w:r>
                  </w:p>
                </w:tc>
                <w:sdt>
                  <w:sdtPr>
                    <w:rPr>
                      <w:sz w:val="15"/>
                      <w:szCs w:val="15"/>
                    </w:rPr>
                    <w:alias w:val="实收资本（或股本）净额增减变动金额"/>
                    <w:tag w:val="_GBC_6cad44428de44320a370f98eaa864837"/>
                    <w:id w:val="24722970"/>
                    <w:lock w:val="sdtLocked"/>
                  </w:sdtPr>
                  <w:sdtContent>
                    <w:tc>
                      <w:tcPr>
                        <w:tcW w:w="1454" w:type="dxa"/>
                        <w:tcBorders>
                          <w:right w:val="single" w:sz="4" w:space="0" w:color="auto"/>
                        </w:tcBorders>
                      </w:tcPr>
                      <w:p w:rsidR="00DE031E" w:rsidRPr="00E803EA" w:rsidRDefault="001C1A59" w:rsidP="00DE031E">
                        <w:pPr>
                          <w:jc w:val="right"/>
                          <w:rPr>
                            <w:sz w:val="15"/>
                            <w:szCs w:val="15"/>
                          </w:rPr>
                        </w:pPr>
                        <w:r w:rsidRPr="00E803EA">
                          <w:rPr>
                            <w:sz w:val="15"/>
                            <w:szCs w:val="15"/>
                          </w:rPr>
                          <w:t>1,147,035,700.00</w:t>
                        </w:r>
                      </w:p>
                    </w:tc>
                  </w:sdtContent>
                </w:sdt>
                <w:sdt>
                  <w:sdtPr>
                    <w:rPr>
                      <w:sz w:val="15"/>
                      <w:szCs w:val="15"/>
                    </w:rPr>
                    <w:alias w:val="其他权益工具中的优先股增减变动金额"/>
                    <w:tag w:val="_GBC_56eb48900f8947278ed7fe0cec36d691"/>
                    <w:id w:val="24722971"/>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中的永续债增减变动金额"/>
                    <w:tag w:val="_GBC_a148b32997e24452b93a726beaee97c3"/>
                    <w:id w:val="24722972"/>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中的其他增减变动金额"/>
                    <w:tag w:val="_GBC_d8448fdaaab84ea0b5d6106800969da3"/>
                    <w:id w:val="24722973"/>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资本公积增减变动金额"/>
                    <w:tag w:val="_GBC_5303902d83c74b30815e6f89666742d1"/>
                    <w:id w:val="24722974"/>
                    <w:lock w:val="sdtLocked"/>
                  </w:sdtPr>
                  <w:sdtContent>
                    <w:tc>
                      <w:tcPr>
                        <w:tcW w:w="1559" w:type="dxa"/>
                      </w:tcPr>
                      <w:p w:rsidR="00DE031E" w:rsidRPr="00E803EA" w:rsidRDefault="001C1A59" w:rsidP="00DE031E">
                        <w:pPr>
                          <w:jc w:val="right"/>
                          <w:rPr>
                            <w:sz w:val="15"/>
                            <w:szCs w:val="15"/>
                          </w:rPr>
                        </w:pPr>
                        <w:r w:rsidRPr="00E803EA">
                          <w:rPr>
                            <w:sz w:val="15"/>
                            <w:szCs w:val="15"/>
                          </w:rPr>
                          <w:t>9,954,700,435.93</w:t>
                        </w:r>
                      </w:p>
                    </w:tc>
                  </w:sdtContent>
                </w:sdt>
                <w:sdt>
                  <w:sdtPr>
                    <w:rPr>
                      <w:sz w:val="15"/>
                      <w:szCs w:val="15"/>
                    </w:rPr>
                    <w:alias w:val="库存股增减变动金额"/>
                    <w:tag w:val="_GBC_e40a288ce3a14dd5a5c521ad781dd8d8"/>
                    <w:id w:val="2472297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综合收益增减变动金额"/>
                    <w:tag w:val="_GBC_1e69fad3306d48a8a86e741b472ef4f5"/>
                    <w:id w:val="24722976"/>
                    <w:lock w:val="sdtLocked"/>
                  </w:sdtPr>
                  <w:sdtContent>
                    <w:tc>
                      <w:tcPr>
                        <w:tcW w:w="1417" w:type="dxa"/>
                      </w:tcPr>
                      <w:p w:rsidR="00DE031E" w:rsidRPr="00E803EA" w:rsidRDefault="001C1A59" w:rsidP="00DE031E">
                        <w:pPr>
                          <w:jc w:val="right"/>
                          <w:rPr>
                            <w:sz w:val="15"/>
                            <w:szCs w:val="15"/>
                          </w:rPr>
                        </w:pPr>
                        <w:r w:rsidRPr="00E803EA">
                          <w:rPr>
                            <w:sz w:val="15"/>
                            <w:szCs w:val="15"/>
                          </w:rPr>
                          <w:t>107,451,038.41</w:t>
                        </w:r>
                      </w:p>
                    </w:tc>
                  </w:sdtContent>
                </w:sdt>
                <w:sdt>
                  <w:sdtPr>
                    <w:rPr>
                      <w:sz w:val="15"/>
                      <w:szCs w:val="15"/>
                    </w:rPr>
                    <w:alias w:val="专项储备增减变动金额"/>
                    <w:tag w:val="_GBC_cf624f5447de4e0ea1c8e6586499f70d"/>
                    <w:id w:val="2472297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增减变动金额"/>
                    <w:tag w:val="_GBC_4c71e5d6dbea45a6b01ee55be204d29e"/>
                    <w:id w:val="2472297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三、本期增减变动金额（减少以“－”号填列）一般风险准备"/>
                    <w:tag w:val="_GBC_4d458b1110e1422ab01dc470d309ec4b"/>
                    <w:id w:val="24722979"/>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未分配利润增减变动金额"/>
                    <w:tag w:val="_GBC_eaaa50e1ddcf4ca2a41500effe5a3183"/>
                    <w:id w:val="24722980"/>
                    <w:lock w:val="sdtLocked"/>
                  </w:sdtPr>
                  <w:sdtContent>
                    <w:tc>
                      <w:tcPr>
                        <w:tcW w:w="1417" w:type="dxa"/>
                      </w:tcPr>
                      <w:p w:rsidR="00DE031E" w:rsidRPr="00E803EA" w:rsidRDefault="001C1A59" w:rsidP="00DE031E">
                        <w:pPr>
                          <w:jc w:val="right"/>
                          <w:rPr>
                            <w:sz w:val="15"/>
                            <w:szCs w:val="15"/>
                          </w:rPr>
                        </w:pPr>
                        <w:r w:rsidRPr="00E803EA">
                          <w:rPr>
                            <w:sz w:val="15"/>
                            <w:szCs w:val="15"/>
                          </w:rPr>
                          <w:t>1,448,454,354.23</w:t>
                        </w:r>
                      </w:p>
                    </w:tc>
                  </w:sdtContent>
                </w:sdt>
                <w:sdt>
                  <w:sdtPr>
                    <w:rPr>
                      <w:sz w:val="15"/>
                      <w:szCs w:val="15"/>
                    </w:rPr>
                    <w:alias w:val="股东权益合计增减变动金额"/>
                    <w:tag w:val="_GBC_b60345e251794508b9f2ca462fa333c5"/>
                    <w:id w:val="24722981"/>
                    <w:lock w:val="sdtLocked"/>
                  </w:sdtPr>
                  <w:sdtContent>
                    <w:tc>
                      <w:tcPr>
                        <w:tcW w:w="1558" w:type="dxa"/>
                      </w:tcPr>
                      <w:p w:rsidR="00DE031E" w:rsidRPr="00E803EA" w:rsidRDefault="001C1A59" w:rsidP="00DE031E">
                        <w:pPr>
                          <w:jc w:val="right"/>
                          <w:rPr>
                            <w:sz w:val="15"/>
                            <w:szCs w:val="15"/>
                          </w:rPr>
                        </w:pPr>
                        <w:r w:rsidRPr="00E803EA">
                          <w:rPr>
                            <w:sz w:val="15"/>
                            <w:szCs w:val="15"/>
                          </w:rPr>
                          <w:t>12,657,641,528.57</w:t>
                        </w: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（一）综合收益总额</w:t>
                    </w:r>
                  </w:p>
                </w:tc>
                <w:sdt>
                  <w:sdtPr>
                    <w:rPr>
                      <w:sz w:val="15"/>
                      <w:szCs w:val="15"/>
                    </w:rPr>
                    <w:alias w:val="综合收益总额导致股本变动金额"/>
                    <w:tag w:val="_GBC_f03cc738bdda4873a4c9306c6c68ceac"/>
                    <w:id w:val="24722982"/>
                    <w:lock w:val="sdtLocked"/>
                    <w:showingPlcHdr/>
                  </w:sdtPr>
                  <w:sdtContent>
                    <w:tc>
                      <w:tcPr>
                        <w:tcW w:w="1454" w:type="dxa"/>
                        <w:tcBorders>
                          <w:right w:val="single" w:sz="4" w:space="0" w:color="auto"/>
                        </w:tcBorders>
                      </w:tcPr>
                      <w:p w:rsidR="00DE031E" w:rsidRPr="00E803EA" w:rsidRDefault="00D4561E" w:rsidP="00DE031E">
                        <w:pPr>
                          <w:jc w:val="right"/>
                          <w:rPr>
                            <w:sz w:val="15"/>
                            <w:szCs w:val="15"/>
                          </w:rPr>
                        </w:pPr>
                        <w:r>
                          <w:rPr>
                            <w:sz w:val="15"/>
                            <w:szCs w:val="15"/>
                          </w:rPr>
                          <w:t xml:space="preserve">     </w:t>
                        </w:r>
                      </w:p>
                    </w:tc>
                  </w:sdtContent>
                </w:sdt>
                <w:sdt>
                  <w:sdtPr>
                    <w:rPr>
                      <w:sz w:val="15"/>
                      <w:szCs w:val="15"/>
                    </w:rPr>
                    <w:alias w:val="综合收益总额导致优先股变动金额"/>
                    <w:tag w:val="_GBC_3afbe4154e2c45958409a40b0988b99a"/>
                    <w:id w:val="24722983"/>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综合收益总额导致永续债变动金额"/>
                    <w:tag w:val="_GBC_f4f6b65ae107405993c0738c6f8ef082"/>
                    <w:id w:val="24722984"/>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综合收益总额导致其他权益工具中的其他变动金额"/>
                    <w:tag w:val="_GBC_057649099f704e45979ac350d567c04a"/>
                    <w:id w:val="24722985"/>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综合收益总额导致资本公积变动金额"/>
                    <w:tag w:val="_GBC_051d80e5b219419da9c9ac9a8f6fd141"/>
                    <w:id w:val="24722986"/>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综合收益总额导致库存股变动金额"/>
                    <w:tag w:val="_GBC_3fbab9aa6bc04292961283ab205f2edd"/>
                    <w:id w:val="2472298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综合收益总额导致其他综合收益变动金额"/>
                    <w:tag w:val="_GBC_527bc6752f2844f2b62b324fac1579af"/>
                    <w:id w:val="24722988"/>
                    <w:lock w:val="sdtLocked"/>
                  </w:sdtPr>
                  <w:sdtContent>
                    <w:tc>
                      <w:tcPr>
                        <w:tcW w:w="1417" w:type="dxa"/>
                      </w:tcPr>
                      <w:p w:rsidR="00DE031E" w:rsidRPr="00E803EA" w:rsidRDefault="001C1A59" w:rsidP="00DE031E">
                        <w:pPr>
                          <w:jc w:val="right"/>
                          <w:rPr>
                            <w:sz w:val="15"/>
                            <w:szCs w:val="15"/>
                          </w:rPr>
                        </w:pPr>
                        <w:r w:rsidRPr="00E803EA">
                          <w:rPr>
                            <w:sz w:val="15"/>
                            <w:szCs w:val="15"/>
                          </w:rPr>
                          <w:t>107,451,038.41</w:t>
                        </w:r>
                      </w:p>
                    </w:tc>
                  </w:sdtContent>
                </w:sdt>
                <w:sdt>
                  <w:sdtPr>
                    <w:rPr>
                      <w:sz w:val="15"/>
                      <w:szCs w:val="15"/>
                    </w:rPr>
                    <w:alias w:val="综合收益总额导致专项储备变动金额"/>
                    <w:tag w:val="_GBC_b8c9b5a6ffca46afa033de81ffa8fbe3"/>
                    <w:id w:val="2472298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综合收益总额导致盈余公积变动金额"/>
                    <w:tag w:val="_GBC_146d3011679e46458aa7bc979173eac5"/>
                    <w:id w:val="2472299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一）综合收益总额一般风险准备"/>
                    <w:tag w:val="_GBC_0f09cce7ae204b8d8927b0f340d8e4bf"/>
                    <w:id w:val="24722991"/>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综合收益总额导致未分配利润变动金额"/>
                    <w:tag w:val="_GBC_d894c7c8295849e3823c595b722bc756"/>
                    <w:id w:val="24722992"/>
                    <w:lock w:val="sdtLocked"/>
                  </w:sdtPr>
                  <w:sdtContent>
                    <w:tc>
                      <w:tcPr>
                        <w:tcW w:w="1417" w:type="dxa"/>
                      </w:tcPr>
                      <w:p w:rsidR="00DE031E" w:rsidRPr="00E803EA" w:rsidRDefault="001C1A59" w:rsidP="00DE031E">
                        <w:pPr>
                          <w:jc w:val="right"/>
                          <w:rPr>
                            <w:sz w:val="15"/>
                            <w:szCs w:val="15"/>
                          </w:rPr>
                        </w:pPr>
                        <w:r w:rsidRPr="00E803EA">
                          <w:rPr>
                            <w:sz w:val="15"/>
                            <w:szCs w:val="15"/>
                          </w:rPr>
                          <w:t>1,448,454,354.23</w:t>
                        </w:r>
                      </w:p>
                    </w:tc>
                  </w:sdtContent>
                </w:sdt>
                <w:sdt>
                  <w:sdtPr>
                    <w:rPr>
                      <w:sz w:val="15"/>
                      <w:szCs w:val="15"/>
                    </w:rPr>
                    <w:alias w:val="综合收益总额导致股东权益合计变动金额"/>
                    <w:tag w:val="_GBC_c102251053714ae28c7d105f6c205929"/>
                    <w:id w:val="24722993"/>
                    <w:lock w:val="sdtLocked"/>
                  </w:sdtPr>
                  <w:sdtContent>
                    <w:tc>
                      <w:tcPr>
                        <w:tcW w:w="1558" w:type="dxa"/>
                      </w:tcPr>
                      <w:p w:rsidR="00DE031E" w:rsidRPr="00E803EA" w:rsidRDefault="001C1A59" w:rsidP="00DE031E">
                        <w:pPr>
                          <w:jc w:val="right"/>
                          <w:rPr>
                            <w:sz w:val="15"/>
                            <w:szCs w:val="15"/>
                          </w:rPr>
                        </w:pPr>
                        <w:r w:rsidRPr="00E803EA">
                          <w:rPr>
                            <w:sz w:val="15"/>
                            <w:szCs w:val="15"/>
                          </w:rPr>
                          <w:t>1,555,905,392.64</w:t>
                        </w: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w:t>
                    </w:r>
                    <w:r w:rsidRPr="00E803EA">
                      <w:rPr>
                        <w:rFonts w:hint="eastAsia"/>
                        <w:sz w:val="15"/>
                        <w:szCs w:val="15"/>
                      </w:rPr>
                      <w:t>二</w:t>
                    </w:r>
                    <w:r w:rsidRPr="00E803EA">
                      <w:rPr>
                        <w:sz w:val="15"/>
                        <w:szCs w:val="15"/>
                      </w:rPr>
                      <w:t>）所有者投入和减少资本</w:t>
                    </w:r>
                  </w:p>
                </w:tc>
                <w:sdt>
                  <w:sdtPr>
                    <w:rPr>
                      <w:sz w:val="15"/>
                      <w:szCs w:val="15"/>
                    </w:rPr>
                    <w:alias w:val="所有者投入和减少资本导致实收资本（或股本）净额变动金额"/>
                    <w:tag w:val="_GBC_f30fe6682675483d894e0f99e2a13078"/>
                    <w:id w:val="24722994"/>
                    <w:lock w:val="sdtLocked"/>
                  </w:sdtPr>
                  <w:sdtContent>
                    <w:tc>
                      <w:tcPr>
                        <w:tcW w:w="1454" w:type="dxa"/>
                        <w:tcBorders>
                          <w:right w:val="single" w:sz="4" w:space="0" w:color="auto"/>
                        </w:tcBorders>
                      </w:tcPr>
                      <w:p w:rsidR="00DE031E" w:rsidRPr="00E803EA" w:rsidRDefault="001C1A59" w:rsidP="00DE031E">
                        <w:pPr>
                          <w:jc w:val="right"/>
                          <w:rPr>
                            <w:sz w:val="15"/>
                            <w:szCs w:val="15"/>
                          </w:rPr>
                        </w:pPr>
                        <w:r w:rsidRPr="00E803EA">
                          <w:rPr>
                            <w:sz w:val="15"/>
                            <w:szCs w:val="15"/>
                          </w:rPr>
                          <w:t>1,147,035,700.00</w:t>
                        </w:r>
                      </w:p>
                    </w:tc>
                  </w:sdtContent>
                </w:sdt>
                <w:sdt>
                  <w:sdtPr>
                    <w:rPr>
                      <w:sz w:val="15"/>
                      <w:szCs w:val="15"/>
                    </w:rPr>
                    <w:alias w:val="所有者投入和减少资本导致其他权益工具中的优先股变动金额"/>
                    <w:tag w:val="_GBC_197e5223ed794f02bfd51c1acc45a6ea"/>
                    <w:id w:val="24722995"/>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所有者投入和减少资本导致其他权益工具中的永续债变动金额"/>
                    <w:tag w:val="_GBC_b2014aa035fe41fcabeefc5289d496f2"/>
                    <w:id w:val="24722996"/>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所有者投入和减少资本导致其他权益工具中的其他变动金额"/>
                    <w:tag w:val="_GBC_6daf1792d7f64c1f9c5f6a8150d79c39"/>
                    <w:id w:val="24722997"/>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所有者投入和减少资本导致资本公积变动金额"/>
                    <w:tag w:val="_GBC_18d61164cfe74dcab47a7d10eecf13ca"/>
                    <w:id w:val="24722998"/>
                    <w:lock w:val="sdtLocked"/>
                  </w:sdtPr>
                  <w:sdtContent>
                    <w:tc>
                      <w:tcPr>
                        <w:tcW w:w="1559" w:type="dxa"/>
                      </w:tcPr>
                      <w:p w:rsidR="00DE031E" w:rsidRPr="00E803EA" w:rsidRDefault="001C1A59" w:rsidP="00DE031E">
                        <w:pPr>
                          <w:jc w:val="right"/>
                          <w:rPr>
                            <w:sz w:val="15"/>
                            <w:szCs w:val="15"/>
                          </w:rPr>
                        </w:pPr>
                        <w:r w:rsidRPr="00E803EA">
                          <w:rPr>
                            <w:sz w:val="15"/>
                            <w:szCs w:val="15"/>
                          </w:rPr>
                          <w:t>9,954,700,435.93</w:t>
                        </w:r>
                      </w:p>
                    </w:tc>
                  </w:sdtContent>
                </w:sdt>
                <w:sdt>
                  <w:sdtPr>
                    <w:rPr>
                      <w:sz w:val="15"/>
                      <w:szCs w:val="15"/>
                    </w:rPr>
                    <w:alias w:val="所有者投入和减少资本导致库存股变动金额"/>
                    <w:tag w:val="_GBC_a8aa67f466874d41b3134fe9e589f362"/>
                    <w:id w:val="2472299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所有者投入和减少资本导致其他综合收益变动金额"/>
                    <w:tag w:val="_GBC_fa7fa67c6d0b4542a671406d5364d519"/>
                    <w:id w:val="2472300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所有者投入和减少资本导致专项储备变动金额"/>
                    <w:tag w:val="_GBC_12c757ffd8bc4afd9a3698ab9203b871"/>
                    <w:id w:val="2472300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所有者投入和减少资本导致盈余公积变动金额"/>
                    <w:tag w:val="_GBC_317446a90b394788a360afc4eb53210a"/>
                    <w:id w:val="2472300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二）所有者投入和减少资本一般风险准备"/>
                    <w:tag w:val="_GBC_3b082453cb1c41c4b822cc3ac3962d7d"/>
                    <w:id w:val="24723003"/>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所有者投入和减少资本导致未分配利润变动金额"/>
                    <w:tag w:val="_GBC_a1ada7faa5bf45fb8ed127fd006b0297"/>
                    <w:id w:val="2472300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所有者投入和减少资本导致股东权益合计变动金额"/>
                    <w:tag w:val="_GBC_f0a2522b485e446cbb90d9f3b913769d"/>
                    <w:id w:val="24723005"/>
                    <w:lock w:val="sdtLocked"/>
                  </w:sdtPr>
                  <w:sdtContent>
                    <w:tc>
                      <w:tcPr>
                        <w:tcW w:w="1558" w:type="dxa"/>
                      </w:tcPr>
                      <w:p w:rsidR="00DE031E" w:rsidRPr="00E803EA" w:rsidRDefault="001C1A59" w:rsidP="00DE031E">
                        <w:pPr>
                          <w:jc w:val="right"/>
                          <w:rPr>
                            <w:sz w:val="15"/>
                            <w:szCs w:val="15"/>
                          </w:rPr>
                        </w:pPr>
                        <w:r w:rsidRPr="00E803EA">
                          <w:rPr>
                            <w:sz w:val="15"/>
                            <w:szCs w:val="15"/>
                          </w:rPr>
                          <w:t>11,101,736,135.93</w:t>
                        </w: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1．股东投入的普通股</w:t>
                    </w:r>
                  </w:p>
                </w:tc>
                <w:sdt>
                  <w:sdtPr>
                    <w:rPr>
                      <w:sz w:val="15"/>
                      <w:szCs w:val="15"/>
                    </w:rPr>
                    <w:alias w:val="股东投入的普通股导致股本变动金额"/>
                    <w:tag w:val="_GBC_07f7e56ebc8f413491431a71f19f57c2"/>
                    <w:id w:val="24723006"/>
                    <w:lock w:val="sdtLocked"/>
                  </w:sdtPr>
                  <w:sdtContent>
                    <w:tc>
                      <w:tcPr>
                        <w:tcW w:w="1454" w:type="dxa"/>
                        <w:tcBorders>
                          <w:right w:val="single" w:sz="4" w:space="0" w:color="auto"/>
                        </w:tcBorders>
                      </w:tcPr>
                      <w:p w:rsidR="00DE031E" w:rsidRPr="00E803EA" w:rsidRDefault="001C1A59" w:rsidP="00DE031E">
                        <w:pPr>
                          <w:jc w:val="right"/>
                          <w:rPr>
                            <w:sz w:val="15"/>
                            <w:szCs w:val="15"/>
                          </w:rPr>
                        </w:pPr>
                        <w:r w:rsidRPr="00E803EA">
                          <w:rPr>
                            <w:sz w:val="15"/>
                            <w:szCs w:val="15"/>
                          </w:rPr>
                          <w:t>1,147,035,700.00</w:t>
                        </w:r>
                      </w:p>
                    </w:tc>
                  </w:sdtContent>
                </w:sdt>
                <w:sdt>
                  <w:sdtPr>
                    <w:rPr>
                      <w:sz w:val="15"/>
                      <w:szCs w:val="15"/>
                    </w:rPr>
                    <w:alias w:val="股东投入的普通股导致优先股变动金额"/>
                    <w:tag w:val="_GBC_1f2c1b75d6304a8cada547d8a1c55afe"/>
                    <w:id w:val="24723007"/>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股东投入的普通股导致永续债变动金额"/>
                    <w:tag w:val="_GBC_da3bba2fe5cb4c21831f0ebcbdd58a63"/>
                    <w:id w:val="24723008"/>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股东投入的普通股导致其他权益工具中的其他变动金额"/>
                    <w:tag w:val="_GBC_04e418d0a64a4cfb8791f453139033ca"/>
                    <w:id w:val="24723009"/>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股东投入的普通股导致资本公积变动金额"/>
                    <w:tag w:val="_GBC_da248a874bd548748d8ab181aaf48c32"/>
                    <w:id w:val="24723010"/>
                    <w:lock w:val="sdtLocked"/>
                  </w:sdtPr>
                  <w:sdtContent>
                    <w:tc>
                      <w:tcPr>
                        <w:tcW w:w="1559" w:type="dxa"/>
                      </w:tcPr>
                      <w:p w:rsidR="00DE031E" w:rsidRPr="00E803EA" w:rsidRDefault="001C1A59" w:rsidP="00DE031E">
                        <w:pPr>
                          <w:jc w:val="right"/>
                          <w:rPr>
                            <w:sz w:val="15"/>
                            <w:szCs w:val="15"/>
                          </w:rPr>
                        </w:pPr>
                        <w:r w:rsidRPr="00E803EA">
                          <w:rPr>
                            <w:sz w:val="15"/>
                            <w:szCs w:val="15"/>
                          </w:rPr>
                          <w:t>9,954,700,435.93</w:t>
                        </w:r>
                      </w:p>
                    </w:tc>
                  </w:sdtContent>
                </w:sdt>
                <w:sdt>
                  <w:sdtPr>
                    <w:rPr>
                      <w:sz w:val="15"/>
                      <w:szCs w:val="15"/>
                    </w:rPr>
                    <w:alias w:val="股东投入的普通股导致库存股变动金额"/>
                    <w:tag w:val="_GBC_91bbaf6cceb84fa8b9db1dfbd558fdb1"/>
                    <w:id w:val="2472301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股东投入的普通股导致其他综合收益变动金额"/>
                    <w:tag w:val="_GBC_d31224a534a24261affa4a9adf744488"/>
                    <w:id w:val="2472301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股东投入的普通股导致专项储备变动金额"/>
                    <w:tag w:val="_GBC_939548dfd6ba4efbaef1a7c7dc31aa27"/>
                    <w:id w:val="2472301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股东投入的普通股导致盈余公积变动金额"/>
                    <w:tag w:val="_GBC_7f790ef4d0a2400583313c8f18f07310"/>
                    <w:id w:val="2472301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1．股东投入的普通股一般风险准备"/>
                    <w:tag w:val="_GBC_014f6dfd1c5f4e17954ae6dd95ab3602"/>
                    <w:id w:val="24723015"/>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股东投入的普通股导致未分配利润变动金额"/>
                    <w:tag w:val="_GBC_dbbce62d9712469cb11a654dcd83953e"/>
                    <w:id w:val="2472301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股东投入的普通股导致其他的归属于母公司所有者权益变动金额"/>
                    <w:tag w:val="_GBC_6fbd178bb8384a25bf32ea8104c3d5c5"/>
                    <w:id w:val="24723017"/>
                    <w:lock w:val="sdtLocked"/>
                  </w:sdtPr>
                  <w:sdtContent>
                    <w:tc>
                      <w:tcPr>
                        <w:tcW w:w="1558" w:type="dxa"/>
                      </w:tcPr>
                      <w:p w:rsidR="00DE031E" w:rsidRPr="00E803EA" w:rsidRDefault="001C1A59" w:rsidP="00DE031E">
                        <w:pPr>
                          <w:jc w:val="right"/>
                          <w:rPr>
                            <w:sz w:val="15"/>
                            <w:szCs w:val="15"/>
                          </w:rPr>
                        </w:pPr>
                        <w:r w:rsidRPr="00E803EA">
                          <w:rPr>
                            <w:sz w:val="15"/>
                            <w:szCs w:val="15"/>
                          </w:rPr>
                          <w:t>11,101,736,135.93</w:t>
                        </w: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2．其他权益工具持有者投入资本</w:t>
                    </w:r>
                  </w:p>
                </w:tc>
                <w:sdt>
                  <w:sdtPr>
                    <w:rPr>
                      <w:sz w:val="15"/>
                      <w:szCs w:val="15"/>
                    </w:rPr>
                    <w:alias w:val="其他权益工具持有者投入资本导致股本变动金额"/>
                    <w:tag w:val="_GBC_db2e6c63198c4ff598d467ff8d2a728b"/>
                    <w:id w:val="24723018"/>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持有者投入资本导致优先股变动金额"/>
                    <w:tag w:val="_GBC_0f73aadbc7be4edda51fb9420c476368"/>
                    <w:id w:val="24723019"/>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持有者投入资本导致永续债变动金额"/>
                    <w:tag w:val="_GBC_f4b8cffb94c541e1a11d201673e7109e"/>
                    <w:id w:val="24723020"/>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持有者投入资本导致其他权益工具中的其他变动金额"/>
                    <w:tag w:val="_GBC_6ccc492f634f4f4ebbc8ee3c6835c0d8"/>
                    <w:id w:val="24723021"/>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持有者投入资本导致资本公积变动金额"/>
                    <w:tag w:val="_GBC_cea104ca3bc34b90a45a018406c5f5a1"/>
                    <w:id w:val="24723022"/>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其他权益工具持有者投入资本导致库存股变动金额"/>
                    <w:tag w:val="_GBC_30e62eff0b1e421fb1244e10b5de6da1"/>
                    <w:id w:val="2472302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权益工具持有者投入资本导致其他综合收益变动金额"/>
                    <w:tag w:val="_GBC_dbbeb1a62ae740ca9539416f4a598639"/>
                    <w:id w:val="2472302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权益工具持有者投入资本导致专项储备变动金额"/>
                    <w:tag w:val="_GBC_b80f2a194cc847abacd0266a4580e330"/>
                    <w:id w:val="2472302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权益工具持有者投入资本导致盈余公积变动金额"/>
                    <w:tag w:val="_GBC_2497391e5e0549e787bf0a88006fdfb7"/>
                    <w:id w:val="2472302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2．其他权益工具持有者投入资本一般风险准备"/>
                    <w:tag w:val="_GBC_45ead4e8d18b4be4af9fae976fdd6ef3"/>
                    <w:id w:val="24723027"/>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其他权益工具持有者投入资本导致未分配利润变动金额"/>
                    <w:tag w:val="_GBC_752cd32daa5e4c3ca0cc66aeb0ee6129"/>
                    <w:id w:val="2472302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权益工具持有者投入资本导致其他的归属于母公司所有者权益变动金额"/>
                    <w:tag w:val="_GBC_7c529d7d04444af1a5174a0d259c3d26"/>
                    <w:id w:val="24723029"/>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3</w:t>
                    </w:r>
                    <w:r w:rsidRPr="00E803EA">
                      <w:rPr>
                        <w:sz w:val="15"/>
                        <w:szCs w:val="15"/>
                      </w:rPr>
                      <w:t>．股份支付计入所有者权益的金额</w:t>
                    </w:r>
                  </w:p>
                </w:tc>
                <w:sdt>
                  <w:sdtPr>
                    <w:rPr>
                      <w:sz w:val="15"/>
                      <w:szCs w:val="15"/>
                    </w:rPr>
                    <w:alias w:val="股份支付计入所有者权益的金额导致实收资本（或股本）净额变动金额"/>
                    <w:tag w:val="_GBC_13e88d3ca9734111b5b94708dfc7fea3"/>
                    <w:id w:val="24723030"/>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股份支付计入所有者权益的金额导致其他权益工具中的优先股变动金额"/>
                    <w:tag w:val="_GBC_e0c69319bf5442e8a326094729108247"/>
                    <w:id w:val="24723031"/>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股份支付计入所有者权益的金额导致其他权益工具中的永续债变动金额"/>
                    <w:tag w:val="_GBC_fd4be5f7ef4041619ed8a443b43f19be"/>
                    <w:id w:val="24723032"/>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股份支付计入所有者权益的金额导致其他权益工具中的其他变动金额"/>
                    <w:tag w:val="_GBC_5f51b01a48f34a448f69b07157263303"/>
                    <w:id w:val="24723033"/>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股份支付计入所有者权益的金额导致资本公积变动金额"/>
                    <w:tag w:val="_GBC_8f55de91763b48968c98c68d6a6b97ad"/>
                    <w:id w:val="24723034"/>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股份支付计入所有者权益的金额导致库存股变动金额"/>
                    <w:tag w:val="_GBC_25ee22dc40f4449b882e61b45b215cba"/>
                    <w:id w:val="2472303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股份支付计入所有者权益的金额导致其他综合收益变动金额"/>
                    <w:tag w:val="_GBC_f4caf6e7f9ea4a16b64431cb92d7bc8d"/>
                    <w:id w:val="2472303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股份支付计入所有者权益的金额导致专项储备变动金额"/>
                    <w:tag w:val="_GBC_0f832ddbca34432bbd7140921fda8665"/>
                    <w:id w:val="2472303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股份支付计入所有者权益的金额导致盈余公积变动金额"/>
                    <w:tag w:val="_GBC_87d8ab21e0d947a0bcd9814dc46e1d38"/>
                    <w:id w:val="2472303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3．股份支付计入所有者权益的金额一般风险准备"/>
                    <w:tag w:val="_GBC_c4ffe16606964aeb81198d492a07b39f"/>
                    <w:id w:val="24723039"/>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股份支付计入所有者权益的金额导致未分配利润变动金额"/>
                    <w:tag w:val="_GBC_d6e8139e985f487080734a810228c124"/>
                    <w:id w:val="2472304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股份支付计入所有者权益的金额导致股东权益合计变动金额"/>
                    <w:tag w:val="_GBC_e648c639d2e443d8872ca05bd62e5049"/>
                    <w:id w:val="24723041"/>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4</w:t>
                    </w:r>
                    <w:r w:rsidRPr="00E803EA">
                      <w:rPr>
                        <w:sz w:val="15"/>
                        <w:szCs w:val="15"/>
                      </w:rPr>
                      <w:t>．其他</w:t>
                    </w:r>
                  </w:p>
                </w:tc>
                <w:sdt>
                  <w:sdtPr>
                    <w:rPr>
                      <w:sz w:val="15"/>
                      <w:szCs w:val="15"/>
                    </w:rPr>
                    <w:alias w:val="其他所有者投入和减少资本导致实收资本（或股本）净额变动金额"/>
                    <w:tag w:val="_GBC_8de4c3081ae8416294ac912bce6c0830"/>
                    <w:id w:val="24723042"/>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投入和减少资本导致其他权益工具中的优先股变动金额"/>
                    <w:tag w:val="_GBC_16021aaa4546434fa16e39c0f350c3d0"/>
                    <w:id w:val="24723043"/>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投入和减少资本导致其他权益工具中的永续债变动金额"/>
                    <w:tag w:val="_GBC_6225ca3b29ed43a38cc51fd11fe065bb"/>
                    <w:id w:val="24723044"/>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投入和减少资本导致其他权益工具中的其他变动金额"/>
                    <w:tag w:val="_GBC_57cb4e57b5154dc0b3227782045524cc"/>
                    <w:id w:val="24723045"/>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投入和减少资本导致资本公积变动金额"/>
                    <w:tag w:val="_GBC_ac6ff5b7a65645e9ba3ea19456f5e831"/>
                    <w:id w:val="24723046"/>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其他所有者投入和减少资本导致库存股变动金额"/>
                    <w:tag w:val="_GBC_6b1de4f1886c477db19f0dd0b71ef491"/>
                    <w:id w:val="2472304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所有者投入和减少资本导致其他综合收益变动金额"/>
                    <w:tag w:val="_GBC_db63baca807b47a0926aa5f5453f7da8"/>
                    <w:id w:val="2472304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所有者投入和减少资本导致专项储备变动金额"/>
                    <w:tag w:val="_GBC_856d720a007a4ad0950db55b82dba1c9"/>
                    <w:id w:val="2472304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所有者投入和减少资本导致盈余公积变动金额"/>
                    <w:tag w:val="_GBC_706b6d6feafd42a4840746657c16c76f"/>
                    <w:id w:val="2472305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4．其他一般风险准备"/>
                    <w:tag w:val="_GBC_1bf1a1c7702c449fb21ac71e11d47d60"/>
                    <w:id w:val="24723051"/>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其他所有者投入和减少资本导致未分配利润变动金额"/>
                    <w:tag w:val="_GBC_fa1eaf01d30e4e64b58806dea4a61bd4"/>
                    <w:id w:val="2472305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所有者投入和减少资本导致股东权益合计变动金额"/>
                    <w:tag w:val="_GBC_d7b7366931784e60ae41d317bd24645a"/>
                    <w:id w:val="24723053"/>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w:t>
                    </w:r>
                    <w:r w:rsidRPr="00E803EA">
                      <w:rPr>
                        <w:rFonts w:hint="eastAsia"/>
                        <w:sz w:val="15"/>
                        <w:szCs w:val="15"/>
                      </w:rPr>
                      <w:t>三</w:t>
                    </w:r>
                    <w:r w:rsidRPr="00E803EA">
                      <w:rPr>
                        <w:sz w:val="15"/>
                        <w:szCs w:val="15"/>
                      </w:rPr>
                      <w:t>）利润分配</w:t>
                    </w:r>
                  </w:p>
                </w:tc>
                <w:sdt>
                  <w:sdtPr>
                    <w:rPr>
                      <w:sz w:val="15"/>
                      <w:szCs w:val="15"/>
                    </w:rPr>
                    <w:alias w:val="利润分配导致实收资本（或股本）净额变动金额"/>
                    <w:tag w:val="_GBC_b3dec4838d0d45e59662e83d7f4be2f3"/>
                    <w:id w:val="24723054"/>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利润分配导致其他权益工具中的优先股变动金额"/>
                    <w:tag w:val="_GBC_27e8d048a5e04acdba976f1e9ed0b06c"/>
                    <w:id w:val="24723055"/>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利润分配导致其他权益工具中的永续债变动金额"/>
                    <w:tag w:val="_GBC_309ba0d4e04643cba98c51da86266d57"/>
                    <w:id w:val="24723056"/>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利润分配导致其他权益工具中的其他变动金额"/>
                    <w:tag w:val="_GBC_d5f2ccc4648f4748ac123d6dd319d2ef"/>
                    <w:id w:val="24723057"/>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利润分配导致资本公积变动金额"/>
                    <w:tag w:val="_GBC_a091e435665a4018a1f2d3b1759a956d"/>
                    <w:id w:val="24723058"/>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利润分配导致库存股变动金额"/>
                    <w:tag w:val="_GBC_355f544855b84d9f8681ce0efeb3496d"/>
                    <w:id w:val="2472305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利润分配导致其他综合收益变动金额"/>
                    <w:tag w:val="_GBC_879af85f06e84e2f83c32eab9ff1868b"/>
                    <w:id w:val="2472306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利润分配导致专项储备变动金额"/>
                    <w:tag w:val="_GBC_1be8be4848d542d6b740d08536a93580"/>
                    <w:id w:val="2472306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利润分配导致盈余公积变动金额"/>
                    <w:tag w:val="_GBC_3a277de32a8b42aab02e1466554d9815"/>
                    <w:id w:val="2472306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三）利润分配一般风险准备"/>
                    <w:tag w:val="_GBC_c07565d602004d96a938f8b1a6d5a8b7"/>
                    <w:id w:val="24723063"/>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利润分配导致未分配利润变动金额"/>
                    <w:tag w:val="_GBC_756ee51c1ffc491b85c79911a3e21c21"/>
                    <w:id w:val="2472306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利润分配导致股东权益合计变动金额"/>
                    <w:tag w:val="_GBC_6b560be59d484909b6fe65ca4f320e44"/>
                    <w:id w:val="24723065"/>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1．提取盈余公积</w:t>
                    </w:r>
                  </w:p>
                </w:tc>
                <w:sdt>
                  <w:sdtPr>
                    <w:rPr>
                      <w:sz w:val="15"/>
                      <w:szCs w:val="15"/>
                    </w:rPr>
                    <w:alias w:val="提取盈余公积导致实收资本（或股本）净额变动金额"/>
                    <w:tag w:val="_GBC_d00418300d434fc8ac4f54286efeaa9d"/>
                    <w:id w:val="24723066"/>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提取盈余公积导致其他权益工具中的优先股变动金额"/>
                    <w:tag w:val="_GBC_c490b11283284696abfb5e40fba82b06"/>
                    <w:id w:val="24723067"/>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提取盈余公积导致其他权益工具中的永续债变动金额"/>
                    <w:tag w:val="_GBC_76d3ec3ae37d4e7baa4f66c0f8d869de"/>
                    <w:id w:val="24723068"/>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提取盈余公积导致其他权益工具中的其他变动金额"/>
                    <w:tag w:val="_GBC_2c12403ef95e4e0480b2732ab03db5f3"/>
                    <w:id w:val="24723069"/>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提取盈余公积导致资本公积变动金额"/>
                    <w:tag w:val="_GBC_66a224a339054c769eeb0ae395093be1"/>
                    <w:id w:val="24723070"/>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提取盈余公积导致库存股变动金额"/>
                    <w:tag w:val="_GBC_73f662342d364f76adaf59b929e9c790"/>
                    <w:id w:val="2472307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提取盈余公积导致其他综合收益变动金额"/>
                    <w:tag w:val="_GBC_539525015f84464f8ae65b0927bdc09e"/>
                    <w:id w:val="2472307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提取盈余公积导致专项储备变动金额"/>
                    <w:tag w:val="_GBC_a85cec3447524a5eb736238919a234b9"/>
                    <w:id w:val="2472307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提取盈余公积导致盈余公积变动金额"/>
                    <w:tag w:val="_GBC_ed6a2f0b1fdc4f6c850d5d28768ad0ab"/>
                    <w:id w:val="2472307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1．提取盈余公积一般风险准备"/>
                    <w:tag w:val="_GBC_aab035a8253e4f66957f6a41ae487134"/>
                    <w:id w:val="24723075"/>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提取盈余公积导致未分配利润变动金额"/>
                    <w:tag w:val="_GBC_ad0ea31bff6949de9c5725355d70b538"/>
                    <w:id w:val="2472307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提取盈余公积导致股东权益合计变动金额"/>
                    <w:tag w:val="_GBC_83b970b6ec6d4bbdb12be4db9f31de55"/>
                    <w:id w:val="24723077"/>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2</w:t>
                    </w:r>
                    <w:r w:rsidRPr="00E803EA">
                      <w:rPr>
                        <w:sz w:val="15"/>
                        <w:szCs w:val="15"/>
                      </w:rPr>
                      <w:t>．对所有者（或股东）的分配</w:t>
                    </w:r>
                  </w:p>
                </w:tc>
                <w:sdt>
                  <w:sdtPr>
                    <w:rPr>
                      <w:sz w:val="15"/>
                      <w:szCs w:val="15"/>
                    </w:rPr>
                    <w:alias w:val="对所有者（或股东）的分配导致实收资本（或股本）净额变动金额"/>
                    <w:tag w:val="_GBC_6ff71f05e0a04570bba0291097d6a348"/>
                    <w:id w:val="24723078"/>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对所有者（或股东）的分配导致其他权益工具中的优先股变动金额"/>
                    <w:tag w:val="_GBC_88491f4f7bbc45a68487f487c1580719"/>
                    <w:id w:val="24723079"/>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对所有者（或股东）的分配导致其他权益工具中的永续债变动金额"/>
                    <w:tag w:val="_GBC_fe252b087aba47f8b6823f79de0aa1e5"/>
                    <w:id w:val="24723080"/>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对所有者（或股东）的分配导致其他权益工具中的其他变动金额"/>
                    <w:tag w:val="_GBC_84e37dca0ebc4c04a528936f22e4ffef"/>
                    <w:id w:val="24723081"/>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对所有者（或股东）的分配导致资本公积变动金额"/>
                    <w:tag w:val="_GBC_d2abcf8648eb4be8a48565dd8826e54f"/>
                    <w:id w:val="24723082"/>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对所有者（或股东）的分配导致库存股变动金额"/>
                    <w:tag w:val="_GBC_bb538576a4034794ae9af755f61dc378"/>
                    <w:id w:val="2472308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对所有者（或股东）的分配导致其他综合收益变动金额"/>
                    <w:tag w:val="_GBC_6c2fc0509c9a4c8bba4d45c402107f69"/>
                    <w:id w:val="2472308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对所有者（或股东）的分配导致专项储备变动金额"/>
                    <w:tag w:val="_GBC_10ab62d9d1ad43de80b8053fedf9f886"/>
                    <w:id w:val="2472308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对所有者（或股东）的分配导致盈余公积变动金额"/>
                    <w:tag w:val="_GBC_64d83b5da97c44d295979033ec903022"/>
                    <w:id w:val="2472308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2．对所有者（或股东）的分配一般风险准备"/>
                    <w:tag w:val="_GBC_ac9d87355e25411f83d9e39ea84348c8"/>
                    <w:id w:val="24723087"/>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对所有者（或股东）的分配导致未分配利润变动金额"/>
                    <w:tag w:val="_GBC_be40b1266f36484785ccdeee2f90491e"/>
                    <w:id w:val="2472308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对所有者（或股东）的分配导致股东权益合计变动金额"/>
                    <w:tag w:val="_GBC_951ce1090dc046f3a8bc74e1f7f5a256"/>
                    <w:id w:val="24723089"/>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3</w:t>
                    </w:r>
                    <w:r w:rsidRPr="00E803EA">
                      <w:rPr>
                        <w:sz w:val="15"/>
                        <w:szCs w:val="15"/>
                      </w:rPr>
                      <w:t>．其他</w:t>
                    </w:r>
                  </w:p>
                </w:tc>
                <w:sdt>
                  <w:sdtPr>
                    <w:rPr>
                      <w:sz w:val="15"/>
                      <w:szCs w:val="15"/>
                    </w:rPr>
                    <w:alias w:val="其他利润分配导致实收资本（或股本）净额变动金额"/>
                    <w:tag w:val="_GBC_3e01fe300a2e4c24aeef90a043dc32b7"/>
                    <w:id w:val="24723090"/>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其他利润分配导致其他权益工具中的优先股变动金额"/>
                    <w:tag w:val="_GBC_ef4ce1cda28d404aa0c77c56b2085f5b"/>
                    <w:id w:val="24723091"/>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利润分配导致其他权益工具中的永续债变动金额"/>
                    <w:tag w:val="_GBC_2a9e9dcbcdda433781af632ad90bfe3a"/>
                    <w:id w:val="24723092"/>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利润分配导致其他权益工具中的其他变动金额"/>
                    <w:tag w:val="_GBC_c45f53c44c7543f5a3b1c7fe5bb67e95"/>
                    <w:id w:val="24723093"/>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其他利润分配导致资本公积变动金额"/>
                    <w:tag w:val="_GBC_6c2c7f13c6a64cc5b481245467624ee2"/>
                    <w:id w:val="24723094"/>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其他利润分配导致库存股变动金额"/>
                    <w:tag w:val="_GBC_9d4870401311475293698824f2b1ef4d"/>
                    <w:id w:val="2472309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利润分配导致其他综合收益变动金额"/>
                    <w:tag w:val="_GBC_a0d83ef1380146458c47436a17e2c254"/>
                    <w:id w:val="2472309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利润分配导致专项储备变动金额"/>
                    <w:tag w:val="_GBC_1ae94cbeddb1447e9380d3f1410dde8a"/>
                    <w:id w:val="2472309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利润分配导致盈余公积变动金额"/>
                    <w:tag w:val="_GBC_85e3b63213a148d09ff302a71258b2d5"/>
                    <w:id w:val="2472309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3．其他一般风险准备"/>
                    <w:tag w:val="_GBC_55eaa2d69a124428b33877c30243a4ea"/>
                    <w:id w:val="24723099"/>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其他利润分配导致未分配利润变动金额"/>
                    <w:tag w:val="_GBC_21572ccd652344798020d51f7197b440"/>
                    <w:id w:val="2472310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利润分配导致股东权益合计变动金额"/>
                    <w:tag w:val="_GBC_22aff950704d4da1bf0b841e4b7b3930"/>
                    <w:id w:val="24723101"/>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w:t>
                    </w:r>
                    <w:r w:rsidRPr="00E803EA">
                      <w:rPr>
                        <w:rFonts w:hint="eastAsia"/>
                        <w:sz w:val="15"/>
                        <w:szCs w:val="15"/>
                      </w:rPr>
                      <w:t>四</w:t>
                    </w:r>
                    <w:r w:rsidRPr="00E803EA">
                      <w:rPr>
                        <w:sz w:val="15"/>
                        <w:szCs w:val="15"/>
                      </w:rPr>
                      <w:t>）所有者权益内部结转</w:t>
                    </w:r>
                  </w:p>
                </w:tc>
                <w:sdt>
                  <w:sdtPr>
                    <w:rPr>
                      <w:sz w:val="15"/>
                      <w:szCs w:val="15"/>
                    </w:rPr>
                    <w:alias w:val="所有者权益内部结转导致实收资本（或股本）净额变动金额"/>
                    <w:tag w:val="_GBC_c19e43212fe641aaa5ce1baa033a01ef"/>
                    <w:id w:val="24723102"/>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所有者权益内部结转导致其他权益工具中的优先股变动金额"/>
                    <w:tag w:val="_GBC_ad7e6b309c714cea89525498a8cf176a"/>
                    <w:id w:val="24723103"/>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所有者权益内部结转导致其他权益工具中的永续债变动金额"/>
                    <w:tag w:val="_GBC_e5aeeafa2b6b4bc79001068eaaad923a"/>
                    <w:id w:val="24723104"/>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所有者权益内部结转导致其他权益工具中的其他变动金额"/>
                    <w:tag w:val="_GBC_7eda8b0582a54300a3c2b6c2a88c41c5"/>
                    <w:id w:val="24723105"/>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所有者权益内部结转导致资本公积变动金额"/>
                    <w:tag w:val="_GBC_4155dd20e2ca45e49212e809929c8a2f"/>
                    <w:id w:val="24723106"/>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所有者权益内部结转导致库存股变动金额"/>
                    <w:tag w:val="_GBC_4299920f98cf4a5c9df49ab490ad1df4"/>
                    <w:id w:val="2472310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所有者权益内部结转导致其他综合收益变动金额"/>
                    <w:tag w:val="_GBC_87e7e393829b46f8861c0351ce1450e7"/>
                    <w:id w:val="2472310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所有者权益内部结转导致专项储备变动金额"/>
                    <w:tag w:val="_GBC_02f9ec755eb74b5a9463d7056719b3cf"/>
                    <w:id w:val="2472310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所有者权益内部结转导致盈余公积变动金额"/>
                    <w:tag w:val="_GBC_4d1c0a6264fc47de979a0253aebee62d"/>
                    <w:id w:val="2472311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四）所有者权益内部结转一般风险准备"/>
                    <w:tag w:val="_GBC_29c27dcdfb5945c69235aaf18ce783ca"/>
                    <w:id w:val="24723111"/>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所有者权益内部结转导致未分配利润变动金额"/>
                    <w:tag w:val="_GBC_bb6a2259f3cb4519a2b61bbca551d5b6"/>
                    <w:id w:val="2472311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所有者权益内部结转导致股东权益合计变动金额"/>
                    <w:tag w:val="_GBC_cf343c3c4abc44eabdb57be2a6e08c0d"/>
                    <w:id w:val="24723113"/>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1．资本公积转增资本（或股本）</w:t>
                    </w:r>
                  </w:p>
                </w:tc>
                <w:sdt>
                  <w:sdtPr>
                    <w:rPr>
                      <w:sz w:val="15"/>
                      <w:szCs w:val="15"/>
                    </w:rPr>
                    <w:alias w:val="资本公积转增资本（或股本）导致实收资本（或股本）净额变动金额"/>
                    <w:tag w:val="_GBC_ff2032f5c0f8437594aab00a739dec9b"/>
                    <w:id w:val="24723114"/>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资本公积转增资本（或股本）导致其他权益工具中的优先股变动金额"/>
                    <w:tag w:val="_GBC_b663e2a93bba42129bcc683949a06caa"/>
                    <w:id w:val="24723115"/>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资本公积转增资本（或股本）导致其他权益工具中的永续债变动金额"/>
                    <w:tag w:val="_GBC_0532ce73a9f04b13804de1b6dcfe0b60"/>
                    <w:id w:val="24723116"/>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资本公积转增资本（或股本）导致其他权益工具中的其他变动金额"/>
                    <w:tag w:val="_GBC_683eb153c9814909871dbd1eedf8d41a"/>
                    <w:id w:val="24723117"/>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资本公积转增资本（或股本）导致资本公积变动金额"/>
                    <w:tag w:val="_GBC_512c1661e0ee4c04b3059e0e9d3521fd"/>
                    <w:id w:val="24723118"/>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资本公积转增资本（或股本）导致库存股变动金额"/>
                    <w:tag w:val="_GBC_56b9bd3e34de481ca1927b7a1374c4b4"/>
                    <w:id w:val="2472311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资本公积转增资本（或股本）导致其他综合收益变动金额"/>
                    <w:tag w:val="_GBC_f2bd9f769c11472983c39350da993a59"/>
                    <w:id w:val="2472312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资本公积转增资本（或股本）导致专项储备变动金额"/>
                    <w:tag w:val="_GBC_8e1365ef7f33455c9fce1f73d50a966b"/>
                    <w:id w:val="2472312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资本公积转增资本（或股本）导致盈余公积变动金额"/>
                    <w:tag w:val="_GBC_db36c3dc9c91416db3ed552bbeefe0f8"/>
                    <w:id w:val="2472312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1．资本公积转增资本（或股本）一般风险准备"/>
                    <w:tag w:val="_GBC_ce1cc9b039a84261b934a675ee2a0f12"/>
                    <w:id w:val="24723123"/>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资本公积转增资本（或股本）导致未分配利润变动金额"/>
                    <w:tag w:val="_GBC_851b6084e58c47159316442ffef68cda"/>
                    <w:id w:val="2472312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资本公积转增资本（或股本）导致股东权益合计变动金额"/>
                    <w:tag w:val="_GBC_9f9c7b4f316f4d1d93d44cb704ff3614"/>
                    <w:id w:val="24723125"/>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2．盈余公积转增资本（或股本）</w:t>
                    </w:r>
                  </w:p>
                </w:tc>
                <w:sdt>
                  <w:sdtPr>
                    <w:rPr>
                      <w:sz w:val="15"/>
                      <w:szCs w:val="15"/>
                    </w:rPr>
                    <w:alias w:val="盈余公积转增资本（或股本）导致实收资本（或股本）净额变动金额"/>
                    <w:tag w:val="_GBC_05ab8ccf2c394d1dadb702953165e117"/>
                    <w:id w:val="24723126"/>
                    <w:lock w:val="sdtLocked"/>
                    <w:showingPlcHdr/>
                  </w:sdtPr>
                  <w:sdtContent>
                    <w:tc>
                      <w:tcPr>
                        <w:tcW w:w="1454" w:type="dxa"/>
                        <w:tcBorders>
                          <w:right w:val="single" w:sz="4" w:space="0" w:color="auto"/>
                        </w:tcBorders>
                      </w:tcPr>
                      <w:p w:rsidR="00DE031E" w:rsidRPr="00E803EA" w:rsidRDefault="00D4561E" w:rsidP="00DE031E">
                        <w:pPr>
                          <w:jc w:val="right"/>
                          <w:rPr>
                            <w:sz w:val="15"/>
                            <w:szCs w:val="15"/>
                          </w:rPr>
                        </w:pPr>
                        <w:r>
                          <w:rPr>
                            <w:sz w:val="15"/>
                            <w:szCs w:val="15"/>
                          </w:rPr>
                          <w:t xml:space="preserve">     </w:t>
                        </w:r>
                      </w:p>
                    </w:tc>
                  </w:sdtContent>
                </w:sdt>
                <w:sdt>
                  <w:sdtPr>
                    <w:rPr>
                      <w:sz w:val="15"/>
                      <w:szCs w:val="15"/>
                    </w:rPr>
                    <w:alias w:val="盈余公积转增资本（或股本）导致其他权益工具中的优先股变动金额"/>
                    <w:tag w:val="_GBC_1599aa327e2e469184808757ae9d5363"/>
                    <w:id w:val="24723127"/>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盈余公积转增资本（或股本）导致其他权益工具中的永续债变动金额"/>
                    <w:tag w:val="_GBC_0b0b887a4d9b45799cdcfdda5151e824"/>
                    <w:id w:val="24723128"/>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盈余公积转增资本（或股本）导致其他权益工具中的其他变动金额"/>
                    <w:tag w:val="_GBC_fd6e54ce70a6480faf3577cafa2cb680"/>
                    <w:id w:val="24723129"/>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盈余公积转增资本（或股本）导致资本公积变动金额"/>
                    <w:tag w:val="_GBC_111e2a1c41ea41e280a2bbd959cb78c2"/>
                    <w:id w:val="24723130"/>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盈余公积转增资本（或股本）导致库存股变动金额"/>
                    <w:tag w:val="_GBC_c541b52a6ef94c77b6884a0690668973"/>
                    <w:id w:val="2472313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转增资本（或股本）导致其他综合收益变动金额"/>
                    <w:tag w:val="_GBC_fb77f866025049d49865d83252cba772"/>
                    <w:id w:val="2472313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盈余公积转增资本（或股本）导致专项储备变动金额"/>
                    <w:tag w:val="_GBC_80137c95f5154ac095a65742722aab10"/>
                    <w:id w:val="2472313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转增资本（或股本）导致盈余公积变动金额"/>
                    <w:tag w:val="_GBC_c1811c40ab524dfd99896dffe731abbe"/>
                    <w:id w:val="2472313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2．盈余公积转增资本（或股本）一般风险准备"/>
                    <w:tag w:val="_GBC_9a1db7f6ebc443ba9d56e56ceb2f9dd8"/>
                    <w:id w:val="24723135"/>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盈余公积转增资本（或股本）导致未分配利润变动金额"/>
                    <w:tag w:val="_GBC_18bd8d1a97aa468ea84c78ad3758f4b2"/>
                    <w:id w:val="2472313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盈余公积转增资本（或股本）导致股东权益合计变动金额"/>
                    <w:tag w:val="_GBC_10fac68afeae4344b1122b6eb6fdc261"/>
                    <w:id w:val="24723137"/>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3．盈余公积弥补亏损</w:t>
                    </w:r>
                  </w:p>
                </w:tc>
                <w:sdt>
                  <w:sdtPr>
                    <w:rPr>
                      <w:sz w:val="15"/>
                      <w:szCs w:val="15"/>
                    </w:rPr>
                    <w:alias w:val="盈余公积弥补亏损导致实收资本（或股本）净额变动金额"/>
                    <w:tag w:val="_GBC_18d362dcac4f4e8680212bd69a387898"/>
                    <w:id w:val="24723138"/>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盈余公积弥补亏损导致其他权益工具中的优先股变动金额"/>
                    <w:tag w:val="_GBC_91f84f69db1a436598feae098c27b167"/>
                    <w:id w:val="24723139"/>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盈余公积弥补亏损导致其他权益工具中的永续债变动金额"/>
                    <w:tag w:val="_GBC_1da5f07118754afb887062b350e8bf17"/>
                    <w:id w:val="24723140"/>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盈余公积弥补亏损导致其他权益工具中的其他变动金额"/>
                    <w:tag w:val="_GBC_9103e5bc206845aa8dbd0508d576934b"/>
                    <w:id w:val="24723141"/>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盈余公积弥补亏损导致资本公积变动金额"/>
                    <w:tag w:val="_GBC_211def2a622f41df96c1460f441ee473"/>
                    <w:id w:val="24723142"/>
                    <w:lock w:val="sdtLocked"/>
                    <w:showingPlcHdr/>
                  </w:sdtPr>
                  <w:sdtContent>
                    <w:tc>
                      <w:tcPr>
                        <w:tcW w:w="1559" w:type="dxa"/>
                      </w:tcPr>
                      <w:p w:rsidR="00DE031E" w:rsidRPr="00E803EA" w:rsidRDefault="00D65A2F" w:rsidP="00DE031E">
                        <w:pPr>
                          <w:jc w:val="right"/>
                          <w:rPr>
                            <w:sz w:val="15"/>
                            <w:szCs w:val="15"/>
                          </w:rPr>
                        </w:pPr>
                        <w:r>
                          <w:rPr>
                            <w:sz w:val="15"/>
                            <w:szCs w:val="15"/>
                          </w:rPr>
                          <w:t xml:space="preserve">     </w:t>
                        </w:r>
                      </w:p>
                    </w:tc>
                  </w:sdtContent>
                </w:sdt>
                <w:sdt>
                  <w:sdtPr>
                    <w:rPr>
                      <w:sz w:val="15"/>
                      <w:szCs w:val="15"/>
                    </w:rPr>
                    <w:alias w:val="盈余公积弥补亏损导致库存股变动金额"/>
                    <w:tag w:val="_GBC_1a310500ada741aa9110add528620e65"/>
                    <w:id w:val="2472314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弥补亏损导致其他综合收益变动金额"/>
                    <w:tag w:val="_GBC_eb2121c30b6742faae747a0b865fba0b"/>
                    <w:id w:val="2472314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盈余公积弥补亏损导致专项储备变动金额"/>
                    <w:tag w:val="_GBC_74979640a08144068199b6dd9337bf3b"/>
                    <w:id w:val="2472314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弥补亏损导致盈余公积变动金额"/>
                    <w:tag w:val="_GBC_0a2a3ee7c0424d4f957505213262cb48"/>
                    <w:id w:val="2472314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3．盈余公积弥补亏损一般风险准备"/>
                    <w:tag w:val="_GBC_11b002f573b74a8bb92e25a0f9983291"/>
                    <w:id w:val="24723147"/>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盈余公积弥补亏损导致未分配利润变动金额"/>
                    <w:tag w:val="_GBC_0d39f35742c247b2b8eb0f5c31b2cec2"/>
                    <w:id w:val="2472314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盈余公积弥补亏损导致股东权益合计变动金额"/>
                    <w:tag w:val="_GBC_5626953eef0c4a448b1b825870aface8"/>
                    <w:id w:val="24723149"/>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4．其他</w:t>
                    </w:r>
                  </w:p>
                </w:tc>
                <w:sdt>
                  <w:sdtPr>
                    <w:rPr>
                      <w:sz w:val="15"/>
                      <w:szCs w:val="15"/>
                    </w:rPr>
                    <w:alias w:val="其他所有者权益内部结转导致实收资本（或股本）净额变动金额"/>
                    <w:tag w:val="_GBC_bbd9ec5f220e48728b91f2c6c19e6689"/>
                    <w:id w:val="24723150"/>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权益内部结转导致其他权益工具中的优先股变动金额"/>
                    <w:tag w:val="_GBC_398493ebf9544ef7b6811448d08409c9"/>
                    <w:id w:val="24723151"/>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权益内部结转导致其他权益工具中的永续债变动金额"/>
                    <w:tag w:val="_GBC_25cb5a8df6b24507a9954084ff8cc793"/>
                    <w:id w:val="24723152"/>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权益内部结转导致其他权益工具中的其他变动金额"/>
                    <w:tag w:val="_GBC_fa28a6981d9547ec8e8b409b9f14fa8e"/>
                    <w:id w:val="24723153"/>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其他所有者权益内部结转导致资本公积变动金额"/>
                    <w:tag w:val="_GBC_f36a05a8f932420a904adb2e17063830"/>
                    <w:id w:val="24723154"/>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其他所有者权益内部结转导致库存股变动金额"/>
                    <w:tag w:val="_GBC_0910f4c01cac4233a626207a7359e736"/>
                    <w:id w:val="2472315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所有者权益内部结转导致其他综合收益变动金额"/>
                    <w:tag w:val="_GBC_78106e45032a4826865586584c3ee88a"/>
                    <w:id w:val="2472315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所有者权益内部结转导致专项储备变动金额"/>
                    <w:tag w:val="_GBC_776cad4ab17e45cab75580ab97a8048e"/>
                    <w:id w:val="2472315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所有者权益内部结转导致盈余公积变动金额"/>
                    <w:tag w:val="_GBC_d8907f585264468ca81449a2aa0b5cf5"/>
                    <w:id w:val="2472315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4．其他一般风险准备"/>
                    <w:tag w:val="_GBC_379fdbf5d58c4f299dcdedcaddf11c74"/>
                    <w:id w:val="24723159"/>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其他所有者权益内部结转导致未分配利润变动金额"/>
                    <w:tag w:val="_GBC_3ebfcf1081464f7c8d1f2e6cadfeb5d8"/>
                    <w:id w:val="2472316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所有者权益内部结转导致股东权益合计变动金额"/>
                    <w:tag w:val="_GBC_502a9b0eafeb41ea801a48f982784fd9"/>
                    <w:id w:val="24723161"/>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vAlign w:val="center"/>
                  </w:tcPr>
                  <w:p w:rsidR="00DE031E" w:rsidRPr="00E803EA" w:rsidRDefault="001C1A59" w:rsidP="00DE031E">
                    <w:pPr>
                      <w:rPr>
                        <w:sz w:val="15"/>
                        <w:szCs w:val="15"/>
                      </w:rPr>
                    </w:pPr>
                    <w:r w:rsidRPr="00E803EA">
                      <w:rPr>
                        <w:rFonts w:hint="eastAsia"/>
                        <w:sz w:val="15"/>
                        <w:szCs w:val="15"/>
                      </w:rPr>
                      <w:t xml:space="preserve"> （五）专项储备</w:t>
                    </w:r>
                  </w:p>
                </w:tc>
                <w:sdt>
                  <w:sdtPr>
                    <w:rPr>
                      <w:sz w:val="15"/>
                      <w:szCs w:val="15"/>
                    </w:rPr>
                    <w:alias w:val="专项储备导致实收资本（或股本）净额变动金额"/>
                    <w:tag w:val="_GBC_16423acb42694b0695a2b2cafbbef02a"/>
                    <w:id w:val="24723162"/>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专项储备导致其他权益工具中的优先股变动金额"/>
                    <w:tag w:val="_GBC_60b0f5bee3f44e29beb8767aaf542091"/>
                    <w:id w:val="24723163"/>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专项储备导致其他权益工具中的永续债变动金额"/>
                    <w:tag w:val="_GBC_f31181741e8e4e219c8b9691143ef81a"/>
                    <w:id w:val="24723164"/>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专项储备导致其他权益工具中的其他变动金额"/>
                    <w:tag w:val="_GBC_08adf9ba44254d4d87885db813405685"/>
                    <w:id w:val="24723165"/>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专项储备导致资本公积变动金额"/>
                    <w:tag w:val="_GBC_3b000383778d4171b7d53dc7b1047036"/>
                    <w:id w:val="24723166"/>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专项储备导致库存股变动金额"/>
                    <w:tag w:val="_GBC_0209c77ced654f8589e1c43c49062e08"/>
                    <w:id w:val="2472316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专项储备导致其他综合收益变动金额"/>
                    <w:tag w:val="_GBC_c0351e15d055493ea8e603a4ff5ef594"/>
                    <w:id w:val="2472316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专项储备导致专项储备变动金额"/>
                    <w:tag w:val="_GBC_fc574a847bc041af8f2298715be5a0fc"/>
                    <w:id w:val="2472316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专项储备导致盈余公积变动金额"/>
                    <w:tag w:val="_GBC_a43bf81f3d4c446b9e25984a0b46d0d5"/>
                    <w:id w:val="2472317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五）专项储备一般风险准备"/>
                    <w:tag w:val="_GBC_a269ffbe4f0f48c7bcfc7f25361616ac"/>
                    <w:id w:val="24723171"/>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专项储备导致未分配利润变动金额"/>
                    <w:tag w:val="_GBC_964a0481c188400891441b6e98e63b81"/>
                    <w:id w:val="2472317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专项储备导致股东权益合计变动金额"/>
                    <w:tag w:val="_GBC_6c058e4ea0bd48a1a046d188fdffedce"/>
                    <w:id w:val="24723173"/>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vAlign w:val="center"/>
                  </w:tcPr>
                  <w:p w:rsidR="00DE031E" w:rsidRPr="00E803EA" w:rsidRDefault="001C1A59" w:rsidP="00DE031E">
                    <w:pPr>
                      <w:rPr>
                        <w:sz w:val="15"/>
                        <w:szCs w:val="15"/>
                      </w:rPr>
                    </w:pPr>
                    <w:r w:rsidRPr="00E803EA">
                      <w:rPr>
                        <w:rFonts w:hint="eastAsia"/>
                        <w:sz w:val="15"/>
                        <w:szCs w:val="15"/>
                      </w:rPr>
                      <w:t>1．本期提取</w:t>
                    </w:r>
                  </w:p>
                </w:tc>
                <w:sdt>
                  <w:sdtPr>
                    <w:rPr>
                      <w:sz w:val="15"/>
                      <w:szCs w:val="15"/>
                    </w:rPr>
                    <w:alias w:val="提取导致实收资本（或股本）净额变动金额"/>
                    <w:tag w:val="_GBC_d42b1b7466004cff9b9894673ba32ec4"/>
                    <w:id w:val="24723174"/>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提取导致其他权益工具中的优先股变动金额"/>
                    <w:tag w:val="_GBC_af3e9a3f720943edba9d52561c530a2e"/>
                    <w:id w:val="24723175"/>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提取导致其他权益工具中的永续债变动金额"/>
                    <w:tag w:val="_GBC_574f241d49014f96befc74c64cabae90"/>
                    <w:id w:val="24723176"/>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提取导致其他权益工具中的其他变动金额"/>
                    <w:tag w:val="_GBC_a497914c83154d6db512aff70aa71d10"/>
                    <w:id w:val="24723177"/>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提取导致资本公积变动金额"/>
                    <w:tag w:val="_GBC_5bfa1dfd49ba4c7889062ebbce0f984d"/>
                    <w:id w:val="24723178"/>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提取导致库存股变动金额"/>
                    <w:tag w:val="_GBC_8c60b1e530fc4237b0fd1df115cc1953"/>
                    <w:id w:val="24723179"/>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提取导致其他综合收益变动金额"/>
                    <w:tag w:val="_GBC_b454a79c4ad041f9b38f5cb31fb02846"/>
                    <w:id w:val="24723180"/>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提取导致专项储备变动金额"/>
                    <w:tag w:val="_GBC_1265224a3ae24f2ba7f55a42e26a768e"/>
                    <w:id w:val="2472318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提取导致盈余公积变动金额"/>
                    <w:tag w:val="_GBC_b26e4b07d5b44ae993d34be707e070de"/>
                    <w:id w:val="2472318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1．本期提取一般风险准备"/>
                    <w:tag w:val="_GBC_a4cdcbb1f7d94b3989d017147cb49d76"/>
                    <w:id w:val="24723183"/>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提取导致未分配利润变动金额"/>
                    <w:tag w:val="_GBC_2af5bf5741af44a7b0eab574cc274132"/>
                    <w:id w:val="2472318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提取导致股东权益合计变动金额"/>
                    <w:tag w:val="_GBC_989b4dbe92064a3f815763b785f59124"/>
                    <w:id w:val="24723185"/>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vAlign w:val="center"/>
                  </w:tcPr>
                  <w:p w:rsidR="00DE031E" w:rsidRPr="00E803EA" w:rsidRDefault="001C1A59" w:rsidP="00DE031E">
                    <w:pPr>
                      <w:rPr>
                        <w:sz w:val="15"/>
                        <w:szCs w:val="15"/>
                      </w:rPr>
                    </w:pPr>
                    <w:r w:rsidRPr="00E803EA">
                      <w:rPr>
                        <w:rFonts w:hint="eastAsia"/>
                        <w:sz w:val="15"/>
                        <w:szCs w:val="15"/>
                      </w:rPr>
                      <w:t>2．本期使用</w:t>
                    </w:r>
                  </w:p>
                </w:tc>
                <w:sdt>
                  <w:sdtPr>
                    <w:rPr>
                      <w:sz w:val="15"/>
                      <w:szCs w:val="15"/>
                    </w:rPr>
                    <w:alias w:val="使用导致实收资本（或股本）净额变动金额"/>
                    <w:tag w:val="_GBC_07921bde4543446eb49d7816aa9085f8"/>
                    <w:id w:val="24723186"/>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使用导致其他权益工具中的优先股变动金额"/>
                    <w:tag w:val="_GBC_0899fc749554452f92eb05b272792215"/>
                    <w:id w:val="24723187"/>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使用导致其他权益工具中的永续债变动金额"/>
                    <w:tag w:val="_GBC_75a5cd845c8e42ac83faa919751a97d7"/>
                    <w:id w:val="24723188"/>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使用导致其他权益工具中的其他变动金额"/>
                    <w:tag w:val="_GBC_5478bfe0a4e8437a85a33dbdd0e83955"/>
                    <w:id w:val="24723189"/>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使用导致资本公积变动金额"/>
                    <w:tag w:val="_GBC_ee1beb58d4f743589e4cc6fe1de4857f"/>
                    <w:id w:val="24723190"/>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使用导致库存股变动金额"/>
                    <w:tag w:val="_GBC_79fd122f2bdc4bddb02d63a63664b1ef"/>
                    <w:id w:val="24723191"/>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使用导致其他综合收益变动金额"/>
                    <w:tag w:val="_GBC_515312e8f58d46fcb141a33ef470ffc7"/>
                    <w:id w:val="24723192"/>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使用导致专项储备变动金额"/>
                    <w:tag w:val="_GBC_fb8f6dedd4dd4b1db6adc45ddf431787"/>
                    <w:id w:val="2472319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使用导致盈余公积变动金额"/>
                    <w:tag w:val="_GBC_f0077688fbde4b90b023fa92155c9ee4"/>
                    <w:id w:val="2472319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2．本期使用一般风险准备"/>
                    <w:tag w:val="_GBC_1e457bb70ec74812be400c8f329f7f5c"/>
                    <w:id w:val="24723195"/>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使用导致未分配利润变动金额"/>
                    <w:tag w:val="_GBC_d78855aa0d374cce9bfcebd9d8606bac"/>
                    <w:id w:val="2472319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使用导致股东权益合计变动金额"/>
                    <w:tag w:val="_GBC_3e32d12c40e742948d631aa8f7778789"/>
                    <w:id w:val="24723197"/>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rFonts w:hint="eastAsia"/>
                        <w:sz w:val="15"/>
                        <w:szCs w:val="15"/>
                      </w:rPr>
                      <w:t>（六）其他</w:t>
                    </w:r>
                  </w:p>
                </w:tc>
                <w:sdt>
                  <w:sdtPr>
                    <w:rPr>
                      <w:sz w:val="15"/>
                      <w:szCs w:val="15"/>
                    </w:rPr>
                    <w:alias w:val="其他导致实收资本（或股本）净额变动金额"/>
                    <w:tag w:val="_GBC_71a27117a2ae4eba9f1467134211f92b"/>
                    <w:id w:val="24723198"/>
                    <w:lock w:val="sdtLocked"/>
                  </w:sdtPr>
                  <w:sdtContent>
                    <w:tc>
                      <w:tcPr>
                        <w:tcW w:w="1454" w:type="dxa"/>
                        <w:tcBorders>
                          <w:right w:val="single" w:sz="4" w:space="0" w:color="auto"/>
                        </w:tcBorders>
                      </w:tcPr>
                      <w:p w:rsidR="00DE031E" w:rsidRPr="00E803EA" w:rsidRDefault="00DE031E" w:rsidP="00DE031E">
                        <w:pPr>
                          <w:jc w:val="right"/>
                          <w:rPr>
                            <w:sz w:val="15"/>
                            <w:szCs w:val="15"/>
                          </w:rPr>
                        </w:pPr>
                      </w:p>
                    </w:tc>
                  </w:sdtContent>
                </w:sdt>
                <w:sdt>
                  <w:sdtPr>
                    <w:rPr>
                      <w:sz w:val="15"/>
                      <w:szCs w:val="15"/>
                    </w:rPr>
                    <w:alias w:val="其他导致其他权益工具中的优先股变动金额"/>
                    <w:tag w:val="_GBC_cdae179ccd124b27a2863808a4ab6b53"/>
                    <w:id w:val="24723199"/>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导致其他权益工具中的永续债变动金额"/>
                    <w:tag w:val="_GBC_db2da6802d9c4534bd4a125a4a2b8a6e"/>
                    <w:id w:val="24723200"/>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导致其他权益工具中的其他变动金额"/>
                    <w:tag w:val="_GBC_c632a3243e4941b48477298ae28e0975"/>
                    <w:id w:val="24723201"/>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其他导致资本公积变动金额"/>
                    <w:tag w:val="_GBC_af9fea912b3242869b1e3170aede5d07"/>
                    <w:id w:val="24723202"/>
                    <w:lock w:val="sdtLocked"/>
                  </w:sdtPr>
                  <w:sdtContent>
                    <w:tc>
                      <w:tcPr>
                        <w:tcW w:w="1559" w:type="dxa"/>
                      </w:tcPr>
                      <w:p w:rsidR="00DE031E" w:rsidRPr="00E803EA" w:rsidRDefault="00DE031E" w:rsidP="00DE031E">
                        <w:pPr>
                          <w:jc w:val="right"/>
                          <w:rPr>
                            <w:sz w:val="15"/>
                            <w:szCs w:val="15"/>
                          </w:rPr>
                        </w:pPr>
                      </w:p>
                    </w:tc>
                  </w:sdtContent>
                </w:sdt>
                <w:sdt>
                  <w:sdtPr>
                    <w:rPr>
                      <w:sz w:val="15"/>
                      <w:szCs w:val="15"/>
                    </w:rPr>
                    <w:alias w:val="其他导致库存股变动金额"/>
                    <w:tag w:val="_GBC_07493c16ad40469593169c9f0d17f41d"/>
                    <w:id w:val="24723203"/>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导致其他综合收益变动金额"/>
                    <w:tag w:val="_GBC_77a0dba7bd3f4de6b5a9a804c3a55173"/>
                    <w:id w:val="24723204"/>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导致专项储备变动金额"/>
                    <w:tag w:val="_GBC_bf060dfc588a48949fa9fdd4b1978a2c"/>
                    <w:id w:val="2472320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导致盈余公积变动金额"/>
                    <w:tag w:val="_GBC_272be9a209e44c10b11e86a90487a9e1"/>
                    <w:id w:val="24723206"/>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六）其他一般风险准备"/>
                    <w:tag w:val="_GBC_36ca84e5f68944ac8c5427636a40f7dc"/>
                    <w:id w:val="24723207"/>
                    <w:lock w:val="sdtLocked"/>
                  </w:sdtPr>
                  <w:sdtContent>
                    <w:tc>
                      <w:tcPr>
                        <w:tcW w:w="1418" w:type="dxa"/>
                      </w:tcPr>
                      <w:p w:rsidR="00DE031E" w:rsidRPr="00E803EA" w:rsidRDefault="00DE031E" w:rsidP="00DE031E">
                        <w:pPr>
                          <w:jc w:val="right"/>
                          <w:rPr>
                            <w:sz w:val="15"/>
                            <w:szCs w:val="15"/>
                          </w:rPr>
                        </w:pPr>
                      </w:p>
                    </w:tc>
                  </w:sdtContent>
                </w:sdt>
                <w:sdt>
                  <w:sdtPr>
                    <w:rPr>
                      <w:sz w:val="15"/>
                      <w:szCs w:val="15"/>
                    </w:rPr>
                    <w:alias w:val="其他导致未分配利润变动金额"/>
                    <w:tag w:val="_GBC_a7e13d85a61840a8ac4aedcdd3303cdd"/>
                    <w:id w:val="24723208"/>
                    <w:lock w:val="sdtLocked"/>
                  </w:sdtPr>
                  <w:sdtContent>
                    <w:tc>
                      <w:tcPr>
                        <w:tcW w:w="1417" w:type="dxa"/>
                      </w:tcPr>
                      <w:p w:rsidR="00DE031E" w:rsidRPr="00E803EA" w:rsidRDefault="00DE031E" w:rsidP="00DE031E">
                        <w:pPr>
                          <w:jc w:val="right"/>
                          <w:rPr>
                            <w:sz w:val="15"/>
                            <w:szCs w:val="15"/>
                          </w:rPr>
                        </w:pPr>
                      </w:p>
                    </w:tc>
                  </w:sdtContent>
                </w:sdt>
                <w:sdt>
                  <w:sdtPr>
                    <w:rPr>
                      <w:sz w:val="15"/>
                      <w:szCs w:val="15"/>
                    </w:rPr>
                    <w:alias w:val="其他导致股东权益合计变动金额"/>
                    <w:tag w:val="_GBC_1115ce83c5b54592aadda82104dd1cd7"/>
                    <w:id w:val="24723209"/>
                    <w:lock w:val="sdtLocked"/>
                  </w:sdtPr>
                  <w:sdtContent>
                    <w:tc>
                      <w:tcPr>
                        <w:tcW w:w="1558" w:type="dxa"/>
                      </w:tcPr>
                      <w:p w:rsidR="00DE031E" w:rsidRPr="00E803EA" w:rsidRDefault="00DE031E" w:rsidP="00DE031E">
                        <w:pPr>
                          <w:jc w:val="right"/>
                          <w:rPr>
                            <w:sz w:val="15"/>
                            <w:szCs w:val="15"/>
                          </w:rPr>
                        </w:pPr>
                      </w:p>
                    </w:tc>
                  </w:sdtContent>
                </w:sdt>
              </w:tr>
              <w:tr w:rsidR="00DE031E" w:rsidRPr="00E803EA" w:rsidTr="00DE031E">
                <w:trPr>
                  <w:trHeight w:val="20"/>
                  <w:jc w:val="center"/>
                </w:trPr>
                <w:tc>
                  <w:tcPr>
                    <w:tcW w:w="2575" w:type="dxa"/>
                  </w:tcPr>
                  <w:p w:rsidR="00DE031E" w:rsidRPr="00E803EA" w:rsidRDefault="001C1A59" w:rsidP="00DE031E">
                    <w:pPr>
                      <w:rPr>
                        <w:sz w:val="15"/>
                        <w:szCs w:val="15"/>
                      </w:rPr>
                    </w:pPr>
                    <w:r w:rsidRPr="00E803EA">
                      <w:rPr>
                        <w:sz w:val="15"/>
                        <w:szCs w:val="15"/>
                      </w:rPr>
                      <w:t>四、本期期末余额</w:t>
                    </w:r>
                  </w:p>
                </w:tc>
                <w:sdt>
                  <w:sdtPr>
                    <w:rPr>
                      <w:sz w:val="15"/>
                      <w:szCs w:val="15"/>
                    </w:rPr>
                    <w:alias w:val="股本"/>
                    <w:tag w:val="_GBC_be99164bc6754894808d9f31b7d5a3ce"/>
                    <w:id w:val="24723210"/>
                    <w:lock w:val="sdtLocked"/>
                  </w:sdtPr>
                  <w:sdtContent>
                    <w:tc>
                      <w:tcPr>
                        <w:tcW w:w="1454" w:type="dxa"/>
                        <w:tcBorders>
                          <w:right w:val="single" w:sz="4" w:space="0" w:color="auto"/>
                        </w:tcBorders>
                      </w:tcPr>
                      <w:p w:rsidR="00DE031E" w:rsidRPr="00E803EA" w:rsidRDefault="001C1A59" w:rsidP="00DE031E">
                        <w:pPr>
                          <w:jc w:val="right"/>
                          <w:rPr>
                            <w:sz w:val="15"/>
                            <w:szCs w:val="15"/>
                          </w:rPr>
                        </w:pPr>
                        <w:r w:rsidRPr="00E803EA">
                          <w:rPr>
                            <w:sz w:val="15"/>
                            <w:szCs w:val="15"/>
                          </w:rPr>
                          <w:t>5,808,135,529.00</w:t>
                        </w:r>
                      </w:p>
                    </w:tc>
                  </w:sdtContent>
                </w:sdt>
                <w:sdt>
                  <w:sdtPr>
                    <w:rPr>
                      <w:sz w:val="15"/>
                      <w:szCs w:val="15"/>
                    </w:rPr>
                    <w:alias w:val="其他权益工具-其中：优先股"/>
                    <w:tag w:val="_GBC_4f2b8fbe744540319940bb01b22bc445"/>
                    <w:id w:val="24723211"/>
                    <w:lock w:val="sdtLocked"/>
                  </w:sdtPr>
                  <w:sdtContent>
                    <w:tc>
                      <w:tcPr>
                        <w:tcW w:w="388"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永续债"/>
                    <w:tag w:val="_GBC_051497d8fd6e4a2cb1cfdaee3f94d3dc"/>
                    <w:id w:val="24723212"/>
                    <w:lock w:val="sdtLocked"/>
                  </w:sdtPr>
                  <w:sdtContent>
                    <w:tc>
                      <w:tcPr>
                        <w:tcW w:w="426" w:type="dxa"/>
                        <w:tcBorders>
                          <w:left w:val="single" w:sz="4" w:space="0" w:color="auto"/>
                          <w:right w:val="single" w:sz="4" w:space="0" w:color="auto"/>
                        </w:tcBorders>
                      </w:tcPr>
                      <w:p w:rsidR="00DE031E" w:rsidRPr="00E803EA" w:rsidRDefault="00DE031E" w:rsidP="00DE031E">
                        <w:pPr>
                          <w:jc w:val="right"/>
                          <w:rPr>
                            <w:sz w:val="15"/>
                            <w:szCs w:val="15"/>
                          </w:rPr>
                        </w:pPr>
                      </w:p>
                    </w:tc>
                  </w:sdtContent>
                </w:sdt>
                <w:sdt>
                  <w:sdtPr>
                    <w:rPr>
                      <w:sz w:val="15"/>
                      <w:szCs w:val="15"/>
                    </w:rPr>
                    <w:alias w:val="其他权益工具-其他"/>
                    <w:tag w:val="_GBC_65e9aa85a0134244afe0cf60975c863d"/>
                    <w:id w:val="24723213"/>
                    <w:lock w:val="sdtLocked"/>
                  </w:sdtPr>
                  <w:sdtContent>
                    <w:tc>
                      <w:tcPr>
                        <w:tcW w:w="425" w:type="dxa"/>
                        <w:tcBorders>
                          <w:left w:val="single" w:sz="4" w:space="0" w:color="auto"/>
                        </w:tcBorders>
                      </w:tcPr>
                      <w:p w:rsidR="00DE031E" w:rsidRPr="00E803EA" w:rsidRDefault="00DE031E" w:rsidP="00DE031E">
                        <w:pPr>
                          <w:jc w:val="right"/>
                          <w:rPr>
                            <w:sz w:val="15"/>
                            <w:szCs w:val="15"/>
                          </w:rPr>
                        </w:pPr>
                      </w:p>
                    </w:tc>
                  </w:sdtContent>
                </w:sdt>
                <w:sdt>
                  <w:sdtPr>
                    <w:rPr>
                      <w:sz w:val="15"/>
                      <w:szCs w:val="15"/>
                    </w:rPr>
                    <w:alias w:val="资本公积"/>
                    <w:tag w:val="_GBC_4bec7a0c51fd4f2c804bc26d32cbcd67"/>
                    <w:id w:val="24723214"/>
                    <w:lock w:val="sdtLocked"/>
                  </w:sdtPr>
                  <w:sdtContent>
                    <w:tc>
                      <w:tcPr>
                        <w:tcW w:w="1559" w:type="dxa"/>
                      </w:tcPr>
                      <w:p w:rsidR="00DE031E" w:rsidRPr="00E803EA" w:rsidRDefault="001C1A59" w:rsidP="00DE031E">
                        <w:pPr>
                          <w:jc w:val="right"/>
                          <w:rPr>
                            <w:sz w:val="15"/>
                            <w:szCs w:val="15"/>
                          </w:rPr>
                        </w:pPr>
                        <w:r w:rsidRPr="00E803EA">
                          <w:rPr>
                            <w:sz w:val="15"/>
                            <w:szCs w:val="15"/>
                          </w:rPr>
                          <w:t>19,403,877,003.80</w:t>
                        </w:r>
                      </w:p>
                    </w:tc>
                  </w:sdtContent>
                </w:sdt>
                <w:sdt>
                  <w:sdtPr>
                    <w:rPr>
                      <w:sz w:val="15"/>
                      <w:szCs w:val="15"/>
                    </w:rPr>
                    <w:alias w:val="库存股"/>
                    <w:tag w:val="_GBC_7837edf6c4f944bd854a84a6d6988115"/>
                    <w:id w:val="24723215"/>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其他综合收益（资产负债表项目）"/>
                    <w:tag w:val="_GBC_9ebbd78ed9ad4fd19efc1a6f2fc5b26f"/>
                    <w:id w:val="24723216"/>
                    <w:lock w:val="sdtLocked"/>
                  </w:sdtPr>
                  <w:sdtContent>
                    <w:tc>
                      <w:tcPr>
                        <w:tcW w:w="1417" w:type="dxa"/>
                      </w:tcPr>
                      <w:p w:rsidR="00DE031E" w:rsidRPr="00E803EA" w:rsidRDefault="001C1A59" w:rsidP="00DE031E">
                        <w:pPr>
                          <w:jc w:val="right"/>
                          <w:rPr>
                            <w:sz w:val="15"/>
                            <w:szCs w:val="15"/>
                          </w:rPr>
                        </w:pPr>
                        <w:r w:rsidRPr="00E803EA">
                          <w:rPr>
                            <w:sz w:val="15"/>
                            <w:szCs w:val="15"/>
                          </w:rPr>
                          <w:t>-22,821,676.08</w:t>
                        </w:r>
                      </w:p>
                    </w:tc>
                  </w:sdtContent>
                </w:sdt>
                <w:sdt>
                  <w:sdtPr>
                    <w:rPr>
                      <w:sz w:val="15"/>
                      <w:szCs w:val="15"/>
                    </w:rPr>
                    <w:alias w:val="专项储备"/>
                    <w:tag w:val="_GBC_f1716e2c86364ffd9a8ca3852da24352"/>
                    <w:id w:val="24723217"/>
                    <w:lock w:val="sdtLocked"/>
                  </w:sdtPr>
                  <w:sdtContent>
                    <w:tc>
                      <w:tcPr>
                        <w:tcW w:w="284" w:type="dxa"/>
                      </w:tcPr>
                      <w:p w:rsidR="00DE031E" w:rsidRPr="00E803EA" w:rsidRDefault="00DE031E" w:rsidP="00DE031E">
                        <w:pPr>
                          <w:jc w:val="right"/>
                          <w:rPr>
                            <w:sz w:val="15"/>
                            <w:szCs w:val="15"/>
                          </w:rPr>
                        </w:pPr>
                      </w:p>
                    </w:tc>
                  </w:sdtContent>
                </w:sdt>
                <w:sdt>
                  <w:sdtPr>
                    <w:rPr>
                      <w:sz w:val="15"/>
                      <w:szCs w:val="15"/>
                    </w:rPr>
                    <w:alias w:val="盈余公积"/>
                    <w:tag w:val="_GBC_877a978213b84cbb93abc4b6fef17cd9"/>
                    <w:id w:val="24723218"/>
                    <w:lock w:val="sdtLocked"/>
                  </w:sdtPr>
                  <w:sdtContent>
                    <w:tc>
                      <w:tcPr>
                        <w:tcW w:w="1417" w:type="dxa"/>
                      </w:tcPr>
                      <w:p w:rsidR="00DE031E" w:rsidRPr="00E803EA" w:rsidRDefault="001C1A59" w:rsidP="00DE031E">
                        <w:pPr>
                          <w:jc w:val="right"/>
                          <w:rPr>
                            <w:sz w:val="15"/>
                            <w:szCs w:val="15"/>
                          </w:rPr>
                        </w:pPr>
                        <w:r w:rsidRPr="00E803EA">
                          <w:rPr>
                            <w:sz w:val="15"/>
                            <w:szCs w:val="15"/>
                          </w:rPr>
                          <w:t>2,025,918,119.83</w:t>
                        </w:r>
                      </w:p>
                    </w:tc>
                  </w:sdtContent>
                </w:sdt>
                <w:sdt>
                  <w:sdtPr>
                    <w:rPr>
                      <w:sz w:val="15"/>
                      <w:szCs w:val="15"/>
                    </w:rPr>
                    <w:alias w:val="四、本期期末余额一般风险准备"/>
                    <w:tag w:val="_GBC_bc873cf529cc440faa883718e289a578"/>
                    <w:id w:val="24723219"/>
                    <w:lock w:val="sdtLocked"/>
                  </w:sdtPr>
                  <w:sdtContent>
                    <w:tc>
                      <w:tcPr>
                        <w:tcW w:w="1418" w:type="dxa"/>
                      </w:tcPr>
                      <w:p w:rsidR="00DE031E" w:rsidRPr="00E803EA" w:rsidRDefault="001C1A59" w:rsidP="00DE031E">
                        <w:pPr>
                          <w:jc w:val="right"/>
                          <w:rPr>
                            <w:sz w:val="15"/>
                            <w:szCs w:val="15"/>
                          </w:rPr>
                        </w:pPr>
                        <w:r w:rsidRPr="00E803EA">
                          <w:rPr>
                            <w:sz w:val="15"/>
                            <w:szCs w:val="15"/>
                          </w:rPr>
                          <w:t>3,923,023,233.10</w:t>
                        </w:r>
                      </w:p>
                    </w:tc>
                  </w:sdtContent>
                </w:sdt>
                <w:sdt>
                  <w:sdtPr>
                    <w:rPr>
                      <w:sz w:val="15"/>
                      <w:szCs w:val="15"/>
                    </w:rPr>
                    <w:alias w:val="未分配利润"/>
                    <w:tag w:val="_GBC_e98ccb6ea3e148279ba9025302cc04fc"/>
                    <w:id w:val="24723220"/>
                    <w:lock w:val="sdtLocked"/>
                  </w:sdtPr>
                  <w:sdtContent>
                    <w:tc>
                      <w:tcPr>
                        <w:tcW w:w="1417" w:type="dxa"/>
                      </w:tcPr>
                      <w:p w:rsidR="00DE031E" w:rsidRPr="00E803EA" w:rsidRDefault="001C1A59" w:rsidP="00DE031E">
                        <w:pPr>
                          <w:jc w:val="right"/>
                          <w:rPr>
                            <w:sz w:val="15"/>
                            <w:szCs w:val="15"/>
                          </w:rPr>
                        </w:pPr>
                        <w:r w:rsidRPr="00E803EA">
                          <w:rPr>
                            <w:sz w:val="15"/>
                            <w:szCs w:val="15"/>
                          </w:rPr>
                          <w:t>7,926,556,819.24</w:t>
                        </w:r>
                      </w:p>
                    </w:tc>
                  </w:sdtContent>
                </w:sdt>
                <w:sdt>
                  <w:sdtPr>
                    <w:rPr>
                      <w:sz w:val="15"/>
                      <w:szCs w:val="15"/>
                    </w:rPr>
                    <w:alias w:val="股东权益合计"/>
                    <w:tag w:val="_GBC_bb953d41b7474a6a9306e2072ea08354"/>
                    <w:id w:val="24723221"/>
                    <w:lock w:val="sdtLocked"/>
                  </w:sdtPr>
                  <w:sdtContent>
                    <w:tc>
                      <w:tcPr>
                        <w:tcW w:w="1558" w:type="dxa"/>
                      </w:tcPr>
                      <w:p w:rsidR="00DE031E" w:rsidRPr="00E803EA" w:rsidRDefault="001C1A59" w:rsidP="00DE031E">
                        <w:pPr>
                          <w:jc w:val="right"/>
                          <w:rPr>
                            <w:sz w:val="15"/>
                            <w:szCs w:val="15"/>
                          </w:rPr>
                        </w:pPr>
                        <w:r w:rsidRPr="00E803EA">
                          <w:rPr>
                            <w:sz w:val="15"/>
                            <w:szCs w:val="15"/>
                          </w:rPr>
                          <w:t>39,064,689,028.89</w:t>
                        </w:r>
                      </w:p>
                    </w:tc>
                  </w:sdtContent>
                </w:sdt>
              </w:tr>
            </w:tbl>
            <w:p w:rsidR="00DE031E" w:rsidRDefault="00DE031E"/>
            <w:p w:rsidR="00DE031E" w:rsidRDefault="001C1A5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24723222"/>
                  <w:lock w:val="sdtLocked"/>
                  <w:placeholder>
                    <w:docPart w:val="GBC22222222222222222222222222222"/>
                  </w:placeholder>
                  <w:dataBinding w:prefixMappings="xmlns:clcid-cgi='clcid-cgi'" w:xpath="/*/clcid-cgi:GongSiFaDingDaiBiaoRen" w:storeItemID="{89EBAB94-44A0-46A2-B712-30D997D04A6D}"/>
                  <w:text/>
                </w:sdtPr>
                <w:sdtContent>
                  <w:r w:rsidR="00A9773C">
                    <w:rPr>
                      <w:rFonts w:hint="eastAsia"/>
                      <w:szCs w:val="21"/>
                    </w:rPr>
                    <w:t xml:space="preserve">宫少林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24723223"/>
                  <w:lock w:val="sdtLocked"/>
                  <w:placeholder>
                    <w:docPart w:val="GBC22222222222222222222222222222"/>
                  </w:placeholder>
                  <w:dataBinding w:prefixMappings="xmlns:clcid-mr='clcid-mr'" w:xpath="/*/clcid-mr:ZhuGuanKuaiJiGongZuoFuZeRenXingMing" w:storeItemID="{89EBAB94-44A0-46A2-B712-30D997D04A6D}"/>
                  <w:text/>
                </w:sdtPr>
                <w:sdtContent>
                  <w:r w:rsidR="00A82E13">
                    <w:rPr>
                      <w:rFonts w:hint="eastAsia"/>
                      <w:szCs w:val="21"/>
                    </w:rPr>
                    <w:t xml:space="preserve">邓晓力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4723224"/>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车晓昕</w:t>
                  </w:r>
                </w:sdtContent>
              </w:sdt>
            </w:p>
          </w:sdtContent>
        </w:sdt>
        <w:p w:rsidR="00DE031E" w:rsidRDefault="00422DCA">
          <w:pPr>
            <w:rPr>
              <w:color w:val="FF0000"/>
            </w:rPr>
          </w:pPr>
        </w:p>
      </w:sdtContent>
    </w:sdt>
    <w:p w:rsidR="00DE031E" w:rsidRDefault="00DE031E">
      <w:pPr>
        <w:snapToGrid w:val="0"/>
        <w:spacing w:line="240" w:lineRule="atLeast"/>
        <w:rPr>
          <w:szCs w:val="21"/>
        </w:rPr>
        <w:sectPr w:rsidR="00DE031E" w:rsidSect="000F6CCA">
          <w:headerReference w:type="default" r:id="rId16"/>
          <w:pgSz w:w="16838" w:h="11906" w:orient="landscape"/>
          <w:pgMar w:top="1797" w:right="1525" w:bottom="1276" w:left="1440" w:header="856" w:footer="992" w:gutter="0"/>
          <w:cols w:space="425"/>
          <w:docGrid w:linePitch="312"/>
        </w:sectPr>
      </w:pPr>
    </w:p>
    <w:sdt>
      <w:sdtPr>
        <w:rPr>
          <w:rFonts w:ascii="宋体" w:eastAsia="华文中宋" w:hAnsi="宋体" w:cs="宋体"/>
          <w:b w:val="0"/>
          <w:bCs w:val="0"/>
          <w:color w:val="000000"/>
          <w:kern w:val="0"/>
          <w:sz w:val="24"/>
          <w:szCs w:val="24"/>
        </w:rPr>
        <w:tag w:val="_GBC_c49d72d4b04e4ead97addb731e9b6458"/>
        <w:id w:val="24723229"/>
        <w:lock w:val="sdtLocked"/>
        <w:placeholder>
          <w:docPart w:val="GBC22222222222222222222222222222"/>
        </w:placeholder>
      </w:sdtPr>
      <w:sdtEndPr>
        <w:rPr>
          <w:rFonts w:ascii="华文中宋" w:hAnsi="Times New Roman" w:cs="Times New Roman" w:hint="eastAsia"/>
          <w:kern w:val="2"/>
        </w:rPr>
      </w:sdtEndPr>
      <w:sdtContent>
        <w:p w:rsidR="00DE031E" w:rsidRDefault="001C1A59" w:rsidP="009950AC">
          <w:pPr>
            <w:pStyle w:val="2"/>
            <w:numPr>
              <w:ilvl w:val="0"/>
              <w:numId w:val="30"/>
            </w:numPr>
            <w:spacing w:line="360" w:lineRule="auto"/>
            <w:rPr>
              <w:rFonts w:ascii="宋体" w:hAnsi="宋体"/>
            </w:rPr>
          </w:pPr>
          <w:r>
            <w:rPr>
              <w:rFonts w:ascii="宋体" w:hAnsi="宋体"/>
            </w:rPr>
            <w:t>公司基本情况</w:t>
          </w:r>
        </w:p>
        <w:p w:rsidR="00DE031E" w:rsidRDefault="001C1A59" w:rsidP="009950AC">
          <w:pPr>
            <w:pStyle w:val="3"/>
            <w:numPr>
              <w:ilvl w:val="0"/>
              <w:numId w:val="33"/>
            </w:numPr>
            <w:spacing w:line="360" w:lineRule="auto"/>
          </w:pPr>
          <w:r>
            <w:rPr>
              <w:rFonts w:hint="eastAsia"/>
            </w:rPr>
            <w:t>公司概况</w:t>
          </w:r>
        </w:p>
        <w:sdt>
          <w:sdtPr>
            <w:rPr>
              <w:rFonts w:ascii="宋体" w:eastAsia="宋体" w:hAnsi="宋体" w:cs="宋体"/>
              <w:color w:val="auto"/>
              <w:sz w:val="21"/>
              <w:szCs w:val="21"/>
            </w:rPr>
            <w:alias w:val="公司概况"/>
            <w:tag w:val="_GBC_dfec127af3a7441dade8cb0f67119e66"/>
            <w:id w:val="24723227"/>
            <w:lock w:val="sdtLocked"/>
            <w:placeholder>
              <w:docPart w:val="GBC22222222222222222222222222222"/>
            </w:placeholder>
          </w:sdtPr>
          <w:sdtContent>
            <w:p w:rsidR="00DE031E" w:rsidRPr="00437FB4" w:rsidRDefault="001C1A59" w:rsidP="00DE031E">
              <w:pPr>
                <w:pStyle w:val="Default"/>
                <w:kinsoku w:val="0"/>
                <w:overflowPunct w:val="0"/>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招商证券股份有限公司（以下简称公司或本公司）的前身是招商银行证券业务部。经中国人民银行深圳经济特区分行批准，</w:t>
              </w:r>
              <w:r w:rsidRPr="00437FB4">
                <w:rPr>
                  <w:rFonts w:ascii="Arial" w:eastAsiaTheme="majorEastAsia" w:hAnsi="Arial" w:cs="Arial"/>
                  <w:color w:val="auto"/>
                  <w:kern w:val="2"/>
                  <w:sz w:val="22"/>
                  <w:szCs w:val="22"/>
                </w:rPr>
                <w:t>1993</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8</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日深圳市工商行政管理局（以下简称深圳市工商局）核准登记招商银行证券业务部为企业法人，注册资本人民币</w:t>
              </w:r>
              <w:r w:rsidRPr="00437FB4">
                <w:rPr>
                  <w:rFonts w:ascii="Arial" w:eastAsiaTheme="majorEastAsia" w:hAnsi="Arial" w:cs="Arial"/>
                  <w:color w:val="auto"/>
                  <w:kern w:val="2"/>
                  <w:sz w:val="22"/>
                  <w:szCs w:val="22"/>
                </w:rPr>
                <w:t>2,500</w:t>
              </w:r>
              <w:r w:rsidRPr="00437FB4">
                <w:rPr>
                  <w:rFonts w:ascii="Arial" w:eastAsiaTheme="majorEastAsia" w:hAnsi="Arial" w:cs="Arial"/>
                  <w:color w:val="auto"/>
                  <w:kern w:val="2"/>
                  <w:sz w:val="22"/>
                  <w:szCs w:val="22"/>
                </w:rPr>
                <w:t>万元，招商银行证券业务部据此成为招商银行的二级法人单位。</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1994</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4</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29</w:t>
              </w:r>
              <w:r w:rsidRPr="00437FB4">
                <w:rPr>
                  <w:rFonts w:ascii="Arial" w:eastAsiaTheme="majorEastAsia" w:hAnsi="Arial" w:cs="Arial"/>
                  <w:color w:val="auto"/>
                  <w:kern w:val="2"/>
                  <w:sz w:val="22"/>
                  <w:szCs w:val="22"/>
                </w:rPr>
                <w:t>日，中国人民银行以银复〔</w:t>
              </w:r>
              <w:r w:rsidRPr="00437FB4">
                <w:rPr>
                  <w:rFonts w:ascii="Arial" w:eastAsiaTheme="majorEastAsia" w:hAnsi="Arial" w:cs="Arial"/>
                  <w:color w:val="auto"/>
                  <w:kern w:val="2"/>
                  <w:sz w:val="22"/>
                  <w:szCs w:val="22"/>
                </w:rPr>
                <w:t>1994</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161</w:t>
              </w:r>
              <w:r w:rsidRPr="00437FB4">
                <w:rPr>
                  <w:rFonts w:ascii="Arial" w:eastAsiaTheme="majorEastAsia" w:hAnsi="Arial" w:cs="Arial"/>
                  <w:color w:val="auto"/>
                  <w:kern w:val="2"/>
                  <w:sz w:val="22"/>
                  <w:szCs w:val="22"/>
                </w:rPr>
                <w:t>号文同意招商银行在原证券业务部基础上组建招银证券公司作为招商银行独资设立的专业证券公司，并按照银行业、证券业分业经营、分业管理的原则，招商银行总部及各分支机构一律不再经营证券业务，其全部证券营业部一律划归招银证券公司管理。</w:t>
              </w:r>
              <w:r w:rsidRPr="00437FB4">
                <w:rPr>
                  <w:rFonts w:ascii="Arial" w:eastAsiaTheme="majorEastAsia" w:hAnsi="Arial" w:cs="Arial"/>
                  <w:color w:val="auto"/>
                  <w:kern w:val="2"/>
                  <w:sz w:val="22"/>
                  <w:szCs w:val="22"/>
                </w:rPr>
                <w:t>1994</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8</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26</w:t>
              </w:r>
              <w:r w:rsidRPr="00437FB4">
                <w:rPr>
                  <w:rFonts w:ascii="Arial" w:eastAsiaTheme="majorEastAsia" w:hAnsi="Arial" w:cs="Arial"/>
                  <w:color w:val="auto"/>
                  <w:kern w:val="2"/>
                  <w:sz w:val="22"/>
                  <w:szCs w:val="22"/>
                </w:rPr>
                <w:t>日，深圳市工商局核准招商银行证券业务部变更登记为深圳招银证券公司，注册资本人民币</w:t>
              </w:r>
              <w:r w:rsidRPr="00437FB4">
                <w:rPr>
                  <w:rFonts w:ascii="Arial" w:eastAsiaTheme="majorEastAsia" w:hAnsi="Arial" w:cs="Arial"/>
                  <w:color w:val="auto"/>
                  <w:kern w:val="2"/>
                  <w:sz w:val="22"/>
                  <w:szCs w:val="22"/>
                </w:rPr>
                <w:t>15,000</w:t>
              </w:r>
              <w:r w:rsidRPr="00437FB4">
                <w:rPr>
                  <w:rFonts w:ascii="Arial" w:eastAsiaTheme="majorEastAsia" w:hAnsi="Arial" w:cs="Arial"/>
                  <w:color w:val="auto"/>
                  <w:kern w:val="2"/>
                  <w:sz w:val="22"/>
                  <w:szCs w:val="22"/>
                </w:rPr>
                <w:t>万元。同年</w:t>
              </w:r>
              <w:r w:rsidRPr="00437FB4">
                <w:rPr>
                  <w:rFonts w:ascii="Arial" w:eastAsiaTheme="majorEastAsia" w:hAnsi="Arial" w:cs="Arial"/>
                  <w:color w:val="auto"/>
                  <w:kern w:val="2"/>
                  <w:sz w:val="22"/>
                  <w:szCs w:val="22"/>
                </w:rPr>
                <w:t>9</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28</w:t>
              </w:r>
              <w:r w:rsidRPr="00437FB4">
                <w:rPr>
                  <w:rFonts w:ascii="Arial" w:eastAsiaTheme="majorEastAsia" w:hAnsi="Arial" w:cs="Arial"/>
                  <w:color w:val="auto"/>
                  <w:kern w:val="2"/>
                  <w:sz w:val="22"/>
                  <w:szCs w:val="22"/>
                </w:rPr>
                <w:t>日，深圳市工商局核准深圳招银证券公司更名为招银证券公司。</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1998</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11</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6</w:t>
              </w:r>
              <w:r w:rsidRPr="00437FB4">
                <w:rPr>
                  <w:rFonts w:ascii="Arial" w:eastAsiaTheme="majorEastAsia" w:hAnsi="Arial" w:cs="Arial"/>
                  <w:color w:val="auto"/>
                  <w:kern w:val="2"/>
                  <w:sz w:val="22"/>
                  <w:szCs w:val="22"/>
                </w:rPr>
                <w:t>日，经中国人民银行以《关于招银证券公司增资改制的批复》（银复〔</w:t>
              </w:r>
              <w:r w:rsidRPr="00437FB4">
                <w:rPr>
                  <w:rFonts w:ascii="Arial" w:eastAsiaTheme="majorEastAsia" w:hAnsi="Arial" w:cs="Arial"/>
                  <w:color w:val="auto"/>
                  <w:kern w:val="2"/>
                  <w:sz w:val="22"/>
                  <w:szCs w:val="22"/>
                </w:rPr>
                <w:t>1997</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529</w:t>
              </w:r>
              <w:r w:rsidRPr="00437FB4">
                <w:rPr>
                  <w:rFonts w:ascii="Arial" w:eastAsiaTheme="majorEastAsia" w:hAnsi="Arial" w:cs="Arial"/>
                  <w:color w:val="auto"/>
                  <w:kern w:val="2"/>
                  <w:sz w:val="22"/>
                  <w:szCs w:val="22"/>
                </w:rPr>
                <w:t>号）、中国证券监督管理委员会（以下简称中国证监会）以《关于同意招银证券公司增资改制、更名的批复》（证监机字〔</w:t>
              </w:r>
              <w:r w:rsidRPr="00437FB4">
                <w:rPr>
                  <w:rFonts w:ascii="Arial" w:eastAsiaTheme="majorEastAsia" w:hAnsi="Arial" w:cs="Arial"/>
                  <w:color w:val="auto"/>
                  <w:kern w:val="2"/>
                  <w:sz w:val="22"/>
                  <w:szCs w:val="22"/>
                </w:rPr>
                <w:t>1998</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27</w:t>
              </w:r>
              <w:r w:rsidRPr="00437FB4">
                <w:rPr>
                  <w:rFonts w:ascii="Arial" w:eastAsiaTheme="majorEastAsia" w:hAnsi="Arial" w:cs="Arial"/>
                  <w:color w:val="auto"/>
                  <w:kern w:val="2"/>
                  <w:sz w:val="22"/>
                  <w:szCs w:val="22"/>
                </w:rPr>
                <w:t>号）批准，并经深圳市工商局核准登记，招银证券公司增资改制并更名为国通证券有限责任公司，注册资本</w:t>
              </w:r>
              <w:r w:rsidRPr="00437FB4">
                <w:rPr>
                  <w:rFonts w:ascii="Arial" w:eastAsiaTheme="majorEastAsia" w:hAnsi="Arial" w:cs="Arial"/>
                  <w:color w:val="auto"/>
                  <w:kern w:val="2"/>
                  <w:sz w:val="22"/>
                  <w:szCs w:val="22"/>
                </w:rPr>
                <w:t>80,000</w:t>
              </w:r>
              <w:r w:rsidRPr="00437FB4">
                <w:rPr>
                  <w:rFonts w:ascii="Arial" w:eastAsiaTheme="majorEastAsia" w:hAnsi="Arial" w:cs="Arial"/>
                  <w:color w:val="auto"/>
                  <w:kern w:val="2"/>
                  <w:sz w:val="22"/>
                  <w:szCs w:val="22"/>
                </w:rPr>
                <w:t>万元，其中，招商银行以招银证券公司经评估的净资产出资，持股</w:t>
              </w:r>
              <w:r w:rsidRPr="00437FB4">
                <w:rPr>
                  <w:rFonts w:ascii="Arial" w:eastAsiaTheme="majorEastAsia" w:hAnsi="Arial" w:cs="Arial"/>
                  <w:color w:val="auto"/>
                  <w:kern w:val="2"/>
                  <w:sz w:val="22"/>
                  <w:szCs w:val="22"/>
                </w:rPr>
                <w:t>30%</w:t>
              </w:r>
              <w:r w:rsidRPr="00437FB4">
                <w:rPr>
                  <w:rFonts w:ascii="Arial" w:eastAsiaTheme="majorEastAsia" w:hAnsi="Arial" w:cs="Arial"/>
                  <w:color w:val="auto"/>
                  <w:kern w:val="2"/>
                  <w:sz w:val="22"/>
                  <w:szCs w:val="22"/>
                </w:rPr>
                <w:t>；新增加的股东包括招商局轮船股份有限公司等</w:t>
              </w:r>
              <w:r w:rsidRPr="00437FB4">
                <w:rPr>
                  <w:rFonts w:ascii="Arial" w:eastAsiaTheme="majorEastAsia" w:hAnsi="Arial" w:cs="Arial"/>
                  <w:color w:val="auto"/>
                  <w:kern w:val="2"/>
                  <w:sz w:val="22"/>
                  <w:szCs w:val="22"/>
                </w:rPr>
                <w:t>11</w:t>
              </w:r>
              <w:r w:rsidRPr="00437FB4">
                <w:rPr>
                  <w:rFonts w:ascii="Arial" w:eastAsiaTheme="majorEastAsia" w:hAnsi="Arial" w:cs="Arial"/>
                  <w:color w:val="auto"/>
                  <w:kern w:val="2"/>
                  <w:sz w:val="22"/>
                  <w:szCs w:val="22"/>
                </w:rPr>
                <w:t>家企业，以货币资金出资，合计持股</w:t>
              </w:r>
              <w:r w:rsidRPr="00437FB4">
                <w:rPr>
                  <w:rFonts w:ascii="Arial" w:eastAsiaTheme="majorEastAsia" w:hAnsi="Arial" w:cs="Arial"/>
                  <w:color w:val="auto"/>
                  <w:kern w:val="2"/>
                  <w:sz w:val="22"/>
                  <w:szCs w:val="22"/>
                </w:rPr>
                <w:t>70%</w:t>
              </w:r>
              <w:r w:rsidRPr="00437FB4">
                <w:rPr>
                  <w:rFonts w:ascii="Arial" w:eastAsiaTheme="majorEastAsia" w:hAnsi="Arial" w:cs="Arial"/>
                  <w:color w:val="auto"/>
                  <w:kern w:val="2"/>
                  <w:sz w:val="22"/>
                  <w:szCs w:val="22"/>
                </w:rPr>
                <w:t>。</w:t>
              </w:r>
            </w:p>
            <w:p w:rsidR="00DE031E" w:rsidRPr="00437FB4" w:rsidRDefault="001C1A59" w:rsidP="00DE031E">
              <w:pPr>
                <w:pStyle w:val="Default"/>
                <w:kinsoku w:val="0"/>
                <w:overflowPunct w:val="0"/>
                <w:snapToGrid w:val="0"/>
                <w:spacing w:line="360" w:lineRule="auto"/>
                <w:ind w:rightChars="20" w:right="42" w:firstLineChars="100" w:firstLine="2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2000</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8</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31</w:t>
              </w:r>
              <w:r w:rsidRPr="00437FB4">
                <w:rPr>
                  <w:rFonts w:ascii="Arial" w:eastAsiaTheme="majorEastAsia" w:hAnsi="Arial" w:cs="Arial"/>
                  <w:color w:val="auto"/>
                  <w:kern w:val="2"/>
                  <w:sz w:val="22"/>
                  <w:szCs w:val="22"/>
                </w:rPr>
                <w:t>日，经中国证监会以《关于核准国通证券有限责任公司增资扩股的批复》（证监机构字〔</w:t>
              </w:r>
              <w:r w:rsidRPr="00437FB4">
                <w:rPr>
                  <w:rFonts w:ascii="Arial" w:eastAsiaTheme="majorEastAsia" w:hAnsi="Arial" w:cs="Arial"/>
                  <w:color w:val="auto"/>
                  <w:kern w:val="2"/>
                  <w:sz w:val="22"/>
                  <w:szCs w:val="22"/>
                </w:rPr>
                <w:t>2000</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15</w:t>
              </w:r>
              <w:r w:rsidRPr="00437FB4">
                <w:rPr>
                  <w:rFonts w:ascii="Arial" w:eastAsiaTheme="majorEastAsia" w:hAnsi="Arial" w:cs="Arial"/>
                  <w:color w:val="auto"/>
                  <w:kern w:val="2"/>
                  <w:sz w:val="22"/>
                  <w:szCs w:val="22"/>
                </w:rPr>
                <w:t>号），并经深圳市工商局核准登记，国通证券有限责任公司进行增资扩股，由招商银行等</w:t>
              </w:r>
              <w:r w:rsidRPr="00437FB4">
                <w:rPr>
                  <w:rFonts w:ascii="Arial" w:eastAsiaTheme="majorEastAsia" w:hAnsi="Arial" w:cs="Arial"/>
                  <w:color w:val="auto"/>
                  <w:kern w:val="2"/>
                  <w:sz w:val="22"/>
                  <w:szCs w:val="22"/>
                </w:rPr>
                <w:t>12</w:t>
              </w:r>
              <w:r w:rsidRPr="00437FB4">
                <w:rPr>
                  <w:rFonts w:ascii="Arial" w:eastAsiaTheme="majorEastAsia" w:hAnsi="Arial" w:cs="Arial"/>
                  <w:color w:val="auto"/>
                  <w:kern w:val="2"/>
                  <w:sz w:val="22"/>
                  <w:szCs w:val="22"/>
                </w:rPr>
                <w:t>家股东共增加缴付出资额计</w:t>
              </w:r>
              <w:r w:rsidRPr="00437FB4">
                <w:rPr>
                  <w:rFonts w:ascii="Arial" w:eastAsiaTheme="majorEastAsia" w:hAnsi="Arial" w:cs="Arial"/>
                  <w:color w:val="auto"/>
                  <w:kern w:val="2"/>
                  <w:sz w:val="22"/>
                  <w:szCs w:val="22"/>
                </w:rPr>
                <w:t>140,000</w:t>
              </w:r>
              <w:r w:rsidRPr="00437FB4">
                <w:rPr>
                  <w:rFonts w:ascii="Arial" w:eastAsiaTheme="majorEastAsia" w:hAnsi="Arial" w:cs="Arial"/>
                  <w:color w:val="auto"/>
                  <w:kern w:val="2"/>
                  <w:sz w:val="22"/>
                  <w:szCs w:val="22"/>
                </w:rPr>
                <w:t>万元，公司注册资本增加至</w:t>
              </w:r>
              <w:r w:rsidRPr="00437FB4">
                <w:rPr>
                  <w:rFonts w:ascii="Arial" w:eastAsiaTheme="majorEastAsia" w:hAnsi="Arial" w:cs="Arial"/>
                  <w:color w:val="auto"/>
                  <w:kern w:val="2"/>
                  <w:sz w:val="22"/>
                  <w:szCs w:val="22"/>
                </w:rPr>
                <w:t>220,000</w:t>
              </w:r>
              <w:r w:rsidRPr="00437FB4">
                <w:rPr>
                  <w:rFonts w:ascii="Arial" w:eastAsiaTheme="majorEastAsia" w:hAnsi="Arial" w:cs="Arial"/>
                  <w:color w:val="auto"/>
                  <w:kern w:val="2"/>
                  <w:sz w:val="22"/>
                  <w:szCs w:val="22"/>
                </w:rPr>
                <w:t>万元。此后至</w:t>
              </w:r>
              <w:r w:rsidRPr="00437FB4">
                <w:rPr>
                  <w:rFonts w:ascii="Arial" w:eastAsiaTheme="majorEastAsia" w:hAnsi="Arial" w:cs="Arial"/>
                  <w:color w:val="auto"/>
                  <w:kern w:val="2"/>
                  <w:sz w:val="22"/>
                  <w:szCs w:val="22"/>
                </w:rPr>
                <w:t>2001</w:t>
              </w:r>
              <w:r w:rsidRPr="00437FB4">
                <w:rPr>
                  <w:rFonts w:ascii="Arial" w:eastAsiaTheme="majorEastAsia" w:hAnsi="Arial" w:cs="Arial"/>
                  <w:color w:val="auto"/>
                  <w:kern w:val="2"/>
                  <w:sz w:val="22"/>
                  <w:szCs w:val="22"/>
                </w:rPr>
                <w:t>年，国通证券有限责任公司曾发生多次股权转让，其股东由</w:t>
              </w:r>
              <w:r w:rsidRPr="00437FB4">
                <w:rPr>
                  <w:rFonts w:ascii="Arial" w:eastAsiaTheme="majorEastAsia" w:hAnsi="Arial" w:cs="Arial"/>
                  <w:color w:val="auto"/>
                  <w:kern w:val="2"/>
                  <w:sz w:val="22"/>
                  <w:szCs w:val="22"/>
                </w:rPr>
                <w:t>12</w:t>
              </w:r>
              <w:r w:rsidRPr="00437FB4">
                <w:rPr>
                  <w:rFonts w:ascii="Arial" w:eastAsiaTheme="majorEastAsia" w:hAnsi="Arial" w:cs="Arial"/>
                  <w:color w:val="auto"/>
                  <w:kern w:val="2"/>
                  <w:sz w:val="22"/>
                  <w:szCs w:val="22"/>
                </w:rPr>
                <w:t>家增加至</w:t>
              </w:r>
              <w:r w:rsidRPr="00437FB4">
                <w:rPr>
                  <w:rFonts w:ascii="Arial" w:eastAsiaTheme="majorEastAsia" w:hAnsi="Arial" w:cs="Arial"/>
                  <w:color w:val="auto"/>
                  <w:kern w:val="2"/>
                  <w:sz w:val="22"/>
                  <w:szCs w:val="22"/>
                </w:rPr>
                <w:t>40</w:t>
              </w:r>
              <w:r w:rsidRPr="00437FB4">
                <w:rPr>
                  <w:rFonts w:ascii="Arial" w:eastAsiaTheme="majorEastAsia" w:hAnsi="Arial" w:cs="Arial"/>
                  <w:color w:val="auto"/>
                  <w:kern w:val="2"/>
                  <w:sz w:val="22"/>
                  <w:szCs w:val="22"/>
                </w:rPr>
                <w:t>家，同时招商银行所持本公司全部股份已转让给招商局集团有限公司下属控股公司。</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2001</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12</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26</w:t>
              </w:r>
              <w:r w:rsidRPr="00437FB4">
                <w:rPr>
                  <w:rFonts w:ascii="Arial" w:eastAsiaTheme="majorEastAsia" w:hAnsi="Arial" w:cs="Arial"/>
                  <w:color w:val="auto"/>
                  <w:kern w:val="2"/>
                  <w:sz w:val="22"/>
                  <w:szCs w:val="22"/>
                </w:rPr>
                <w:t>日，根据《财政部关于国通证券股份有限公司（筹）国有股权管理有关问题的批复》（财企〔</w:t>
              </w:r>
              <w:r w:rsidRPr="00437FB4">
                <w:rPr>
                  <w:rFonts w:ascii="Arial" w:eastAsiaTheme="majorEastAsia" w:hAnsi="Arial" w:cs="Arial"/>
                  <w:color w:val="auto"/>
                  <w:kern w:val="2"/>
                  <w:sz w:val="22"/>
                  <w:szCs w:val="22"/>
                </w:rPr>
                <w:t>2001</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723</w:t>
              </w:r>
              <w:r w:rsidRPr="00437FB4">
                <w:rPr>
                  <w:rFonts w:ascii="Arial" w:eastAsiaTheme="majorEastAsia" w:hAnsi="Arial" w:cs="Arial"/>
                  <w:color w:val="auto"/>
                  <w:kern w:val="2"/>
                  <w:sz w:val="22"/>
                  <w:szCs w:val="22"/>
                </w:rPr>
                <w:t>号）、中国证监会《关于同意国通证券有限责任公司改制为股份有限公司的批复》（证监机构字〔</w:t>
              </w:r>
              <w:r w:rsidRPr="00437FB4">
                <w:rPr>
                  <w:rFonts w:ascii="Arial" w:eastAsiaTheme="majorEastAsia" w:hAnsi="Arial" w:cs="Arial"/>
                  <w:color w:val="auto"/>
                  <w:kern w:val="2"/>
                  <w:sz w:val="22"/>
                  <w:szCs w:val="22"/>
                </w:rPr>
                <w:t>2001</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285</w:t>
              </w:r>
              <w:r w:rsidRPr="00437FB4">
                <w:rPr>
                  <w:rFonts w:ascii="Arial" w:eastAsiaTheme="majorEastAsia" w:hAnsi="Arial" w:cs="Arial"/>
                  <w:color w:val="auto"/>
                  <w:kern w:val="2"/>
                  <w:sz w:val="22"/>
                  <w:szCs w:val="22"/>
                </w:rPr>
                <w:t>号）、深圳市人民政府《关于整体改组设立国通证券股份有限公司的批复》（深府股〔</w:t>
              </w:r>
              <w:r w:rsidRPr="00437FB4">
                <w:rPr>
                  <w:rFonts w:ascii="Arial" w:eastAsiaTheme="majorEastAsia" w:hAnsi="Arial" w:cs="Arial"/>
                  <w:color w:val="auto"/>
                  <w:kern w:val="2"/>
                  <w:sz w:val="22"/>
                  <w:szCs w:val="22"/>
                </w:rPr>
                <w:t>2001</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49</w:t>
              </w:r>
              <w:r w:rsidRPr="00437FB4">
                <w:rPr>
                  <w:rFonts w:ascii="Arial" w:eastAsiaTheme="majorEastAsia" w:hAnsi="Arial" w:cs="Arial"/>
                  <w:color w:val="auto"/>
                  <w:kern w:val="2"/>
                  <w:sz w:val="22"/>
                  <w:szCs w:val="22"/>
                </w:rPr>
                <w:t>号），并经深圳市工商行政管理局核准登记，国通证券有限责任公司整体改制变更设立为国通证券股份有限公司，即由国通证券有限责任公司的</w:t>
              </w:r>
              <w:r w:rsidRPr="00437FB4">
                <w:rPr>
                  <w:rFonts w:ascii="Arial" w:eastAsiaTheme="majorEastAsia" w:hAnsi="Arial" w:cs="Arial"/>
                  <w:color w:val="auto"/>
                  <w:kern w:val="2"/>
                  <w:sz w:val="22"/>
                  <w:szCs w:val="22"/>
                </w:rPr>
                <w:t>40</w:t>
              </w:r>
              <w:r w:rsidRPr="00437FB4">
                <w:rPr>
                  <w:rFonts w:ascii="Arial" w:eastAsiaTheme="majorEastAsia" w:hAnsi="Arial" w:cs="Arial"/>
                  <w:color w:val="auto"/>
                  <w:kern w:val="2"/>
                  <w:sz w:val="22"/>
                  <w:szCs w:val="22"/>
                </w:rPr>
                <w:t>家股东作为发起人，以国通证券有限责任公司</w:t>
              </w:r>
              <w:r w:rsidRPr="00437FB4">
                <w:rPr>
                  <w:rFonts w:ascii="Arial" w:eastAsiaTheme="majorEastAsia" w:hAnsi="Arial" w:cs="Arial"/>
                  <w:color w:val="auto"/>
                  <w:kern w:val="2"/>
                  <w:sz w:val="22"/>
                  <w:szCs w:val="22"/>
                </w:rPr>
                <w:t>2000</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12</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31</w:t>
              </w:r>
              <w:r w:rsidRPr="00437FB4">
                <w:rPr>
                  <w:rFonts w:ascii="Arial" w:eastAsiaTheme="majorEastAsia" w:hAnsi="Arial" w:cs="Arial"/>
                  <w:color w:val="auto"/>
                  <w:kern w:val="2"/>
                  <w:sz w:val="22"/>
                  <w:szCs w:val="22"/>
                </w:rPr>
                <w:t>日经审计的净资产值</w:t>
              </w:r>
              <w:r w:rsidRPr="00437FB4">
                <w:rPr>
                  <w:rFonts w:ascii="Arial" w:eastAsiaTheme="majorEastAsia" w:hAnsi="Arial" w:cs="Arial"/>
                  <w:color w:val="auto"/>
                  <w:kern w:val="2"/>
                  <w:sz w:val="22"/>
                  <w:szCs w:val="22"/>
                </w:rPr>
                <w:t>240,028.0638</w:t>
              </w:r>
              <w:r w:rsidRPr="00437FB4">
                <w:rPr>
                  <w:rFonts w:ascii="Arial" w:eastAsiaTheme="majorEastAsia" w:hAnsi="Arial" w:cs="Arial"/>
                  <w:color w:val="auto"/>
                  <w:kern w:val="2"/>
                  <w:sz w:val="22"/>
                  <w:szCs w:val="22"/>
                </w:rPr>
                <w:t>万元，按</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的比例折合为国通证券股份有限公司的股本总额，各发起人以其拥有的国通证券有限责任公司股权在上述净资产中所占比例分别持有国通证券股份有限公司的相应股份，公司注册资本为</w:t>
              </w:r>
              <w:r w:rsidRPr="00437FB4">
                <w:rPr>
                  <w:rFonts w:ascii="Arial" w:eastAsiaTheme="majorEastAsia" w:hAnsi="Arial" w:cs="Arial"/>
                  <w:color w:val="auto"/>
                  <w:kern w:val="2"/>
                  <w:sz w:val="22"/>
                  <w:szCs w:val="22"/>
                </w:rPr>
                <w:t>240,028.0638</w:t>
              </w:r>
              <w:r w:rsidRPr="00437FB4">
                <w:rPr>
                  <w:rFonts w:ascii="Arial" w:eastAsiaTheme="majorEastAsia" w:hAnsi="Arial" w:cs="Arial"/>
                  <w:color w:val="auto"/>
                  <w:kern w:val="2"/>
                  <w:sz w:val="22"/>
                  <w:szCs w:val="22"/>
                </w:rPr>
                <w:t>万元。</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lastRenderedPageBreak/>
                <w:t>2002</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6</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28</w:t>
              </w:r>
              <w:r w:rsidRPr="00437FB4">
                <w:rPr>
                  <w:rFonts w:ascii="Arial" w:eastAsiaTheme="majorEastAsia" w:hAnsi="Arial" w:cs="Arial"/>
                  <w:color w:val="auto"/>
                  <w:kern w:val="2"/>
                  <w:sz w:val="22"/>
                  <w:szCs w:val="22"/>
                </w:rPr>
                <w:t>日，根据中国证监会《关于国通证券股份有限公司更名、迁址有关材料备案的回函》（机构部部函〔</w:t>
              </w:r>
              <w:r w:rsidRPr="00437FB4">
                <w:rPr>
                  <w:rFonts w:ascii="Arial" w:eastAsiaTheme="majorEastAsia" w:hAnsi="Arial" w:cs="Arial"/>
                  <w:color w:val="auto"/>
                  <w:kern w:val="2"/>
                  <w:sz w:val="22"/>
                  <w:szCs w:val="22"/>
                </w:rPr>
                <w:t>2002</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120</w:t>
              </w:r>
              <w:r w:rsidRPr="00437FB4">
                <w:rPr>
                  <w:rFonts w:ascii="Arial" w:eastAsiaTheme="majorEastAsia" w:hAnsi="Arial" w:cs="Arial"/>
                  <w:color w:val="auto"/>
                  <w:kern w:val="2"/>
                  <w:sz w:val="22"/>
                  <w:szCs w:val="22"/>
                </w:rPr>
                <w:t>号），并经深圳市工商局核准登记，国通证券股份有限公司更名为招商证券股份有限公司。</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2006</w:t>
              </w:r>
              <w:r w:rsidRPr="00437FB4">
                <w:rPr>
                  <w:rFonts w:ascii="Arial" w:eastAsiaTheme="majorEastAsia" w:hAnsi="Arial" w:cs="Arial"/>
                  <w:color w:val="auto"/>
                  <w:kern w:val="2"/>
                  <w:sz w:val="22"/>
                  <w:szCs w:val="22"/>
                </w:rPr>
                <w:t>年，经中国证监会证监机构字</w:t>
              </w:r>
              <w:r w:rsidRPr="00437FB4">
                <w:rPr>
                  <w:rFonts w:ascii="Arial" w:eastAsiaTheme="majorEastAsia" w:hAnsi="Arial" w:cs="Arial"/>
                  <w:color w:val="auto"/>
                  <w:kern w:val="2"/>
                  <w:sz w:val="22"/>
                  <w:szCs w:val="22"/>
                </w:rPr>
                <w:t>[2006]179</w:t>
              </w:r>
              <w:r w:rsidRPr="00437FB4">
                <w:rPr>
                  <w:rFonts w:ascii="Arial" w:eastAsiaTheme="majorEastAsia" w:hAnsi="Arial" w:cs="Arial"/>
                  <w:color w:val="auto"/>
                  <w:kern w:val="2"/>
                  <w:sz w:val="22"/>
                  <w:szCs w:val="22"/>
                </w:rPr>
                <w:t>号文批复同意，本公司各股东同比例缩减股份，缩减股份后注册资本总额变更为人民币</w:t>
              </w:r>
              <w:r w:rsidRPr="00437FB4">
                <w:rPr>
                  <w:rFonts w:ascii="Arial" w:eastAsiaTheme="majorEastAsia" w:hAnsi="Arial" w:cs="Arial"/>
                  <w:color w:val="auto"/>
                  <w:kern w:val="2"/>
                  <w:sz w:val="22"/>
                  <w:szCs w:val="22"/>
                </w:rPr>
                <w:t>172,691.5266</w:t>
              </w:r>
              <w:r w:rsidRPr="00437FB4">
                <w:rPr>
                  <w:rFonts w:ascii="Arial" w:eastAsiaTheme="majorEastAsia" w:hAnsi="Arial" w:cs="Arial"/>
                  <w:color w:val="auto"/>
                  <w:kern w:val="2"/>
                  <w:sz w:val="22"/>
                  <w:szCs w:val="22"/>
                </w:rPr>
                <w:t>万元，然后再新增注册资本人民币</w:t>
              </w:r>
              <w:r w:rsidRPr="00437FB4">
                <w:rPr>
                  <w:rFonts w:ascii="Arial" w:eastAsiaTheme="majorEastAsia" w:hAnsi="Arial" w:cs="Arial"/>
                  <w:color w:val="auto"/>
                  <w:kern w:val="2"/>
                  <w:sz w:val="22"/>
                  <w:szCs w:val="22"/>
                </w:rPr>
                <w:t>150,000</w:t>
              </w:r>
              <w:r w:rsidRPr="00437FB4">
                <w:rPr>
                  <w:rFonts w:ascii="Arial" w:eastAsiaTheme="majorEastAsia" w:hAnsi="Arial" w:cs="Arial"/>
                  <w:color w:val="auto"/>
                  <w:kern w:val="2"/>
                  <w:sz w:val="22"/>
                  <w:szCs w:val="22"/>
                </w:rPr>
                <w:t>万元，新增后的注册资本为人民币</w:t>
              </w:r>
              <w:r w:rsidRPr="00437FB4">
                <w:rPr>
                  <w:rFonts w:ascii="Arial" w:eastAsiaTheme="majorEastAsia" w:hAnsi="Arial" w:cs="Arial"/>
                  <w:color w:val="auto"/>
                  <w:kern w:val="2"/>
                  <w:sz w:val="22"/>
                  <w:szCs w:val="22"/>
                </w:rPr>
                <w:t>322,691.5266</w:t>
              </w:r>
              <w:r w:rsidRPr="00437FB4">
                <w:rPr>
                  <w:rFonts w:ascii="Arial" w:eastAsiaTheme="majorEastAsia" w:hAnsi="Arial" w:cs="Arial"/>
                  <w:color w:val="auto"/>
                  <w:kern w:val="2"/>
                  <w:sz w:val="22"/>
                  <w:szCs w:val="22"/>
                </w:rPr>
                <w:t>万元。</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根据</w:t>
              </w:r>
              <w:r w:rsidRPr="00437FB4">
                <w:rPr>
                  <w:rFonts w:ascii="Arial" w:eastAsiaTheme="majorEastAsia" w:hAnsi="Arial" w:cs="Arial"/>
                  <w:color w:val="auto"/>
                  <w:kern w:val="2"/>
                  <w:sz w:val="22"/>
                  <w:szCs w:val="22"/>
                </w:rPr>
                <w:t>2009</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11</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日中国证监会证监许可</w:t>
              </w:r>
              <w:r w:rsidRPr="00437FB4">
                <w:rPr>
                  <w:rFonts w:ascii="Arial" w:eastAsiaTheme="majorEastAsia" w:hAnsi="Arial" w:cs="Arial"/>
                  <w:color w:val="auto"/>
                  <w:kern w:val="2"/>
                  <w:sz w:val="22"/>
                  <w:szCs w:val="22"/>
                </w:rPr>
                <w:t>[2009]1132</w:t>
              </w:r>
              <w:r w:rsidRPr="00437FB4">
                <w:rPr>
                  <w:rFonts w:ascii="Arial" w:eastAsiaTheme="majorEastAsia" w:hAnsi="Arial" w:cs="Arial"/>
                  <w:color w:val="auto"/>
                  <w:kern w:val="2"/>
                  <w:sz w:val="22"/>
                  <w:szCs w:val="22"/>
                </w:rPr>
                <w:t>号文核准，公司获准向社会公开发售人民币普通股股票</w:t>
              </w:r>
              <w:r w:rsidRPr="00437FB4">
                <w:rPr>
                  <w:rFonts w:ascii="Arial" w:eastAsiaTheme="majorEastAsia" w:hAnsi="Arial" w:cs="Arial"/>
                  <w:color w:val="auto"/>
                  <w:kern w:val="2"/>
                  <w:sz w:val="22"/>
                  <w:szCs w:val="22"/>
                </w:rPr>
                <w:t>358,546,141</w:t>
              </w:r>
              <w:r w:rsidRPr="00437FB4">
                <w:rPr>
                  <w:rFonts w:ascii="Arial" w:eastAsiaTheme="majorEastAsia" w:hAnsi="Arial" w:cs="Arial"/>
                  <w:color w:val="auto"/>
                  <w:kern w:val="2"/>
                  <w:sz w:val="22"/>
                  <w:szCs w:val="22"/>
                </w:rPr>
                <w:t>股。</w:t>
              </w:r>
              <w:r w:rsidRPr="00437FB4">
                <w:rPr>
                  <w:rFonts w:ascii="Arial" w:eastAsiaTheme="majorEastAsia" w:hAnsi="Arial" w:cs="Arial"/>
                  <w:color w:val="auto"/>
                  <w:kern w:val="2"/>
                  <w:sz w:val="22"/>
                  <w:szCs w:val="22"/>
                </w:rPr>
                <w:t>2009</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11</w:t>
              </w:r>
              <w:r w:rsidRPr="00437FB4">
                <w:rPr>
                  <w:rFonts w:ascii="Arial" w:eastAsiaTheme="majorEastAsia" w:hAnsi="Arial" w:cs="Arial"/>
                  <w:color w:val="auto"/>
                  <w:kern w:val="2"/>
                  <w:sz w:val="22"/>
                  <w:szCs w:val="22"/>
                </w:rPr>
                <w:t>月</w:t>
              </w:r>
              <w:r w:rsidRPr="00437FB4">
                <w:rPr>
                  <w:rFonts w:ascii="Arial" w:eastAsiaTheme="majorEastAsia" w:hAnsi="Arial" w:cs="Arial"/>
                  <w:color w:val="auto"/>
                  <w:kern w:val="2"/>
                  <w:sz w:val="22"/>
                  <w:szCs w:val="22"/>
                </w:rPr>
                <w:t>17</w:t>
              </w:r>
              <w:r w:rsidRPr="00437FB4">
                <w:rPr>
                  <w:rFonts w:ascii="Arial" w:eastAsiaTheme="majorEastAsia" w:hAnsi="Arial" w:cs="Arial"/>
                  <w:color w:val="auto"/>
                  <w:kern w:val="2"/>
                  <w:sz w:val="22"/>
                  <w:szCs w:val="22"/>
                </w:rPr>
                <w:t>日，本公司在上海证券交易所挂牌交易，本次</w:t>
              </w: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股发行的股份数为</w:t>
              </w:r>
              <w:r w:rsidRPr="00437FB4">
                <w:rPr>
                  <w:rFonts w:ascii="Arial" w:eastAsiaTheme="majorEastAsia" w:hAnsi="Arial" w:cs="Arial"/>
                  <w:color w:val="auto"/>
                  <w:kern w:val="2"/>
                  <w:sz w:val="22"/>
                  <w:szCs w:val="22"/>
                </w:rPr>
                <w:t>358,546,141</w:t>
              </w:r>
              <w:r w:rsidRPr="00437FB4">
                <w:rPr>
                  <w:rFonts w:ascii="Arial" w:eastAsiaTheme="majorEastAsia" w:hAnsi="Arial" w:cs="Arial"/>
                  <w:color w:val="auto"/>
                  <w:kern w:val="2"/>
                  <w:sz w:val="22"/>
                  <w:szCs w:val="22"/>
                </w:rPr>
                <w:t>股，发行后公司注册资本为人民币</w:t>
              </w:r>
              <w:r w:rsidRPr="00437FB4">
                <w:rPr>
                  <w:rFonts w:ascii="Arial" w:eastAsiaTheme="majorEastAsia" w:hAnsi="Arial" w:cs="Arial"/>
                  <w:color w:val="auto"/>
                  <w:kern w:val="2"/>
                  <w:sz w:val="22"/>
                  <w:szCs w:val="22"/>
                </w:rPr>
                <w:t>3,585,461,407</w:t>
              </w:r>
              <w:r w:rsidRPr="00437FB4">
                <w:rPr>
                  <w:rFonts w:ascii="Arial" w:eastAsiaTheme="majorEastAsia" w:hAnsi="Arial" w:cs="Arial"/>
                  <w:color w:val="auto"/>
                  <w:kern w:val="2"/>
                  <w:sz w:val="22"/>
                  <w:szCs w:val="22"/>
                </w:rPr>
                <w:t>元，总股本为</w:t>
              </w:r>
              <w:r w:rsidRPr="00437FB4">
                <w:rPr>
                  <w:rFonts w:ascii="Arial" w:eastAsiaTheme="majorEastAsia" w:hAnsi="Arial" w:cs="Arial"/>
                  <w:color w:val="auto"/>
                  <w:kern w:val="2"/>
                  <w:sz w:val="22"/>
                  <w:szCs w:val="22"/>
                </w:rPr>
                <w:t>3,585,461,407</w:t>
              </w:r>
              <w:r w:rsidRPr="00437FB4">
                <w:rPr>
                  <w:rFonts w:ascii="Arial" w:eastAsiaTheme="majorEastAsia" w:hAnsi="Arial" w:cs="Arial"/>
                  <w:color w:val="auto"/>
                  <w:kern w:val="2"/>
                  <w:sz w:val="22"/>
                  <w:szCs w:val="22"/>
                </w:rPr>
                <w:t>股。</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2011</w:t>
              </w:r>
              <w:r w:rsidRPr="00437FB4">
                <w:rPr>
                  <w:rFonts w:ascii="Arial" w:eastAsiaTheme="majorEastAsia" w:hAnsi="Arial" w:cs="Arial"/>
                  <w:color w:val="auto"/>
                  <w:kern w:val="2"/>
                  <w:sz w:val="22"/>
                  <w:szCs w:val="22"/>
                </w:rPr>
                <w:t>年公司实施</w:t>
              </w:r>
              <w:r w:rsidRPr="00437FB4">
                <w:rPr>
                  <w:rFonts w:ascii="Arial" w:eastAsiaTheme="majorEastAsia" w:hAnsi="Arial" w:cs="Arial"/>
                  <w:color w:val="auto"/>
                  <w:kern w:val="2"/>
                  <w:sz w:val="22"/>
                  <w:szCs w:val="22"/>
                </w:rPr>
                <w:t>2010</w:t>
              </w:r>
              <w:r w:rsidRPr="00437FB4">
                <w:rPr>
                  <w:rFonts w:ascii="Arial" w:eastAsiaTheme="majorEastAsia" w:hAnsi="Arial" w:cs="Arial"/>
                  <w:color w:val="auto"/>
                  <w:kern w:val="2"/>
                  <w:sz w:val="22"/>
                  <w:szCs w:val="22"/>
                </w:rPr>
                <w:t>年利润分配以及资本公积转增股本方案，以总股本</w:t>
              </w:r>
              <w:r w:rsidRPr="00437FB4">
                <w:rPr>
                  <w:rFonts w:ascii="Arial" w:eastAsiaTheme="majorEastAsia" w:hAnsi="Arial" w:cs="Arial"/>
                  <w:color w:val="auto"/>
                  <w:kern w:val="2"/>
                  <w:sz w:val="22"/>
                  <w:szCs w:val="22"/>
                </w:rPr>
                <w:t>3,585,461,407</w:t>
              </w:r>
              <w:r w:rsidRPr="00437FB4">
                <w:rPr>
                  <w:rFonts w:ascii="Arial" w:eastAsiaTheme="majorEastAsia" w:hAnsi="Arial" w:cs="Arial"/>
                  <w:color w:val="auto"/>
                  <w:kern w:val="2"/>
                  <w:sz w:val="22"/>
                  <w:szCs w:val="22"/>
                </w:rPr>
                <w:t>股为基数，资本公积每</w:t>
              </w:r>
              <w:r w:rsidRPr="00437FB4">
                <w:rPr>
                  <w:rFonts w:ascii="Arial" w:eastAsiaTheme="majorEastAsia" w:hAnsi="Arial" w:cs="Arial"/>
                  <w:color w:val="auto"/>
                  <w:kern w:val="2"/>
                  <w:sz w:val="22"/>
                  <w:szCs w:val="22"/>
                </w:rPr>
                <w:t>10</w:t>
              </w:r>
              <w:r w:rsidRPr="00437FB4">
                <w:rPr>
                  <w:rFonts w:ascii="Arial" w:eastAsiaTheme="majorEastAsia" w:hAnsi="Arial" w:cs="Arial"/>
                  <w:color w:val="auto"/>
                  <w:kern w:val="2"/>
                  <w:sz w:val="22"/>
                  <w:szCs w:val="22"/>
                </w:rPr>
                <w:t>股转增</w:t>
              </w:r>
              <w:r w:rsidRPr="00437FB4">
                <w:rPr>
                  <w:rFonts w:ascii="Arial" w:eastAsiaTheme="majorEastAsia" w:hAnsi="Arial" w:cs="Arial"/>
                  <w:color w:val="auto"/>
                  <w:kern w:val="2"/>
                  <w:sz w:val="22"/>
                  <w:szCs w:val="22"/>
                </w:rPr>
                <w:t>3</w:t>
              </w:r>
              <w:r w:rsidRPr="00437FB4">
                <w:rPr>
                  <w:rFonts w:ascii="Arial" w:eastAsiaTheme="majorEastAsia" w:hAnsi="Arial" w:cs="Arial"/>
                  <w:color w:val="auto"/>
                  <w:kern w:val="2"/>
                  <w:sz w:val="22"/>
                  <w:szCs w:val="22"/>
                </w:rPr>
                <w:t>股，转增后注册资本为人民币</w:t>
              </w:r>
              <w:r w:rsidRPr="00437FB4">
                <w:rPr>
                  <w:rFonts w:ascii="Arial" w:eastAsiaTheme="majorEastAsia" w:hAnsi="Arial" w:cs="Arial"/>
                  <w:color w:val="auto"/>
                  <w:kern w:val="2"/>
                  <w:sz w:val="22"/>
                  <w:szCs w:val="22"/>
                </w:rPr>
                <w:t>4,661,099,829</w:t>
              </w:r>
              <w:r w:rsidRPr="00437FB4">
                <w:rPr>
                  <w:rFonts w:ascii="Arial" w:eastAsiaTheme="majorEastAsia" w:hAnsi="Arial" w:cs="Arial"/>
                  <w:color w:val="auto"/>
                  <w:kern w:val="2"/>
                  <w:sz w:val="22"/>
                  <w:szCs w:val="22"/>
                </w:rPr>
                <w:t>元，总股本为</w:t>
              </w:r>
              <w:r w:rsidRPr="00437FB4">
                <w:rPr>
                  <w:rFonts w:ascii="Arial" w:eastAsiaTheme="majorEastAsia" w:hAnsi="Arial" w:cs="Arial"/>
                  <w:color w:val="auto"/>
                  <w:kern w:val="2"/>
                  <w:sz w:val="22"/>
                  <w:szCs w:val="22"/>
                </w:rPr>
                <w:t>4,661,099,829</w:t>
              </w:r>
              <w:r w:rsidRPr="00437FB4">
                <w:rPr>
                  <w:rFonts w:ascii="Arial" w:eastAsiaTheme="majorEastAsia" w:hAnsi="Arial" w:cs="Arial"/>
                  <w:color w:val="auto"/>
                  <w:kern w:val="2"/>
                  <w:sz w:val="22"/>
                  <w:szCs w:val="22"/>
                </w:rPr>
                <w:t>股。</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2014</w:t>
              </w:r>
              <w:r w:rsidRPr="00437FB4">
                <w:rPr>
                  <w:rFonts w:ascii="Arial" w:eastAsiaTheme="majorEastAsia" w:hAnsi="Arial" w:cs="Arial"/>
                  <w:color w:val="auto"/>
                  <w:kern w:val="2"/>
                  <w:sz w:val="22"/>
                  <w:szCs w:val="22"/>
                </w:rPr>
                <w:t>年</w:t>
              </w:r>
              <w:r w:rsidRPr="00437FB4">
                <w:rPr>
                  <w:rFonts w:ascii="Arial" w:eastAsiaTheme="majorEastAsia" w:hAnsi="Arial" w:cs="Arial"/>
                  <w:color w:val="auto"/>
                  <w:kern w:val="2"/>
                  <w:sz w:val="22"/>
                  <w:szCs w:val="22"/>
                </w:rPr>
                <w:t>5</w:t>
              </w:r>
              <w:r w:rsidRPr="00437FB4">
                <w:rPr>
                  <w:rFonts w:ascii="Arial" w:eastAsiaTheme="majorEastAsia" w:hAnsi="Arial" w:cs="Arial"/>
                  <w:color w:val="auto"/>
                  <w:kern w:val="2"/>
                  <w:sz w:val="22"/>
                  <w:szCs w:val="22"/>
                </w:rPr>
                <w:t>月，根据中国证监会《关于核准招商证券股份有限公司非公开发行股票的批复》（证监许可〔</w:t>
              </w:r>
              <w:r w:rsidRPr="00437FB4">
                <w:rPr>
                  <w:rFonts w:ascii="Arial" w:eastAsiaTheme="majorEastAsia" w:hAnsi="Arial" w:cs="Arial"/>
                  <w:color w:val="auto"/>
                  <w:kern w:val="2"/>
                  <w:sz w:val="22"/>
                  <w:szCs w:val="22"/>
                </w:rPr>
                <w:t>2014</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455</w:t>
              </w:r>
              <w:r w:rsidRPr="00437FB4">
                <w:rPr>
                  <w:rFonts w:ascii="Arial" w:eastAsiaTheme="majorEastAsia" w:hAnsi="Arial" w:cs="Arial"/>
                  <w:color w:val="auto"/>
                  <w:kern w:val="2"/>
                  <w:sz w:val="22"/>
                  <w:szCs w:val="22"/>
                </w:rPr>
                <w:t>号）核准，公司非公开发行人民币普通股</w:t>
              </w:r>
              <w:r w:rsidRPr="00437FB4">
                <w:rPr>
                  <w:rFonts w:ascii="Arial" w:eastAsiaTheme="majorEastAsia" w:hAnsi="Arial" w:cs="Arial"/>
                  <w:color w:val="auto"/>
                  <w:kern w:val="2"/>
                  <w:sz w:val="22"/>
                  <w:szCs w:val="22"/>
                </w:rPr>
                <w:t>1,147,035,700</w:t>
              </w:r>
              <w:r w:rsidRPr="00437FB4">
                <w:rPr>
                  <w:rFonts w:ascii="Arial" w:eastAsiaTheme="majorEastAsia" w:hAnsi="Arial" w:cs="Arial"/>
                  <w:color w:val="auto"/>
                  <w:kern w:val="2"/>
                  <w:sz w:val="22"/>
                  <w:szCs w:val="22"/>
                </w:rPr>
                <w:t>股，发行后总股本为</w:t>
              </w:r>
              <w:r w:rsidRPr="00437FB4">
                <w:rPr>
                  <w:rFonts w:ascii="Arial" w:eastAsiaTheme="majorEastAsia" w:hAnsi="Arial" w:cs="Arial"/>
                  <w:color w:val="auto"/>
                  <w:kern w:val="2"/>
                  <w:sz w:val="22"/>
                  <w:szCs w:val="22"/>
                </w:rPr>
                <w:t>5,808,135,529</w:t>
              </w:r>
              <w:r w:rsidRPr="00437FB4">
                <w:rPr>
                  <w:rFonts w:ascii="Arial" w:eastAsiaTheme="majorEastAsia" w:hAnsi="Arial" w:cs="Arial"/>
                  <w:color w:val="auto"/>
                  <w:kern w:val="2"/>
                  <w:sz w:val="22"/>
                  <w:szCs w:val="22"/>
                </w:rPr>
                <w:t>股。</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公司注册地：深圳市福田区益田路江苏大厦</w:t>
              </w: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座</w:t>
              </w:r>
              <w:r w:rsidRPr="00437FB4">
                <w:rPr>
                  <w:rFonts w:ascii="Arial" w:eastAsiaTheme="majorEastAsia" w:hAnsi="Arial" w:cs="Arial"/>
                  <w:color w:val="auto"/>
                  <w:kern w:val="2"/>
                  <w:sz w:val="22"/>
                  <w:szCs w:val="22"/>
                </w:rPr>
                <w:t>38-45</w:t>
              </w:r>
              <w:r w:rsidRPr="00437FB4">
                <w:rPr>
                  <w:rFonts w:ascii="Arial" w:eastAsiaTheme="majorEastAsia" w:hAnsi="Arial" w:cs="Arial"/>
                  <w:color w:val="auto"/>
                  <w:kern w:val="2"/>
                  <w:sz w:val="22"/>
                  <w:szCs w:val="22"/>
                </w:rPr>
                <w:t>层，组织形式为股份有限公司，总部地址为：深圳市福田区益田路江苏大厦</w:t>
              </w: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座</w:t>
              </w:r>
              <w:r w:rsidRPr="00437FB4">
                <w:rPr>
                  <w:rFonts w:ascii="Arial" w:eastAsiaTheme="majorEastAsia" w:hAnsi="Arial" w:cs="Arial"/>
                  <w:color w:val="auto"/>
                  <w:kern w:val="2"/>
                  <w:sz w:val="22"/>
                  <w:szCs w:val="22"/>
                </w:rPr>
                <w:t>38-45</w:t>
              </w:r>
              <w:r w:rsidRPr="00437FB4">
                <w:rPr>
                  <w:rFonts w:ascii="Arial" w:eastAsiaTheme="majorEastAsia" w:hAnsi="Arial" w:cs="Arial"/>
                  <w:color w:val="auto"/>
                  <w:kern w:val="2"/>
                  <w:sz w:val="22"/>
                  <w:szCs w:val="22"/>
                </w:rPr>
                <w:t>层。经营范围：证券经纪；证券投资咨询；与证券交易、证券投资活动有关的财务顾问；证券承销与保荐；证券自营；融资融券；证券投资基金代销；为期货公司提供中间介绍业务；代销金融产品业务；保险兼业代理业务；证券投资基金托管</w:t>
              </w:r>
              <w:r w:rsidR="001634EF">
                <w:rPr>
                  <w:rFonts w:ascii="Arial" w:eastAsiaTheme="majorEastAsia" w:hAnsi="Arial" w:cs="Arial" w:hint="eastAsia"/>
                  <w:color w:val="auto"/>
                  <w:kern w:val="2"/>
                  <w:sz w:val="22"/>
                  <w:szCs w:val="22"/>
                </w:rPr>
                <w:t>；股票期权做市</w:t>
              </w:r>
              <w:r w:rsidRPr="00437FB4">
                <w:rPr>
                  <w:rFonts w:ascii="Arial" w:eastAsiaTheme="majorEastAsia" w:hAnsi="Arial" w:cs="Arial"/>
                  <w:color w:val="auto"/>
                  <w:kern w:val="2"/>
                  <w:sz w:val="22"/>
                  <w:szCs w:val="22"/>
                </w:rPr>
                <w:t>。</w:t>
              </w:r>
            </w:p>
            <w:p w:rsidR="00DE031E" w:rsidRPr="00437FB4" w:rsidRDefault="001C1A59" w:rsidP="00DE031E">
              <w:pPr>
                <w:pStyle w:val="Default"/>
                <w:kinsoku w:val="0"/>
                <w:overflowPunct w:val="0"/>
                <w:snapToGrid w:val="0"/>
                <w:spacing w:line="360" w:lineRule="auto"/>
                <w:ind w:rightChars="20" w:right="42" w:firstLineChars="200" w:firstLine="440"/>
                <w:jc w:val="both"/>
                <w:rPr>
                  <w:rFonts w:ascii="Arial" w:eastAsiaTheme="majorEastAsia" w:hAnsi="Arial" w:cs="Arial"/>
                  <w:color w:val="auto"/>
                  <w:kern w:val="2"/>
                  <w:sz w:val="22"/>
                  <w:szCs w:val="22"/>
                </w:rPr>
              </w:pPr>
              <w:r w:rsidRPr="00960EBF">
                <w:rPr>
                  <w:rFonts w:ascii="Arial" w:eastAsiaTheme="majorEastAsia" w:hAnsi="Arial" w:cs="Arial"/>
                  <w:color w:val="auto"/>
                  <w:kern w:val="2"/>
                  <w:sz w:val="22"/>
                  <w:szCs w:val="22"/>
                </w:rPr>
                <w:t>截至</w:t>
              </w:r>
              <w:r w:rsidRPr="00960EBF">
                <w:rPr>
                  <w:rFonts w:ascii="Arial" w:eastAsiaTheme="majorEastAsia" w:hAnsi="Arial" w:cs="Arial"/>
                  <w:color w:val="auto"/>
                  <w:kern w:val="2"/>
                  <w:sz w:val="22"/>
                  <w:szCs w:val="22"/>
                </w:rPr>
                <w:t>201</w:t>
              </w:r>
              <w:r w:rsidRPr="00960EBF">
                <w:rPr>
                  <w:rFonts w:ascii="Arial" w:eastAsiaTheme="majorEastAsia" w:hAnsi="Arial" w:cs="Arial" w:hint="eastAsia"/>
                  <w:color w:val="auto"/>
                  <w:kern w:val="2"/>
                  <w:sz w:val="22"/>
                  <w:szCs w:val="22"/>
                </w:rPr>
                <w:t>5</w:t>
              </w:r>
              <w:r w:rsidRPr="00960EBF">
                <w:rPr>
                  <w:rFonts w:ascii="Arial" w:eastAsiaTheme="majorEastAsia" w:hAnsi="Arial" w:cs="Arial"/>
                  <w:color w:val="auto"/>
                  <w:kern w:val="2"/>
                  <w:sz w:val="22"/>
                  <w:szCs w:val="22"/>
                </w:rPr>
                <w:t>年</w:t>
              </w:r>
              <w:r w:rsidRPr="00960EBF">
                <w:rPr>
                  <w:rFonts w:ascii="Arial" w:eastAsiaTheme="majorEastAsia" w:hAnsi="Arial" w:cs="Arial" w:hint="eastAsia"/>
                  <w:color w:val="auto"/>
                  <w:kern w:val="2"/>
                  <w:sz w:val="22"/>
                  <w:szCs w:val="22"/>
                </w:rPr>
                <w:t>6</w:t>
              </w:r>
              <w:r w:rsidRPr="00960EBF">
                <w:rPr>
                  <w:rFonts w:ascii="Arial" w:eastAsiaTheme="majorEastAsia" w:hAnsi="Arial" w:cs="Arial"/>
                  <w:color w:val="auto"/>
                  <w:kern w:val="2"/>
                  <w:sz w:val="22"/>
                  <w:szCs w:val="22"/>
                </w:rPr>
                <w:t>月</w:t>
              </w:r>
              <w:r w:rsidRPr="00960EBF">
                <w:rPr>
                  <w:rFonts w:ascii="Arial" w:eastAsiaTheme="majorEastAsia" w:hAnsi="Arial" w:cs="Arial"/>
                  <w:color w:val="auto"/>
                  <w:kern w:val="2"/>
                  <w:sz w:val="22"/>
                  <w:szCs w:val="22"/>
                </w:rPr>
                <w:t>3</w:t>
              </w:r>
              <w:r w:rsidRPr="00960EBF">
                <w:rPr>
                  <w:rFonts w:ascii="Arial" w:eastAsiaTheme="majorEastAsia" w:hAnsi="Arial" w:cs="Arial" w:hint="eastAsia"/>
                  <w:color w:val="auto"/>
                  <w:kern w:val="2"/>
                  <w:sz w:val="22"/>
                  <w:szCs w:val="22"/>
                </w:rPr>
                <w:t>0</w:t>
              </w:r>
              <w:r w:rsidRPr="00960EBF">
                <w:rPr>
                  <w:rFonts w:ascii="Arial" w:eastAsiaTheme="majorEastAsia" w:hAnsi="Arial" w:cs="Arial"/>
                  <w:color w:val="auto"/>
                  <w:kern w:val="2"/>
                  <w:sz w:val="22"/>
                  <w:szCs w:val="22"/>
                </w:rPr>
                <w:t>日，公司在北京、上海、广州、深圳等城市拥有</w:t>
              </w:r>
              <w:r w:rsidRPr="00960EBF">
                <w:rPr>
                  <w:rFonts w:ascii="Arial" w:eastAsiaTheme="majorEastAsia" w:hAnsi="Arial" w:cs="Arial"/>
                  <w:color w:val="auto"/>
                  <w:kern w:val="2"/>
                  <w:sz w:val="22"/>
                  <w:szCs w:val="22"/>
                </w:rPr>
                <w:t>162</w:t>
              </w:r>
              <w:r w:rsidRPr="00960EBF">
                <w:rPr>
                  <w:rFonts w:ascii="Arial" w:eastAsiaTheme="majorEastAsia" w:hAnsi="Arial" w:cs="Arial"/>
                  <w:color w:val="auto"/>
                  <w:kern w:val="2"/>
                  <w:sz w:val="22"/>
                  <w:szCs w:val="22"/>
                </w:rPr>
                <w:t>家批准设立的证券营业部和</w:t>
              </w:r>
              <w:r w:rsidRPr="00960EBF">
                <w:rPr>
                  <w:rFonts w:ascii="Arial" w:eastAsiaTheme="majorEastAsia" w:hAnsi="Arial" w:cs="Arial"/>
                  <w:color w:val="auto"/>
                  <w:kern w:val="2"/>
                  <w:sz w:val="22"/>
                  <w:szCs w:val="22"/>
                </w:rPr>
                <w:t>11</w:t>
              </w:r>
              <w:r w:rsidRPr="00960EBF">
                <w:rPr>
                  <w:rFonts w:ascii="Arial" w:eastAsiaTheme="majorEastAsia" w:hAnsi="Arial" w:cs="Arial"/>
                  <w:color w:val="auto"/>
                  <w:kern w:val="2"/>
                  <w:sz w:val="22"/>
                  <w:szCs w:val="22"/>
                </w:rPr>
                <w:t>家证券经纪业务管理分公司；公司拥有</w:t>
              </w:r>
              <w:r w:rsidRPr="00960EBF">
                <w:rPr>
                  <w:rFonts w:ascii="Arial" w:eastAsiaTheme="majorEastAsia" w:hAnsi="Arial" w:cs="Arial" w:hint="eastAsia"/>
                  <w:color w:val="auto"/>
                  <w:kern w:val="2"/>
                  <w:sz w:val="22"/>
                  <w:szCs w:val="22"/>
                </w:rPr>
                <w:t>一级</w:t>
              </w:r>
              <w:r w:rsidRPr="00960EBF">
                <w:rPr>
                  <w:rFonts w:ascii="Arial" w:eastAsiaTheme="majorEastAsia" w:hAnsi="Arial" w:cs="Arial"/>
                  <w:color w:val="auto"/>
                  <w:kern w:val="2"/>
                  <w:sz w:val="22"/>
                  <w:szCs w:val="22"/>
                </w:rPr>
                <w:t>全资子公司</w:t>
              </w:r>
              <w:r w:rsidRPr="00960EBF">
                <w:rPr>
                  <w:rFonts w:ascii="Arial" w:eastAsiaTheme="majorEastAsia" w:hAnsi="Arial" w:cs="Arial" w:hint="eastAsia"/>
                  <w:color w:val="auto"/>
                  <w:kern w:val="2"/>
                  <w:sz w:val="22"/>
                  <w:szCs w:val="22"/>
                </w:rPr>
                <w:t>5</w:t>
              </w:r>
              <w:r w:rsidRPr="00960EBF">
                <w:rPr>
                  <w:rFonts w:ascii="Arial" w:eastAsiaTheme="majorEastAsia" w:hAnsi="Arial" w:cs="Arial"/>
                  <w:color w:val="auto"/>
                  <w:kern w:val="2"/>
                  <w:sz w:val="22"/>
                  <w:szCs w:val="22"/>
                </w:rPr>
                <w:t>家，即招商证券国际有限公司、招商期货有限公司、招商致远资本投资有限公司、招商证券投资有限公司</w:t>
              </w:r>
              <w:r w:rsidRPr="00960EBF">
                <w:rPr>
                  <w:rFonts w:ascii="Arial" w:eastAsiaTheme="majorEastAsia" w:hAnsi="Arial" w:cs="Arial" w:hint="eastAsia"/>
                  <w:color w:val="auto"/>
                  <w:kern w:val="2"/>
                  <w:sz w:val="22"/>
                  <w:szCs w:val="22"/>
                </w:rPr>
                <w:t>、招商证券资产管理有限公司</w:t>
              </w:r>
              <w:r w:rsidRPr="00960EBF">
                <w:rPr>
                  <w:rFonts w:ascii="Arial" w:eastAsiaTheme="majorEastAsia" w:hAnsi="Arial" w:cs="Arial"/>
                  <w:color w:val="auto"/>
                  <w:kern w:val="2"/>
                  <w:sz w:val="22"/>
                  <w:szCs w:val="22"/>
                </w:rPr>
                <w:t>。</w:t>
              </w:r>
            </w:p>
            <w:p w:rsidR="00DE031E" w:rsidRDefault="001C1A59" w:rsidP="00DE031E">
              <w:pPr>
                <w:widowControl w:val="0"/>
                <w:kinsoku w:val="0"/>
                <w:overflowPunct w:val="0"/>
                <w:autoSpaceDE w:val="0"/>
                <w:autoSpaceDN w:val="0"/>
                <w:adjustRightInd w:val="0"/>
                <w:snapToGrid w:val="0"/>
                <w:spacing w:line="360" w:lineRule="auto"/>
                <w:ind w:firstLineChars="200" w:firstLine="440"/>
                <w:rPr>
                  <w:szCs w:val="21"/>
                </w:rPr>
              </w:pPr>
              <w:r w:rsidRPr="00437FB4">
                <w:rPr>
                  <w:rFonts w:ascii="Arial" w:eastAsiaTheme="majorEastAsia" w:hAnsi="Arial" w:cs="Arial"/>
                  <w:kern w:val="2"/>
                  <w:sz w:val="22"/>
                  <w:szCs w:val="22"/>
                </w:rPr>
                <w:t>本公司的第一大股东为深圳市招融投资控股有限公司，最终控制方为招商局集团有限公司。</w:t>
              </w:r>
            </w:p>
          </w:sdtContent>
        </w:sdt>
        <w:p w:rsidR="00DE031E" w:rsidRDefault="001C1A59" w:rsidP="009950AC">
          <w:pPr>
            <w:pStyle w:val="3"/>
            <w:numPr>
              <w:ilvl w:val="0"/>
              <w:numId w:val="33"/>
            </w:numPr>
            <w:spacing w:line="360" w:lineRule="auto"/>
            <w:rPr>
              <w:szCs w:val="21"/>
            </w:rPr>
          </w:pPr>
          <w:r>
            <w:rPr>
              <w:rFonts w:hint="eastAsia"/>
              <w:szCs w:val="21"/>
            </w:rPr>
            <w:t>合并财务</w:t>
          </w:r>
          <w:r>
            <w:rPr>
              <w:rFonts w:hint="eastAsia"/>
            </w:rPr>
            <w:t>报表</w:t>
          </w:r>
          <w:r>
            <w:rPr>
              <w:rFonts w:hint="eastAsia"/>
              <w:szCs w:val="21"/>
            </w:rPr>
            <w:t>范围</w:t>
          </w:r>
        </w:p>
        <w:sdt>
          <w:sdtPr>
            <w:rPr>
              <w:rFonts w:ascii="宋体" w:eastAsia="宋体" w:hAnsi="宋体" w:cs="宋体"/>
              <w:color w:val="auto"/>
              <w:sz w:val="21"/>
              <w:szCs w:val="21"/>
            </w:rPr>
            <w:alias w:val="本年度合并财务报表范围"/>
            <w:tag w:val="_GBC_696c121eead146fba6371fa5b371b2fc"/>
            <w:id w:val="24723228"/>
            <w:lock w:val="sdtLocked"/>
            <w:placeholder>
              <w:docPart w:val="GBC22222222222222222222222222222"/>
            </w:placeholder>
          </w:sdtPr>
          <w:sdtEndPr>
            <w:rPr>
              <w:rFonts w:ascii="华文中宋" w:eastAsia="华文中宋" w:hAnsi="Times New Roman" w:cs="华文中宋"/>
              <w:sz w:val="24"/>
            </w:rPr>
          </w:sdtEndPr>
          <w:sdtContent>
            <w:p w:rsidR="00DE031E" w:rsidRDefault="001C1A59" w:rsidP="00DE031E">
              <w:pPr>
                <w:pStyle w:val="Default"/>
                <w:snapToGrid w:val="0"/>
                <w:spacing w:line="360" w:lineRule="auto"/>
                <w:ind w:rightChars="20" w:right="42" w:firstLineChars="200" w:firstLine="420"/>
                <w:jc w:val="both"/>
                <w:rPr>
                  <w:szCs w:val="21"/>
                </w:rPr>
              </w:pPr>
              <w:r w:rsidRPr="00437FB4">
                <w:rPr>
                  <w:rFonts w:ascii="Arial" w:eastAsiaTheme="majorEastAsia" w:hAnsi="Arial" w:cs="Arial"/>
                  <w:color w:val="auto"/>
                  <w:kern w:val="2"/>
                  <w:sz w:val="22"/>
                  <w:szCs w:val="22"/>
                </w:rPr>
                <w:t>本公司合并财务报表范围包括招商证券国际有限公司、招商期货有限公司、招商致远资本投资有限公司、招商证券投资有限</w:t>
              </w:r>
              <w:r w:rsidRPr="00A80D76">
                <w:rPr>
                  <w:rFonts w:ascii="Arial" w:eastAsiaTheme="majorEastAsia" w:hAnsi="Arial" w:cs="Arial"/>
                  <w:color w:val="auto"/>
                  <w:kern w:val="2"/>
                  <w:sz w:val="22"/>
                  <w:szCs w:val="22"/>
                </w:rPr>
                <w:t>公司</w:t>
              </w:r>
              <w:r>
                <w:rPr>
                  <w:rFonts w:ascii="Arial" w:eastAsiaTheme="majorEastAsia" w:hAnsi="Arial" w:cs="Arial" w:hint="eastAsia"/>
                  <w:color w:val="auto"/>
                  <w:kern w:val="2"/>
                  <w:sz w:val="22"/>
                  <w:szCs w:val="22"/>
                </w:rPr>
                <w:t>、招商证券资产管理</w:t>
              </w:r>
              <w:r w:rsidRPr="00960EBF">
                <w:rPr>
                  <w:rFonts w:ascii="Arial" w:eastAsiaTheme="majorEastAsia" w:hAnsi="Arial" w:cs="Arial" w:hint="eastAsia"/>
                  <w:color w:val="auto"/>
                  <w:kern w:val="2"/>
                  <w:sz w:val="22"/>
                  <w:szCs w:val="22"/>
                </w:rPr>
                <w:t>有限公司</w:t>
              </w:r>
              <w:r w:rsidRPr="00960EBF">
                <w:rPr>
                  <w:rFonts w:ascii="Arial" w:eastAsiaTheme="majorEastAsia" w:hAnsi="Arial" w:cs="Arial"/>
                  <w:color w:val="auto"/>
                  <w:kern w:val="2"/>
                  <w:sz w:val="22"/>
                  <w:szCs w:val="22"/>
                </w:rPr>
                <w:t>等子公司以及本公司管理的、以自有资金参与并满足新准则有关</w:t>
              </w:r>
              <w:r w:rsidRPr="00960EBF">
                <w:rPr>
                  <w:rFonts w:ascii="Arial" w:eastAsiaTheme="majorEastAsia" w:hAnsi="Arial" w:cs="Arial" w:hint="eastAsia"/>
                  <w:color w:val="auto"/>
                  <w:kern w:val="2"/>
                  <w:sz w:val="22"/>
                  <w:szCs w:val="22"/>
                </w:rPr>
                <w:t>“</w:t>
              </w:r>
              <w:r w:rsidRPr="00960EBF">
                <w:rPr>
                  <w:rFonts w:ascii="Arial" w:eastAsiaTheme="majorEastAsia" w:hAnsi="Arial" w:cs="Arial"/>
                  <w:color w:val="auto"/>
                  <w:kern w:val="2"/>
                  <w:sz w:val="22"/>
                  <w:szCs w:val="22"/>
                </w:rPr>
                <w:t>控制</w:t>
              </w:r>
              <w:r w:rsidRPr="00960EBF">
                <w:rPr>
                  <w:rFonts w:ascii="Arial" w:eastAsiaTheme="majorEastAsia" w:hAnsi="Arial" w:cs="Arial" w:hint="eastAsia"/>
                  <w:color w:val="auto"/>
                  <w:kern w:val="2"/>
                  <w:sz w:val="22"/>
                  <w:szCs w:val="22"/>
                </w:rPr>
                <w:t>”</w:t>
              </w:r>
              <w:r w:rsidRPr="00960EBF">
                <w:rPr>
                  <w:rFonts w:ascii="Arial" w:eastAsiaTheme="majorEastAsia" w:hAnsi="Arial" w:cs="Arial"/>
                  <w:color w:val="auto"/>
                  <w:kern w:val="2"/>
                  <w:sz w:val="22"/>
                  <w:szCs w:val="22"/>
                </w:rPr>
                <w:t>定义的结构化主体（集合资产管理计划）。详见本附注</w:t>
              </w:r>
              <w:r w:rsidRPr="00960EBF">
                <w:rPr>
                  <w:rFonts w:ascii="Arial" w:eastAsiaTheme="majorEastAsia" w:hAnsi="Arial" w:cs="Arial" w:hint="eastAsia"/>
                  <w:color w:val="auto"/>
                  <w:kern w:val="2"/>
                  <w:sz w:val="22"/>
                  <w:szCs w:val="22"/>
                </w:rPr>
                <w:t>“九</w:t>
              </w:r>
              <w:r w:rsidRPr="00960EBF">
                <w:rPr>
                  <w:rFonts w:ascii="Arial" w:eastAsiaTheme="majorEastAsia" w:hAnsi="Arial" w:cs="Arial"/>
                  <w:color w:val="auto"/>
                  <w:kern w:val="2"/>
                  <w:sz w:val="22"/>
                  <w:szCs w:val="22"/>
                </w:rPr>
                <w:t>、合并范围的变化</w:t>
              </w:r>
              <w:r w:rsidRPr="00960EBF">
                <w:rPr>
                  <w:rFonts w:ascii="Arial" w:eastAsiaTheme="majorEastAsia" w:hAnsi="Arial" w:cs="Arial" w:hint="eastAsia"/>
                  <w:color w:val="auto"/>
                  <w:kern w:val="2"/>
                  <w:sz w:val="22"/>
                  <w:szCs w:val="22"/>
                </w:rPr>
                <w:t>”</w:t>
              </w:r>
              <w:r w:rsidRPr="00960EBF">
                <w:rPr>
                  <w:rFonts w:ascii="Arial" w:eastAsiaTheme="majorEastAsia" w:hAnsi="Arial" w:cs="Arial"/>
                  <w:color w:val="auto"/>
                  <w:kern w:val="2"/>
                  <w:sz w:val="22"/>
                  <w:szCs w:val="22"/>
                </w:rPr>
                <w:t>及本附注</w:t>
              </w:r>
              <w:r w:rsidRPr="00960EBF">
                <w:rPr>
                  <w:rFonts w:ascii="Arial" w:eastAsiaTheme="majorEastAsia" w:hAnsi="Arial" w:cs="Arial" w:hint="eastAsia"/>
                  <w:color w:val="auto"/>
                  <w:kern w:val="2"/>
                  <w:sz w:val="22"/>
                  <w:szCs w:val="22"/>
                </w:rPr>
                <w:t>“十</w:t>
              </w:r>
              <w:r w:rsidRPr="00960EBF">
                <w:rPr>
                  <w:rFonts w:ascii="Arial" w:eastAsiaTheme="majorEastAsia" w:hAnsi="Arial" w:cs="Arial"/>
                  <w:color w:val="auto"/>
                  <w:kern w:val="2"/>
                  <w:sz w:val="22"/>
                  <w:szCs w:val="22"/>
                </w:rPr>
                <w:t>、在其他主体中的权益</w:t>
              </w:r>
              <w:r w:rsidRPr="00960EBF">
                <w:rPr>
                  <w:rFonts w:ascii="Arial" w:eastAsiaTheme="majorEastAsia" w:hAnsi="Arial" w:cs="Arial" w:hint="eastAsia"/>
                  <w:color w:val="auto"/>
                  <w:kern w:val="2"/>
                  <w:sz w:val="22"/>
                  <w:szCs w:val="22"/>
                </w:rPr>
                <w:t>”</w:t>
              </w:r>
              <w:r w:rsidRPr="00960EBF">
                <w:rPr>
                  <w:rFonts w:ascii="Arial" w:eastAsiaTheme="majorEastAsia" w:hAnsi="Arial" w:cs="Arial"/>
                  <w:color w:val="auto"/>
                  <w:kern w:val="2"/>
                  <w:sz w:val="22"/>
                  <w:szCs w:val="22"/>
                </w:rPr>
                <w:t>相关内容。</w:t>
              </w:r>
            </w:p>
          </w:sdtContent>
        </w:sdt>
      </w:sdtContent>
    </w:sdt>
    <w:p w:rsidR="00DE031E" w:rsidRDefault="001C1A59" w:rsidP="009950AC">
      <w:pPr>
        <w:pStyle w:val="2"/>
        <w:numPr>
          <w:ilvl w:val="0"/>
          <w:numId w:val="30"/>
        </w:numPr>
        <w:spacing w:line="360" w:lineRule="auto"/>
        <w:rPr>
          <w:rFonts w:ascii="宋体" w:hAnsi="宋体"/>
        </w:rPr>
      </w:pPr>
      <w:r>
        <w:rPr>
          <w:rFonts w:ascii="宋体" w:hAnsi="宋体" w:hint="eastAsia"/>
        </w:rPr>
        <w:lastRenderedPageBreak/>
        <w:t>财务报表的编制基础</w:t>
      </w:r>
    </w:p>
    <w:sdt>
      <w:sdtPr>
        <w:rPr>
          <w:rFonts w:asciiTheme="minorHAnsi" w:hAnsiTheme="minorHAnsi" w:cs="宋体"/>
          <w:b w:val="0"/>
          <w:bCs w:val="0"/>
          <w:kern w:val="0"/>
          <w:szCs w:val="22"/>
        </w:rPr>
        <w:tag w:val="_GBC_6d12949d3695402592266a78137dcfb5"/>
        <w:id w:val="24723231"/>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4"/>
            </w:numPr>
            <w:spacing w:line="360" w:lineRule="auto"/>
          </w:pPr>
          <w:r>
            <w:t>编制基础</w:t>
          </w:r>
        </w:p>
        <w:sdt>
          <w:sdtPr>
            <w:rPr>
              <w:rFonts w:hint="eastAsia"/>
              <w:szCs w:val="21"/>
            </w:rPr>
            <w:alias w:val="财务报表的编制基础"/>
            <w:tag w:val="_GBC_1dc2375ed7ab49628f5badf2d5006405"/>
            <w:id w:val="24723230"/>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eastAsiaTheme="majorEastAsia" w:hAnsi="Arial" w:cs="Arial"/>
                  <w:kern w:val="2"/>
                  <w:sz w:val="22"/>
                  <w:szCs w:val="22"/>
                </w:rPr>
                <w:t>本财务报表以公司持续经营假设为基础，按照财政部</w:t>
              </w:r>
              <w:r w:rsidRPr="00437FB4">
                <w:rPr>
                  <w:rFonts w:ascii="Arial" w:eastAsiaTheme="majorEastAsia" w:hAnsi="Arial" w:cs="Arial"/>
                  <w:kern w:val="2"/>
                  <w:sz w:val="22"/>
                  <w:szCs w:val="22"/>
                </w:rPr>
                <w:t>2006</w:t>
              </w:r>
              <w:r w:rsidRPr="00437FB4">
                <w:rPr>
                  <w:rFonts w:ascii="Arial" w:eastAsiaTheme="majorEastAsia" w:hAnsi="Arial" w:cs="Arial"/>
                  <w:kern w:val="2"/>
                  <w:sz w:val="22"/>
                  <w:szCs w:val="22"/>
                </w:rPr>
                <w:t>年</w:t>
              </w:r>
              <w:r w:rsidRPr="00437FB4">
                <w:rPr>
                  <w:rFonts w:ascii="Arial" w:eastAsiaTheme="majorEastAsia" w:hAnsi="Arial" w:cs="Arial"/>
                  <w:kern w:val="2"/>
                  <w:sz w:val="22"/>
                  <w:szCs w:val="22"/>
                </w:rPr>
                <w:t>2</w:t>
              </w:r>
              <w:r w:rsidRPr="00437FB4">
                <w:rPr>
                  <w:rFonts w:ascii="Arial" w:eastAsiaTheme="majorEastAsia" w:hAnsi="Arial" w:cs="Arial"/>
                  <w:kern w:val="2"/>
                  <w:sz w:val="22"/>
                  <w:szCs w:val="22"/>
                </w:rPr>
                <w:t>月</w:t>
              </w:r>
              <w:r w:rsidRPr="00437FB4">
                <w:rPr>
                  <w:rFonts w:ascii="Arial" w:eastAsiaTheme="majorEastAsia" w:hAnsi="Arial" w:cs="Arial"/>
                  <w:kern w:val="2"/>
                  <w:sz w:val="22"/>
                  <w:szCs w:val="22"/>
                </w:rPr>
                <w:t>15</w:t>
              </w:r>
              <w:r w:rsidRPr="00437FB4">
                <w:rPr>
                  <w:rFonts w:ascii="Arial" w:eastAsiaTheme="majorEastAsia" w:hAnsi="Arial" w:cs="Arial"/>
                  <w:kern w:val="2"/>
                  <w:sz w:val="22"/>
                  <w:szCs w:val="22"/>
                </w:rPr>
                <w:t>日及其后颁布或修订的《企业会计准则》、应用指南、解释、财政部于</w:t>
              </w:r>
              <w:r w:rsidRPr="00437FB4">
                <w:rPr>
                  <w:rFonts w:ascii="Arial" w:eastAsiaTheme="majorEastAsia" w:hAnsi="Arial" w:cs="Arial"/>
                  <w:kern w:val="2"/>
                  <w:sz w:val="22"/>
                  <w:szCs w:val="22"/>
                </w:rPr>
                <w:t>2013</w:t>
              </w:r>
              <w:r w:rsidRPr="00437FB4">
                <w:rPr>
                  <w:rFonts w:ascii="Arial" w:eastAsiaTheme="majorEastAsia" w:hAnsi="Arial" w:cs="Arial"/>
                  <w:kern w:val="2"/>
                  <w:sz w:val="22"/>
                  <w:szCs w:val="22"/>
                </w:rPr>
                <w:t>年底下发的《关于印发</w:t>
              </w:r>
              <w:r w:rsidRPr="00437FB4">
                <w:rPr>
                  <w:rFonts w:ascii="Arial" w:eastAsiaTheme="majorEastAsia" w:hAnsi="Arial" w:cs="Arial"/>
                  <w:kern w:val="2"/>
                  <w:sz w:val="22"/>
                  <w:szCs w:val="22"/>
                </w:rPr>
                <w:t>&lt;</w:t>
              </w:r>
              <w:r w:rsidRPr="00437FB4">
                <w:rPr>
                  <w:rFonts w:ascii="Arial" w:eastAsiaTheme="majorEastAsia" w:hAnsi="Arial" w:cs="Arial"/>
                  <w:kern w:val="2"/>
                  <w:sz w:val="22"/>
                  <w:szCs w:val="22"/>
                </w:rPr>
                <w:t>证券公司财务报表格式和附注</w:t>
              </w:r>
              <w:r w:rsidRPr="00437FB4">
                <w:rPr>
                  <w:rFonts w:ascii="Arial" w:eastAsiaTheme="majorEastAsia" w:hAnsi="Arial" w:cs="Arial"/>
                  <w:kern w:val="2"/>
                  <w:sz w:val="22"/>
                  <w:szCs w:val="22"/>
                </w:rPr>
                <w:t>&gt;</w:t>
              </w:r>
              <w:r w:rsidRPr="00437FB4">
                <w:rPr>
                  <w:rFonts w:ascii="Arial" w:eastAsiaTheme="majorEastAsia" w:hAnsi="Arial" w:cs="Arial"/>
                  <w:kern w:val="2"/>
                  <w:sz w:val="22"/>
                  <w:szCs w:val="22"/>
                </w:rPr>
                <w:t>的通知》（财会</w:t>
              </w:r>
              <w:r w:rsidRPr="00437FB4">
                <w:rPr>
                  <w:rFonts w:ascii="Arial" w:eastAsiaTheme="majorEastAsia" w:hAnsi="Arial" w:cs="Arial"/>
                  <w:kern w:val="2"/>
                  <w:sz w:val="22"/>
                  <w:szCs w:val="22"/>
                </w:rPr>
                <w:t>[2013]26</w:t>
              </w:r>
              <w:r w:rsidRPr="00437FB4">
                <w:rPr>
                  <w:rFonts w:ascii="Arial" w:eastAsiaTheme="majorEastAsia" w:hAnsi="Arial" w:cs="Arial"/>
                  <w:kern w:val="2"/>
                  <w:sz w:val="22"/>
                  <w:szCs w:val="22"/>
                </w:rPr>
                <w:t>号）、中国证券监督管理委员会下发的《证券公司年度报告内容与格式准则（</w:t>
              </w:r>
              <w:r w:rsidRPr="00437FB4">
                <w:rPr>
                  <w:rFonts w:ascii="Arial" w:eastAsiaTheme="majorEastAsia" w:hAnsi="Arial" w:cs="Arial"/>
                  <w:kern w:val="2"/>
                  <w:sz w:val="22"/>
                  <w:szCs w:val="22"/>
                </w:rPr>
                <w:t>2013</w:t>
              </w:r>
              <w:r w:rsidRPr="00437FB4">
                <w:rPr>
                  <w:rFonts w:ascii="Arial" w:eastAsiaTheme="majorEastAsia" w:hAnsi="Arial" w:cs="Arial"/>
                  <w:kern w:val="2"/>
                  <w:sz w:val="22"/>
                  <w:szCs w:val="22"/>
                </w:rPr>
                <w:t>年修订）》（证监会公告</w:t>
              </w:r>
              <w:r w:rsidRPr="00437FB4">
                <w:rPr>
                  <w:rFonts w:ascii="Arial" w:eastAsiaTheme="majorEastAsia" w:hAnsi="Arial" w:cs="Arial"/>
                  <w:kern w:val="2"/>
                  <w:sz w:val="22"/>
                  <w:szCs w:val="22"/>
                </w:rPr>
                <w:t>[2013]41</w:t>
              </w:r>
              <w:r w:rsidRPr="00437FB4">
                <w:rPr>
                  <w:rFonts w:ascii="Arial" w:eastAsiaTheme="majorEastAsia" w:hAnsi="Arial" w:cs="Arial"/>
                  <w:kern w:val="2"/>
                  <w:sz w:val="22"/>
                  <w:szCs w:val="22"/>
                </w:rPr>
                <w:t>号）等文件规定（统称</w:t>
              </w:r>
              <w:r w:rsidRPr="00437FB4">
                <w:rPr>
                  <w:rFonts w:ascii="Arial" w:eastAsiaTheme="majorEastAsia" w:hAnsi="Arial" w:cs="Arial"/>
                  <w:kern w:val="2"/>
                  <w:sz w:val="22"/>
                  <w:szCs w:val="22"/>
                </w:rPr>
                <w:t>“</w:t>
              </w:r>
              <w:r w:rsidRPr="00437FB4">
                <w:rPr>
                  <w:rFonts w:ascii="Arial" w:eastAsiaTheme="majorEastAsia" w:hAnsi="Arial" w:cs="Arial"/>
                  <w:kern w:val="2"/>
                  <w:sz w:val="22"/>
                  <w:szCs w:val="22"/>
                </w:rPr>
                <w:t>企业会计准则</w:t>
              </w:r>
              <w:r w:rsidRPr="00437FB4">
                <w:rPr>
                  <w:rFonts w:ascii="Arial" w:eastAsiaTheme="majorEastAsia" w:hAnsi="Arial" w:cs="Arial"/>
                  <w:kern w:val="2"/>
                  <w:sz w:val="22"/>
                  <w:szCs w:val="22"/>
                </w:rPr>
                <w:t>”</w:t>
              </w:r>
              <w:r w:rsidRPr="00437FB4">
                <w:rPr>
                  <w:rFonts w:ascii="Arial" w:eastAsiaTheme="majorEastAsia" w:hAnsi="Arial" w:cs="Arial"/>
                  <w:kern w:val="2"/>
                  <w:sz w:val="22"/>
                  <w:szCs w:val="22"/>
                </w:rPr>
                <w:t>）进行编制。</w:t>
              </w:r>
            </w:p>
          </w:sdtContent>
        </w:sdt>
      </w:sdtContent>
    </w:sdt>
    <w:sdt>
      <w:sdtPr>
        <w:rPr>
          <w:rFonts w:asciiTheme="minorHAnsi" w:hAnsiTheme="minorHAnsi" w:cs="宋体" w:hint="eastAsia"/>
          <w:b w:val="0"/>
          <w:bCs w:val="0"/>
          <w:kern w:val="0"/>
          <w:szCs w:val="22"/>
        </w:rPr>
        <w:tag w:val="_GBC_69ae6baeacb44e8fa17b0b984abbf6ab"/>
        <w:id w:val="24723233"/>
        <w:lock w:val="sdtLocked"/>
        <w:placeholder>
          <w:docPart w:val="GBC22222222222222222222222222222"/>
        </w:placeholder>
      </w:sdtPr>
      <w:sdtEndPr>
        <w:rPr>
          <w:rFonts w:ascii="宋体" w:hAnsi="宋体" w:cs="Times New Roman"/>
          <w:kern w:val="2"/>
          <w:szCs w:val="21"/>
        </w:rPr>
      </w:sdtEndPr>
      <w:sdtContent>
        <w:p w:rsidR="00DE031E" w:rsidRDefault="001C1A59" w:rsidP="009950AC">
          <w:pPr>
            <w:pStyle w:val="3"/>
            <w:numPr>
              <w:ilvl w:val="0"/>
              <w:numId w:val="34"/>
            </w:numPr>
            <w:spacing w:line="360" w:lineRule="auto"/>
          </w:pPr>
          <w:r>
            <w:rPr>
              <w:rFonts w:hint="eastAsia"/>
            </w:rPr>
            <w:t>持续经营</w:t>
          </w:r>
        </w:p>
        <w:sdt>
          <w:sdtPr>
            <w:rPr>
              <w:szCs w:val="21"/>
            </w:rPr>
            <w:alias w:val="持续经营"/>
            <w:tag w:val="_GBC_dc876c24006b428987a041949eb554f3"/>
            <w:id w:val="24723232"/>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eastAsiaTheme="majorEastAsia" w:hAnsi="Arial" w:cs="Arial"/>
                  <w:kern w:val="2"/>
                  <w:sz w:val="22"/>
                  <w:szCs w:val="22"/>
                </w:rPr>
                <w:t>本公司有近期获利经营的历史且有财务资源支持，认为以持续经营为基础编制财务报表是合理的。</w:t>
              </w:r>
            </w:p>
          </w:sdtContent>
        </w:sdt>
      </w:sdtContent>
    </w:sdt>
    <w:p w:rsidR="00DE031E" w:rsidRDefault="001C1A59" w:rsidP="009950AC">
      <w:pPr>
        <w:pStyle w:val="2"/>
        <w:numPr>
          <w:ilvl w:val="0"/>
          <w:numId w:val="30"/>
        </w:numPr>
        <w:spacing w:line="360" w:lineRule="auto"/>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具体会计政策和会计估计提示"/>
        <w:tag w:val="_GBC_03d97fea34d045cb980749ccc6860a5a"/>
        <w:id w:val="24723234"/>
        <w:lock w:val="sdtLocked"/>
        <w:placeholder>
          <w:docPart w:val="GBC22222222222222222222222222222"/>
        </w:placeholder>
      </w:sdtPr>
      <w:sdtContent>
        <w:sdt>
          <w:sdtPr>
            <w:alias w:val="具体会计政策和会计估计提示"/>
            <w:tag w:val="_GBC_caddaeaf0d1a454ab0bede37f0db7782"/>
            <w:id w:val="1857146552"/>
            <w:lock w:val="sdtLocked"/>
          </w:sdtPr>
          <w:sdtContent>
            <w:p w:rsidR="008A39E2" w:rsidRDefault="008A39E2" w:rsidP="008A39E2">
              <w:pPr>
                <w:spacing w:line="360" w:lineRule="auto"/>
                <w:ind w:firstLineChars="200" w:firstLine="420"/>
              </w:pPr>
              <w:r w:rsidRPr="00437FB4">
                <w:rPr>
                  <w:rFonts w:ascii="Arial" w:eastAsiaTheme="majorEastAsia" w:hAnsi="Arial" w:cs="Arial"/>
                  <w:kern w:val="2"/>
                  <w:sz w:val="22"/>
                  <w:szCs w:val="22"/>
                </w:rPr>
                <w:t>本公司根据实际生产经营特点制定的具体会计政策和会计估计包括客户交易结算资金、金融工具、证券承销业务、受托投资管理业务、融资融券业务、收入确认等</w:t>
              </w:r>
              <w:r>
                <w:rPr>
                  <w:rFonts w:ascii="Arial" w:eastAsiaTheme="majorEastAsia" w:hAnsi="Arial" w:cs="Arial" w:hint="eastAsia"/>
                  <w:kern w:val="2"/>
                  <w:sz w:val="22"/>
                  <w:szCs w:val="22"/>
                </w:rPr>
                <w:t>。</w:t>
              </w:r>
            </w:p>
          </w:sdtContent>
        </w:sdt>
      </w:sdtContent>
    </w:sdt>
    <w:sdt>
      <w:sdtPr>
        <w:rPr>
          <w:rFonts w:asciiTheme="minorHAnsi" w:hAnsiTheme="minorHAnsi" w:cs="宋体"/>
          <w:b w:val="0"/>
          <w:bCs w:val="0"/>
          <w:kern w:val="0"/>
          <w:szCs w:val="22"/>
        </w:rPr>
        <w:tag w:val="_GBC_a0afbb5b3a444bce84ee78a2a282cb28"/>
        <w:id w:val="24723236"/>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5"/>
            </w:numPr>
            <w:spacing w:line="360" w:lineRule="auto"/>
          </w:pPr>
          <w:r>
            <w:t>遵循企业会计准则的声明</w:t>
          </w:r>
        </w:p>
        <w:sdt>
          <w:sdtPr>
            <w:rPr>
              <w:rFonts w:hint="eastAsia"/>
              <w:szCs w:val="21"/>
            </w:rPr>
            <w:alias w:val="会计准则和会计制度"/>
            <w:tag w:val="_GBC_a350b889163a4ef3bb500c021e6a6b47"/>
            <w:id w:val="24723235"/>
            <w:lock w:val="sdtLocked"/>
            <w:placeholder>
              <w:docPart w:val="GBC22222222222222222222222222222"/>
            </w:placeholder>
          </w:sdtPr>
          <w:sdtContent>
            <w:p w:rsidR="00DE031E" w:rsidRDefault="001C1A59" w:rsidP="00DE031E">
              <w:pPr>
                <w:spacing w:line="360" w:lineRule="auto"/>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sdt>
      <w:sdtPr>
        <w:rPr>
          <w:rFonts w:ascii="宋体" w:hAnsi="宋体" w:cs="宋体"/>
          <w:b w:val="0"/>
          <w:bCs w:val="0"/>
          <w:kern w:val="0"/>
          <w:szCs w:val="24"/>
        </w:rPr>
        <w:tag w:val="_GBC_2d7f332501c8461ea731797db5588ee5"/>
        <w:id w:val="24723238"/>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35"/>
            </w:numPr>
            <w:spacing w:line="360" w:lineRule="auto"/>
          </w:pPr>
          <w:r>
            <w:t>会计期间</w:t>
          </w:r>
        </w:p>
        <w:sdt>
          <w:sdtPr>
            <w:rPr>
              <w:rFonts w:hint="eastAsia"/>
              <w:szCs w:val="21"/>
            </w:rPr>
            <w:alias w:val="会计年度"/>
            <w:tag w:val="_GBC_fc896fba50b143f8a06984831f5d5600"/>
            <w:id w:val="24723237"/>
            <w:lock w:val="sdtLocked"/>
            <w:placeholder>
              <w:docPart w:val="GBC22222222222222222222222222222"/>
            </w:placeholder>
          </w:sdtPr>
          <w:sdtContent>
            <w:p w:rsidR="00DE031E" w:rsidRDefault="001C1A59" w:rsidP="00DE031E">
              <w:pPr>
                <w:spacing w:line="360" w:lineRule="auto"/>
                <w:ind w:firstLineChars="200" w:firstLine="420"/>
                <w:rPr>
                  <w:szCs w:val="21"/>
                </w:rPr>
              </w:pPr>
              <w:r>
                <w:rPr>
                  <w:szCs w:val="21"/>
                </w:rPr>
                <w:t>本公司会计年度自公历1月1日起至12月31日止。</w:t>
              </w:r>
            </w:p>
          </w:sdtContent>
        </w:sdt>
      </w:sdtContent>
    </w:sdt>
    <w:sdt>
      <w:sdtPr>
        <w:rPr>
          <w:rFonts w:asciiTheme="minorHAnsi" w:hAnsiTheme="minorHAnsi" w:cs="宋体"/>
          <w:b w:val="0"/>
          <w:bCs w:val="0"/>
          <w:kern w:val="0"/>
          <w:szCs w:val="22"/>
        </w:rPr>
        <w:tag w:val="_GBC_13b1061968754e20bebf2099281ed54f"/>
        <w:id w:val="24723240"/>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5"/>
            </w:numPr>
            <w:spacing w:line="360" w:lineRule="auto"/>
          </w:pPr>
          <w:r>
            <w:t>记账本位币</w:t>
          </w:r>
        </w:p>
        <w:sdt>
          <w:sdtPr>
            <w:rPr>
              <w:rFonts w:hint="eastAsia"/>
              <w:szCs w:val="21"/>
            </w:rPr>
            <w:alias w:val="记账本位币"/>
            <w:tag w:val="_GBC_3749a2357eba44e8b968cb41cda75ff1"/>
            <w:id w:val="24723239"/>
            <w:lock w:val="sdtLocked"/>
            <w:placeholder>
              <w:docPart w:val="GBC22222222222222222222222222222"/>
            </w:placeholder>
          </w:sdtPr>
          <w:sdtContent>
            <w:p w:rsidR="00DE031E" w:rsidRDefault="001C1A59" w:rsidP="00DE031E">
              <w:pPr>
                <w:spacing w:line="360" w:lineRule="auto"/>
                <w:ind w:firstLineChars="200" w:firstLine="420"/>
                <w:rPr>
                  <w:szCs w:val="21"/>
                </w:rPr>
              </w:pPr>
              <w:r>
                <w:rPr>
                  <w:szCs w:val="21"/>
                </w:rPr>
                <w:t>本公司的记账本位币为人民币。</w:t>
              </w:r>
            </w:p>
          </w:sdtContent>
        </w:sdt>
      </w:sdtContent>
    </w:sdt>
    <w:sdt>
      <w:sdtPr>
        <w:rPr>
          <w:rFonts w:asciiTheme="minorHAnsi" w:hAnsiTheme="minorHAnsi" w:cs="宋体"/>
          <w:b w:val="0"/>
          <w:bCs w:val="0"/>
          <w:kern w:val="0"/>
          <w:szCs w:val="22"/>
        </w:rPr>
        <w:tag w:val="_GBC_f44e1e76b2a3457ea36bc088adcbb4c3"/>
        <w:id w:val="24723242"/>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5"/>
            </w:numPr>
            <w:spacing w:line="360" w:lineRule="auto"/>
          </w:pPr>
          <w:r>
            <w:t>同一控制下和非同一控制下企业合并的会计处理方法</w:t>
          </w:r>
        </w:p>
        <w:sdt>
          <w:sdtPr>
            <w:rPr>
              <w:rFonts w:ascii="宋体" w:eastAsia="宋体" w:hAnsi="宋体" w:cs="宋体" w:hint="eastAsia"/>
              <w:color w:val="auto"/>
              <w:sz w:val="21"/>
              <w:szCs w:val="21"/>
            </w:rPr>
            <w:alias w:val="同一控制下和非同一控制下企业合并的会计处理方法"/>
            <w:tag w:val="_GBC_ef4b9a8d4ac34f45a0f61a23267bcbb8"/>
            <w:id w:val="24723241"/>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企业合并，是指将两个或两个以上单独的企业合并形成一个报告主体的交易或事项。企业合并分为同一控制下企业合并和非同一控制下企业合并。</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）同一控制下的企业合并</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与参与合并的企业在合并前后均受同一方或相同的多方最终控制，且该控制并非暂时性的，为同一控制下的企业合并。合并方在企业合并中取得的资产和负债，按照合并日所取得的被合并方在最终控制方合并财务报表中净值产账面价值的份额计量。合并中取得的净资产账面价值与支付的合并对价账面价值（或发行股份面值总额）的差额，调整资本公积中的股本溢价；资本公积不足冲减的则调整留存收益。</w:t>
              </w:r>
            </w:p>
            <w:p w:rsidR="00DE031E" w:rsidRPr="00437FB4" w:rsidRDefault="001C1A59" w:rsidP="00AA4F46">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合并方为进行企业合并发生的各项直接费用，于发生时计入当期损益。为企业合并发行的债券或承担其它债务支付的手续费、佣金，计入所发行的债券及其他债务的初始计量金额。</w:t>
              </w:r>
              <w:r w:rsidRPr="00437FB4">
                <w:rPr>
                  <w:rFonts w:ascii="Arial" w:eastAsiaTheme="majorEastAsia" w:hAnsi="Arial" w:cs="Arial"/>
                  <w:color w:val="auto"/>
                  <w:kern w:val="2"/>
                  <w:sz w:val="22"/>
                  <w:szCs w:val="22"/>
                </w:rPr>
                <w:lastRenderedPageBreak/>
                <w:t>企业合并中发行的权益性证券发生的手续费、佣金等费用，抵减权益性证券溢价收入，溢价收入不足冲减的，冲减留存收益。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）非同一控制下的企业合并</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与参与合并的企业为非同一控制下的企业合并的，作为合并对价而付出的资产、发生或承担的负债以及发行的权益性证券的公允价值作为合并成本，购买方为企业合并发生的审计、法律服务、评估咨询等中介费用以及其他相关管理费用，应当于发生时计入当期损益，作为合并对价发行的权益性证券或债务性证券的交易费用，计入权益性证券或债务性证券的初始确认金额；如果在合并合同中对可能影响合并成本的未来事项作出约定的，购买日如果估计未来事项很可能发生并且对合并成本的影响金额能够可靠计量的，将其计入合并成本。</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非同一控制下企业合并中所取得的被购买方可辨认资产、负债及或有负债在收购日以公允价值计量。</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本公司付出的合并成本大于合并中取得的被购买方可辨认净资产公允价值份额的差额确认为商誉，在资产负债表中单独列报。</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差额计入当期损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通过多次交易分步实现非同一控制下企业合并的，对于购买日之前持有的被购买方的股权，按照该股权在购买日公允价值进行重新计量，公允价值与其账面价值的差额计入当期投资收益；购买日之前持有的被购买方的股权涉及其他综合收益的，与其相关的其他综合收益转为购买日所属当期投资收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企业因处置部分股权投资或其他原因丧失了对原有子公司控制权的，在合并报表中，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转为当期投资收益。</w:t>
              </w:r>
            </w:p>
            <w:p w:rsidR="00DE031E" w:rsidRDefault="001C1A59" w:rsidP="00DE031E">
              <w:pPr>
                <w:adjustRightInd w:val="0"/>
                <w:snapToGrid w:val="0"/>
                <w:spacing w:line="360" w:lineRule="auto"/>
                <w:ind w:firstLineChars="200" w:firstLine="440"/>
                <w:rPr>
                  <w:szCs w:val="21"/>
                </w:rPr>
              </w:pPr>
              <w:r w:rsidRPr="00437FB4">
                <w:rPr>
                  <w:rFonts w:ascii="Arial" w:eastAsiaTheme="majorEastAsia" w:hAnsi="Arial" w:cs="Arial"/>
                  <w:kern w:val="2"/>
                  <w:sz w:val="22"/>
                  <w:szCs w:val="22"/>
                </w:rPr>
                <w:t>另外，本公司收购其他证券公司证券营业部时，作为收购对价付出的资产、发生或承担的负债以及发行的权益性证券的公允价值大于被收购证券营业部可辨认净资产公允价值份额的部分，确认为商誉。</w:t>
              </w:r>
            </w:p>
          </w:sdtContent>
        </w:sdt>
      </w:sdtContent>
    </w:sdt>
    <w:sdt>
      <w:sdtPr>
        <w:rPr>
          <w:rFonts w:ascii="宋体" w:hAnsi="宋体" w:cs="宋体"/>
          <w:b w:val="0"/>
          <w:bCs w:val="0"/>
          <w:kern w:val="0"/>
          <w:szCs w:val="24"/>
        </w:rPr>
        <w:tag w:val="_GBC_c23be25e527044f689b710dabd312b04"/>
        <w:id w:val="24723244"/>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35"/>
            </w:numPr>
            <w:spacing w:line="360" w:lineRule="auto"/>
          </w:pPr>
          <w:r>
            <w:t>合并财务报表的编制方法</w:t>
          </w:r>
        </w:p>
        <w:sdt>
          <w:sdtPr>
            <w:rPr>
              <w:rFonts w:ascii="宋体" w:eastAsia="宋体" w:hAnsi="宋体" w:cs="宋体" w:hint="eastAsia"/>
              <w:color w:val="auto"/>
              <w:sz w:val="21"/>
              <w:szCs w:val="21"/>
            </w:rPr>
            <w:alias w:val="企业合并及合并财务报表的说明"/>
            <w:tag w:val="_GBC_5201beca0c0944939b4a0d8d100d6fcf"/>
            <w:id w:val="24723243"/>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本公司合并财务报表的编制范围为母公司及子公司的财务报表。子公司是指被母公司控制的主体，含企业、被投资单位中可分割的部分，以及企业所控制的结构化主体等。</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lastRenderedPageBreak/>
                <w:t>本公司以控制为基础确定被投资单位是否纳入合并范围，将全部控制的被投资单位纳入合并范围。合并财务报表以母公司和子公司的财务报表为基础，根据其他有关资料，由母公司编制。</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在合并财务报表过程中，抵销母公司与子公司、子公司相互之间发生的内部交易。</w:t>
              </w:r>
            </w:p>
            <w:p w:rsidR="00DE031E" w:rsidRDefault="001C1A59" w:rsidP="00DE031E">
              <w:pPr>
                <w:adjustRightInd w:val="0"/>
                <w:snapToGrid w:val="0"/>
                <w:spacing w:line="360" w:lineRule="auto"/>
                <w:rPr>
                  <w:szCs w:val="21"/>
                </w:rPr>
              </w:pPr>
              <w:r w:rsidRPr="00437FB4">
                <w:rPr>
                  <w:rFonts w:ascii="Arial" w:eastAsiaTheme="majorEastAsia" w:hAnsi="Arial" w:cs="Arial"/>
                  <w:kern w:val="2"/>
                  <w:sz w:val="22"/>
                  <w:szCs w:val="22"/>
                </w:rPr>
                <w:t>如果子公司所采用的会计政策或会计期间与母公司不一致的，按照母公司的会计政策和会计期间对子公司财务报表进行必要的调整后，或者要求子公司按照本公司的会计政策和会计期间另行编报财务报表后编制合并财务报表。</w:t>
              </w:r>
            </w:p>
          </w:sdtContent>
        </w:sdt>
      </w:sdtContent>
    </w:sdt>
    <w:sdt>
      <w:sdtPr>
        <w:rPr>
          <w:rFonts w:ascii="宋体" w:hAnsi="宋体" w:cs="宋体"/>
          <w:b w:val="0"/>
          <w:bCs w:val="0"/>
          <w:kern w:val="0"/>
          <w:szCs w:val="24"/>
        </w:rPr>
        <w:tag w:val="_GBC_9f2dfe6521c4434b9ad3e7bb1a8a52b7"/>
        <w:id w:val="24723246"/>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35"/>
            </w:numPr>
            <w:spacing w:line="360" w:lineRule="auto"/>
          </w:pPr>
          <w:r>
            <w:t>现金及现金等价物的确定标准</w:t>
          </w:r>
        </w:p>
        <w:sdt>
          <w:sdtPr>
            <w:rPr>
              <w:rFonts w:ascii="宋体" w:eastAsia="宋体" w:hAnsi="宋体" w:cs="宋体" w:hint="eastAsia"/>
              <w:color w:val="auto"/>
              <w:sz w:val="21"/>
              <w:szCs w:val="21"/>
            </w:rPr>
            <w:alias w:val="现金及现金等价物的确定标准"/>
            <w:tag w:val="_GBC_54f6bc3e44e840bc85cb3872600823b5"/>
            <w:id w:val="24723245"/>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现金，是指库存现金以及可以随时用于支付的存款。</w:t>
              </w:r>
            </w:p>
            <w:p w:rsidR="00DE031E" w:rsidRDefault="001C1A59" w:rsidP="00DE031E">
              <w:pPr>
                <w:adjustRightInd w:val="0"/>
                <w:snapToGrid w:val="0"/>
                <w:spacing w:line="360" w:lineRule="auto"/>
                <w:ind w:firstLineChars="200" w:firstLine="440"/>
                <w:rPr>
                  <w:szCs w:val="21"/>
                </w:rPr>
              </w:pPr>
              <w:r w:rsidRPr="00437FB4">
                <w:rPr>
                  <w:rFonts w:ascii="Arial" w:eastAsiaTheme="majorEastAsia" w:hAnsi="Arial" w:cs="Arial"/>
                  <w:kern w:val="2"/>
                  <w:sz w:val="22"/>
                  <w:szCs w:val="22"/>
                </w:rPr>
                <w:t>现金等价物，是指本公司持有的期限短、流动性强、易于转换为已知金额现金、价值变动风险很小的投资。</w:t>
              </w:r>
            </w:p>
          </w:sdtContent>
        </w:sdt>
      </w:sdtContent>
    </w:sdt>
    <w:sdt>
      <w:sdtPr>
        <w:rPr>
          <w:rFonts w:asciiTheme="minorHAnsi" w:hAnsiTheme="minorHAnsi" w:cs="宋体"/>
          <w:b w:val="0"/>
          <w:bCs w:val="0"/>
          <w:kern w:val="0"/>
          <w:szCs w:val="22"/>
        </w:rPr>
        <w:tag w:val="_GBC_cff1e1487c3242a8a1be0ce9c2b7a554"/>
        <w:id w:val="24723248"/>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5"/>
            </w:numPr>
            <w:spacing w:line="360" w:lineRule="auto"/>
          </w:pPr>
          <w:r>
            <w:t>外币业务和外币报表折算</w:t>
          </w:r>
        </w:p>
        <w:sdt>
          <w:sdtPr>
            <w:rPr>
              <w:rFonts w:ascii="宋体" w:eastAsia="宋体" w:hAnsi="宋体" w:cs="宋体" w:hint="eastAsia"/>
              <w:color w:val="auto"/>
              <w:sz w:val="21"/>
              <w:szCs w:val="21"/>
            </w:rPr>
            <w:alias w:val="外币业务核算方法"/>
            <w:tag w:val="_GBC_1703fe5fc56b42a8972c0906a4ac6d6b"/>
            <w:id w:val="24723247"/>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）外币业务的核算</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在资产负债表日，对外币货币性项目和外币非货币性项目进行如下处理：</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①</w:t>
              </w:r>
              <w:r w:rsidRPr="00437FB4">
                <w:rPr>
                  <w:rFonts w:ascii="Arial" w:eastAsiaTheme="majorEastAsia" w:hAnsi="Arial" w:cs="Arial"/>
                  <w:color w:val="auto"/>
                  <w:kern w:val="2"/>
                  <w:sz w:val="22"/>
                  <w:szCs w:val="22"/>
                </w:rPr>
                <w:t>外币货币性项目，采用资产负债表日即期汇率折算，即期汇率是指中国人民银行公布的当日人民币外汇牌价的中间价。</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②</w:t>
              </w:r>
              <w:r w:rsidRPr="00437FB4">
                <w:rPr>
                  <w:rFonts w:ascii="Arial" w:eastAsiaTheme="majorEastAsia" w:hAnsi="Arial" w:cs="Arial"/>
                  <w:color w:val="auto"/>
                  <w:kern w:val="2"/>
                  <w:sz w:val="22"/>
                  <w:szCs w:val="22"/>
                </w:rPr>
                <w:t>外币非货币性项目，采用历史交易日的即期汇率折算，不改变其记账本位币金额。</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）外币报表折算</w:t>
              </w:r>
            </w:p>
            <w:p w:rsidR="00DE031E" w:rsidRDefault="001C1A59" w:rsidP="00DE031E">
              <w:pPr>
                <w:adjustRightInd w:val="0"/>
                <w:snapToGrid w:val="0"/>
                <w:spacing w:line="360" w:lineRule="auto"/>
                <w:ind w:firstLineChars="200" w:firstLine="440"/>
                <w:rPr>
                  <w:szCs w:val="21"/>
                </w:rPr>
              </w:pPr>
              <w:r w:rsidRPr="00437FB4">
                <w:rPr>
                  <w:rFonts w:ascii="Arial" w:eastAsiaTheme="majorEastAsia" w:hAnsi="Arial" w:cs="Arial"/>
                  <w:kern w:val="2"/>
                  <w:sz w:val="22"/>
                  <w:szCs w:val="22"/>
                </w:rPr>
                <w:t>由于本公司纳入合并报表范围的部分子公司注册地址和经营地址在香港特别行政区，采用港币作为记账本位币，合并报表时，将子公司财务报表按本公司记账本位币进行折算，折算方法为：资产负债表中的资产和负债项目，采用资产负债表日的即期汇率折算，所有者权益项目除</w:t>
              </w:r>
              <w:r w:rsidRPr="00437FB4">
                <w:rPr>
                  <w:rFonts w:ascii="Arial" w:eastAsiaTheme="majorEastAsia" w:hAnsi="Arial" w:cs="Arial"/>
                  <w:kern w:val="2"/>
                  <w:sz w:val="22"/>
                  <w:szCs w:val="22"/>
                </w:rPr>
                <w:t>“</w:t>
              </w:r>
              <w:r w:rsidRPr="00437FB4">
                <w:rPr>
                  <w:rFonts w:ascii="Arial" w:eastAsiaTheme="majorEastAsia" w:hAnsi="Arial" w:cs="Arial"/>
                  <w:kern w:val="2"/>
                  <w:sz w:val="22"/>
                  <w:szCs w:val="22"/>
                </w:rPr>
                <w:t>未分配利润</w:t>
              </w:r>
              <w:r w:rsidRPr="00437FB4">
                <w:rPr>
                  <w:rFonts w:ascii="Arial" w:eastAsiaTheme="majorEastAsia" w:hAnsi="Arial" w:cs="Arial"/>
                  <w:kern w:val="2"/>
                  <w:sz w:val="22"/>
                  <w:szCs w:val="22"/>
                </w:rPr>
                <w:t>”</w:t>
              </w:r>
              <w:r w:rsidRPr="00437FB4">
                <w:rPr>
                  <w:rFonts w:ascii="Arial" w:eastAsiaTheme="majorEastAsia" w:hAnsi="Arial" w:cs="Arial"/>
                  <w:kern w:val="2"/>
                  <w:sz w:val="22"/>
                  <w:szCs w:val="22"/>
                </w:rPr>
                <w:t>项目外，其他项目采用发生时的即期汇率折算。利润表中的收入和费用项目，采用交易发生日的即期汇率或即期汇率的近似汇率折算。产生的差额作为未实现汇兑损益在合并报表所有者权益项下单独列示（外币报表折算差额）。</w:t>
              </w:r>
            </w:p>
          </w:sdtContent>
        </w:sdt>
      </w:sdtContent>
    </w:sdt>
    <w:sdt>
      <w:sdtPr>
        <w:rPr>
          <w:rFonts w:ascii="宋体" w:hAnsi="宋体" w:cs="宋体"/>
          <w:b w:val="0"/>
          <w:bCs w:val="0"/>
          <w:kern w:val="0"/>
          <w:szCs w:val="24"/>
        </w:rPr>
        <w:tag w:val="_GBC_4b3a058b038b41689d379e6a2726a904"/>
        <w:id w:val="24723250"/>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35"/>
            </w:numPr>
            <w:spacing w:line="360" w:lineRule="auto"/>
          </w:pPr>
          <w:r>
            <w:t>金融工具</w:t>
          </w:r>
        </w:p>
        <w:sdt>
          <w:sdtPr>
            <w:rPr>
              <w:rFonts w:ascii="宋体" w:eastAsia="宋体" w:hAnsi="宋体" w:cs="宋体" w:hint="eastAsia"/>
              <w:color w:val="auto"/>
              <w:sz w:val="21"/>
              <w:szCs w:val="21"/>
            </w:rPr>
            <w:alias w:val="金融资产和金融负债的核算方法"/>
            <w:tag w:val="_GBC_b358067bbe2a49bf880c383a5db50d8a"/>
            <w:id w:val="24723249"/>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金融工具，是指形成一个企业的金融资产，同时形成其他单位的金融负债或权益工具的合同。</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）金融工具的确认和终止确认</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本公司成为金融工具的合同一方时确认一项金融资产或金融负债。</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金融资产满足下列条件之一时，终止确认：</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、收取该金融资产现金流量的合同权利已终止；</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B</w:t>
              </w:r>
              <w:r w:rsidRPr="00437FB4">
                <w:rPr>
                  <w:rFonts w:ascii="Arial" w:eastAsiaTheme="majorEastAsia" w:hAnsi="Arial" w:cs="Arial"/>
                  <w:color w:val="auto"/>
                  <w:kern w:val="2"/>
                  <w:sz w:val="22"/>
                  <w:szCs w:val="22"/>
                </w:rPr>
                <w:t>、该金融资产已转移，且符合新《企业会计准则第</w:t>
              </w:r>
              <w:r w:rsidRPr="00437FB4">
                <w:rPr>
                  <w:rFonts w:ascii="Arial" w:eastAsiaTheme="majorEastAsia" w:hAnsi="Arial" w:cs="Arial"/>
                  <w:color w:val="auto"/>
                  <w:kern w:val="2"/>
                  <w:sz w:val="22"/>
                  <w:szCs w:val="22"/>
                </w:rPr>
                <w:t>23</w:t>
              </w:r>
              <w:r w:rsidRPr="00437FB4">
                <w:rPr>
                  <w:rFonts w:ascii="Arial" w:eastAsiaTheme="majorEastAsia" w:hAnsi="Arial" w:cs="Arial"/>
                  <w:color w:val="auto"/>
                  <w:kern w:val="2"/>
                  <w:sz w:val="22"/>
                  <w:szCs w:val="22"/>
                </w:rPr>
                <w:t>号</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金融资产转移》规定的金融资</w:t>
              </w:r>
              <w:r w:rsidRPr="00437FB4">
                <w:rPr>
                  <w:rFonts w:ascii="Arial" w:eastAsiaTheme="majorEastAsia" w:hAnsi="Arial" w:cs="Arial"/>
                  <w:color w:val="auto"/>
                  <w:kern w:val="2"/>
                  <w:sz w:val="22"/>
                  <w:szCs w:val="22"/>
                </w:rPr>
                <w:lastRenderedPageBreak/>
                <w:t>产终止确认条件。</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金融负债的现时义务全部或部分已解除时，终止确认该金融负债或其一部分。金融负债全部或部分终止确认的，本公司将终止确认部分的账面价值与支付的对价</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包括转出的非现金资产或承担的新金融负债</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之间的差额，计入当期损益。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）金融工具分类和计量方法</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的金融资产于初始确认时分为四类：以公允价值计量且其变动计入当期损益的金融资产、持有至到期投资、贷款和应收款项、可供出售金融资产。金融资产在初始确认时以公允价值计量。对于以公允价值计量且其变动计入当期损益的金融资产，相关交易费用直接计入当期损益；对于其他类别的金融资产，相关交易费用计入初始确认金额。支付的价款中包含已宣告但尚未发放的现金股利或已到付息期但尚未领取的债券利息，单独确认为应收项目。</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的金融负债划分为以公允价值计量且其变动计入当期损益的金融负债和其他金融负债。金融负债在初始确认时以公允价值计量。对于以公允价值计量且其变动计入当期损益的金融负债，相关交易费用直接计入当期损益；对于其他金融负债，相关交易费用计入初始确认金额。</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在初始确认时将某金融资产或某金融负债划分为以公允价值计量且其变动计入当期损益的金融资产或金融负债后，不能重分类为其他类金融资产或金融负债；其他类金融资产或金融负债也不能重分类为以公允价值计量且其变动计入当期损益的金融资产或金融负债。</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卖出同一品种金融资产时，按移动加权平均法计算结转资产成本。</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①</w:t>
              </w:r>
              <w:r w:rsidRPr="00437FB4">
                <w:rPr>
                  <w:rFonts w:ascii="Arial" w:eastAsiaTheme="majorEastAsia" w:hAnsi="Arial" w:cs="Arial"/>
                  <w:color w:val="auto"/>
                  <w:kern w:val="2"/>
                  <w:sz w:val="22"/>
                  <w:szCs w:val="22"/>
                </w:rPr>
                <w:t>以公允价值计量且其变动计入当期损益的金融资产和金融负债</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包括交易性金融资产和金融负债、指定为以公允价值计量且其变动计入当期损益的金融资产和金融负债。对于该类金融资产，采用公允价值进行后续计量，当期发生的公允价值变动计入公允价值变动损益。处置该类金融资产，其公允价值与初始入账金额之间的差额确认为投资收益，同时调整公允价值变动损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交易性金融资产或金融负债主要是指为了近期内出售或回购而持有的金融工具。衍生工具也被分类为交易性金融工具，但被指定且为有效套期工具的衍生工具、属于财务担保合同的衍生工具、与在活跃市场中没有报价且其公允价值不能可靠计量的权益工具投资挂钩并须通过交付该权益工具结算的衍生工具除外。衍生工具包括远期合同、期货合同、互换和期权，以及具有远期合同、期货合同、互换和期权中一种或一种以上特征的工具。</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只有符合以下条件之一，金融资产或金融负债才可在初始计量时直接指定为以公允价值计量且其变动计入当期损益的金融资产或金融负债：</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、该项指定可以消除或明显减少由于金融工具计量基础不同所导致的相关利得或损失</w:t>
              </w:r>
              <w:r w:rsidRPr="00437FB4">
                <w:rPr>
                  <w:rFonts w:ascii="Arial" w:eastAsiaTheme="majorEastAsia" w:hAnsi="Arial" w:cs="Arial"/>
                  <w:color w:val="auto"/>
                  <w:kern w:val="2"/>
                  <w:sz w:val="22"/>
                  <w:szCs w:val="22"/>
                </w:rPr>
                <w:lastRenderedPageBreak/>
                <w:t>在确认和计量方面不一致的情况；</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B</w:t>
              </w:r>
              <w:r w:rsidRPr="00437FB4">
                <w:rPr>
                  <w:rFonts w:ascii="Arial" w:eastAsiaTheme="majorEastAsia" w:hAnsi="Arial" w:cs="Arial"/>
                  <w:color w:val="auto"/>
                  <w:kern w:val="2"/>
                  <w:sz w:val="22"/>
                  <w:szCs w:val="22"/>
                </w:rPr>
                <w:t>、风险管理或投资策略的正式书面文件已载明，该金融工具组合以公允价值为基础进行管理、评价并向关键管理人员报告；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C</w:t>
              </w:r>
              <w:r w:rsidRPr="00437FB4">
                <w:rPr>
                  <w:rFonts w:ascii="Arial" w:eastAsiaTheme="majorEastAsia" w:hAnsi="Arial" w:cs="Arial"/>
                  <w:color w:val="auto"/>
                  <w:kern w:val="2"/>
                  <w:sz w:val="22"/>
                  <w:szCs w:val="22"/>
                </w:rPr>
                <w:t>、包含一项或多项嵌入衍生工具的混合工具，除非嵌入衍生工具对混合工具的现金流量没有重大改变，或所嵌入的衍生工具明显不应当从相关混合工具中分拆；</w:t>
              </w:r>
            </w:p>
            <w:p w:rsidR="00DE031E"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D</w:t>
              </w:r>
              <w:r w:rsidRPr="00437FB4">
                <w:rPr>
                  <w:rFonts w:ascii="Arial" w:eastAsiaTheme="majorEastAsia" w:hAnsi="Arial" w:cs="Arial"/>
                  <w:color w:val="auto"/>
                  <w:kern w:val="2"/>
                  <w:sz w:val="22"/>
                  <w:szCs w:val="22"/>
                </w:rPr>
                <w:t>、包含需要分拆但无法在取得时或后续的资产负债表日对其进行单独计量的嵌入衍生工具的混合工具。</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②</w:t>
              </w:r>
              <w:r w:rsidRPr="00437FB4">
                <w:rPr>
                  <w:rFonts w:ascii="Arial" w:eastAsiaTheme="majorEastAsia" w:hAnsi="Arial" w:cs="Arial"/>
                  <w:color w:val="auto"/>
                  <w:kern w:val="2"/>
                  <w:sz w:val="22"/>
                  <w:szCs w:val="22"/>
                </w:rPr>
                <w:t>持有至到期投资</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持有至到期投资指到期日固定、回收金额固定或可确定，且企业有明确意图和能力持有至到期的非衍生金融资产。</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该类投资的账面价值以实际利率法计算的摊余成本减去减值准备计量，在持有期间按照摊余成本和实际利率计算确认的利息收入、处置收益，均计入投资收益。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因持有意图或能力发生改变，使某项投资不再适合划分为持有至到期投资的，将其重分类为可供出售金融资产，并以公允价值进行后续计量。重分类日，该投资的账面价值与公允价值之间的差额计入所有者权益，在该可供出售金融资产发生减值或终止确认时转出，计入当期损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③</w:t>
              </w:r>
              <w:r w:rsidRPr="00437FB4">
                <w:rPr>
                  <w:rFonts w:ascii="Arial" w:eastAsiaTheme="majorEastAsia" w:hAnsi="Arial" w:cs="Arial"/>
                  <w:color w:val="auto"/>
                  <w:kern w:val="2"/>
                  <w:sz w:val="22"/>
                  <w:szCs w:val="22"/>
                </w:rPr>
                <w:t>贷款和应收款项</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本公司将在活跃市场中没有报价、回收金额固定或可确定的非衍生金融资产作为贷款和应收款项，本公司持有的该类资产主要是日常经营过程中形成的应收款项等债权。</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④</w:t>
              </w:r>
              <w:r w:rsidRPr="00437FB4">
                <w:rPr>
                  <w:rFonts w:ascii="Arial" w:eastAsiaTheme="majorEastAsia" w:hAnsi="Arial" w:cs="Arial"/>
                  <w:color w:val="auto"/>
                  <w:kern w:val="2"/>
                  <w:sz w:val="22"/>
                  <w:szCs w:val="22"/>
                </w:rPr>
                <w:t>可供出售金融资产</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可供出售金融资产是初始确认时即被指定为可供出售的非衍生金融资产，以及没有划分为以公允价值计量且其变动计入当期损益的金融资产、持有至到期投资、贷款和应收款项的金融资产。</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该类资产持有期间取得的利息或现金股利，计入投资收益。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对于该类资产，采用公允价值进行后续计量，公允价值变动计入其他综合收益，在终止确认或发生减值时，原计入其他综合收益的累计公允价值变动应转出，记入当期投资收益。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⑤</w:t>
              </w:r>
              <w:r w:rsidRPr="00437FB4">
                <w:rPr>
                  <w:rFonts w:ascii="Arial" w:eastAsiaTheme="majorEastAsia" w:hAnsi="Arial" w:cs="Arial"/>
                  <w:color w:val="auto"/>
                  <w:kern w:val="2"/>
                  <w:sz w:val="22"/>
                  <w:szCs w:val="22"/>
                </w:rPr>
                <w:t>其他金融负债</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其他金融负债指除以公允价值计量且其变动计入当期损益的金融负债以外的非衍生金融负债。比如本公司发行的债券、因购买商品产生的应付账款、长期应付款等，对于此类金融负债，采用实际利率法，按照摊余成本进行后续计量。</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3</w:t>
              </w:r>
              <w:r w:rsidRPr="00437FB4">
                <w:rPr>
                  <w:rFonts w:ascii="Arial" w:eastAsiaTheme="majorEastAsia" w:hAnsi="Arial" w:cs="Arial"/>
                  <w:color w:val="auto"/>
                  <w:kern w:val="2"/>
                  <w:sz w:val="22"/>
                  <w:szCs w:val="22"/>
                </w:rPr>
                <w:t>）公允价值的确定方法</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公允价值是出售该项资产所能收到或者转移该项负债所需支付的价值（即脱手价格），</w:t>
              </w:r>
              <w:r w:rsidRPr="00437FB4">
                <w:rPr>
                  <w:rFonts w:ascii="Arial" w:eastAsiaTheme="majorEastAsia" w:hAnsi="Arial" w:cs="Arial"/>
                  <w:color w:val="auto"/>
                  <w:kern w:val="2"/>
                  <w:sz w:val="22"/>
                  <w:szCs w:val="22"/>
                </w:rPr>
                <w:lastRenderedPageBreak/>
                <w:t>该价格是假定市场参与者在计量日出售资产或者转移负债的交易，是在当前市场条件下的有序交易中进行的。本公司以主要市场的价格计量相关资产或负债的公允价值。不存在主要市场的，以最有利市场的价格计量相关资产或负债的公允价值。在确定公允价值时，本公司采用市场参与者在对该资产或负债定价时为实现其经济利益最大化所使用的假设。</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存在活跃市场的金融资产或金融负债，本公司采用活跃市场中的报价确定其公允价值。活跃市场中的报价是指易于定期从交易所、经纪商、行业协会、定价服务机构等获得的价格，且代表了在有序交易中实际发生的市场交易的价格。</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金融工具不存在活跃市场的，本公司采用适当的估值技术，审慎确认其公允价值。本公司使用的估值技术主要包括市场法、收益法和成本法。估值技术的应用中，本公司优先使用相关可观察输入值，只有在相关可观察输入值无法取得或取得不切实可行的情况下，才可以使用不可观察输入值。</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对于以公允价值计量的负债，本公司已考虑不履约风险，并假定不履约风险在负债转移前后保持不变。不履约风险是指企业不履行义务的风险，包括但不限于企业自身信用风险。</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4</w:t>
              </w:r>
              <w:r w:rsidRPr="00437FB4">
                <w:rPr>
                  <w:rFonts w:ascii="Arial" w:eastAsiaTheme="majorEastAsia" w:hAnsi="Arial" w:cs="Arial"/>
                  <w:color w:val="auto"/>
                  <w:kern w:val="2"/>
                  <w:sz w:val="22"/>
                  <w:szCs w:val="22"/>
                </w:rPr>
                <w:t>）金融资产减值</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除以公允价值计量且其变动计入当期损益的金融资产外，本公司于资产负债表日对其他金融资产的账面价值进行检查，如果有客观证据表明某项金融资产发生减值的，计提减值准备。表明金融资产发生减值的客观证据，是指金融资产初始确认后实际发生的、对该金融资产的预计未来现金流量有影响，且企业能够对该影响进行可靠计量的事项。</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以摊余成本计量的金融资产发生减值时，按预计未来现金流量（不包括尚未发生的未来信用损失）现值低于账面价值的差额，计提减值准备。如果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DE031E" w:rsidRPr="00437FB4" w:rsidRDefault="001C1A59" w:rsidP="00DE031E">
              <w:pPr>
                <w:pStyle w:val="Default"/>
                <w:snapToGrid w:val="0"/>
                <w:spacing w:line="360" w:lineRule="auto"/>
                <w:ind w:rightChars="20" w:right="42" w:firstLineChars="200" w:firstLine="440"/>
                <w:jc w:val="both"/>
                <w:rPr>
                  <w:rFonts w:ascii="Arial" w:hAnsi="Arial" w:cs="Arial"/>
                  <w:sz w:val="18"/>
                  <w:szCs w:val="18"/>
                </w:rPr>
              </w:pPr>
              <w:r w:rsidRPr="00437FB4">
                <w:rPr>
                  <w:rFonts w:ascii="Arial" w:eastAsiaTheme="majorEastAsia" w:hAnsi="Arial" w:cs="Arial"/>
                  <w:color w:val="auto"/>
                  <w:kern w:val="2"/>
                  <w:sz w:val="22"/>
                  <w:szCs w:val="22"/>
                </w:rPr>
                <w:t>B</w:t>
              </w:r>
              <w:r w:rsidRPr="00437FB4">
                <w:rPr>
                  <w:rFonts w:ascii="Arial" w:eastAsiaTheme="majorEastAsia" w:hAnsi="Arial" w:cs="Arial"/>
                  <w:color w:val="auto"/>
                  <w:kern w:val="2"/>
                  <w:sz w:val="22"/>
                  <w:szCs w:val="22"/>
                </w:rPr>
                <w:t>、可供出售金融资产发生减值的，原计入所有者权益的公允价值下降形成的累计损失应予转出，计入减值损失。可供出售金融资产的转回应区分为可供出售权益工具投资转回和可供出售债务工具转回两种情况。可供出售权益工具投资发生的减值损失，不得通过损益转回；在活跃市场中没有报价且公允价值不能可靠计量的权益工具投资或与该权益工具挂钩并须通过交付该权益工具结算的衍生金融资产发生的减值损失，不得转回。对于已确认减值损失的可供出售债务工具，在随后的会计期间公允价值已上升且客观上与确认原减值损失后发生的事项有关的，原确认的减值损益应当予以转回，计入当期损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可供出售权益工具投资发生减值的客观证据，包括公允价值发生严重或非暂时性下跌。</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严重</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根据公允价值低于成本的程度进行判断，</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非暂时性</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根据公允价值低于成本的期间长短</w:t>
              </w:r>
              <w:r w:rsidRPr="00437FB4">
                <w:rPr>
                  <w:rFonts w:ascii="Arial" w:eastAsiaTheme="majorEastAsia" w:hAnsi="Arial" w:cs="Arial"/>
                  <w:color w:val="auto"/>
                  <w:kern w:val="2"/>
                  <w:sz w:val="22"/>
                  <w:szCs w:val="22"/>
                </w:rPr>
                <w:lastRenderedPageBreak/>
                <w:t>进行判断。本公司对于单项可供出售金融资产的公允价值跌幅超过其持有成本的</w:t>
              </w:r>
              <w:r w:rsidRPr="00437FB4">
                <w:rPr>
                  <w:rFonts w:ascii="Arial" w:eastAsiaTheme="majorEastAsia" w:hAnsi="Arial" w:cs="Arial"/>
                  <w:color w:val="auto"/>
                  <w:kern w:val="2"/>
                  <w:sz w:val="22"/>
                  <w:szCs w:val="22"/>
                </w:rPr>
                <w:t>50%</w:t>
              </w:r>
              <w:r w:rsidRPr="00437FB4">
                <w:rPr>
                  <w:rFonts w:ascii="Arial" w:eastAsiaTheme="majorEastAsia" w:hAnsi="Arial" w:cs="Arial"/>
                  <w:color w:val="auto"/>
                  <w:kern w:val="2"/>
                  <w:sz w:val="22"/>
                  <w:szCs w:val="22"/>
                </w:rPr>
                <w:t>，或时间持续在</w:t>
              </w:r>
              <w:r w:rsidRPr="00437FB4">
                <w:rPr>
                  <w:rFonts w:ascii="Arial" w:eastAsiaTheme="majorEastAsia" w:hAnsi="Arial" w:cs="Arial"/>
                  <w:color w:val="auto"/>
                  <w:kern w:val="2"/>
                  <w:sz w:val="22"/>
                  <w:szCs w:val="22"/>
                </w:rPr>
                <w:t>12</w:t>
              </w:r>
              <w:r w:rsidRPr="00437FB4">
                <w:rPr>
                  <w:rFonts w:ascii="Arial" w:eastAsiaTheme="majorEastAsia" w:hAnsi="Arial" w:cs="Arial"/>
                  <w:color w:val="auto"/>
                  <w:kern w:val="2"/>
                  <w:sz w:val="22"/>
                  <w:szCs w:val="22"/>
                </w:rPr>
                <w:t>个月以上，预期这种下降趋势属于非暂时性的，可以认定该可供出售金融资产已发生减值，应将下跌部分全额计提减值准备，确认减值损失。</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C</w:t>
              </w:r>
              <w:r w:rsidRPr="00437FB4">
                <w:rPr>
                  <w:rFonts w:ascii="Arial" w:eastAsiaTheme="majorEastAsia" w:hAnsi="Arial" w:cs="Arial"/>
                  <w:color w:val="auto"/>
                  <w:kern w:val="2"/>
                  <w:sz w:val="22"/>
                  <w:szCs w:val="22"/>
                </w:rPr>
                <w:t>、应收款项资产减值准备的确认标准与计提方法详见</w:t>
              </w:r>
              <w:r w:rsidRPr="00437FB4">
                <w:rPr>
                  <w:rFonts w:ascii="Arial" w:eastAsiaTheme="majorEastAsia" w:hAnsi="Arial" w:cs="Arial"/>
                  <w:color w:val="auto"/>
                  <w:kern w:val="2"/>
                  <w:sz w:val="22"/>
                  <w:szCs w:val="22"/>
                </w:rPr>
                <w:t>“</w:t>
              </w:r>
              <w:r>
                <w:rPr>
                  <w:rFonts w:ascii="Arial" w:eastAsiaTheme="majorEastAsia" w:hAnsi="Arial" w:cs="Arial" w:hint="eastAsia"/>
                  <w:color w:val="auto"/>
                  <w:kern w:val="2"/>
                  <w:sz w:val="22"/>
                  <w:szCs w:val="22"/>
                </w:rPr>
                <w:t>9</w:t>
              </w:r>
              <w:r w:rsidRPr="00437FB4">
                <w:rPr>
                  <w:rFonts w:ascii="Arial" w:eastAsiaTheme="majorEastAsia" w:hAnsi="Arial" w:cs="Arial"/>
                  <w:color w:val="auto"/>
                  <w:kern w:val="2"/>
                  <w:sz w:val="22"/>
                  <w:szCs w:val="22"/>
                </w:rPr>
                <w:t>．应收款项坏账准备的确认标准、计提方法</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5</w:t>
              </w:r>
              <w:r w:rsidRPr="00437FB4">
                <w:rPr>
                  <w:rFonts w:ascii="Arial" w:eastAsiaTheme="majorEastAsia" w:hAnsi="Arial" w:cs="Arial"/>
                  <w:color w:val="auto"/>
                  <w:kern w:val="2"/>
                  <w:sz w:val="22"/>
                  <w:szCs w:val="22"/>
                </w:rPr>
                <w:t>）金融资产转移确认依据和计量及会计处理方法</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①</w:t>
              </w:r>
              <w:r w:rsidRPr="00437FB4">
                <w:rPr>
                  <w:rFonts w:ascii="Arial" w:eastAsiaTheme="majorEastAsia" w:hAnsi="Arial" w:cs="Arial"/>
                  <w:color w:val="auto"/>
                  <w:kern w:val="2"/>
                  <w:sz w:val="22"/>
                  <w:szCs w:val="22"/>
                </w:rPr>
                <w:t>本公司在已将金融资产所有权上几乎所有的风险和报酬转移给转入方时终止对该项金融资产的确认。</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本公司在金融资产整体转移满足终止确认条件的，将下列两项的差额计入当期损益：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、所转移金融资产的账面价值；</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B</w:t>
              </w:r>
              <w:r w:rsidRPr="00437FB4">
                <w:rPr>
                  <w:rFonts w:ascii="Arial" w:eastAsiaTheme="majorEastAsia" w:hAnsi="Arial" w:cs="Arial"/>
                  <w:color w:val="auto"/>
                  <w:kern w:val="2"/>
                  <w:sz w:val="22"/>
                  <w:szCs w:val="22"/>
                </w:rPr>
                <w:t>、因转移而收到的对价与原直接计入所有者权益的公允价值变动累计额之和。</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本公司的金融资产部分转移满足终止确认条件的，将所转移金融资产整体的账面价值，在终止确认部分和未终止确认部分之间，按照各自的相对公允价值进行分摊，并将下列两项金额的差额计入当期损益：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A</w:t>
              </w:r>
              <w:r w:rsidRPr="00437FB4">
                <w:rPr>
                  <w:rFonts w:ascii="Arial" w:eastAsiaTheme="majorEastAsia" w:hAnsi="Arial" w:cs="Arial"/>
                  <w:color w:val="auto"/>
                  <w:kern w:val="2"/>
                  <w:sz w:val="22"/>
                  <w:szCs w:val="22"/>
                </w:rPr>
                <w:t>、终止确认部分的账面价值；</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B</w:t>
              </w:r>
              <w:r w:rsidRPr="00437FB4">
                <w:rPr>
                  <w:rFonts w:ascii="Arial" w:eastAsiaTheme="majorEastAsia" w:hAnsi="Arial" w:cs="Arial"/>
                  <w:color w:val="auto"/>
                  <w:kern w:val="2"/>
                  <w:sz w:val="22"/>
                  <w:szCs w:val="22"/>
                </w:rPr>
                <w:t>、终止确认部分的对价与原直接计入所有者权益的公允价值变动累计额中对应终止确认部分的金额之和。</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②</w:t>
              </w:r>
              <w:r w:rsidRPr="00437FB4">
                <w:rPr>
                  <w:rFonts w:ascii="Arial" w:eastAsiaTheme="majorEastAsia" w:hAnsi="Arial" w:cs="Arial"/>
                  <w:color w:val="auto"/>
                  <w:kern w:val="2"/>
                  <w:sz w:val="22"/>
                  <w:szCs w:val="22"/>
                </w:rPr>
                <w:t>金融资产转移不满足终止确认条件的，继续确认该金融资产，将所收到的对价确认为一项金融负债。</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对于采用继续涉入方式的金融资产转移，本公司应当按照继续涉入所转移金融资产的程度确认一项金融资产，同时确认一项金融负债。</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6</w:t>
              </w:r>
              <w:r w:rsidRPr="00437FB4">
                <w:rPr>
                  <w:rFonts w:ascii="Arial" w:eastAsiaTheme="majorEastAsia" w:hAnsi="Arial" w:cs="Arial"/>
                  <w:color w:val="auto"/>
                  <w:kern w:val="2"/>
                  <w:sz w:val="22"/>
                  <w:szCs w:val="22"/>
                </w:rPr>
                <w:t>）衍生金融工具</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使用远期外汇合约、利率掉期和估值期货合约等衍生金融工具分别规避汇率、利率和证券价格变动等风险。衍生金融工具初始以衍生交易合同签订当期的公允价值进行计量，并以其公允价值进行后续计量。公允价值为正数的衍生金融工具确认为一项资产，公允价值为负数的确认为一项负债。公允价值从活跃市场上的公开市场报价中取得（包括最近的市场交易价格等），或使用估值技术确定（例如现金流量折现法、期权定价模型等）。本公司对场外交易的衍生工具作出了信贷估值调整及债务估值调整，以反映交易对手和公司自身的信用风险。</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7</w:t>
              </w:r>
              <w:r w:rsidRPr="00437FB4">
                <w:rPr>
                  <w:rFonts w:ascii="Arial" w:eastAsiaTheme="majorEastAsia" w:hAnsi="Arial" w:cs="Arial"/>
                  <w:color w:val="auto"/>
                  <w:kern w:val="2"/>
                  <w:sz w:val="22"/>
                  <w:szCs w:val="22"/>
                </w:rPr>
                <w:t>）金融工具的抵消</w:t>
              </w:r>
            </w:p>
            <w:p w:rsidR="00DE031E" w:rsidRDefault="001C1A59" w:rsidP="00DE031E">
              <w:pPr>
                <w:adjustRightInd w:val="0"/>
                <w:snapToGrid w:val="0"/>
                <w:spacing w:line="360" w:lineRule="auto"/>
                <w:rPr>
                  <w:szCs w:val="21"/>
                </w:rPr>
              </w:pPr>
              <w:r w:rsidRPr="00437FB4">
                <w:rPr>
                  <w:rFonts w:ascii="Arial" w:eastAsiaTheme="majorEastAsia" w:hAnsi="Arial" w:cs="Arial"/>
                  <w:kern w:val="2"/>
                  <w:sz w:val="22"/>
                  <w:szCs w:val="22"/>
                </w:rPr>
                <w:t>当依法有权抵消债权债务且该法定权利现在是可执行的，同时交易双方准备按净额进行结算，或同时结清资产和负债时，金融资产和金融负债以抵消后的净额在财务报表中列示。</w:t>
              </w:r>
            </w:p>
          </w:sdtContent>
        </w:sdt>
      </w:sdtContent>
    </w:sdt>
    <w:p w:rsidR="00DE031E" w:rsidRDefault="001C1A59" w:rsidP="009950AC">
      <w:pPr>
        <w:pStyle w:val="3"/>
        <w:numPr>
          <w:ilvl w:val="0"/>
          <w:numId w:val="35"/>
        </w:numPr>
        <w:spacing w:line="360" w:lineRule="auto"/>
      </w:pPr>
      <w:r>
        <w:lastRenderedPageBreak/>
        <w:t>应收款项</w:t>
      </w:r>
      <w:r w:rsidRPr="00B438EE">
        <w:rPr>
          <w:rFonts w:hint="eastAsia"/>
        </w:rPr>
        <w:t>坏账准备的确认标准、计提方法</w:t>
      </w:r>
    </w:p>
    <w:sdt>
      <w:sdtPr>
        <w:rPr>
          <w:rFonts w:asciiTheme="minorHAnsi" w:hAnsiTheme="minorHAnsi" w:cs="宋体"/>
          <w:b w:val="0"/>
          <w:bCs w:val="0"/>
          <w:kern w:val="0"/>
          <w:szCs w:val="22"/>
        </w:rPr>
        <w:tag w:val="_GBC_1049cb1c0c11493f89bf524d2060bec8"/>
        <w:id w:val="24723253"/>
        <w:lock w:val="sdtLocked"/>
        <w:placeholder>
          <w:docPart w:val="GBC22222222222222222222222222222"/>
        </w:placeholder>
      </w:sdtPr>
      <w:sdtEndPr>
        <w:rPr>
          <w:rFonts w:cs="Times New Roman" w:hint="eastAsia"/>
        </w:rPr>
      </w:sdtEndPr>
      <w:sdtContent>
        <w:p w:rsidR="00DE031E" w:rsidRDefault="001C1A59" w:rsidP="009950AC">
          <w:pPr>
            <w:pStyle w:val="4"/>
            <w:numPr>
              <w:ilvl w:val="0"/>
              <w:numId w:val="36"/>
            </w:numPr>
            <w:spacing w:line="360" w:lineRule="auto"/>
          </w:pPr>
          <w:r>
            <w:t>单项金额重大并单</w:t>
          </w:r>
          <w:r>
            <w:rPr>
              <w:rFonts w:hint="eastAsia"/>
            </w:rPr>
            <w:t>独</w:t>
          </w:r>
          <w:r>
            <w:t>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DE031E" w:rsidTr="00DE031E">
            <w:tc>
              <w:tcPr>
                <w:tcW w:w="2532" w:type="pct"/>
                <w:vAlign w:val="center"/>
              </w:tcPr>
              <w:p w:rsidR="00DE031E" w:rsidRDefault="001C1A59" w:rsidP="00DE031E">
                <w:pPr>
                  <w:spacing w:line="276" w:lineRule="auto"/>
                  <w:jc w:val="both"/>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24723251"/>
                <w:lock w:val="sdtLocked"/>
              </w:sdtPr>
              <w:sdtContent>
                <w:tc>
                  <w:tcPr>
                    <w:tcW w:w="2468" w:type="pct"/>
                  </w:tcPr>
                  <w:p w:rsidR="00DE031E" w:rsidRDefault="001C1A59" w:rsidP="00DE031E">
                    <w:pPr>
                      <w:spacing w:line="276" w:lineRule="auto"/>
                      <w:rPr>
                        <w:szCs w:val="21"/>
                      </w:rPr>
                    </w:pPr>
                    <w:r w:rsidRPr="00437FB4">
                      <w:rPr>
                        <w:rFonts w:ascii="Arial" w:eastAsiaTheme="majorEastAsia" w:hAnsi="Arial" w:cs="Arial"/>
                        <w:kern w:val="2"/>
                        <w:sz w:val="22"/>
                        <w:szCs w:val="22"/>
                      </w:rPr>
                      <w:t>单项金额</w:t>
                    </w:r>
                    <w:r w:rsidRPr="00437FB4">
                      <w:rPr>
                        <w:rFonts w:ascii="Arial" w:eastAsiaTheme="majorEastAsia" w:hAnsi="Arial" w:cs="Arial"/>
                        <w:kern w:val="2"/>
                        <w:sz w:val="22"/>
                        <w:szCs w:val="22"/>
                      </w:rPr>
                      <w:t>1000</w:t>
                    </w:r>
                    <w:r w:rsidRPr="00437FB4">
                      <w:rPr>
                        <w:rFonts w:ascii="Arial" w:eastAsiaTheme="majorEastAsia" w:hAnsi="Arial" w:cs="Arial"/>
                        <w:kern w:val="2"/>
                        <w:sz w:val="22"/>
                        <w:szCs w:val="22"/>
                      </w:rPr>
                      <w:t>万元（含</w:t>
                    </w:r>
                    <w:r w:rsidRPr="00437FB4">
                      <w:rPr>
                        <w:rFonts w:ascii="Arial" w:eastAsiaTheme="majorEastAsia" w:hAnsi="Arial" w:cs="Arial"/>
                        <w:kern w:val="2"/>
                        <w:sz w:val="22"/>
                        <w:szCs w:val="22"/>
                      </w:rPr>
                      <w:t>1000</w:t>
                    </w:r>
                    <w:r w:rsidRPr="00437FB4">
                      <w:rPr>
                        <w:rFonts w:ascii="Arial" w:eastAsiaTheme="majorEastAsia" w:hAnsi="Arial" w:cs="Arial"/>
                        <w:kern w:val="2"/>
                        <w:sz w:val="22"/>
                        <w:szCs w:val="22"/>
                      </w:rPr>
                      <w:t>万元）以上</w:t>
                    </w:r>
                  </w:p>
                </w:tc>
              </w:sdtContent>
            </w:sdt>
          </w:tr>
          <w:tr w:rsidR="00DE031E" w:rsidTr="00DE031E">
            <w:tc>
              <w:tcPr>
                <w:tcW w:w="2532" w:type="pct"/>
                <w:vAlign w:val="center"/>
              </w:tcPr>
              <w:p w:rsidR="00DE031E" w:rsidRDefault="001C1A59" w:rsidP="00DE031E">
                <w:pPr>
                  <w:spacing w:line="276" w:lineRule="auto"/>
                  <w:jc w:val="both"/>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24723252"/>
                <w:lock w:val="sdtLocked"/>
              </w:sdtPr>
              <w:sdtContent>
                <w:tc>
                  <w:tcPr>
                    <w:tcW w:w="2468" w:type="pct"/>
                  </w:tcPr>
                  <w:p w:rsidR="00DE031E" w:rsidRDefault="001C1A59" w:rsidP="00DE031E">
                    <w:pPr>
                      <w:spacing w:line="276" w:lineRule="auto"/>
                      <w:rPr>
                        <w:szCs w:val="21"/>
                      </w:rPr>
                    </w:pPr>
                    <w:r w:rsidRPr="00437FB4">
                      <w:rPr>
                        <w:rFonts w:ascii="Arial" w:eastAsiaTheme="majorEastAsia" w:hAnsi="Arial" w:cs="Arial"/>
                        <w:kern w:val="2"/>
                        <w:sz w:val="22"/>
                        <w:szCs w:val="22"/>
                      </w:rPr>
                      <w:t>有客观证据表明其发生了减值的，应当根据其未来现金流量现值低于其账面价值的差额，确认减值损失，计提坏账准备</w:t>
                    </w:r>
                  </w:p>
                </w:tc>
              </w:sdtContent>
            </w:sdt>
          </w:tr>
        </w:tbl>
      </w:sdtContent>
    </w:sdt>
    <w:p w:rsidR="00DE031E" w:rsidRDefault="001C1A59" w:rsidP="009950AC">
      <w:pPr>
        <w:pStyle w:val="4"/>
        <w:numPr>
          <w:ilvl w:val="0"/>
          <w:numId w:val="36"/>
        </w:numPr>
        <w:spacing w:line="360" w:lineRule="auto"/>
      </w:pPr>
      <w:r>
        <w:rPr>
          <w:rFonts w:hint="eastAsia"/>
        </w:rPr>
        <w:t>按信用风险特征组合计提坏账准备的应收款项：</w:t>
      </w:r>
    </w:p>
    <w:sdt>
      <w:sdtPr>
        <w:rPr>
          <w:rFonts w:cstheme="minorBidi"/>
          <w:kern w:val="2"/>
          <w:szCs w:val="21"/>
        </w:rPr>
        <w:tag w:val="_GBC_8f8efa32335c4dda8872c175bbc98aa6"/>
        <w:id w:val="24723260"/>
        <w:lock w:val="sdtLocked"/>
        <w:placeholder>
          <w:docPart w:val="GBC22222222222222222222222222222"/>
        </w:placeholder>
      </w:sdtPr>
      <w:sdtEndPr>
        <w:rPr>
          <w:rFonts w:cs="Times New Roman" w:hint="eastAsia"/>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DE031E" w:rsidTr="00F96290">
            <w:tc>
              <w:tcPr>
                <w:tcW w:w="5000" w:type="pct"/>
                <w:gridSpan w:val="2"/>
              </w:tcPr>
              <w:p w:rsidR="00DE031E" w:rsidRDefault="001C1A59" w:rsidP="00DE031E">
                <w:pPr>
                  <w:spacing w:line="276" w:lineRule="auto"/>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24723256"/>
              <w:lock w:val="sdtLocked"/>
            </w:sdtPr>
            <w:sdtContent>
              <w:tr w:rsidR="00DE031E" w:rsidTr="00DE031E">
                <w:sdt>
                  <w:sdtPr>
                    <w:rPr>
                      <w:rFonts w:cstheme="minorBidi"/>
                      <w:kern w:val="2"/>
                      <w:szCs w:val="21"/>
                    </w:rPr>
                    <w:alias w:val="按信用风险特征组合计提坏账准备的应收款项明细-组合名称"/>
                    <w:tag w:val="_GBC_6310d006f2d94cf7b43e56f6f3fda59f"/>
                    <w:id w:val="24723254"/>
                    <w:lock w:val="sdtLocked"/>
                  </w:sdtPr>
                  <w:sdtEndPr>
                    <w:rPr>
                      <w:rFonts w:cs="Times New Roman"/>
                      <w:kern w:val="0"/>
                      <w:sz w:val="20"/>
                    </w:rPr>
                  </w:sdtEndPr>
                  <w:sdtContent>
                    <w:tc>
                      <w:tcPr>
                        <w:tcW w:w="2532" w:type="pct"/>
                      </w:tcPr>
                      <w:p w:rsidR="00DE031E" w:rsidRDefault="001C1A59" w:rsidP="00DE031E">
                        <w:pPr>
                          <w:spacing w:line="276" w:lineRule="auto"/>
                          <w:rPr>
                            <w:szCs w:val="21"/>
                          </w:rPr>
                        </w:pPr>
                        <w:r w:rsidRPr="00437FB4">
                          <w:rPr>
                            <w:rFonts w:ascii="Arial" w:eastAsiaTheme="majorEastAsia" w:hAnsi="Arial" w:cs="Arial"/>
                            <w:kern w:val="2"/>
                            <w:sz w:val="22"/>
                            <w:szCs w:val="22"/>
                          </w:rPr>
                          <w:t>对单项测试未减值的应收款项，汇同未单独进行减值测试的应收款项，按类似信用风险特征划分为若干组合</w:t>
                        </w:r>
                      </w:p>
                    </w:tc>
                  </w:sdtContent>
                </w:sdt>
                <w:sdt>
                  <w:sdtPr>
                    <w:rPr>
                      <w:szCs w:val="21"/>
                    </w:rPr>
                    <w:alias w:val="按信用风险特征组合计提坏账准备的应收款项明细-应收账款计提坏账准备方法"/>
                    <w:tag w:val="_GBC_f0223d8eed774f6d88e69c4a34cefffc"/>
                    <w:id w:val="24723255"/>
                    <w:lock w:val="sdtLocked"/>
                  </w:sdtPr>
                  <w:sdtContent>
                    <w:tc>
                      <w:tcPr>
                        <w:tcW w:w="2468" w:type="pct"/>
                        <w:vAlign w:val="center"/>
                      </w:tcPr>
                      <w:p w:rsidR="00DE031E" w:rsidRDefault="001C1A59" w:rsidP="00DE031E">
                        <w:pPr>
                          <w:spacing w:line="276" w:lineRule="auto"/>
                          <w:jc w:val="right"/>
                          <w:rPr>
                            <w:szCs w:val="21"/>
                          </w:rPr>
                        </w:pPr>
                        <w:r>
                          <w:rPr>
                            <w:rFonts w:hint="eastAsia"/>
                            <w:szCs w:val="21"/>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24723259"/>
              <w:lock w:val="sdtLocked"/>
            </w:sdtPr>
            <w:sdtContent>
              <w:tr w:rsidR="00DE031E" w:rsidTr="00F96290">
                <w:sdt>
                  <w:sdtPr>
                    <w:rPr>
                      <w:rFonts w:cstheme="minorBidi"/>
                      <w:kern w:val="2"/>
                      <w:szCs w:val="21"/>
                    </w:rPr>
                    <w:alias w:val="按信用风险特征组合计提坏账准备的应收款项明细-组合名称"/>
                    <w:tag w:val="_GBC_6310d006f2d94cf7b43e56f6f3fda59f"/>
                    <w:id w:val="24723257"/>
                    <w:lock w:val="sdtLocked"/>
                    <w:showingPlcHdr/>
                  </w:sdtPr>
                  <w:sdtEndPr>
                    <w:rPr>
                      <w:rFonts w:cs="Times New Roman"/>
                      <w:kern w:val="0"/>
                      <w:sz w:val="20"/>
                    </w:rPr>
                  </w:sdtEndPr>
                  <w:sdtContent>
                    <w:tc>
                      <w:tcPr>
                        <w:tcW w:w="2532" w:type="pct"/>
                      </w:tcPr>
                      <w:p w:rsidR="00DE031E" w:rsidRDefault="001C1A59">
                        <w:pPr>
                          <w:rPr>
                            <w:szCs w:val="21"/>
                          </w:rPr>
                        </w:pPr>
                        <w:r>
                          <w:rPr>
                            <w:rFonts w:hint="eastAsia"/>
                            <w:color w:val="333399"/>
                            <w:szCs w:val="21"/>
                          </w:rPr>
                          <w:t xml:space="preserve">　</w:t>
                        </w:r>
                      </w:p>
                    </w:tc>
                  </w:sdtContent>
                </w:sdt>
                <w:sdt>
                  <w:sdtPr>
                    <w:rPr>
                      <w:szCs w:val="21"/>
                    </w:rPr>
                    <w:alias w:val="按信用风险特征组合计提坏账准备的应收款项明细-应收账款计提坏账准备方法"/>
                    <w:tag w:val="_GBC_f0223d8eed774f6d88e69c4a34cefffc"/>
                    <w:id w:val="24723258"/>
                    <w:lock w:val="sdtLocked"/>
                    <w:showingPlcHdr/>
                  </w:sdtPr>
                  <w:sdtContent>
                    <w:tc>
                      <w:tcPr>
                        <w:tcW w:w="2468" w:type="pct"/>
                      </w:tcPr>
                      <w:p w:rsidR="00DE031E" w:rsidRDefault="001C1A59">
                        <w:pPr>
                          <w:rPr>
                            <w:szCs w:val="21"/>
                          </w:rPr>
                        </w:pPr>
                        <w:r>
                          <w:rPr>
                            <w:rFonts w:hint="eastAsia"/>
                            <w:color w:val="333399"/>
                            <w:szCs w:val="21"/>
                          </w:rPr>
                          <w:t xml:space="preserve">　</w:t>
                        </w:r>
                      </w:p>
                    </w:tc>
                  </w:sdtContent>
                </w:sdt>
              </w:tr>
            </w:sdtContent>
          </w:sdt>
        </w:tbl>
        <w:p w:rsidR="00DE031E" w:rsidRDefault="00422DCA">
          <w:pPr>
            <w:rPr>
              <w:szCs w:val="21"/>
            </w:rPr>
          </w:pPr>
        </w:p>
      </w:sdtContent>
    </w:sdt>
    <w:sdt>
      <w:sdtPr>
        <w:rPr>
          <w:szCs w:val="21"/>
        </w:rPr>
        <w:tag w:val="_GBC_d2b0bcab648248b28260e0b64daec338"/>
        <w:id w:val="24723270"/>
        <w:lock w:val="sdtLocked"/>
        <w:placeholder>
          <w:docPart w:val="GBC22222222222222222222222222222"/>
        </w:placeholder>
      </w:sdtPr>
      <w:sdtEndPr>
        <w:rPr>
          <w:rFonts w:hint="eastAsia"/>
        </w:rPr>
      </w:sdtEndPr>
      <w:sdtContent>
        <w:p w:rsidR="00DE031E" w:rsidRDefault="001C1A59" w:rsidP="00DE031E">
          <w:pPr>
            <w:spacing w:line="360" w:lineRule="auto"/>
            <w:rPr>
              <w:szCs w:val="21"/>
            </w:rPr>
          </w:pPr>
          <w:r>
            <w:rPr>
              <w:szCs w:val="21"/>
            </w:rPr>
            <w:t>组合中，采用账龄分析法计提坏账准备的</w:t>
          </w:r>
        </w:p>
        <w:sdt>
          <w:sdtPr>
            <w:rPr>
              <w:szCs w:val="21"/>
            </w:rPr>
            <w:alias w:val="是否适用：组合中，采用账龄分析法计提坏账准备的"/>
            <w:tag w:val="_GBC_b5e08279d3c945f58a62f6698ddc01d3"/>
            <w:id w:val="24723261"/>
            <w:lock w:val="sdtContentLocked"/>
            <w:placeholder>
              <w:docPart w:val="GBC22222222222222222222222222222"/>
            </w:placeholder>
          </w:sdtPr>
          <w:sdtContent>
            <w:p w:rsidR="00DE031E" w:rsidRDefault="00422DCA">
              <w:pPr>
                <w:rPr>
                  <w:szCs w:val="21"/>
                </w:rPr>
              </w:pPr>
              <w:r>
                <w:rPr>
                  <w:szCs w:val="21"/>
                </w:rPr>
                <w:fldChar w:fldCharType="begin"/>
              </w:r>
              <w:r w:rsidR="001C1A59">
                <w:rPr>
                  <w:szCs w:val="21"/>
                </w:rPr>
                <w:instrText xml:space="preserve"> MACROBUTTON  SnrToggleCheckbox √适用 </w:instrText>
              </w:r>
              <w:r>
                <w:rPr>
                  <w:szCs w:val="21"/>
                </w:rPr>
                <w:fldChar w:fldCharType="end"/>
              </w:r>
              <w:r>
                <w:rPr>
                  <w:szCs w:val="21"/>
                </w:rPr>
                <w:fldChar w:fldCharType="begin"/>
              </w:r>
              <w:r w:rsidR="001C1A59">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DE031E" w:rsidTr="007C634C">
            <w:tc>
              <w:tcPr>
                <w:tcW w:w="1725" w:type="pct"/>
                <w:vAlign w:val="center"/>
              </w:tcPr>
              <w:p w:rsidR="00DE031E" w:rsidRDefault="001C1A59">
                <w:pPr>
                  <w:jc w:val="center"/>
                  <w:rPr>
                    <w:szCs w:val="21"/>
                  </w:rPr>
                </w:pPr>
                <w:r>
                  <w:rPr>
                    <w:szCs w:val="21"/>
                  </w:rPr>
                  <w:t>账龄</w:t>
                </w:r>
              </w:p>
            </w:tc>
            <w:tc>
              <w:tcPr>
                <w:tcW w:w="1637" w:type="pct"/>
                <w:vAlign w:val="center"/>
              </w:tcPr>
              <w:p w:rsidR="00DE031E" w:rsidRDefault="001C1A59">
                <w:pPr>
                  <w:jc w:val="center"/>
                  <w:rPr>
                    <w:szCs w:val="21"/>
                  </w:rPr>
                </w:pPr>
                <w:r>
                  <w:rPr>
                    <w:szCs w:val="21"/>
                  </w:rPr>
                  <w:t>应收账款计提比例(%)</w:t>
                </w:r>
              </w:p>
            </w:tc>
            <w:tc>
              <w:tcPr>
                <w:tcW w:w="1638" w:type="pct"/>
                <w:vAlign w:val="center"/>
              </w:tcPr>
              <w:p w:rsidR="00DE031E" w:rsidRDefault="001C1A59">
                <w:pPr>
                  <w:jc w:val="center"/>
                  <w:rPr>
                    <w:szCs w:val="21"/>
                  </w:rPr>
                </w:pPr>
                <w:r>
                  <w:rPr>
                    <w:rFonts w:hint="eastAsia"/>
                    <w:szCs w:val="21"/>
                  </w:rPr>
                  <w:t>其他应收款计提比例</w:t>
                </w:r>
                <w:r>
                  <w:rPr>
                    <w:szCs w:val="21"/>
                  </w:rPr>
                  <w:t>(%)</w:t>
                </w:r>
              </w:p>
            </w:tc>
          </w:tr>
          <w:tr w:rsidR="00DE031E" w:rsidTr="00F96290">
            <w:tc>
              <w:tcPr>
                <w:tcW w:w="1725" w:type="pct"/>
              </w:tcPr>
              <w:p w:rsidR="00DE031E" w:rsidRDefault="001C1A59">
                <w:pPr>
                  <w:rPr>
                    <w:szCs w:val="21"/>
                  </w:rPr>
                </w:pPr>
                <w:r>
                  <w:rPr>
                    <w:szCs w:val="21"/>
                  </w:rPr>
                  <w:t>1年以内（含1年）</w:t>
                </w:r>
              </w:p>
            </w:tc>
            <w:sdt>
              <w:sdtPr>
                <w:rPr>
                  <w:rFonts w:asciiTheme="minorEastAsia" w:eastAsiaTheme="minorEastAsia" w:hAnsiTheme="minorEastAsia"/>
                  <w:szCs w:val="21"/>
                </w:rPr>
                <w:alias w:val="应收账款一年以内坏账准备比例"/>
                <w:tag w:val="_GBC_46003ec566c8444eb7f90175f4fea94f"/>
                <w:id w:val="24723262"/>
                <w:lock w:val="sdtLocked"/>
              </w:sdtPr>
              <w:sdtContent>
                <w:tc>
                  <w:tcPr>
                    <w:tcW w:w="1637" w:type="pct"/>
                  </w:tcPr>
                  <w:p w:rsidR="00DE031E" w:rsidRPr="009224FC" w:rsidRDefault="001C1A59">
                    <w:pPr>
                      <w:jc w:val="right"/>
                      <w:rPr>
                        <w:rFonts w:asciiTheme="minorEastAsia" w:eastAsiaTheme="minorEastAsia" w:hAnsiTheme="minorEastAsia"/>
                        <w:szCs w:val="21"/>
                      </w:rPr>
                    </w:pPr>
                    <w:r w:rsidRPr="009224FC">
                      <w:rPr>
                        <w:rFonts w:asciiTheme="minorEastAsia" w:eastAsiaTheme="minorEastAsia" w:hAnsiTheme="minorEastAsia" w:cs="Arial"/>
                        <w:szCs w:val="21"/>
                      </w:rPr>
                      <w:t>0.50</w:t>
                    </w:r>
                  </w:p>
                </w:tc>
              </w:sdtContent>
            </w:sdt>
            <w:sdt>
              <w:sdtPr>
                <w:rPr>
                  <w:rFonts w:asciiTheme="minorEastAsia" w:eastAsiaTheme="minorEastAsia" w:hAnsiTheme="minorEastAsia"/>
                  <w:szCs w:val="21"/>
                </w:rPr>
                <w:alias w:val="其他应收款一年以内坏账准备比例"/>
                <w:tag w:val="_GBC_31e987a46c3a48d2ac2d334c18f84ffb"/>
                <w:id w:val="24723263"/>
                <w:lock w:val="sdtLocked"/>
              </w:sdtPr>
              <w:sdtContent>
                <w:tc>
                  <w:tcPr>
                    <w:tcW w:w="1638" w:type="pct"/>
                  </w:tcPr>
                  <w:p w:rsidR="00DE031E" w:rsidRPr="009224FC" w:rsidRDefault="001C1A59">
                    <w:pPr>
                      <w:jc w:val="right"/>
                      <w:rPr>
                        <w:rFonts w:asciiTheme="minorEastAsia" w:eastAsiaTheme="minorEastAsia" w:hAnsiTheme="minorEastAsia"/>
                        <w:szCs w:val="21"/>
                      </w:rPr>
                    </w:pPr>
                    <w:r w:rsidRPr="009224FC">
                      <w:rPr>
                        <w:rFonts w:asciiTheme="minorEastAsia" w:eastAsiaTheme="minorEastAsia" w:hAnsiTheme="minorEastAsia" w:cs="Arial"/>
                        <w:szCs w:val="21"/>
                      </w:rPr>
                      <w:t>0.50</w:t>
                    </w:r>
                  </w:p>
                </w:tc>
              </w:sdtContent>
            </w:sdt>
          </w:tr>
          <w:tr w:rsidR="00DE031E" w:rsidTr="00F96290">
            <w:tc>
              <w:tcPr>
                <w:tcW w:w="1725" w:type="pct"/>
              </w:tcPr>
              <w:p w:rsidR="00DE031E" w:rsidRDefault="001C1A59">
                <w:pPr>
                  <w:rPr>
                    <w:szCs w:val="21"/>
                  </w:rPr>
                </w:pPr>
                <w:r>
                  <w:rPr>
                    <w:szCs w:val="21"/>
                  </w:rPr>
                  <w:t>1－2年</w:t>
                </w:r>
              </w:p>
            </w:tc>
            <w:sdt>
              <w:sdtPr>
                <w:rPr>
                  <w:rFonts w:asciiTheme="minorEastAsia" w:eastAsiaTheme="minorEastAsia" w:hAnsiTheme="minorEastAsia"/>
                  <w:szCs w:val="21"/>
                </w:rPr>
                <w:alias w:val="应收账款一至二年坏账准备比例"/>
                <w:tag w:val="_GBC_511f8d0ead4e4f498b5ac4a478562173"/>
                <w:id w:val="24723264"/>
                <w:lock w:val="sdtLocked"/>
              </w:sdtPr>
              <w:sdtContent>
                <w:tc>
                  <w:tcPr>
                    <w:tcW w:w="1637" w:type="pct"/>
                  </w:tcPr>
                  <w:p w:rsidR="00DE031E" w:rsidRPr="009224FC" w:rsidRDefault="001C1A59" w:rsidP="00DE031E">
                    <w:pPr>
                      <w:jc w:val="right"/>
                      <w:rPr>
                        <w:rFonts w:asciiTheme="minorEastAsia" w:eastAsiaTheme="minorEastAsia" w:hAnsiTheme="minorEastAsia"/>
                        <w:szCs w:val="21"/>
                      </w:rPr>
                    </w:pPr>
                    <w:r w:rsidRPr="009224FC">
                      <w:rPr>
                        <w:rFonts w:asciiTheme="minorEastAsia" w:eastAsiaTheme="minorEastAsia" w:hAnsiTheme="minorEastAsia" w:hint="eastAsia"/>
                        <w:szCs w:val="21"/>
                      </w:rPr>
                      <w:t>10.00</w:t>
                    </w:r>
                  </w:p>
                </w:tc>
              </w:sdtContent>
            </w:sdt>
            <w:sdt>
              <w:sdtPr>
                <w:rPr>
                  <w:rFonts w:asciiTheme="minorEastAsia" w:eastAsiaTheme="minorEastAsia" w:hAnsiTheme="minorEastAsia"/>
                  <w:szCs w:val="21"/>
                </w:rPr>
                <w:alias w:val="其他应收款一至二年坏账准备比例"/>
                <w:tag w:val="_GBC_5770006459d54f8fab0e11578e8fe531"/>
                <w:id w:val="24723265"/>
                <w:lock w:val="sdtLocked"/>
              </w:sdtPr>
              <w:sdtContent>
                <w:tc>
                  <w:tcPr>
                    <w:tcW w:w="1638" w:type="pct"/>
                  </w:tcPr>
                  <w:p w:rsidR="00DE031E" w:rsidRPr="009224FC" w:rsidRDefault="001C1A59" w:rsidP="00DE031E">
                    <w:pPr>
                      <w:jc w:val="right"/>
                      <w:rPr>
                        <w:rFonts w:asciiTheme="minorEastAsia" w:eastAsiaTheme="minorEastAsia" w:hAnsiTheme="minorEastAsia"/>
                        <w:szCs w:val="21"/>
                      </w:rPr>
                    </w:pPr>
                    <w:r w:rsidRPr="009224FC">
                      <w:rPr>
                        <w:rFonts w:asciiTheme="minorEastAsia" w:eastAsiaTheme="minorEastAsia" w:hAnsiTheme="minorEastAsia" w:hint="eastAsia"/>
                        <w:szCs w:val="21"/>
                      </w:rPr>
                      <w:t>10.00</w:t>
                    </w:r>
                  </w:p>
                </w:tc>
              </w:sdtContent>
            </w:sdt>
          </w:tr>
          <w:tr w:rsidR="00DE031E" w:rsidTr="00F96290">
            <w:tc>
              <w:tcPr>
                <w:tcW w:w="1725" w:type="pct"/>
              </w:tcPr>
              <w:p w:rsidR="00DE031E" w:rsidRDefault="001C1A59">
                <w:pPr>
                  <w:rPr>
                    <w:szCs w:val="21"/>
                  </w:rPr>
                </w:pPr>
                <w:r>
                  <w:rPr>
                    <w:szCs w:val="21"/>
                  </w:rPr>
                  <w:t>2－3年</w:t>
                </w:r>
              </w:p>
            </w:tc>
            <w:sdt>
              <w:sdtPr>
                <w:rPr>
                  <w:szCs w:val="21"/>
                </w:rPr>
                <w:alias w:val="应收账款二至三年坏账准备比例"/>
                <w:tag w:val="_GBC_37b64976c1bb46908f10f7112137ba4b"/>
                <w:id w:val="24723266"/>
                <w:lock w:val="sdtLocked"/>
              </w:sdtPr>
              <w:sdtContent>
                <w:tc>
                  <w:tcPr>
                    <w:tcW w:w="1637" w:type="pct"/>
                  </w:tcPr>
                  <w:p w:rsidR="00DE031E" w:rsidRDefault="001C1A59" w:rsidP="00DE031E">
                    <w:pPr>
                      <w:jc w:val="right"/>
                      <w:rPr>
                        <w:szCs w:val="21"/>
                      </w:rPr>
                    </w:pPr>
                    <w:r>
                      <w:rPr>
                        <w:rFonts w:hint="eastAsia"/>
                        <w:szCs w:val="21"/>
                      </w:rPr>
                      <w:t>20.00</w:t>
                    </w:r>
                  </w:p>
                </w:tc>
              </w:sdtContent>
            </w:sdt>
            <w:sdt>
              <w:sdtPr>
                <w:rPr>
                  <w:szCs w:val="21"/>
                </w:rPr>
                <w:alias w:val="其他应收款二至三年坏账准备比例"/>
                <w:tag w:val="_GBC_063c3c144d224ab1a5120e5d9558e8bf"/>
                <w:id w:val="24723267"/>
                <w:lock w:val="sdtLocked"/>
              </w:sdtPr>
              <w:sdtContent>
                <w:tc>
                  <w:tcPr>
                    <w:tcW w:w="1638" w:type="pct"/>
                  </w:tcPr>
                  <w:p w:rsidR="00DE031E" w:rsidRDefault="001C1A59" w:rsidP="00DE031E">
                    <w:pPr>
                      <w:jc w:val="right"/>
                      <w:rPr>
                        <w:szCs w:val="21"/>
                      </w:rPr>
                    </w:pPr>
                    <w:r>
                      <w:rPr>
                        <w:rFonts w:hint="eastAsia"/>
                        <w:szCs w:val="21"/>
                      </w:rPr>
                      <w:t>20.00</w:t>
                    </w:r>
                  </w:p>
                </w:tc>
              </w:sdtContent>
            </w:sdt>
          </w:tr>
          <w:tr w:rsidR="00DE031E" w:rsidTr="00F96290">
            <w:tc>
              <w:tcPr>
                <w:tcW w:w="1725" w:type="pct"/>
              </w:tcPr>
              <w:p w:rsidR="00DE031E" w:rsidRDefault="001C1A59">
                <w:pPr>
                  <w:rPr>
                    <w:szCs w:val="21"/>
                  </w:rPr>
                </w:pPr>
                <w:r>
                  <w:rPr>
                    <w:szCs w:val="21"/>
                  </w:rPr>
                  <w:t>3年以上</w:t>
                </w:r>
              </w:p>
            </w:tc>
            <w:sdt>
              <w:sdtPr>
                <w:rPr>
                  <w:rFonts w:hint="eastAsia"/>
                  <w:szCs w:val="21"/>
                </w:rPr>
                <w:alias w:val="应收账款三年以上坏账准备比例"/>
                <w:tag w:val="_GBC_596840bb4af7439682e2f41eb42b3da9"/>
                <w:id w:val="24723268"/>
                <w:lock w:val="sdtLocked"/>
              </w:sdtPr>
              <w:sdtContent>
                <w:tc>
                  <w:tcPr>
                    <w:tcW w:w="1637" w:type="pct"/>
                  </w:tcPr>
                  <w:p w:rsidR="00DE031E" w:rsidRDefault="001C1A59" w:rsidP="00DE031E">
                    <w:pPr>
                      <w:jc w:val="right"/>
                      <w:rPr>
                        <w:szCs w:val="21"/>
                      </w:rPr>
                    </w:pPr>
                    <w:r>
                      <w:rPr>
                        <w:rFonts w:hint="eastAsia"/>
                        <w:szCs w:val="21"/>
                      </w:rPr>
                      <w:t>50.00</w:t>
                    </w:r>
                  </w:p>
                </w:tc>
              </w:sdtContent>
            </w:sdt>
            <w:sdt>
              <w:sdtPr>
                <w:rPr>
                  <w:rFonts w:hint="eastAsia"/>
                  <w:szCs w:val="21"/>
                </w:rPr>
                <w:alias w:val="其他应收款三年以上坏账准备比例"/>
                <w:tag w:val="_GBC_b6e241761ca74fcfb0900bc65f108e6a"/>
                <w:id w:val="24723269"/>
                <w:lock w:val="sdtLocked"/>
              </w:sdtPr>
              <w:sdtContent>
                <w:tc>
                  <w:tcPr>
                    <w:tcW w:w="1638" w:type="pct"/>
                  </w:tcPr>
                  <w:p w:rsidR="00DE031E" w:rsidRDefault="001C1A59" w:rsidP="00DE031E">
                    <w:pPr>
                      <w:jc w:val="right"/>
                      <w:rPr>
                        <w:szCs w:val="21"/>
                      </w:rPr>
                    </w:pPr>
                    <w:r>
                      <w:rPr>
                        <w:rFonts w:hint="eastAsia"/>
                        <w:szCs w:val="21"/>
                      </w:rPr>
                      <w:t>50.00</w:t>
                    </w:r>
                  </w:p>
                </w:tc>
              </w:sdtContent>
            </w:sdt>
          </w:tr>
        </w:tbl>
      </w:sdtContent>
    </w:sdt>
    <w:sdt>
      <w:sdtPr>
        <w:rPr>
          <w:rFonts w:ascii="宋体" w:hAnsi="宋体" w:cs="宋体"/>
          <w:b w:val="0"/>
          <w:bCs w:val="0"/>
          <w:kern w:val="0"/>
          <w:szCs w:val="24"/>
        </w:rPr>
        <w:tag w:val="_GBC_33896797ad594644807d9982b1d20f12"/>
        <w:id w:val="24723273"/>
        <w:lock w:val="sdtLocked"/>
        <w:placeholder>
          <w:docPart w:val="GBC22222222222222222222222222222"/>
        </w:placeholder>
      </w:sdtPr>
      <w:sdtEndPr>
        <w:rPr>
          <w:rFonts w:asciiTheme="minorHAnsi" w:hAnsiTheme="minorHAnsi" w:hint="eastAsia"/>
          <w:szCs w:val="22"/>
        </w:rPr>
      </w:sdtEndPr>
      <w:sdtContent>
        <w:p w:rsidR="00DE031E" w:rsidRDefault="001C1A59" w:rsidP="009950AC">
          <w:pPr>
            <w:pStyle w:val="4"/>
            <w:numPr>
              <w:ilvl w:val="0"/>
              <w:numId w:val="36"/>
            </w:numPr>
            <w:spacing w:line="360" w:lineRule="auto"/>
          </w:pPr>
          <w:r>
            <w:rPr>
              <w:rFonts w:hint="eastAsia"/>
            </w:rPr>
            <w:t>单项金额不重大但单独计提坏账准备的应收款项：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DE031E" w:rsidTr="00F96290">
            <w:tc>
              <w:tcPr>
                <w:tcW w:w="2397" w:type="pct"/>
              </w:tcPr>
              <w:p w:rsidR="00DE031E" w:rsidRDefault="001C1A59" w:rsidP="00DE031E">
                <w:pPr>
                  <w:spacing w:line="276" w:lineRule="auto"/>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24723271"/>
                <w:lock w:val="sdtLocked"/>
              </w:sdtPr>
              <w:sdtContent>
                <w:tc>
                  <w:tcPr>
                    <w:tcW w:w="2603" w:type="pct"/>
                  </w:tcPr>
                  <w:p w:rsidR="00DE031E" w:rsidRDefault="001C1A59" w:rsidP="00DE031E">
                    <w:pPr>
                      <w:spacing w:line="276" w:lineRule="auto"/>
                      <w:jc w:val="center"/>
                      <w:rPr>
                        <w:szCs w:val="21"/>
                      </w:rPr>
                    </w:pPr>
                    <w:r>
                      <w:rPr>
                        <w:rFonts w:hint="eastAsia"/>
                        <w:szCs w:val="21"/>
                      </w:rPr>
                      <w:t>无法收回或者收回的可能性极小</w:t>
                    </w:r>
                  </w:p>
                </w:tc>
              </w:sdtContent>
            </w:sdt>
          </w:tr>
          <w:tr w:rsidR="00DE031E" w:rsidTr="00F96290">
            <w:tc>
              <w:tcPr>
                <w:tcW w:w="2397" w:type="pct"/>
              </w:tcPr>
              <w:p w:rsidR="00DE031E" w:rsidRDefault="001C1A59" w:rsidP="00DE031E">
                <w:pPr>
                  <w:spacing w:line="276" w:lineRule="auto"/>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24723272"/>
                <w:lock w:val="sdtLocked"/>
              </w:sdtPr>
              <w:sdtContent>
                <w:tc>
                  <w:tcPr>
                    <w:tcW w:w="2603" w:type="pct"/>
                  </w:tcPr>
                  <w:p w:rsidR="00DE031E" w:rsidRDefault="001C1A59" w:rsidP="00DE031E">
                    <w:pPr>
                      <w:spacing w:line="276" w:lineRule="auto"/>
                      <w:jc w:val="center"/>
                      <w:rPr>
                        <w:szCs w:val="21"/>
                      </w:rPr>
                    </w:pPr>
                    <w:r>
                      <w:rPr>
                        <w:rFonts w:hint="eastAsia"/>
                        <w:szCs w:val="21"/>
                      </w:rPr>
                      <w:t>个别认定法</w:t>
                    </w:r>
                  </w:p>
                </w:tc>
              </w:sdtContent>
            </w:sdt>
          </w:tr>
        </w:tbl>
      </w:sdtContent>
    </w:sdt>
    <w:sdt>
      <w:sdtPr>
        <w:rPr>
          <w:rFonts w:asciiTheme="minorHAnsi" w:eastAsia="华文中宋" w:hAnsiTheme="minorHAnsi" w:cstheme="minorBidi"/>
          <w:b w:val="0"/>
          <w:bCs w:val="0"/>
          <w:color w:val="000000"/>
          <w:kern w:val="0"/>
          <w:sz w:val="24"/>
          <w:szCs w:val="22"/>
        </w:rPr>
        <w:tag w:val="_GBC_d82c12cf13554acd90dfb7880244798c"/>
        <w:id w:val="24723275"/>
        <w:lock w:val="sdtLocked"/>
        <w:placeholder>
          <w:docPart w:val="GBC22222222222222222222222222222"/>
        </w:placeholder>
      </w:sdtPr>
      <w:sdtEndPr>
        <w:rPr>
          <w:rFonts w:ascii="华文中宋" w:hAnsi="Times New Roman" w:cs="Times New Roman"/>
          <w:szCs w:val="21"/>
        </w:rPr>
      </w:sdtEndPr>
      <w:sdtContent>
        <w:p w:rsidR="00DE031E" w:rsidRDefault="001C1A59" w:rsidP="009950AC">
          <w:pPr>
            <w:pStyle w:val="3"/>
            <w:numPr>
              <w:ilvl w:val="0"/>
              <w:numId w:val="35"/>
            </w:numPr>
            <w:spacing w:line="360" w:lineRule="auto"/>
          </w:pPr>
          <w:r>
            <w:t>长期股权投资</w:t>
          </w:r>
        </w:p>
        <w:sdt>
          <w:sdtPr>
            <w:rPr>
              <w:rFonts w:ascii="宋体" w:eastAsia="宋体" w:hAnsi="宋体" w:cs="宋体"/>
              <w:color w:val="auto"/>
              <w:sz w:val="21"/>
              <w:szCs w:val="21"/>
            </w:rPr>
            <w:alias w:val="长期股权投资的核算方法"/>
            <w:tag w:val="_GBC_3e77074cd50946b1bccdff9bc1c9556f"/>
            <w:id w:val="24723274"/>
            <w:lock w:val="sdtLocked"/>
            <w:placeholder>
              <w:docPart w:val="GBC22222222222222222222222222222"/>
            </w:placeholder>
          </w:sdtPr>
          <w:sdtEndPr>
            <w:rPr>
              <w:rFonts w:ascii="华文中宋" w:eastAsia="华文中宋" w:hAnsi="Times New Roman" w:cs="华文中宋"/>
              <w:color w:val="000000"/>
              <w:sz w:val="24"/>
            </w:rPr>
          </w:sdtEnd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长期股权投资包括对子公司、合营企业和联营企业的权益性投资。</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）长期股权投资初始投资成本的确定</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同一控制下的企业合并形成的长期股权投资，以支付现金、转让非现金资产或承担债务方式作为合并对价的，在合并日按照被合并方所有者权益在最终控制方合并报表中账面价值的份额作为长期股权投资的初始投资成本。长期股权投资初始投资成本与支付的现金、转让的非现金资产以及所承担债务账面价值之间的差额，调整资本公积；资本公积不足冲减的，调整留存收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非同一控制下的企业合并形成的长期股权投资，以为取得对被购买方的控制权而付出的资产、发生或承担的负债以及发行的权益性证券的公允价值作为合并成本，合并过程中购买方为企业合并发生的审计、法律服务、评估咨询等中介费用以及其他相关管理费用，应当于发生时计入当期损益。如果在合同中对可能影响合并成本的未来事项作出约定的，购买日如果估计未来事项很可能发生并且对合并成本的影响金额能够可靠计量的，将其计入合并</w:t>
              </w:r>
              <w:r w:rsidRPr="00437FB4">
                <w:rPr>
                  <w:rFonts w:ascii="Arial" w:eastAsiaTheme="majorEastAsia" w:hAnsi="Arial" w:cs="Arial"/>
                  <w:color w:val="auto"/>
                  <w:kern w:val="2"/>
                  <w:sz w:val="22"/>
                  <w:szCs w:val="22"/>
                </w:rPr>
                <w:lastRenderedPageBreak/>
                <w:t>成本。本公司将合并成本作为长期股权投资的投资成本。因追加投资等原因实现非同一控制下的企业合并的，以购买日之前所持被购买方的股权投资的账面价值与购买日新增投资成本之和作为初始投资成本。</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以债务重组、非货币性资产交换等方式取得的长期股权投资，按相关会计准则的规定确定投资成本。</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）长期股权投资的后续计量</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本公司对被投资单位能够实施控制的长期股权投资，采用成本法核算；追加或收回投资应当调整长期股权投资的成本。被投资方宣告分派的现金股利或利润，确认为当期投资收益。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被投资单位具有共同控制或重大影响的长期股权投资，采用权益法核算。采用权益法时，取得长期股权投资后，按照应享有或应分担的被投资单位实现的净损益和其他综合收益的份额，分别确认投资损益和其他综合收益，并调整长期股权投资的账面价值。本公司按照被投资单位宣告分派利润或现金股利计算应享有的部分，相应减少长期股权投资的账面价值；本公司确认被投资单位发生的净亏损，以长期股权投资的账面价值以及其他实质上构成对被投资单位净投资的长期权益减记至零为限，本公司负有承担额外损失义务的除外。对于被投资单位除净损益、其他综合收益和利润分配以外的其他变动，调整长期股权投资的账面价值并计入所有者权益。</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处置长期股权投资，其账面价值与实际取得价款的差额，计入当期投资收益。采用权益法核算的长期股权投资，在处置该项投资时，采用与被投资单位直接处置相关资产或负债相同的基础，按相应比例对原计入其他综合收益的部分进行会计处理。</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3</w:t>
              </w:r>
              <w:r w:rsidRPr="00437FB4">
                <w:rPr>
                  <w:rFonts w:ascii="Arial" w:eastAsiaTheme="majorEastAsia" w:hAnsi="Arial" w:cs="Arial"/>
                  <w:color w:val="auto"/>
                  <w:kern w:val="2"/>
                  <w:sz w:val="22"/>
                  <w:szCs w:val="22"/>
                </w:rPr>
                <w:t>）对被投资单位具有控制、共同控制、重大影响的依据</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控制是指投资方拥有对被投资方的权力，通过参与被投资方的相关活动而享有可变回报，并且有能力运用对被投资方的权力影响其回报金额。在判断本公司是否对某个实体拥有控制权时，本公司会考虑目前可实现或转换的潜在表决权以及其他合同安排的影响。</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共同控制是指按照相关约定对某项安排所共有的控制，并且该安排的相关活动必须经过分享控制权的参与方一致同意后才能决策。</w:t>
              </w:r>
            </w:p>
            <w:p w:rsidR="00DE031E" w:rsidRPr="00521428"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重大影响是指对一个企业的财务和经营决策有参与决策的权力，但并不能控制或者与其他方一起共同控制这些政策的制定，则视为投资企业能够对被投资单位施加重大影响。</w:t>
              </w:r>
            </w:p>
          </w:sdtContent>
        </w:sdt>
      </w:sdtContent>
    </w:sdt>
    <w:p w:rsidR="00DE031E" w:rsidRDefault="001C1A59" w:rsidP="009950AC">
      <w:pPr>
        <w:pStyle w:val="3"/>
        <w:numPr>
          <w:ilvl w:val="0"/>
          <w:numId w:val="35"/>
        </w:numPr>
        <w:spacing w:line="360" w:lineRule="auto"/>
      </w:pPr>
      <w:r>
        <w:lastRenderedPageBreak/>
        <w:t>投资性房地产</w:t>
      </w:r>
    </w:p>
    <w:sdt>
      <w:sdtPr>
        <w:rPr>
          <w:rFonts w:ascii="宋体" w:hAnsi="宋体" w:cs="宋体" w:hint="eastAsia"/>
          <w:b w:val="0"/>
          <w:bCs w:val="0"/>
          <w:kern w:val="0"/>
          <w:szCs w:val="24"/>
        </w:rPr>
        <w:tag w:val="_GBC_20b1c487c1e348188269523d7d980194"/>
        <w:id w:val="24723277"/>
        <w:lock w:val="sdtLocked"/>
        <w:placeholder>
          <w:docPart w:val="GBC22222222222222222222222222222"/>
        </w:placeholder>
      </w:sdtPr>
      <w:sdtEndPr>
        <w:rPr>
          <w:szCs w:val="21"/>
        </w:rPr>
      </w:sdtEndPr>
      <w:sdtContent>
        <w:sdt>
          <w:sdtPr>
            <w:rPr>
              <w:rFonts w:ascii="宋体" w:hAnsi="宋体" w:cs="宋体"/>
              <w:b w:val="0"/>
              <w:bCs w:val="0"/>
              <w:kern w:val="0"/>
              <w:szCs w:val="21"/>
            </w:rPr>
            <w:alias w:val="采用成本计量模式的折旧或摊销方法"/>
            <w:tag w:val="_GBC_5b2898357289426780691d99ea19aa67"/>
            <w:id w:val="24723276"/>
            <w:lock w:val="sdtLocked"/>
            <w:placeholder>
              <w:docPart w:val="GBC22222222222222222222222222222"/>
            </w:placeholder>
          </w:sdtPr>
          <w:sdtContent>
            <w:p w:rsidR="00DE031E" w:rsidRPr="00FD769C" w:rsidRDefault="001C1A59" w:rsidP="00DE031E">
              <w:pPr>
                <w:pStyle w:val="4"/>
                <w:spacing w:line="360" w:lineRule="auto"/>
                <w:ind w:firstLineChars="200" w:firstLine="420"/>
                <w:rPr>
                  <w:rFonts w:ascii="Arial" w:eastAsiaTheme="majorEastAsia" w:hAnsi="Arial" w:cs="Arial"/>
                  <w:b w:val="0"/>
                  <w:sz w:val="22"/>
                  <w:szCs w:val="22"/>
                </w:rPr>
              </w:pPr>
              <w:r w:rsidRPr="00FD769C">
                <w:rPr>
                  <w:rFonts w:ascii="Arial" w:eastAsiaTheme="majorEastAsia" w:hAnsi="Arial" w:cs="Arial"/>
                  <w:b w:val="0"/>
                  <w:sz w:val="22"/>
                  <w:szCs w:val="22"/>
                </w:rPr>
                <w:t>本公司将为赚取租金或资本增值而持有且能够单独计量和出售的房地产确认为投资性房地产。包括已出租的土地使用权、已出租的建筑物。</w:t>
              </w:r>
            </w:p>
            <w:p w:rsidR="00DE031E" w:rsidRPr="00FD769C"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FD769C">
                <w:rPr>
                  <w:rFonts w:ascii="Arial" w:eastAsiaTheme="majorEastAsia" w:hAnsi="Arial" w:cs="Arial"/>
                  <w:color w:val="auto"/>
                  <w:kern w:val="2"/>
                  <w:sz w:val="22"/>
                  <w:szCs w:val="22"/>
                </w:rPr>
                <w:t>本公司采用成本模式对投资性房地产进行后续计量。出租的房屋、建筑物的后续计量采用年限平均法按月计提折旧；土地使用权按直线法进行摊销。</w:t>
              </w:r>
            </w:p>
            <w:p w:rsidR="00DE031E" w:rsidRPr="00FD769C"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FD769C">
                <w:rPr>
                  <w:rFonts w:ascii="Arial" w:eastAsiaTheme="majorEastAsia" w:hAnsi="Arial" w:cs="Arial"/>
                  <w:color w:val="auto"/>
                  <w:kern w:val="2"/>
                  <w:sz w:val="22"/>
                  <w:szCs w:val="22"/>
                </w:rPr>
                <w:t>房屋、建筑物和土地使用权预计可使用年限及残值率分别为：</w:t>
              </w:r>
            </w:p>
            <w:tbl>
              <w:tblPr>
                <w:tblW w:w="5000" w:type="pct"/>
                <w:tblLook w:val="0000"/>
              </w:tblPr>
              <w:tblGrid>
                <w:gridCol w:w="2192"/>
                <w:gridCol w:w="2535"/>
                <w:gridCol w:w="2145"/>
                <w:gridCol w:w="2177"/>
              </w:tblGrid>
              <w:tr w:rsidR="00DE031E" w:rsidRPr="00FD769C" w:rsidTr="00DE031E">
                <w:trPr>
                  <w:trHeight w:val="340"/>
                  <w:tblHeader/>
                </w:trPr>
                <w:tc>
                  <w:tcPr>
                    <w:tcW w:w="2257" w:type="dxa"/>
                  </w:tcPr>
                  <w:p w:rsidR="00DE031E" w:rsidRPr="00FD769C" w:rsidRDefault="001C1A59" w:rsidP="00DE031E">
                    <w:pPr>
                      <w:adjustRightInd w:val="0"/>
                      <w:snapToGrid w:val="0"/>
                      <w:spacing w:line="360" w:lineRule="auto"/>
                      <w:ind w:rightChars="20" w:right="42"/>
                      <w:rPr>
                        <w:rFonts w:ascii="Arial" w:eastAsiaTheme="majorEastAsia" w:hAnsi="Arial" w:cs="Arial"/>
                        <w:sz w:val="18"/>
                        <w:szCs w:val="18"/>
                      </w:rPr>
                    </w:pPr>
                    <w:r w:rsidRPr="00FD769C">
                      <w:rPr>
                        <w:rFonts w:ascii="Arial" w:eastAsiaTheme="majorEastAsia" w:hAnsi="Arial" w:cs="Arial"/>
                        <w:sz w:val="18"/>
                        <w:szCs w:val="18"/>
                      </w:rPr>
                      <w:t>类别</w:t>
                    </w:r>
                  </w:p>
                </w:tc>
                <w:tc>
                  <w:tcPr>
                    <w:tcW w:w="2610"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u w:val="single"/>
                      </w:rPr>
                    </w:pPr>
                    <w:r w:rsidRPr="00FD769C">
                      <w:rPr>
                        <w:rFonts w:ascii="Arial" w:eastAsiaTheme="majorEastAsia" w:hAnsi="Arial" w:cs="Arial"/>
                        <w:sz w:val="18"/>
                        <w:szCs w:val="18"/>
                        <w:u w:val="single"/>
                      </w:rPr>
                      <w:t>预计可使用年限</w:t>
                    </w:r>
                  </w:p>
                </w:tc>
                <w:tc>
                  <w:tcPr>
                    <w:tcW w:w="2208"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u w:val="single"/>
                      </w:rPr>
                    </w:pPr>
                    <w:r w:rsidRPr="00FD769C">
                      <w:rPr>
                        <w:rFonts w:ascii="Arial" w:eastAsiaTheme="majorEastAsia" w:hAnsi="Arial" w:cs="Arial"/>
                        <w:sz w:val="18"/>
                        <w:szCs w:val="18"/>
                        <w:u w:val="single"/>
                      </w:rPr>
                      <w:t>预计残值率</w:t>
                    </w:r>
                  </w:p>
                </w:tc>
                <w:tc>
                  <w:tcPr>
                    <w:tcW w:w="2211"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u w:val="single"/>
                      </w:rPr>
                    </w:pPr>
                    <w:r w:rsidRPr="00FD769C">
                      <w:rPr>
                        <w:rFonts w:ascii="Arial" w:eastAsiaTheme="majorEastAsia" w:hAnsi="Arial" w:cs="Arial"/>
                        <w:sz w:val="18"/>
                        <w:szCs w:val="18"/>
                        <w:u w:val="single"/>
                      </w:rPr>
                      <w:t>年折旧率</w:t>
                    </w:r>
                  </w:p>
                </w:tc>
              </w:tr>
              <w:tr w:rsidR="00DE031E" w:rsidRPr="00FD769C" w:rsidTr="00DE031E">
                <w:trPr>
                  <w:trHeight w:val="340"/>
                  <w:tblHeader/>
                </w:trPr>
                <w:tc>
                  <w:tcPr>
                    <w:tcW w:w="2257" w:type="dxa"/>
                  </w:tcPr>
                  <w:p w:rsidR="00DE031E" w:rsidRPr="00FD769C" w:rsidRDefault="001C1A59" w:rsidP="00DE031E">
                    <w:pPr>
                      <w:adjustRightInd w:val="0"/>
                      <w:snapToGrid w:val="0"/>
                      <w:spacing w:line="360" w:lineRule="auto"/>
                      <w:ind w:rightChars="20" w:right="42"/>
                      <w:rPr>
                        <w:rFonts w:ascii="Arial" w:eastAsiaTheme="majorEastAsia" w:hAnsi="Arial" w:cs="Arial"/>
                        <w:sz w:val="18"/>
                        <w:szCs w:val="18"/>
                      </w:rPr>
                    </w:pPr>
                    <w:r w:rsidRPr="00FD769C">
                      <w:rPr>
                        <w:rFonts w:ascii="Arial" w:eastAsiaTheme="majorEastAsia" w:hAnsi="Arial" w:cs="Arial"/>
                        <w:sz w:val="18"/>
                        <w:szCs w:val="18"/>
                      </w:rPr>
                      <w:t>房屋、建筑物</w:t>
                    </w:r>
                  </w:p>
                </w:tc>
                <w:tc>
                  <w:tcPr>
                    <w:tcW w:w="2610"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rPr>
                    </w:pPr>
                    <w:r w:rsidRPr="00FD769C">
                      <w:rPr>
                        <w:rFonts w:ascii="Arial" w:eastAsiaTheme="majorEastAsia" w:hAnsi="Arial" w:cs="Arial"/>
                        <w:sz w:val="18"/>
                        <w:szCs w:val="18"/>
                      </w:rPr>
                      <w:t>30-50</w:t>
                    </w:r>
                    <w:r w:rsidRPr="00FD769C">
                      <w:rPr>
                        <w:rFonts w:ascii="Arial" w:eastAsiaTheme="majorEastAsia" w:hAnsi="Arial" w:cs="Arial"/>
                        <w:sz w:val="18"/>
                        <w:szCs w:val="18"/>
                      </w:rPr>
                      <w:t>年</w:t>
                    </w:r>
                  </w:p>
                </w:tc>
                <w:tc>
                  <w:tcPr>
                    <w:tcW w:w="2208"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rPr>
                    </w:pPr>
                    <w:r w:rsidRPr="00FD769C">
                      <w:rPr>
                        <w:rFonts w:ascii="Arial" w:eastAsiaTheme="majorEastAsia" w:hAnsi="Arial" w:cs="Arial"/>
                        <w:sz w:val="18"/>
                        <w:szCs w:val="18"/>
                      </w:rPr>
                      <w:t>5%</w:t>
                    </w:r>
                  </w:p>
                </w:tc>
                <w:tc>
                  <w:tcPr>
                    <w:tcW w:w="2211"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rPr>
                    </w:pPr>
                    <w:r w:rsidRPr="00FD769C">
                      <w:rPr>
                        <w:rFonts w:ascii="Arial" w:eastAsiaTheme="majorEastAsia" w:hAnsi="Arial" w:cs="Arial"/>
                        <w:sz w:val="18"/>
                        <w:szCs w:val="18"/>
                      </w:rPr>
                      <w:t>1.90%-3.17%</w:t>
                    </w:r>
                  </w:p>
                </w:tc>
              </w:tr>
              <w:tr w:rsidR="00DE031E" w:rsidRPr="00FD769C" w:rsidTr="00DE031E">
                <w:trPr>
                  <w:trHeight w:val="340"/>
                  <w:tblHeader/>
                </w:trPr>
                <w:tc>
                  <w:tcPr>
                    <w:tcW w:w="2257" w:type="dxa"/>
                  </w:tcPr>
                  <w:p w:rsidR="00DE031E" w:rsidRPr="00FD769C" w:rsidRDefault="001C1A59" w:rsidP="00DE031E">
                    <w:pPr>
                      <w:adjustRightInd w:val="0"/>
                      <w:snapToGrid w:val="0"/>
                      <w:spacing w:line="360" w:lineRule="auto"/>
                      <w:ind w:rightChars="20" w:right="42"/>
                      <w:rPr>
                        <w:rFonts w:ascii="Arial" w:eastAsiaTheme="majorEastAsia" w:hAnsi="Arial" w:cs="Arial"/>
                        <w:sz w:val="18"/>
                        <w:szCs w:val="18"/>
                      </w:rPr>
                    </w:pPr>
                    <w:r w:rsidRPr="00FD769C">
                      <w:rPr>
                        <w:rFonts w:ascii="Arial" w:eastAsiaTheme="majorEastAsia" w:hAnsi="Arial" w:cs="Arial"/>
                        <w:sz w:val="18"/>
                        <w:szCs w:val="18"/>
                      </w:rPr>
                      <w:t>土地使用权</w:t>
                    </w:r>
                  </w:p>
                </w:tc>
                <w:tc>
                  <w:tcPr>
                    <w:tcW w:w="2610"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rPr>
                    </w:pPr>
                    <w:r w:rsidRPr="00FD769C">
                      <w:rPr>
                        <w:rFonts w:ascii="Arial" w:eastAsiaTheme="majorEastAsia" w:hAnsi="Arial" w:cs="Arial"/>
                        <w:sz w:val="18"/>
                        <w:szCs w:val="18"/>
                      </w:rPr>
                      <w:t>法律或合同年限</w:t>
                    </w:r>
                  </w:p>
                </w:tc>
                <w:tc>
                  <w:tcPr>
                    <w:tcW w:w="2208"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rPr>
                    </w:pPr>
                    <w:r w:rsidRPr="00FD769C">
                      <w:rPr>
                        <w:rFonts w:ascii="Arial" w:eastAsiaTheme="majorEastAsia" w:hAnsi="Arial" w:cs="Arial"/>
                        <w:sz w:val="18"/>
                        <w:szCs w:val="18"/>
                      </w:rPr>
                      <w:t>——</w:t>
                    </w:r>
                  </w:p>
                </w:tc>
                <w:tc>
                  <w:tcPr>
                    <w:tcW w:w="2211" w:type="dxa"/>
                  </w:tcPr>
                  <w:p w:rsidR="00DE031E" w:rsidRPr="00FD769C" w:rsidRDefault="001C1A59" w:rsidP="00DE031E">
                    <w:pPr>
                      <w:adjustRightInd w:val="0"/>
                      <w:snapToGrid w:val="0"/>
                      <w:spacing w:line="360" w:lineRule="auto"/>
                      <w:ind w:rightChars="20" w:right="42"/>
                      <w:jc w:val="right"/>
                      <w:rPr>
                        <w:rFonts w:ascii="Arial" w:eastAsiaTheme="majorEastAsia" w:hAnsi="Arial" w:cs="Arial"/>
                        <w:sz w:val="18"/>
                        <w:szCs w:val="18"/>
                      </w:rPr>
                    </w:pPr>
                    <w:r w:rsidRPr="00FD769C">
                      <w:rPr>
                        <w:rFonts w:ascii="Arial" w:eastAsiaTheme="majorEastAsia" w:hAnsi="Arial" w:cs="Arial"/>
                        <w:sz w:val="18"/>
                        <w:szCs w:val="18"/>
                      </w:rPr>
                      <w:t>根据可使用年限计算</w:t>
                    </w:r>
                  </w:p>
                </w:tc>
              </w:tr>
            </w:tbl>
            <w:p w:rsidR="00DE031E" w:rsidRDefault="00422DCA" w:rsidP="00DE031E">
              <w:pPr>
                <w:adjustRightInd w:val="0"/>
                <w:snapToGrid w:val="0"/>
                <w:spacing w:line="276" w:lineRule="auto"/>
                <w:rPr>
                  <w:szCs w:val="21"/>
                </w:rPr>
              </w:pPr>
            </w:p>
          </w:sdtContent>
        </w:sdt>
      </w:sdtContent>
    </w:sdt>
    <w:p w:rsidR="00DE031E" w:rsidRDefault="001C1A59" w:rsidP="009950AC">
      <w:pPr>
        <w:pStyle w:val="3"/>
        <w:numPr>
          <w:ilvl w:val="0"/>
          <w:numId w:val="35"/>
        </w:numPr>
        <w:adjustRightInd w:val="0"/>
        <w:snapToGrid w:val="0"/>
        <w:spacing w:before="0" w:after="0" w:line="360" w:lineRule="auto"/>
      </w:pPr>
      <w:r>
        <w:t>固定资产</w:t>
      </w:r>
    </w:p>
    <w:sdt>
      <w:sdtPr>
        <w:rPr>
          <w:rFonts w:ascii="宋体" w:hAnsi="宋体" w:cs="宋体"/>
          <w:b w:val="0"/>
          <w:bCs w:val="0"/>
          <w:kern w:val="0"/>
          <w:szCs w:val="24"/>
        </w:rPr>
        <w:tag w:val="_GBC_662771796da549e1b2a02fb7d497f077"/>
        <w:id w:val="24723279"/>
        <w:lock w:val="sdtLocked"/>
        <w:placeholder>
          <w:docPart w:val="GBC22222222222222222222222222222"/>
        </w:placeholder>
      </w:sdtPr>
      <w:sdtEndPr>
        <w:rPr>
          <w:rFonts w:ascii="Times New Roman" w:hAnsi="Times New Roman"/>
        </w:rPr>
      </w:sdtEndPr>
      <w:sdtContent>
        <w:p w:rsidR="00DE031E" w:rsidRDefault="001C1A59" w:rsidP="009950AC">
          <w:pPr>
            <w:pStyle w:val="4"/>
            <w:numPr>
              <w:ilvl w:val="0"/>
              <w:numId w:val="37"/>
            </w:numPr>
            <w:spacing w:line="360" w:lineRule="auto"/>
          </w:pPr>
          <w:r>
            <w:rPr>
              <w:rFonts w:hint="eastAsia"/>
            </w:rPr>
            <w:t>确认条件</w:t>
          </w:r>
        </w:p>
        <w:sdt>
          <w:sdtPr>
            <w:rPr>
              <w:bCs/>
              <w:szCs w:val="21"/>
            </w:rPr>
            <w:alias w:val="固定资产确认条件"/>
            <w:tag w:val="_GBC_3044d53470b143fa9477fa34b85d4ec5"/>
            <w:id w:val="24723278"/>
            <w:lock w:val="sdtLocked"/>
            <w:placeholder>
              <w:docPart w:val="GBC22222222222222222222222222222"/>
            </w:placeholder>
          </w:sdtPr>
          <w:sdtEndPr>
            <w:rPr>
              <w:b/>
            </w:rPr>
          </w:sdtEndPr>
          <w:sdtContent>
            <w:p w:rsidR="00DE031E" w:rsidRDefault="001C1A59" w:rsidP="00DE031E">
              <w:pPr>
                <w:spacing w:line="360" w:lineRule="auto"/>
                <w:ind w:firstLineChars="200" w:firstLine="420"/>
                <w:rPr>
                  <w:b/>
                  <w:bCs/>
                  <w:szCs w:val="21"/>
                </w:rPr>
              </w:pPr>
              <w:r w:rsidRPr="00437FB4">
                <w:rPr>
                  <w:rFonts w:ascii="Arial" w:eastAsiaTheme="majorEastAsia" w:hAnsi="Arial" w:cs="Arial"/>
                  <w:kern w:val="2"/>
                  <w:sz w:val="22"/>
                  <w:szCs w:val="22"/>
                </w:rPr>
                <w:t>本公司将为出租（房屋、建筑物除外）或经营管理持有的，使用寿命超过一个会计年度有形资产确认为固定资产。</w:t>
              </w:r>
            </w:p>
          </w:sdtContent>
        </w:sdt>
      </w:sdtContent>
    </w:sdt>
    <w:sdt>
      <w:sdtPr>
        <w:rPr>
          <w:rFonts w:asciiTheme="minorHAnsi" w:hAnsiTheme="minorHAnsi" w:cstheme="minorBidi"/>
          <w:b w:val="0"/>
          <w:bCs w:val="0"/>
          <w:kern w:val="0"/>
          <w:szCs w:val="22"/>
        </w:rPr>
        <w:tag w:val="_GBC_7c749a57d4094b3386978c34c3487e2a"/>
        <w:id w:val="24723304"/>
        <w:lock w:val="sdtLocked"/>
        <w:placeholder>
          <w:docPart w:val="GBC22222222222222222222222222222"/>
        </w:placeholder>
      </w:sdtPr>
      <w:sdtEndPr>
        <w:rPr>
          <w:rFonts w:ascii="宋体" w:hAnsi="宋体" w:cs="宋体"/>
          <w:szCs w:val="24"/>
        </w:rPr>
      </w:sdtEndPr>
      <w:sdtContent>
        <w:p w:rsidR="00DE031E" w:rsidRDefault="001C1A59" w:rsidP="009950AC">
          <w:pPr>
            <w:pStyle w:val="4"/>
            <w:numPr>
              <w:ilvl w:val="0"/>
              <w:numId w:val="37"/>
            </w:numPr>
            <w:spacing w:line="360" w:lineRule="auto"/>
          </w:pPr>
          <w:r>
            <w:t>折旧方法</w:t>
          </w:r>
        </w:p>
        <w:p w:rsidR="00DE031E" w:rsidRPr="00B70A55" w:rsidRDefault="001C1A59" w:rsidP="00DE031E">
          <w:pPr>
            <w:spacing w:line="360" w:lineRule="auto"/>
          </w:pPr>
          <w:r w:rsidRPr="00437FB4">
            <w:rPr>
              <w:rFonts w:ascii="Arial" w:eastAsiaTheme="majorEastAsia" w:hAnsi="Arial" w:cs="Arial"/>
              <w:kern w:val="2"/>
              <w:sz w:val="22"/>
              <w:szCs w:val="22"/>
            </w:rPr>
            <w:t>固定资产采用年限平均法按月计提折旧。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DE031E" w:rsidTr="00DE031E">
            <w:tc>
              <w:tcPr>
                <w:tcW w:w="949" w:type="pct"/>
                <w:vAlign w:val="center"/>
              </w:tcPr>
              <w:p w:rsidR="00DE031E" w:rsidRDefault="001C1A59" w:rsidP="00DE031E">
                <w:pPr>
                  <w:spacing w:line="276" w:lineRule="auto"/>
                  <w:jc w:val="center"/>
                  <w:rPr>
                    <w:szCs w:val="21"/>
                  </w:rPr>
                </w:pPr>
                <w:r>
                  <w:rPr>
                    <w:szCs w:val="21"/>
                  </w:rPr>
                  <w:t>类别</w:t>
                </w:r>
              </w:p>
            </w:tc>
            <w:tc>
              <w:tcPr>
                <w:tcW w:w="1012" w:type="pct"/>
                <w:vAlign w:val="center"/>
              </w:tcPr>
              <w:p w:rsidR="00DE031E" w:rsidRDefault="001C1A59" w:rsidP="00DE031E">
                <w:pPr>
                  <w:spacing w:line="276" w:lineRule="auto"/>
                  <w:jc w:val="center"/>
                  <w:rPr>
                    <w:szCs w:val="21"/>
                  </w:rPr>
                </w:pPr>
                <w:r>
                  <w:rPr>
                    <w:rFonts w:hint="eastAsia"/>
                    <w:szCs w:val="21"/>
                  </w:rPr>
                  <w:t>折旧方法</w:t>
                </w:r>
              </w:p>
            </w:tc>
            <w:tc>
              <w:tcPr>
                <w:tcW w:w="1013" w:type="pct"/>
                <w:vAlign w:val="center"/>
              </w:tcPr>
              <w:p w:rsidR="00DE031E" w:rsidRDefault="001C1A59" w:rsidP="00DE031E">
                <w:pPr>
                  <w:spacing w:line="276" w:lineRule="auto"/>
                  <w:jc w:val="center"/>
                  <w:rPr>
                    <w:szCs w:val="21"/>
                  </w:rPr>
                </w:pPr>
                <w:r>
                  <w:rPr>
                    <w:szCs w:val="21"/>
                  </w:rPr>
                  <w:t>折旧年限（年）</w:t>
                </w:r>
              </w:p>
            </w:tc>
            <w:tc>
              <w:tcPr>
                <w:tcW w:w="1013" w:type="pct"/>
                <w:vAlign w:val="center"/>
              </w:tcPr>
              <w:p w:rsidR="00DE031E" w:rsidRDefault="001C1A59" w:rsidP="00DE031E">
                <w:pPr>
                  <w:spacing w:line="276" w:lineRule="auto"/>
                  <w:jc w:val="center"/>
                  <w:rPr>
                    <w:szCs w:val="21"/>
                  </w:rPr>
                </w:pPr>
                <w:r>
                  <w:rPr>
                    <w:szCs w:val="21"/>
                  </w:rPr>
                  <w:t>残值率（%）</w:t>
                </w:r>
              </w:p>
            </w:tc>
            <w:tc>
              <w:tcPr>
                <w:tcW w:w="1013" w:type="pct"/>
                <w:vAlign w:val="center"/>
              </w:tcPr>
              <w:p w:rsidR="00DE031E" w:rsidRDefault="001C1A59" w:rsidP="00DE031E">
                <w:pPr>
                  <w:spacing w:line="276" w:lineRule="auto"/>
                  <w:jc w:val="center"/>
                  <w:rPr>
                    <w:szCs w:val="21"/>
                  </w:rPr>
                </w:pPr>
                <w:r>
                  <w:rPr>
                    <w:szCs w:val="21"/>
                  </w:rPr>
                  <w:t>年折旧率（%）</w:t>
                </w:r>
              </w:p>
            </w:tc>
          </w:tr>
          <w:sdt>
            <w:sdtPr>
              <w:rPr>
                <w:szCs w:val="21"/>
              </w:rPr>
              <w:alias w:val="其他固定资产计价、折旧、减值方法"/>
              <w:tag w:val="_GBC_f1ad6125c5d74d2a98f593d2ba574474"/>
              <w:id w:val="24723285"/>
              <w:lock w:val="sdtLocked"/>
            </w:sdtPr>
            <w:sdtContent>
              <w:tr w:rsidR="00DE031E" w:rsidTr="00DE031E">
                <w:sdt>
                  <w:sdtPr>
                    <w:rPr>
                      <w:szCs w:val="21"/>
                    </w:rPr>
                    <w:alias w:val="固定资产类别"/>
                    <w:tag w:val="_GBC_a35d877f25bc40f3994d41d8763e2a50"/>
                    <w:id w:val="24723280"/>
                    <w:lock w:val="sdtLocked"/>
                  </w:sdtPr>
                  <w:sdtEndPr>
                    <w:rPr>
                      <w:rFonts w:cs="Times New Roman"/>
                      <w:sz w:val="20"/>
                    </w:rPr>
                  </w:sdtEndPr>
                  <w:sdtContent>
                    <w:tc>
                      <w:tcPr>
                        <w:tcW w:w="949" w:type="pct"/>
                      </w:tcPr>
                      <w:p w:rsidR="00DE031E" w:rsidRDefault="001C1A59" w:rsidP="00DE031E">
                        <w:pPr>
                          <w:spacing w:line="276" w:lineRule="auto"/>
                          <w:rPr>
                            <w:szCs w:val="21"/>
                          </w:rPr>
                        </w:pPr>
                        <w:r>
                          <w:rPr>
                            <w:szCs w:val="21"/>
                          </w:rPr>
                          <w:t>房屋、建筑物</w:t>
                        </w:r>
                      </w:p>
                    </w:tc>
                  </w:sdtContent>
                </w:sdt>
                <w:sdt>
                  <w:sdtPr>
                    <w:rPr>
                      <w:szCs w:val="21"/>
                    </w:rPr>
                    <w:alias w:val="固定资产折旧方法"/>
                    <w:tag w:val="_GBC_9b84b623c81948d4be1abe781ca5da73"/>
                    <w:id w:val="24723281"/>
                    <w:lock w:val="sdtLocked"/>
                  </w:sdtPr>
                  <w:sdtContent>
                    <w:tc>
                      <w:tcPr>
                        <w:tcW w:w="1012" w:type="pct"/>
                      </w:tcPr>
                      <w:p w:rsidR="00DE031E" w:rsidRDefault="001C1A59" w:rsidP="00DE031E">
                        <w:pPr>
                          <w:spacing w:line="276" w:lineRule="auto"/>
                          <w:rPr>
                            <w:szCs w:val="21"/>
                          </w:rPr>
                        </w:pPr>
                        <w:r>
                          <w:rPr>
                            <w:rFonts w:hint="eastAsia"/>
                            <w:szCs w:val="21"/>
                          </w:rPr>
                          <w:t>年限平均法</w:t>
                        </w:r>
                      </w:p>
                    </w:tc>
                  </w:sdtContent>
                </w:sdt>
                <w:sdt>
                  <w:sdtPr>
                    <w:rPr>
                      <w:szCs w:val="21"/>
                    </w:rPr>
                    <w:alias w:val="固定资产类别的折旧年限"/>
                    <w:tag w:val="_GBC_3b6f8ca8242140bca158d6718f6e4a67"/>
                    <w:id w:val="24723282"/>
                    <w:lock w:val="sdtLocked"/>
                  </w:sdtPr>
                  <w:sdtContent>
                    <w:tc>
                      <w:tcPr>
                        <w:tcW w:w="1013" w:type="pct"/>
                      </w:tcPr>
                      <w:p w:rsidR="00DE031E" w:rsidRDefault="001C1A59" w:rsidP="00DE031E">
                        <w:pPr>
                          <w:spacing w:line="276" w:lineRule="auto"/>
                          <w:rPr>
                            <w:szCs w:val="21"/>
                          </w:rPr>
                        </w:pPr>
                        <w:r>
                          <w:rPr>
                            <w:szCs w:val="21"/>
                          </w:rPr>
                          <w:t>30-50年</w:t>
                        </w:r>
                      </w:p>
                    </w:tc>
                  </w:sdtContent>
                </w:sdt>
                <w:sdt>
                  <w:sdtPr>
                    <w:rPr>
                      <w:szCs w:val="21"/>
                    </w:rPr>
                    <w:alias w:val="固定资产类别的残值率"/>
                    <w:tag w:val="_GBC_76af0d0da53c455f9b0a413f033af92e"/>
                    <w:id w:val="24723283"/>
                    <w:lock w:val="sdtLocked"/>
                  </w:sdtPr>
                  <w:sdtContent>
                    <w:tc>
                      <w:tcPr>
                        <w:tcW w:w="1013" w:type="pct"/>
                      </w:tcPr>
                      <w:p w:rsidR="00DE031E" w:rsidRDefault="001C1A59" w:rsidP="00DE031E">
                        <w:pPr>
                          <w:spacing w:line="276" w:lineRule="auto"/>
                          <w:rPr>
                            <w:szCs w:val="21"/>
                          </w:rPr>
                        </w:pPr>
                        <w:r>
                          <w:rPr>
                            <w:szCs w:val="21"/>
                          </w:rPr>
                          <w:t>5%</w:t>
                        </w:r>
                      </w:p>
                    </w:tc>
                  </w:sdtContent>
                </w:sdt>
                <w:sdt>
                  <w:sdtPr>
                    <w:rPr>
                      <w:szCs w:val="21"/>
                    </w:rPr>
                    <w:alias w:val="固定资产类别的年折旧率"/>
                    <w:tag w:val="_GBC_58d98c7dc02f49118e0a3b88e17eda01"/>
                    <w:id w:val="24723284"/>
                    <w:lock w:val="sdtLocked"/>
                  </w:sdtPr>
                  <w:sdtContent>
                    <w:tc>
                      <w:tcPr>
                        <w:tcW w:w="1013" w:type="pct"/>
                      </w:tcPr>
                      <w:p w:rsidR="00DE031E" w:rsidRDefault="001C1A59" w:rsidP="00DE031E">
                        <w:pPr>
                          <w:spacing w:line="276" w:lineRule="auto"/>
                          <w:rPr>
                            <w:szCs w:val="21"/>
                          </w:rPr>
                        </w:pPr>
                        <w:r>
                          <w:rPr>
                            <w:szCs w:val="21"/>
                          </w:rPr>
                          <w:t>1.90%-3.17%</w:t>
                        </w:r>
                      </w:p>
                    </w:tc>
                  </w:sdtContent>
                </w:sdt>
              </w:tr>
            </w:sdtContent>
          </w:sdt>
          <w:sdt>
            <w:sdtPr>
              <w:rPr>
                <w:szCs w:val="21"/>
              </w:rPr>
              <w:alias w:val="其他固定资产计价、折旧、减值方法"/>
              <w:tag w:val="_GBC_f1ad6125c5d74d2a98f593d2ba574474"/>
              <w:id w:val="24723291"/>
              <w:lock w:val="sdtLocked"/>
            </w:sdtPr>
            <w:sdtContent>
              <w:tr w:rsidR="00DE031E" w:rsidTr="00DE031E">
                <w:sdt>
                  <w:sdtPr>
                    <w:rPr>
                      <w:szCs w:val="21"/>
                    </w:rPr>
                    <w:alias w:val="固定资产类别"/>
                    <w:tag w:val="_GBC_a35d877f25bc40f3994d41d8763e2a50"/>
                    <w:id w:val="24723286"/>
                    <w:lock w:val="sdtLocked"/>
                  </w:sdtPr>
                  <w:sdtEndPr>
                    <w:rPr>
                      <w:rFonts w:cs="Times New Roman"/>
                      <w:sz w:val="20"/>
                    </w:rPr>
                  </w:sdtEndPr>
                  <w:sdtContent>
                    <w:tc>
                      <w:tcPr>
                        <w:tcW w:w="949" w:type="pct"/>
                      </w:tcPr>
                      <w:p w:rsidR="00DE031E" w:rsidRDefault="001C1A59" w:rsidP="00DE031E">
                        <w:pPr>
                          <w:spacing w:line="276" w:lineRule="auto"/>
                          <w:rPr>
                            <w:szCs w:val="21"/>
                          </w:rPr>
                        </w:pPr>
                        <w:r>
                          <w:rPr>
                            <w:szCs w:val="21"/>
                          </w:rPr>
                          <w:t>电子设备</w:t>
                        </w:r>
                      </w:p>
                    </w:tc>
                  </w:sdtContent>
                </w:sdt>
                <w:sdt>
                  <w:sdtPr>
                    <w:rPr>
                      <w:szCs w:val="21"/>
                    </w:rPr>
                    <w:alias w:val="固定资产折旧方法"/>
                    <w:tag w:val="_GBC_9b84b623c81948d4be1abe781ca5da73"/>
                    <w:id w:val="24723287"/>
                    <w:lock w:val="sdtLocked"/>
                  </w:sdtPr>
                  <w:sdtContent>
                    <w:tc>
                      <w:tcPr>
                        <w:tcW w:w="1012" w:type="pct"/>
                      </w:tcPr>
                      <w:p w:rsidR="00DE031E" w:rsidRDefault="001C1A59" w:rsidP="00DE031E">
                        <w:pPr>
                          <w:spacing w:line="276" w:lineRule="auto"/>
                          <w:rPr>
                            <w:szCs w:val="21"/>
                          </w:rPr>
                        </w:pPr>
                        <w:r>
                          <w:rPr>
                            <w:rFonts w:hint="eastAsia"/>
                            <w:szCs w:val="21"/>
                          </w:rPr>
                          <w:t>年限平均法</w:t>
                        </w:r>
                      </w:p>
                    </w:tc>
                  </w:sdtContent>
                </w:sdt>
                <w:sdt>
                  <w:sdtPr>
                    <w:rPr>
                      <w:szCs w:val="21"/>
                    </w:rPr>
                    <w:alias w:val="固定资产类别的折旧年限"/>
                    <w:tag w:val="_GBC_3b6f8ca8242140bca158d6718f6e4a67"/>
                    <w:id w:val="24723288"/>
                    <w:lock w:val="sdtLocked"/>
                  </w:sdtPr>
                  <w:sdtContent>
                    <w:tc>
                      <w:tcPr>
                        <w:tcW w:w="1013" w:type="pct"/>
                      </w:tcPr>
                      <w:p w:rsidR="00DE031E" w:rsidRDefault="001C1A59" w:rsidP="00DE031E">
                        <w:pPr>
                          <w:spacing w:line="276" w:lineRule="auto"/>
                          <w:rPr>
                            <w:szCs w:val="21"/>
                          </w:rPr>
                        </w:pPr>
                        <w:r>
                          <w:rPr>
                            <w:szCs w:val="21"/>
                          </w:rPr>
                          <w:t>5年</w:t>
                        </w:r>
                      </w:p>
                    </w:tc>
                  </w:sdtContent>
                </w:sdt>
                <w:sdt>
                  <w:sdtPr>
                    <w:rPr>
                      <w:szCs w:val="21"/>
                    </w:rPr>
                    <w:alias w:val="固定资产类别的残值率"/>
                    <w:tag w:val="_GBC_76af0d0da53c455f9b0a413f033af92e"/>
                    <w:id w:val="24723289"/>
                    <w:lock w:val="sdtLocked"/>
                  </w:sdtPr>
                  <w:sdtContent>
                    <w:tc>
                      <w:tcPr>
                        <w:tcW w:w="1013" w:type="pct"/>
                      </w:tcPr>
                      <w:p w:rsidR="00DE031E" w:rsidRDefault="001C1A59" w:rsidP="00DE031E">
                        <w:pPr>
                          <w:spacing w:line="276" w:lineRule="auto"/>
                          <w:rPr>
                            <w:szCs w:val="21"/>
                          </w:rPr>
                        </w:pPr>
                        <w:r>
                          <w:rPr>
                            <w:szCs w:val="21"/>
                          </w:rPr>
                          <w:t>5%</w:t>
                        </w:r>
                      </w:p>
                    </w:tc>
                  </w:sdtContent>
                </w:sdt>
                <w:sdt>
                  <w:sdtPr>
                    <w:rPr>
                      <w:szCs w:val="21"/>
                    </w:rPr>
                    <w:alias w:val="固定资产类别的年折旧率"/>
                    <w:tag w:val="_GBC_58d98c7dc02f49118e0a3b88e17eda01"/>
                    <w:id w:val="24723290"/>
                    <w:lock w:val="sdtLocked"/>
                  </w:sdtPr>
                  <w:sdtContent>
                    <w:tc>
                      <w:tcPr>
                        <w:tcW w:w="1013" w:type="pct"/>
                      </w:tcPr>
                      <w:p w:rsidR="00DE031E" w:rsidRDefault="001C1A59" w:rsidP="00DE031E">
                        <w:pPr>
                          <w:spacing w:line="276" w:lineRule="auto"/>
                          <w:rPr>
                            <w:szCs w:val="21"/>
                          </w:rPr>
                        </w:pPr>
                        <w:r>
                          <w:rPr>
                            <w:szCs w:val="21"/>
                          </w:rPr>
                          <w:t>19.00%</w:t>
                        </w:r>
                      </w:p>
                    </w:tc>
                  </w:sdtContent>
                </w:sdt>
              </w:tr>
            </w:sdtContent>
          </w:sdt>
          <w:sdt>
            <w:sdtPr>
              <w:rPr>
                <w:szCs w:val="21"/>
              </w:rPr>
              <w:alias w:val="其他固定资产计价、折旧、减值方法"/>
              <w:tag w:val="_GBC_f1ad6125c5d74d2a98f593d2ba574474"/>
              <w:id w:val="24723297"/>
              <w:lock w:val="sdtLocked"/>
            </w:sdtPr>
            <w:sdtContent>
              <w:tr w:rsidR="00DE031E" w:rsidTr="00DE031E">
                <w:sdt>
                  <w:sdtPr>
                    <w:rPr>
                      <w:szCs w:val="21"/>
                    </w:rPr>
                    <w:alias w:val="固定资产类别"/>
                    <w:tag w:val="_GBC_a35d877f25bc40f3994d41d8763e2a50"/>
                    <w:id w:val="24723292"/>
                    <w:lock w:val="sdtLocked"/>
                  </w:sdtPr>
                  <w:sdtEndPr>
                    <w:rPr>
                      <w:rFonts w:cs="Times New Roman"/>
                      <w:sz w:val="20"/>
                    </w:rPr>
                  </w:sdtEndPr>
                  <w:sdtContent>
                    <w:tc>
                      <w:tcPr>
                        <w:tcW w:w="949" w:type="pct"/>
                      </w:tcPr>
                      <w:p w:rsidR="00DE031E" w:rsidRDefault="001C1A59" w:rsidP="00DE031E">
                        <w:pPr>
                          <w:spacing w:line="276" w:lineRule="auto"/>
                          <w:rPr>
                            <w:szCs w:val="21"/>
                          </w:rPr>
                        </w:pPr>
                        <w:r>
                          <w:rPr>
                            <w:szCs w:val="21"/>
                          </w:rPr>
                          <w:t>运输工具</w:t>
                        </w:r>
                      </w:p>
                    </w:tc>
                  </w:sdtContent>
                </w:sdt>
                <w:sdt>
                  <w:sdtPr>
                    <w:rPr>
                      <w:szCs w:val="21"/>
                    </w:rPr>
                    <w:alias w:val="固定资产折旧方法"/>
                    <w:tag w:val="_GBC_9b84b623c81948d4be1abe781ca5da73"/>
                    <w:id w:val="24723293"/>
                    <w:lock w:val="sdtLocked"/>
                  </w:sdtPr>
                  <w:sdtContent>
                    <w:tc>
                      <w:tcPr>
                        <w:tcW w:w="1012" w:type="pct"/>
                      </w:tcPr>
                      <w:p w:rsidR="00DE031E" w:rsidRDefault="001C1A59" w:rsidP="00DE031E">
                        <w:pPr>
                          <w:spacing w:line="276" w:lineRule="auto"/>
                          <w:rPr>
                            <w:szCs w:val="21"/>
                          </w:rPr>
                        </w:pPr>
                        <w:r>
                          <w:rPr>
                            <w:rFonts w:hint="eastAsia"/>
                            <w:szCs w:val="21"/>
                          </w:rPr>
                          <w:t>年限平均法</w:t>
                        </w:r>
                      </w:p>
                    </w:tc>
                  </w:sdtContent>
                </w:sdt>
                <w:sdt>
                  <w:sdtPr>
                    <w:rPr>
                      <w:szCs w:val="21"/>
                    </w:rPr>
                    <w:alias w:val="固定资产类别的折旧年限"/>
                    <w:tag w:val="_GBC_3b6f8ca8242140bca158d6718f6e4a67"/>
                    <w:id w:val="24723294"/>
                    <w:lock w:val="sdtLocked"/>
                  </w:sdtPr>
                  <w:sdtContent>
                    <w:tc>
                      <w:tcPr>
                        <w:tcW w:w="1013" w:type="pct"/>
                      </w:tcPr>
                      <w:p w:rsidR="00DE031E" w:rsidRDefault="001C1A59" w:rsidP="00DE031E">
                        <w:pPr>
                          <w:spacing w:line="276" w:lineRule="auto"/>
                          <w:rPr>
                            <w:szCs w:val="21"/>
                          </w:rPr>
                        </w:pPr>
                        <w:r>
                          <w:rPr>
                            <w:szCs w:val="21"/>
                          </w:rPr>
                          <w:t>5年</w:t>
                        </w:r>
                      </w:p>
                    </w:tc>
                  </w:sdtContent>
                </w:sdt>
                <w:sdt>
                  <w:sdtPr>
                    <w:rPr>
                      <w:szCs w:val="21"/>
                    </w:rPr>
                    <w:alias w:val="固定资产类别的残值率"/>
                    <w:tag w:val="_GBC_76af0d0da53c455f9b0a413f033af92e"/>
                    <w:id w:val="24723295"/>
                    <w:lock w:val="sdtLocked"/>
                  </w:sdtPr>
                  <w:sdtContent>
                    <w:tc>
                      <w:tcPr>
                        <w:tcW w:w="1013" w:type="pct"/>
                      </w:tcPr>
                      <w:p w:rsidR="00DE031E" w:rsidRDefault="001C1A59" w:rsidP="00DE031E">
                        <w:pPr>
                          <w:spacing w:line="276" w:lineRule="auto"/>
                          <w:rPr>
                            <w:szCs w:val="21"/>
                          </w:rPr>
                        </w:pPr>
                        <w:r>
                          <w:rPr>
                            <w:szCs w:val="21"/>
                          </w:rPr>
                          <w:t>5%</w:t>
                        </w:r>
                      </w:p>
                    </w:tc>
                  </w:sdtContent>
                </w:sdt>
                <w:sdt>
                  <w:sdtPr>
                    <w:rPr>
                      <w:szCs w:val="21"/>
                    </w:rPr>
                    <w:alias w:val="固定资产类别的年折旧率"/>
                    <w:tag w:val="_GBC_58d98c7dc02f49118e0a3b88e17eda01"/>
                    <w:id w:val="24723296"/>
                    <w:lock w:val="sdtLocked"/>
                  </w:sdtPr>
                  <w:sdtContent>
                    <w:tc>
                      <w:tcPr>
                        <w:tcW w:w="1013" w:type="pct"/>
                      </w:tcPr>
                      <w:p w:rsidR="00DE031E" w:rsidRDefault="001C1A59" w:rsidP="00DE031E">
                        <w:pPr>
                          <w:spacing w:line="276" w:lineRule="auto"/>
                          <w:rPr>
                            <w:szCs w:val="21"/>
                          </w:rPr>
                        </w:pPr>
                        <w:r>
                          <w:rPr>
                            <w:szCs w:val="21"/>
                          </w:rPr>
                          <w:t>19.00%</w:t>
                        </w:r>
                      </w:p>
                    </w:tc>
                  </w:sdtContent>
                </w:sdt>
              </w:tr>
            </w:sdtContent>
          </w:sdt>
          <w:sdt>
            <w:sdtPr>
              <w:rPr>
                <w:szCs w:val="21"/>
              </w:rPr>
              <w:alias w:val="其他固定资产计价、折旧、减值方法"/>
              <w:tag w:val="_GBC_f1ad6125c5d74d2a98f593d2ba574474"/>
              <w:id w:val="24723303"/>
              <w:lock w:val="sdtLocked"/>
            </w:sdtPr>
            <w:sdtContent>
              <w:tr w:rsidR="00DE031E" w:rsidRPr="00B70A55" w:rsidTr="00DE031E">
                <w:sdt>
                  <w:sdtPr>
                    <w:rPr>
                      <w:szCs w:val="21"/>
                    </w:rPr>
                    <w:alias w:val="固定资产类别"/>
                    <w:tag w:val="_GBC_a35d877f25bc40f3994d41d8763e2a50"/>
                    <w:id w:val="24723298"/>
                    <w:lock w:val="sdtLocked"/>
                  </w:sdtPr>
                  <w:sdtEndPr>
                    <w:rPr>
                      <w:rFonts w:cs="Times New Roman"/>
                      <w:sz w:val="20"/>
                    </w:rPr>
                  </w:sdtEndPr>
                  <w:sdtContent>
                    <w:tc>
                      <w:tcPr>
                        <w:tcW w:w="949" w:type="pct"/>
                      </w:tcPr>
                      <w:p w:rsidR="00DE031E" w:rsidRDefault="001C1A59" w:rsidP="00DE031E">
                        <w:pPr>
                          <w:spacing w:line="276" w:lineRule="auto"/>
                          <w:rPr>
                            <w:szCs w:val="21"/>
                          </w:rPr>
                        </w:pPr>
                        <w:r>
                          <w:rPr>
                            <w:szCs w:val="21"/>
                          </w:rPr>
                          <w:t>其他</w:t>
                        </w:r>
                      </w:p>
                    </w:tc>
                  </w:sdtContent>
                </w:sdt>
                <w:sdt>
                  <w:sdtPr>
                    <w:rPr>
                      <w:szCs w:val="21"/>
                    </w:rPr>
                    <w:alias w:val="固定资产折旧方法"/>
                    <w:tag w:val="_GBC_9b84b623c81948d4be1abe781ca5da73"/>
                    <w:id w:val="24723299"/>
                    <w:lock w:val="sdtLocked"/>
                  </w:sdtPr>
                  <w:sdtContent>
                    <w:tc>
                      <w:tcPr>
                        <w:tcW w:w="1012" w:type="pct"/>
                      </w:tcPr>
                      <w:p w:rsidR="00DE031E" w:rsidRDefault="001C1A59" w:rsidP="00DE031E">
                        <w:pPr>
                          <w:spacing w:line="276" w:lineRule="auto"/>
                          <w:rPr>
                            <w:szCs w:val="21"/>
                          </w:rPr>
                        </w:pPr>
                        <w:r>
                          <w:rPr>
                            <w:rFonts w:hint="eastAsia"/>
                            <w:szCs w:val="21"/>
                          </w:rPr>
                          <w:t>年限平均法</w:t>
                        </w:r>
                      </w:p>
                    </w:tc>
                  </w:sdtContent>
                </w:sdt>
                <w:sdt>
                  <w:sdtPr>
                    <w:rPr>
                      <w:szCs w:val="21"/>
                    </w:rPr>
                    <w:alias w:val="固定资产类别的折旧年限"/>
                    <w:tag w:val="_GBC_3b6f8ca8242140bca158d6718f6e4a67"/>
                    <w:id w:val="24723300"/>
                    <w:lock w:val="sdtLocked"/>
                  </w:sdtPr>
                  <w:sdtContent>
                    <w:tc>
                      <w:tcPr>
                        <w:tcW w:w="1013" w:type="pct"/>
                      </w:tcPr>
                      <w:p w:rsidR="00DE031E" w:rsidRDefault="001C1A59" w:rsidP="00DE031E">
                        <w:pPr>
                          <w:spacing w:line="276" w:lineRule="auto"/>
                          <w:rPr>
                            <w:szCs w:val="21"/>
                          </w:rPr>
                        </w:pPr>
                        <w:r>
                          <w:rPr>
                            <w:szCs w:val="21"/>
                          </w:rPr>
                          <w:t>5年</w:t>
                        </w:r>
                      </w:p>
                    </w:tc>
                  </w:sdtContent>
                </w:sdt>
                <w:sdt>
                  <w:sdtPr>
                    <w:rPr>
                      <w:szCs w:val="21"/>
                    </w:rPr>
                    <w:alias w:val="固定资产类别的残值率"/>
                    <w:tag w:val="_GBC_76af0d0da53c455f9b0a413f033af92e"/>
                    <w:id w:val="24723301"/>
                    <w:lock w:val="sdtLocked"/>
                  </w:sdtPr>
                  <w:sdtContent>
                    <w:tc>
                      <w:tcPr>
                        <w:tcW w:w="1013" w:type="pct"/>
                      </w:tcPr>
                      <w:p w:rsidR="00DE031E" w:rsidRDefault="001C1A59" w:rsidP="00DE031E">
                        <w:pPr>
                          <w:spacing w:line="276" w:lineRule="auto"/>
                          <w:rPr>
                            <w:szCs w:val="21"/>
                          </w:rPr>
                        </w:pPr>
                        <w:r>
                          <w:rPr>
                            <w:szCs w:val="21"/>
                          </w:rPr>
                          <w:t>5%</w:t>
                        </w:r>
                      </w:p>
                    </w:tc>
                  </w:sdtContent>
                </w:sdt>
                <w:sdt>
                  <w:sdtPr>
                    <w:rPr>
                      <w:szCs w:val="21"/>
                    </w:rPr>
                    <w:alias w:val="固定资产类别的年折旧率"/>
                    <w:tag w:val="_GBC_58d98c7dc02f49118e0a3b88e17eda01"/>
                    <w:id w:val="24723302"/>
                    <w:lock w:val="sdtLocked"/>
                  </w:sdtPr>
                  <w:sdtContent>
                    <w:tc>
                      <w:tcPr>
                        <w:tcW w:w="1013" w:type="pct"/>
                      </w:tcPr>
                      <w:p w:rsidR="00DE031E" w:rsidRDefault="001C1A59" w:rsidP="00DE031E">
                        <w:pPr>
                          <w:spacing w:line="276" w:lineRule="auto"/>
                          <w:rPr>
                            <w:szCs w:val="21"/>
                          </w:rPr>
                        </w:pPr>
                        <w:r>
                          <w:rPr>
                            <w:szCs w:val="21"/>
                          </w:rPr>
                          <w:t>19.00%</w:t>
                        </w:r>
                      </w:p>
                    </w:tc>
                  </w:sdtContent>
                </w:sdt>
              </w:tr>
            </w:sdtContent>
          </w:sdt>
        </w:tbl>
        <w:p w:rsidR="00DE031E" w:rsidRPr="00B70A55" w:rsidRDefault="00422DCA" w:rsidP="00DE031E">
          <w:pPr>
            <w:spacing w:line="276" w:lineRule="auto"/>
          </w:pPr>
        </w:p>
      </w:sdtContent>
    </w:sdt>
    <w:sdt>
      <w:sdtPr>
        <w:rPr>
          <w:rFonts w:ascii="宋体" w:hAnsi="宋体" w:cs="宋体"/>
          <w:b w:val="0"/>
          <w:bCs w:val="0"/>
          <w:kern w:val="0"/>
          <w:szCs w:val="24"/>
        </w:rPr>
        <w:tag w:val="_GBC_3eb5f960df3e47f0a4bf3af0bc67ca96"/>
        <w:id w:val="24723306"/>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35"/>
            </w:numPr>
            <w:spacing w:line="360" w:lineRule="auto"/>
          </w:pPr>
          <w:r>
            <w:t>在建工程</w:t>
          </w:r>
        </w:p>
        <w:sdt>
          <w:sdtPr>
            <w:rPr>
              <w:rFonts w:hint="eastAsia"/>
              <w:szCs w:val="21"/>
            </w:rPr>
            <w:alias w:val="在建工程核算方法"/>
            <w:tag w:val="_GBC_ed79f983df814c58add61776fe84c76e"/>
            <w:id w:val="24723305"/>
            <w:lock w:val="sdtLocked"/>
            <w:placeholder>
              <w:docPart w:val="GBC22222222222222222222222222222"/>
            </w:placeholder>
          </w:sdtPr>
          <w:sdtContent>
            <w:p w:rsidR="00DE031E" w:rsidRPr="00521428" w:rsidRDefault="001C1A59" w:rsidP="00DE031E">
              <w:pPr>
                <w:spacing w:line="360" w:lineRule="auto"/>
                <w:ind w:firstLineChars="200" w:firstLine="420"/>
                <w:rPr>
                  <w:rFonts w:ascii="Arial" w:eastAsiaTheme="majorEastAsia" w:hAnsi="Arial" w:cs="Arial"/>
                  <w:kern w:val="2"/>
                  <w:sz w:val="22"/>
                  <w:szCs w:val="22"/>
                </w:rPr>
              </w:pPr>
              <w:r w:rsidRPr="00437FB4">
                <w:rPr>
                  <w:rFonts w:ascii="Arial" w:eastAsiaTheme="majorEastAsia" w:hAnsi="Arial" w:cs="Arial"/>
                  <w:kern w:val="2"/>
                  <w:sz w:val="22"/>
                  <w:szCs w:val="22"/>
                </w:rPr>
                <w:t>在建工程项目按建造该项资产达到预定可使用状态前所发生的全部支出，作为固定资产的入账价值。所建造的固定资产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sdt>
      <w:sdtPr>
        <w:rPr>
          <w:rFonts w:asciiTheme="minorHAnsi" w:hAnsiTheme="minorHAnsi" w:cs="宋体"/>
          <w:b w:val="0"/>
          <w:bCs w:val="0"/>
          <w:kern w:val="0"/>
          <w:szCs w:val="22"/>
        </w:rPr>
        <w:tag w:val="_GBC_e3e4d07ea08d4589a9293563ea655b42"/>
        <w:id w:val="24723308"/>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5"/>
            </w:numPr>
            <w:spacing w:line="360" w:lineRule="auto"/>
          </w:pPr>
          <w:r>
            <w:t>借款费用</w:t>
          </w:r>
        </w:p>
        <w:sdt>
          <w:sdtPr>
            <w:rPr>
              <w:rFonts w:ascii="宋体" w:eastAsia="宋体" w:hAnsi="宋体" w:cs="宋体" w:hint="eastAsia"/>
              <w:color w:val="auto"/>
              <w:sz w:val="21"/>
              <w:szCs w:val="21"/>
            </w:rPr>
            <w:alias w:val="借款费用的会计处理方法"/>
            <w:tag w:val="_GBC_2101c32d32c64f39a8b8fcd2b72dbb0a"/>
            <w:id w:val="24723307"/>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当购建或生产符合资本化条件的资产达到预定可使用或可销售状态</w:t>
              </w:r>
              <w:r w:rsidRPr="00437FB4">
                <w:rPr>
                  <w:rFonts w:ascii="Arial" w:eastAsiaTheme="majorEastAsia" w:hAnsi="Arial" w:cs="Arial"/>
                  <w:color w:val="auto"/>
                  <w:kern w:val="2"/>
                  <w:sz w:val="22"/>
                  <w:szCs w:val="22"/>
                </w:rPr>
                <w:lastRenderedPageBreak/>
                <w:t>时，停止资本化。其余借款费用在发生当期确认为费用。</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符合资本化条件的资产，是指需要经过相当长时间（通常指</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年以上）的购建或者生产活动才能达到预定可使用或者可销售状态的固定资产、投资性房地产和存货等资产。</w:t>
              </w:r>
            </w:p>
            <w:p w:rsidR="00DE031E" w:rsidRDefault="001C1A59" w:rsidP="00DE031E">
              <w:pPr>
                <w:adjustRightInd w:val="0"/>
                <w:snapToGrid w:val="0"/>
                <w:spacing w:line="360" w:lineRule="auto"/>
                <w:rPr>
                  <w:szCs w:val="21"/>
                </w:rPr>
              </w:pPr>
              <w:r w:rsidRPr="00437FB4">
                <w:rPr>
                  <w:rFonts w:ascii="Arial" w:eastAsiaTheme="majorEastAsia" w:hAnsi="Arial" w:cs="Arial"/>
                  <w:kern w:val="2"/>
                  <w:sz w:val="22"/>
                  <w:szCs w:val="22"/>
                </w:rPr>
                <w:t>如果符合资本化条件的资产在购建或者生产过程中发生非正常中断、且中断时间连续超过</w:t>
              </w:r>
              <w:r w:rsidRPr="00437FB4">
                <w:rPr>
                  <w:rFonts w:ascii="Arial" w:eastAsiaTheme="majorEastAsia" w:hAnsi="Arial" w:cs="Arial"/>
                  <w:kern w:val="2"/>
                  <w:sz w:val="22"/>
                  <w:szCs w:val="22"/>
                </w:rPr>
                <w:t>3</w:t>
              </w:r>
              <w:r w:rsidRPr="00437FB4">
                <w:rPr>
                  <w:rFonts w:ascii="Arial" w:eastAsiaTheme="majorEastAsia" w:hAnsi="Arial" w:cs="Arial"/>
                  <w:kern w:val="2"/>
                  <w:sz w:val="22"/>
                  <w:szCs w:val="22"/>
                </w:rPr>
                <w:t>个月，暂停借款费用的资本化，直至资产的购建或生产活动重新开始。</w:t>
              </w:r>
            </w:p>
          </w:sdtContent>
        </w:sdt>
      </w:sdtContent>
    </w:sdt>
    <w:sdt>
      <w:sdtPr>
        <w:rPr>
          <w:rFonts w:asciiTheme="minorHAnsi" w:hAnsiTheme="minorHAnsi" w:cs="宋体"/>
          <w:b w:val="0"/>
          <w:bCs w:val="0"/>
          <w:kern w:val="0"/>
          <w:szCs w:val="22"/>
        </w:rPr>
        <w:tag w:val="_GBC_0a8b293ff9e94173b2e385f4ef2a8c89"/>
        <w:id w:val="24723310"/>
        <w:lock w:val="sdtLocked"/>
        <w:placeholder>
          <w:docPart w:val="GBC22222222222222222222222222222"/>
        </w:placeholder>
      </w:sdtPr>
      <w:sdtEndPr>
        <w:rPr>
          <w:rFonts w:ascii="宋体" w:hAnsi="宋体" w:hint="eastAsia"/>
          <w:b/>
          <w:bCs/>
          <w:szCs w:val="21"/>
        </w:rPr>
      </w:sdtEndPr>
      <w:sdtContent>
        <w:p w:rsidR="00DE031E" w:rsidRDefault="001C1A59" w:rsidP="009950AC">
          <w:pPr>
            <w:pStyle w:val="3"/>
            <w:numPr>
              <w:ilvl w:val="0"/>
              <w:numId w:val="35"/>
            </w:numPr>
            <w:spacing w:line="360" w:lineRule="auto"/>
          </w:pPr>
          <w:r>
            <w:t>无形资产</w:t>
          </w:r>
        </w:p>
        <w:sdt>
          <w:sdtPr>
            <w:rPr>
              <w:rFonts w:ascii="宋体" w:eastAsia="宋体" w:hAnsi="宋体" w:cs="宋体"/>
              <w:color w:val="auto"/>
              <w:sz w:val="21"/>
              <w:szCs w:val="21"/>
            </w:rPr>
            <w:alias w:val="无形资产计价方法、使用寿命、减值测试"/>
            <w:tag w:val="_GBC_a9e64b18f452482eb6674ec605618dcc"/>
            <w:id w:val="24723309"/>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无形资产仅在与其有关的经济利益很可能流入本公司，且其成本能够可靠的计量时才予以确认，并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使用寿命有限的无形资产在其使用寿命内按照直线法摊销，使用寿命不确定的无形资产不予摊销。</w:t>
              </w:r>
            </w:p>
            <w:p w:rsidR="00DE031E" w:rsidRPr="00B70A55" w:rsidRDefault="001C1A59" w:rsidP="00DE031E">
              <w:pPr>
                <w:adjustRightInd w:val="0"/>
                <w:snapToGrid w:val="0"/>
                <w:spacing w:line="360" w:lineRule="auto"/>
                <w:ind w:firstLineChars="200" w:firstLine="440"/>
                <w:rPr>
                  <w:rFonts w:ascii="Arial" w:eastAsiaTheme="majorEastAsia" w:hAnsi="Arial" w:cs="Arial"/>
                  <w:kern w:val="2"/>
                  <w:sz w:val="22"/>
                  <w:szCs w:val="22"/>
                </w:rPr>
              </w:pPr>
              <w:r w:rsidRPr="00437FB4">
                <w:rPr>
                  <w:rFonts w:ascii="Arial" w:eastAsiaTheme="majorEastAsia" w:hAnsi="Arial" w:cs="Arial"/>
                  <w:kern w:val="2"/>
                  <w:sz w:val="22"/>
                  <w:szCs w:val="22"/>
                </w:rPr>
                <w:t>对使用寿命有限的无形资产的预计使用寿命及摊销方法于每年年度终了进行复核，如发生改变，则作为会计估计变更处理。在每个会计期间对使用寿命不确定的无形资产的预计使用寿命进行复核，如有证据表明无形资产的使用寿命是有限的，则估计其使用寿命并在预计使用寿命内摊销。</w:t>
              </w:r>
            </w:p>
          </w:sdtContent>
        </w:sdt>
      </w:sdtContent>
    </w:sdt>
    <w:sdt>
      <w:sdtPr>
        <w:rPr>
          <w:rFonts w:ascii="宋体" w:hAnsi="宋体" w:cs="宋体" w:hint="eastAsia"/>
          <w:b w:val="0"/>
          <w:bCs w:val="0"/>
          <w:kern w:val="0"/>
          <w:szCs w:val="21"/>
        </w:rPr>
        <w:tag w:val="_GBC_da2f3f0531094e5e9dcd987c45223bec"/>
        <w:id w:val="24723312"/>
        <w:lock w:val="sdtLocked"/>
        <w:placeholder>
          <w:docPart w:val="GBC22222222222222222222222222222"/>
        </w:placeholder>
      </w:sdtPr>
      <w:sdtContent>
        <w:p w:rsidR="00DE031E" w:rsidRDefault="001C1A59" w:rsidP="009950AC">
          <w:pPr>
            <w:pStyle w:val="3"/>
            <w:numPr>
              <w:ilvl w:val="0"/>
              <w:numId w:val="35"/>
            </w:numPr>
            <w:spacing w:line="360" w:lineRule="auto"/>
            <w:rPr>
              <w:szCs w:val="21"/>
            </w:rPr>
          </w:pPr>
          <w:r>
            <w:rPr>
              <w:rFonts w:hint="eastAsia"/>
              <w:szCs w:val="21"/>
            </w:rPr>
            <w:t>资产减值</w:t>
          </w:r>
        </w:p>
        <w:sdt>
          <w:sdtPr>
            <w:rPr>
              <w:rFonts w:ascii="宋体" w:eastAsia="宋体" w:hAnsi="宋体" w:cs="宋体" w:hint="eastAsia"/>
              <w:color w:val="auto"/>
              <w:sz w:val="21"/>
              <w:szCs w:val="21"/>
            </w:rPr>
            <w:alias w:val="非金融长期资产减值测试方法及会计处理方法"/>
            <w:tag w:val="_GBC_0a065c1269a846f6923598a2c1fc4269"/>
            <w:id w:val="24723311"/>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本公司对固定资产、无形资产、在建工程、以成本模式计量的投资性房地产、长期股权投资、商誉等非金融长期资产的减值按照以下方法确定：</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于每一个资产负债表日对非金融长期资产进行检查，判断资产是否存在可能发生减值的迹象，存在减值迹象的，本公司将估计其可收回金额，进行减值测试。对因企业合并所形成的商誉和使用寿命不确定的无形资产，无论是否存在减值迹象，每年末均进行减值测试。难以对单项资产的可收回金额进行测试的，以该资产所属的资产组或资产组组合为基础测试。</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可收回金额根据资产的公允价值减去处置费用后的净额与资产预计未来现金流量的现值两者之间较高者确定。当资产或资产组的可收回金额低于其账面价值时，本公司将其账面价值减记至可收回金额，减记的金额计入当期损益，同时计提相应的资产减值准备。资产减值损失一经确认，在以后会计期间不得转回。</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出现减值的迹象如下：</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lastRenderedPageBreak/>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）资产的市价当期大幅度下跌，其跌幅明显高于因时间的推移或者正常使用而预计的下跌；</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）企业经营所处的经济、技术或者法律等环境以及资产所处的市场在当期或者将在近期发生重大变化，从而对企业产生不利影响；</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3</w:t>
              </w:r>
              <w:r w:rsidRPr="00437FB4">
                <w:rPr>
                  <w:rFonts w:ascii="Arial" w:eastAsiaTheme="majorEastAsia" w:hAnsi="Arial" w:cs="Arial"/>
                  <w:color w:val="auto"/>
                  <w:kern w:val="2"/>
                  <w:sz w:val="22"/>
                  <w:szCs w:val="22"/>
                </w:rPr>
                <w:t>）市场利率或者其他市场投资报酬率在当期已经提高，从而影响企业计算资产预计未来现金流量现值的折现率，导致资产可收回金额大幅度降低；</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4</w:t>
              </w:r>
              <w:r w:rsidRPr="00437FB4">
                <w:rPr>
                  <w:rFonts w:ascii="Arial" w:eastAsiaTheme="majorEastAsia" w:hAnsi="Arial" w:cs="Arial"/>
                  <w:color w:val="auto"/>
                  <w:kern w:val="2"/>
                  <w:sz w:val="22"/>
                  <w:szCs w:val="22"/>
                </w:rPr>
                <w:t>）有证据表明资产已经陈旧过时或者其实体已经损坏；</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5</w:t>
              </w:r>
              <w:r w:rsidRPr="00437FB4">
                <w:rPr>
                  <w:rFonts w:ascii="Arial" w:eastAsiaTheme="majorEastAsia" w:hAnsi="Arial" w:cs="Arial"/>
                  <w:color w:val="auto"/>
                  <w:kern w:val="2"/>
                  <w:sz w:val="22"/>
                  <w:szCs w:val="22"/>
                </w:rPr>
                <w:t>）资产已经或者将被闲置、终止使用或者计划提前处置；</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6</w:t>
              </w:r>
              <w:r w:rsidRPr="00437FB4">
                <w:rPr>
                  <w:rFonts w:ascii="Arial" w:eastAsiaTheme="majorEastAsia" w:hAnsi="Arial" w:cs="Arial"/>
                  <w:color w:val="auto"/>
                  <w:kern w:val="2"/>
                  <w:sz w:val="22"/>
                  <w:szCs w:val="22"/>
                </w:rPr>
                <w:t>）企业内部报告的证据表明资产的经济绩效已经低于或者将低于预期，如资产所创造的净现金流量或者实现的营业利润（或者亏损）远远低于（或者高于）预计金额等；</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7</w:t>
              </w:r>
              <w:r w:rsidRPr="00437FB4">
                <w:rPr>
                  <w:rFonts w:ascii="Arial" w:eastAsiaTheme="majorEastAsia" w:hAnsi="Arial" w:cs="Arial"/>
                  <w:color w:val="auto"/>
                  <w:kern w:val="2"/>
                  <w:sz w:val="22"/>
                  <w:szCs w:val="22"/>
                </w:rPr>
                <w:t>）其他表明资产可能已经发生减值的迹象。</w:t>
              </w:r>
            </w:p>
            <w:p w:rsidR="00DE031E" w:rsidRDefault="001C1A59" w:rsidP="00DE031E">
              <w:pPr>
                <w:adjustRightInd w:val="0"/>
                <w:snapToGrid w:val="0"/>
                <w:spacing w:line="360" w:lineRule="auto"/>
                <w:ind w:firstLineChars="200" w:firstLine="440"/>
                <w:rPr>
                  <w:szCs w:val="21"/>
                </w:rPr>
              </w:pPr>
              <w:r w:rsidRPr="00B438EE">
                <w:rPr>
                  <w:rFonts w:ascii="Arial" w:eastAsiaTheme="majorEastAsia" w:hAnsi="Arial" w:cs="Arial"/>
                  <w:kern w:val="2"/>
                  <w:sz w:val="22"/>
                  <w:szCs w:val="22"/>
                </w:rPr>
                <w:t>金融资产减值的计量方法见</w:t>
              </w:r>
              <w:r w:rsidRPr="00B438EE">
                <w:rPr>
                  <w:rFonts w:ascii="Arial" w:eastAsiaTheme="majorEastAsia" w:hAnsi="Arial" w:cs="Arial" w:hint="eastAsia"/>
                  <w:kern w:val="2"/>
                  <w:sz w:val="22"/>
                  <w:szCs w:val="22"/>
                </w:rPr>
                <w:t>8</w:t>
              </w:r>
              <w:r w:rsidRPr="00B438EE">
                <w:rPr>
                  <w:rFonts w:ascii="Arial" w:eastAsiaTheme="majorEastAsia" w:hAnsi="Arial" w:cs="Arial"/>
                  <w:kern w:val="2"/>
                  <w:sz w:val="22"/>
                  <w:szCs w:val="22"/>
                </w:rPr>
                <w:t>．金融工具。</w:t>
              </w:r>
            </w:p>
          </w:sdtContent>
        </w:sdt>
      </w:sdtContent>
    </w:sdt>
    <w:sdt>
      <w:sdtPr>
        <w:rPr>
          <w:rFonts w:asciiTheme="minorHAnsi" w:hAnsiTheme="minorHAnsi" w:cs="宋体"/>
          <w:b w:val="0"/>
          <w:bCs w:val="0"/>
          <w:kern w:val="0"/>
          <w:szCs w:val="22"/>
        </w:rPr>
        <w:tag w:val="_GBC_fffe6f948ebb468ba812d16acce5c0b9"/>
        <w:id w:val="24723314"/>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5"/>
            </w:numPr>
            <w:spacing w:line="360" w:lineRule="auto"/>
          </w:pPr>
          <w:r>
            <w:t>长期待摊费用</w:t>
          </w:r>
        </w:p>
        <w:sdt>
          <w:sdtPr>
            <w:rPr>
              <w:rFonts w:ascii="宋体" w:eastAsia="宋体" w:hAnsi="宋体" w:cs="宋体" w:hint="eastAsia"/>
              <w:color w:val="auto"/>
              <w:sz w:val="21"/>
              <w:szCs w:val="21"/>
            </w:rPr>
            <w:alias w:val="开办费、长期待摊费用摊销方法"/>
            <w:tag w:val="_GBC_a0e2b7a5a9454eaea97ca201421d7dde"/>
            <w:id w:val="24723313"/>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长期待摊费用主要包括以经营租赁方式租入的营业用房的装修支出、电话中继线及网络设备初装费等摊销期限在一年以上的各项费用。</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长期待摊费用按实际成本计价，并按直线法在预计受益期内摊销。本公司在年末对不能使以后会计期间受益的长期待摊费用摊余值全部转入当期损益。</w:t>
              </w:r>
            </w:p>
            <w:p w:rsidR="00DE031E" w:rsidRDefault="001C1A59" w:rsidP="00DE031E">
              <w:pPr>
                <w:adjustRightInd w:val="0"/>
                <w:snapToGrid w:val="0"/>
                <w:spacing w:line="360" w:lineRule="auto"/>
                <w:rPr>
                  <w:szCs w:val="21"/>
                </w:rPr>
              </w:pPr>
              <w:r w:rsidRPr="00437FB4">
                <w:rPr>
                  <w:rFonts w:ascii="Arial" w:eastAsiaTheme="majorEastAsia" w:hAnsi="Arial" w:cs="Arial"/>
                  <w:kern w:val="2"/>
                  <w:sz w:val="22"/>
                  <w:szCs w:val="22"/>
                </w:rPr>
                <w:t>以经营租赁方式租入的固定资产发生的改良支出，予以资本化，作为长期待摊费用，按租赁期和预计使用年限两者中较低者进行摊销。</w:t>
              </w:r>
            </w:p>
          </w:sdtContent>
        </w:sdt>
      </w:sdtContent>
    </w:sdt>
    <w:sdt>
      <w:sdtPr>
        <w:rPr>
          <w:rFonts w:ascii="宋体" w:hAnsi="宋体" w:cs="宋体"/>
          <w:b w:val="0"/>
          <w:bCs w:val="0"/>
          <w:kern w:val="0"/>
          <w:szCs w:val="21"/>
        </w:rPr>
        <w:tag w:val="_GBC_6e09dbe9f9bb4036aefd36b5d66b8731"/>
        <w:id w:val="24723316"/>
        <w:lock w:val="sdtLocked"/>
        <w:placeholder>
          <w:docPart w:val="GBC22222222222222222222222222222"/>
        </w:placeholder>
      </w:sdtPr>
      <w:sdtContent>
        <w:p w:rsidR="00DE031E" w:rsidRDefault="001C1A59" w:rsidP="009950AC">
          <w:pPr>
            <w:pStyle w:val="3"/>
            <w:numPr>
              <w:ilvl w:val="0"/>
              <w:numId w:val="35"/>
            </w:numPr>
            <w:spacing w:line="360" w:lineRule="auto"/>
            <w:rPr>
              <w:szCs w:val="21"/>
            </w:rPr>
          </w:pPr>
          <w:r w:rsidRPr="00084D47">
            <w:rPr>
              <w:rFonts w:ascii="Arial" w:eastAsiaTheme="majorEastAsia" w:hAnsi="Arial" w:cs="Arial"/>
              <w:sz w:val="22"/>
              <w:szCs w:val="22"/>
            </w:rPr>
            <w:t>买入返售与卖出回购款项</w:t>
          </w:r>
        </w:p>
        <w:sdt>
          <w:sdtPr>
            <w:rPr>
              <w:rFonts w:ascii="宋体" w:eastAsia="宋体" w:hAnsi="宋体" w:cs="宋体" w:hint="eastAsia"/>
              <w:color w:val="auto"/>
              <w:sz w:val="21"/>
              <w:szCs w:val="21"/>
            </w:rPr>
            <w:alias w:val="附回购条件的资产转让"/>
            <w:tag w:val="_GBC_10cdd8311e874355b1171e3287800ff5"/>
            <w:id w:val="24723315"/>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）买入返售业务</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对于买入返售业务，按实际支付的金额确认为买入返售金融资产。资产负债表日，按照商定利率计算确定的买入返售金融资产的利息收入确认为当期收入。</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）卖出回购业务</w:t>
              </w:r>
            </w:p>
            <w:p w:rsidR="00DE031E" w:rsidRPr="00521428" w:rsidRDefault="001C1A59" w:rsidP="00DE031E">
              <w:pPr>
                <w:adjustRightInd w:val="0"/>
                <w:snapToGrid w:val="0"/>
                <w:spacing w:line="360" w:lineRule="auto"/>
                <w:ind w:firstLineChars="200" w:firstLine="440"/>
                <w:rPr>
                  <w:rFonts w:ascii="Arial" w:eastAsiaTheme="majorEastAsia" w:hAnsi="Arial" w:cs="Arial"/>
                  <w:kern w:val="2"/>
                  <w:sz w:val="22"/>
                  <w:szCs w:val="22"/>
                </w:rPr>
              </w:pPr>
              <w:r w:rsidRPr="00437FB4">
                <w:rPr>
                  <w:rFonts w:ascii="Arial" w:eastAsiaTheme="majorEastAsia" w:hAnsi="Arial" w:cs="Arial"/>
                  <w:kern w:val="2"/>
                  <w:sz w:val="22"/>
                  <w:szCs w:val="22"/>
                </w:rPr>
                <w:t>对于卖出回购业务，按实际收到的金额确认为卖出回购金融资产款。资产负债表日，按照商定利率计算确定的卖出回购金融资产款的利息支出确认为当期成本。</w:t>
              </w:r>
            </w:p>
          </w:sdtContent>
        </w:sdt>
      </w:sdtContent>
    </w:sdt>
    <w:sdt>
      <w:sdtPr>
        <w:rPr>
          <w:rFonts w:asciiTheme="minorHAnsi" w:hAnsiTheme="minorHAnsi" w:cstheme="minorBidi" w:hint="eastAsia"/>
          <w:b w:val="0"/>
          <w:bCs w:val="0"/>
          <w:kern w:val="0"/>
          <w:szCs w:val="22"/>
        </w:rPr>
        <w:tag w:val="_GBC_8ec8855eb4d5447ab785e4bd4b0b73aa"/>
        <w:id w:val="24723318"/>
        <w:lock w:val="sdtLocked"/>
        <w:placeholder>
          <w:docPart w:val="GBC22222222222222222222222222222"/>
        </w:placeholder>
      </w:sdtPr>
      <w:sdtEndPr>
        <w:rPr>
          <w:rFonts w:ascii="宋体" w:hAnsi="宋体" w:cs="Times New Roman"/>
          <w:szCs w:val="21"/>
        </w:rPr>
      </w:sdtEndPr>
      <w:sdtContent>
        <w:p w:rsidR="00DE031E" w:rsidRDefault="001C1A59" w:rsidP="009950AC">
          <w:pPr>
            <w:pStyle w:val="3"/>
            <w:numPr>
              <w:ilvl w:val="0"/>
              <w:numId w:val="35"/>
            </w:numPr>
            <w:spacing w:line="360" w:lineRule="auto"/>
          </w:pPr>
          <w:r>
            <w:rPr>
              <w:rFonts w:hint="eastAsia"/>
            </w:rPr>
            <w:t>职工薪酬</w:t>
          </w:r>
        </w:p>
        <w:sdt>
          <w:sdtPr>
            <w:rPr>
              <w:szCs w:val="21"/>
            </w:rPr>
            <w:alias w:val="其他长期职工福利的会计处理方法"/>
            <w:tag w:val="_GBC_0e549e9400284de7b64ddf6ecc255dea"/>
            <w:id w:val="24723317"/>
            <w:lock w:val="sdtLocked"/>
            <w:placeholder>
              <w:docPart w:val="GBC22222222222222222222222222222"/>
            </w:placeholder>
          </w:sdtPr>
          <w:sdtContent>
            <w:p w:rsidR="00DE031E" w:rsidRDefault="001C1A59" w:rsidP="00DE031E">
              <w:pPr>
                <w:spacing w:line="360" w:lineRule="auto"/>
                <w:ind w:firstLineChars="200" w:firstLine="420"/>
                <w:rPr>
                  <w:rFonts w:cs="Times New Roman"/>
                  <w:szCs w:val="21"/>
                </w:rPr>
              </w:pPr>
              <w:r w:rsidRPr="00437FB4">
                <w:rPr>
                  <w:rFonts w:ascii="Arial" w:eastAsiaTheme="majorEastAsia" w:hAnsi="Arial" w:cs="Arial"/>
                  <w:kern w:val="2"/>
                  <w:sz w:val="22"/>
                  <w:szCs w:val="22"/>
                </w:rPr>
                <w:t>职工薪酬是指本公司为获得职工提供的服务或解除劳动关系而给予各种形式的报酬或补偿，包括短期薪酬、离职后福利、辞退福利或其他长期职工福利，短期薪酬具体包括：职工工资、奖金、津贴和补贴，职工福利费，医疗保险费、工伤保险费和生育保险费等社会保险费，住房公积金，工会经费和职工教育经费，短期带薪缺勤，短期利润分享计划，非货币性</w:t>
              </w:r>
              <w:r w:rsidRPr="00437FB4">
                <w:rPr>
                  <w:rFonts w:ascii="Arial" w:eastAsiaTheme="majorEastAsia" w:hAnsi="Arial" w:cs="Arial"/>
                  <w:kern w:val="2"/>
                  <w:sz w:val="22"/>
                  <w:szCs w:val="22"/>
                </w:rPr>
                <w:lastRenderedPageBreak/>
                <w:t>福利以及其他短期薪酬。离职后福利计划，是指企业与职工就离职后福利达成的协议，或者企业为向职工提供离职后福利制定的规章或办法等。其中，设定提存计划，是指向独立的基金缴存固定费用后，企业不再承担进一步支付义务的离职后福利计划；设定受益计划，是指除设定提存计划以外的离职后福利计划。</w:t>
              </w:r>
            </w:p>
          </w:sdtContent>
        </w:sdt>
      </w:sdtContent>
    </w:sdt>
    <w:sdt>
      <w:sdtPr>
        <w:rPr>
          <w:rFonts w:ascii="宋体" w:hAnsi="宋体" w:cs="宋体"/>
          <w:b w:val="0"/>
          <w:bCs w:val="0"/>
          <w:kern w:val="0"/>
          <w:szCs w:val="24"/>
        </w:rPr>
        <w:tag w:val="_GBC_b5b71a4d3cc1425c80f55e751e7e18c2"/>
        <w:id w:val="24723320"/>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35"/>
            </w:numPr>
            <w:spacing w:line="360" w:lineRule="auto"/>
          </w:pPr>
          <w:r>
            <w:t>预计负债</w:t>
          </w:r>
        </w:p>
        <w:sdt>
          <w:sdtPr>
            <w:rPr>
              <w:rFonts w:ascii="宋体" w:eastAsia="宋体" w:hAnsi="宋体" w:cs="宋体" w:hint="eastAsia"/>
              <w:color w:val="auto"/>
              <w:sz w:val="21"/>
              <w:szCs w:val="21"/>
            </w:rPr>
            <w:alias w:val="预计负债的核算方法"/>
            <w:tag w:val="_GBC_d6934772e41e485d9e00e349486f9d7e"/>
            <w:id w:val="24723319"/>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当与或有事项相关的业务同时符合以下条件时，本公司将其确认为负债：该义务是本公司承担的现时义务；该义务的履行很可能导致经济利益流出企业；该义务的金额能够可靠地计量。</w:t>
              </w:r>
            </w:p>
            <w:p w:rsidR="00DE031E" w:rsidRDefault="001C1A59" w:rsidP="00DE031E">
              <w:pPr>
                <w:adjustRightInd w:val="0"/>
                <w:snapToGrid w:val="0"/>
                <w:spacing w:line="360" w:lineRule="auto"/>
                <w:ind w:firstLineChars="200" w:firstLine="440"/>
                <w:rPr>
                  <w:szCs w:val="21"/>
                </w:rPr>
              </w:pPr>
              <w:r w:rsidRPr="00437FB4">
                <w:rPr>
                  <w:rFonts w:ascii="Arial" w:eastAsiaTheme="majorEastAsia" w:hAnsi="Arial" w:cs="Arial"/>
                  <w:kern w:val="2"/>
                  <w:sz w:val="22"/>
                  <w:szCs w:val="22"/>
                </w:rPr>
                <w:t>预计负债按照履行相关现时义务所需支出的最佳估计数进行初始计量，并综合考虑与或有事项有关的风险、不确定性和货币时间价值等因素。每个资产负债表日对预计负债的账面价值进行复核，如有改变则对账面价值进行调整以反映当前最佳估计数。</w:t>
              </w:r>
            </w:p>
          </w:sdtContent>
        </w:sdt>
      </w:sdtContent>
    </w:sdt>
    <w:sdt>
      <w:sdtPr>
        <w:rPr>
          <w:rFonts w:asciiTheme="minorHAnsi" w:hAnsiTheme="minorHAnsi" w:cstheme="minorBidi" w:hint="eastAsia"/>
          <w:b w:val="0"/>
          <w:bCs w:val="0"/>
          <w:kern w:val="0"/>
          <w:szCs w:val="22"/>
        </w:rPr>
        <w:tag w:val="_GBC_5300d3ce4b5f4c1690fe13bde0a610e3"/>
        <w:id w:val="24723322"/>
        <w:lock w:val="sdtLocked"/>
        <w:placeholder>
          <w:docPart w:val="GBC22222222222222222222222222222"/>
        </w:placeholder>
      </w:sdtPr>
      <w:sdtEndPr>
        <w:rPr>
          <w:rFonts w:ascii="宋体" w:hAnsi="宋体" w:cs="Times New Roman"/>
          <w:szCs w:val="21"/>
        </w:rPr>
      </w:sdtEndPr>
      <w:sdtContent>
        <w:p w:rsidR="00DE031E" w:rsidRDefault="001C1A59" w:rsidP="009950AC">
          <w:pPr>
            <w:pStyle w:val="3"/>
            <w:numPr>
              <w:ilvl w:val="0"/>
              <w:numId w:val="35"/>
            </w:numPr>
            <w:spacing w:line="360" w:lineRule="auto"/>
          </w:pPr>
          <w:r>
            <w:rPr>
              <w:rFonts w:hint="eastAsia"/>
            </w:rPr>
            <w:t>股份支付</w:t>
          </w:r>
        </w:p>
        <w:sdt>
          <w:sdtPr>
            <w:rPr>
              <w:rFonts w:ascii="宋体" w:eastAsia="宋体" w:hAnsi="宋体" w:cs="宋体"/>
              <w:color w:val="auto"/>
              <w:sz w:val="21"/>
              <w:szCs w:val="21"/>
            </w:rPr>
            <w:alias w:val="股份支付的核算方法"/>
            <w:tag w:val="_GBC_99e197c555ed4cf8aa00bbd5da2fe98b"/>
            <w:id w:val="24723321"/>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股份支付是指为了获取职工或其他方提供服务而授予权益工具或者承担以权益工具为基础确定的负债的交易。股份支付分为以权益结算的股份支付和以现金结算的股份支付。</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计入相关成本或费用，相应增加资本公积。</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以现金结算的股份支付，按照本公司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公司承担负债的公允价值金额，将当期取得的服务计入成本或费用，相应调整负债。</w:t>
              </w:r>
            </w:p>
            <w:p w:rsidR="00DE031E" w:rsidRDefault="001C1A59" w:rsidP="00DE031E">
              <w:pPr>
                <w:adjustRightInd w:val="0"/>
                <w:snapToGrid w:val="0"/>
                <w:spacing w:line="360" w:lineRule="auto"/>
                <w:ind w:firstLineChars="200" w:firstLine="440"/>
                <w:rPr>
                  <w:szCs w:val="21"/>
                </w:rPr>
              </w:pPr>
              <w:r w:rsidRPr="00437FB4">
                <w:rPr>
                  <w:rFonts w:ascii="Arial" w:eastAsiaTheme="majorEastAsia" w:hAnsi="Arial" w:cs="Arial"/>
                  <w:kern w:val="2"/>
                  <w:sz w:val="22"/>
                  <w:szCs w:val="22"/>
                </w:rPr>
                <w:t>在相关负债结算前的每个资产负债表日以及结算日，对负债的公允价值重新计量，其变动计入当期损益。</w:t>
              </w:r>
            </w:p>
          </w:sdtContent>
        </w:sdt>
      </w:sdtContent>
    </w:sdt>
    <w:sdt>
      <w:sdtPr>
        <w:rPr>
          <w:rFonts w:asciiTheme="minorHAnsi" w:eastAsia="华文中宋" w:hAnsiTheme="minorHAnsi" w:cs="宋体"/>
          <w:b w:val="0"/>
          <w:bCs w:val="0"/>
          <w:color w:val="000000"/>
          <w:kern w:val="0"/>
          <w:sz w:val="24"/>
          <w:szCs w:val="22"/>
        </w:rPr>
        <w:tag w:val="_GBC_19704df9fd714cad895419bf4903f70e"/>
        <w:id w:val="24723324"/>
        <w:lock w:val="sdtLocked"/>
        <w:placeholder>
          <w:docPart w:val="GBC22222222222222222222222222222"/>
        </w:placeholder>
      </w:sdtPr>
      <w:sdtEndPr>
        <w:rPr>
          <w:rFonts w:ascii="华文中宋" w:hAnsi="Times New Roman" w:cs="Times New Roman"/>
          <w:kern w:val="2"/>
          <w:szCs w:val="21"/>
        </w:rPr>
      </w:sdtEndPr>
      <w:sdtContent>
        <w:p w:rsidR="00DE031E" w:rsidRDefault="001C1A59" w:rsidP="009950AC">
          <w:pPr>
            <w:pStyle w:val="3"/>
            <w:numPr>
              <w:ilvl w:val="0"/>
              <w:numId w:val="35"/>
            </w:numPr>
            <w:spacing w:line="360" w:lineRule="auto"/>
          </w:pPr>
          <w:r>
            <w:t>收入</w:t>
          </w:r>
        </w:p>
        <w:sdt>
          <w:sdtPr>
            <w:rPr>
              <w:rFonts w:ascii="宋体" w:eastAsia="宋体" w:hAnsi="宋体" w:cs="宋体"/>
              <w:color w:val="auto"/>
              <w:sz w:val="21"/>
              <w:szCs w:val="21"/>
            </w:rPr>
            <w:alias w:val="收入确认原则"/>
            <w:tag w:val="_GBC_7930489d04b948768d013ac15783bb2e"/>
            <w:id w:val="24723323"/>
            <w:lock w:val="sdtLocked"/>
            <w:placeholder>
              <w:docPart w:val="GBC22222222222222222222222222222"/>
            </w:placeholder>
          </w:sdtPr>
          <w:sdtEndPr>
            <w:rPr>
              <w:rFonts w:ascii="华文中宋" w:eastAsia="华文中宋" w:hAnsi="Times New Roman" w:cs="华文中宋"/>
              <w:color w:val="000000"/>
              <w:sz w:val="24"/>
            </w:rPr>
          </w:sdtEndPr>
          <w:sdtContent>
            <w:p w:rsidR="00DE031E" w:rsidRPr="00437FB4" w:rsidRDefault="001C1A59" w:rsidP="00DE031E">
              <w:pPr>
                <w:pStyle w:val="Default"/>
                <w:snapToGrid w:val="0"/>
                <w:spacing w:line="360" w:lineRule="auto"/>
                <w:ind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各项收入同时满足下列条件的，才能予以确认：</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提供的相关服务完成；收入的金额能够可靠地计量；相关的经济利益很可能流入企业。具体如下：</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）手续费及佣金收入</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代理客户买卖证券的手续费收入，在代理买卖证券交易日确认为收入。</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代理兑付证券业务的手续费收入，在代理兑付证券业务提供的相关服务完成时确认收入。</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lastRenderedPageBreak/>
                <w:t>代理保管证券业务的手续费收入，在代理保管服务完成时确认收入。</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在余额包销及代销方式下，在承销业务提供的相关服务完成时确认收入。</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受托投资管理的收益按合同规定收取的管理费收入以及其他应由本公司享有的收益，按权责发生制原则确认。</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）利息收入</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根据相关本金及实际利率按权责发生制原则确认。</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3</w:t>
              </w:r>
              <w:r w:rsidRPr="00437FB4">
                <w:rPr>
                  <w:rFonts w:ascii="Arial" w:eastAsiaTheme="majorEastAsia" w:hAnsi="Arial" w:cs="Arial"/>
                  <w:color w:val="auto"/>
                  <w:kern w:val="2"/>
                  <w:sz w:val="22"/>
                  <w:szCs w:val="22"/>
                </w:rPr>
                <w:t>）其他业务收入以合同到期结算时或提供服务时确认为收入。</w:t>
              </w:r>
            </w:p>
            <w:p w:rsidR="00DE031E" w:rsidRPr="00437FB4" w:rsidRDefault="001C1A59" w:rsidP="00DE031E">
              <w:pPr>
                <w:pStyle w:val="Default"/>
                <w:snapToGrid w:val="0"/>
                <w:spacing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4</w:t>
              </w:r>
              <w:r w:rsidRPr="00437FB4">
                <w:rPr>
                  <w:rFonts w:ascii="Arial" w:eastAsiaTheme="majorEastAsia" w:hAnsi="Arial" w:cs="Arial"/>
                  <w:color w:val="auto"/>
                  <w:kern w:val="2"/>
                  <w:sz w:val="22"/>
                  <w:szCs w:val="22"/>
                </w:rPr>
                <w:t>）按成本法核算的长期股权投资，在被投资单位宣告分派利润或现金股利时确认投资收益；按权益法核算的长期股权投资，按权益份额计算应享有或分担的被投资单位实现的净损益确认当期投资收益。</w:t>
              </w:r>
            </w:p>
            <w:p w:rsidR="00DE031E" w:rsidRDefault="001C1A59" w:rsidP="00DE031E">
              <w:pPr>
                <w:pStyle w:val="Default"/>
                <w:snapToGrid w:val="0"/>
                <w:spacing w:line="360" w:lineRule="auto"/>
                <w:ind w:firstLineChars="200" w:firstLine="440"/>
                <w:jc w:val="both"/>
                <w:rPr>
                  <w:szCs w:val="21"/>
                </w:rPr>
              </w:pPr>
              <w:r w:rsidRPr="00B438EE">
                <w:rPr>
                  <w:rFonts w:ascii="Arial" w:eastAsiaTheme="majorEastAsia" w:hAnsi="Arial" w:cs="Arial"/>
                  <w:kern w:val="2"/>
                  <w:sz w:val="22"/>
                  <w:szCs w:val="22"/>
                </w:rPr>
                <w:t>（</w:t>
              </w:r>
              <w:r w:rsidRPr="00B438EE">
                <w:rPr>
                  <w:rFonts w:ascii="Arial" w:eastAsiaTheme="majorEastAsia" w:hAnsi="Arial" w:cs="Arial"/>
                  <w:kern w:val="2"/>
                  <w:sz w:val="22"/>
                  <w:szCs w:val="22"/>
                </w:rPr>
                <w:t>5</w:t>
              </w:r>
              <w:r w:rsidRPr="00B438EE">
                <w:rPr>
                  <w:rFonts w:ascii="Arial" w:eastAsiaTheme="majorEastAsia" w:hAnsi="Arial" w:cs="Arial"/>
                  <w:kern w:val="2"/>
                  <w:sz w:val="22"/>
                  <w:szCs w:val="22"/>
                </w:rPr>
                <w:t>）</w:t>
              </w:r>
              <w:r w:rsidRPr="00B438EE">
                <w:rPr>
                  <w:rFonts w:ascii="Arial" w:eastAsiaTheme="majorEastAsia" w:hAnsi="Arial" w:cs="Arial"/>
                  <w:color w:val="auto"/>
                  <w:kern w:val="2"/>
                  <w:sz w:val="22"/>
                  <w:szCs w:val="22"/>
                </w:rPr>
                <w:t>金融工具</w:t>
              </w:r>
              <w:r w:rsidRPr="00B438EE">
                <w:rPr>
                  <w:rFonts w:ascii="Arial" w:eastAsiaTheme="majorEastAsia" w:hAnsi="Arial" w:cs="Arial"/>
                  <w:kern w:val="2"/>
                  <w:sz w:val="22"/>
                  <w:szCs w:val="22"/>
                </w:rPr>
                <w:t>的收入确认原则见</w:t>
              </w:r>
              <w:r w:rsidRPr="00B438EE">
                <w:rPr>
                  <w:rFonts w:ascii="Arial" w:eastAsiaTheme="majorEastAsia" w:hAnsi="Arial" w:cs="Arial" w:hint="eastAsia"/>
                  <w:kern w:val="2"/>
                  <w:sz w:val="22"/>
                  <w:szCs w:val="22"/>
                </w:rPr>
                <w:t>8</w:t>
              </w:r>
              <w:r w:rsidRPr="00B438EE">
                <w:rPr>
                  <w:rFonts w:ascii="Arial" w:eastAsiaTheme="majorEastAsia" w:hAnsi="Arial" w:cs="Arial"/>
                  <w:kern w:val="2"/>
                  <w:sz w:val="22"/>
                  <w:szCs w:val="22"/>
                </w:rPr>
                <w:t>．金融工具。</w:t>
              </w:r>
            </w:p>
          </w:sdtContent>
        </w:sdt>
      </w:sdtContent>
    </w:sdt>
    <w:sdt>
      <w:sdtPr>
        <w:rPr>
          <w:rFonts w:ascii="宋体" w:hAnsi="宋体" w:cs="宋体"/>
          <w:b w:val="0"/>
          <w:bCs w:val="0"/>
          <w:kern w:val="0"/>
          <w:szCs w:val="24"/>
        </w:rPr>
        <w:tag w:val="_GBC_b03bd816e50b42ae97b660897ca33234"/>
        <w:id w:val="24723327"/>
        <w:lock w:val="sdtLocked"/>
        <w:placeholder>
          <w:docPart w:val="GBC22222222222222222222222222222"/>
        </w:placeholder>
      </w:sdtPr>
      <w:sdtEndPr>
        <w:rPr>
          <w:szCs w:val="21"/>
        </w:rPr>
      </w:sdtEndPr>
      <w:sdtContent>
        <w:p w:rsidR="00DE031E" w:rsidRDefault="001C1A59" w:rsidP="009950AC">
          <w:pPr>
            <w:pStyle w:val="3"/>
            <w:numPr>
              <w:ilvl w:val="0"/>
              <w:numId w:val="35"/>
            </w:numPr>
            <w:spacing w:line="360" w:lineRule="auto"/>
          </w:pPr>
          <w:r>
            <w:t>政府补助</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政府补助是指企业从政府无偿取得货币性资产或非货币性资产，但不包括政府作为企业所有者投入的资本。政府补助分为与资产相关的政府补助和与收益相关的政府补助。</w:t>
          </w:r>
        </w:p>
        <w:p w:rsidR="00DE031E" w:rsidRPr="00A23CDE" w:rsidRDefault="001C1A59" w:rsidP="00DE031E">
          <w:pPr>
            <w:adjustRightInd w:val="0"/>
            <w:snapToGrid w:val="0"/>
            <w:spacing w:line="360" w:lineRule="auto"/>
            <w:ind w:firstLineChars="200" w:firstLine="440"/>
          </w:pPr>
          <w:r w:rsidRPr="00A23CDE">
            <w:rPr>
              <w:rFonts w:ascii="Arial" w:eastAsiaTheme="majorEastAsia" w:hAnsi="Arial" w:cs="Arial"/>
              <w:sz w:val="22"/>
            </w:rPr>
            <w:t>本公司收到政府补助为货币性资产的，按照收到或应收的金额计量；收到的政府补助为非货币性资产的，按照公允价值计量；公允价值不能可靠取得的，按照名义金额计量。</w:t>
          </w:r>
        </w:p>
        <w:p w:rsidR="00DE031E" w:rsidRDefault="001C1A59" w:rsidP="009950AC">
          <w:pPr>
            <w:pStyle w:val="4"/>
            <w:numPr>
              <w:ilvl w:val="0"/>
              <w:numId w:val="38"/>
            </w:numPr>
            <w:adjustRightInd w:val="0"/>
            <w:snapToGrid w:val="0"/>
            <w:spacing w:before="0" w:after="0" w:line="360" w:lineRule="auto"/>
          </w:pPr>
          <w:r>
            <w:rPr>
              <w:rFonts w:hint="eastAsia"/>
            </w:rPr>
            <w:t>与资产相关的政府补助判断依据及会计处理方法</w:t>
          </w:r>
        </w:p>
        <w:sdt>
          <w:sdtPr>
            <w:rPr>
              <w:szCs w:val="21"/>
            </w:rPr>
            <w:alias w:val="与资产相关的政府补助判断依据及会计处理方法"/>
            <w:tag w:val="_GBC_cd66a39ff16b420ab048fe3969a2b94e"/>
            <w:id w:val="24723325"/>
            <w:lock w:val="sdtLocked"/>
            <w:placeholder>
              <w:docPart w:val="GBC22222222222222222222222222222"/>
            </w:placeholder>
          </w:sdtPr>
          <w:sdtContent>
            <w:p w:rsidR="00DE031E" w:rsidRDefault="001C1A59" w:rsidP="00DE031E">
              <w:pPr>
                <w:adjustRightInd w:val="0"/>
                <w:snapToGrid w:val="0"/>
                <w:spacing w:line="360" w:lineRule="auto"/>
                <w:ind w:firstLineChars="200" w:firstLine="420"/>
                <w:rPr>
                  <w:szCs w:val="21"/>
                </w:rPr>
              </w:pPr>
              <w:r w:rsidRPr="00437FB4">
                <w:rPr>
                  <w:rFonts w:ascii="Arial" w:eastAsiaTheme="majorEastAsia" w:hAnsi="Arial" w:cs="Arial"/>
                  <w:kern w:val="2"/>
                  <w:sz w:val="22"/>
                  <w:szCs w:val="22"/>
                </w:rPr>
                <w:t>本公司确认为递延收益，并在相关资产使用寿命内平均分配，计入当期损益。但是，按照名义金额计量的政府补助，直接计入当期损益。</w:t>
              </w:r>
            </w:p>
          </w:sdtContent>
        </w:sdt>
        <w:p w:rsidR="00DE031E" w:rsidRDefault="001C1A59" w:rsidP="009950AC">
          <w:pPr>
            <w:pStyle w:val="4"/>
            <w:numPr>
              <w:ilvl w:val="0"/>
              <w:numId w:val="38"/>
            </w:numPr>
            <w:adjustRightInd w:val="0"/>
            <w:snapToGrid w:val="0"/>
            <w:spacing w:before="0" w:after="0" w:line="360" w:lineRule="auto"/>
          </w:pPr>
          <w:r>
            <w:rPr>
              <w:rFonts w:hint="eastAsia"/>
            </w:rPr>
            <w:t>与收益相关的政府补助判断依据及会计处理方法</w:t>
          </w:r>
        </w:p>
        <w:sdt>
          <w:sdtPr>
            <w:rPr>
              <w:rFonts w:ascii="宋体" w:eastAsia="宋体" w:hAnsi="宋体" w:cs="宋体"/>
              <w:color w:val="auto"/>
              <w:sz w:val="21"/>
              <w:szCs w:val="21"/>
            </w:rPr>
            <w:alias w:val="与收益相关的政府补助判断依据及会计处理方法"/>
            <w:tag w:val="_GBC_88abd245f8724ebeacecc0583258503c"/>
            <w:id w:val="24723326"/>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宋体" w:eastAsia="宋体" w:hAnsi="宋体" w:cs="宋体" w:hint="eastAsia"/>
                  <w:color w:val="auto"/>
                  <w:kern w:val="2"/>
                  <w:sz w:val="22"/>
                  <w:szCs w:val="22"/>
                </w:rPr>
                <w:t>①</w:t>
              </w:r>
              <w:r w:rsidRPr="00437FB4">
                <w:rPr>
                  <w:rFonts w:ascii="Arial" w:eastAsiaTheme="majorEastAsia" w:hAnsi="Arial" w:cs="Arial"/>
                  <w:color w:val="auto"/>
                  <w:kern w:val="2"/>
                  <w:sz w:val="22"/>
                  <w:szCs w:val="22"/>
                </w:rPr>
                <w:t>用于补偿企业以后期间的相关费用或损失的，确认为递延收益，并在确认相关费用的期间，计入当期损益。</w:t>
              </w:r>
            </w:p>
            <w:p w:rsidR="00DE031E" w:rsidRDefault="001C1A59" w:rsidP="00DE031E">
              <w:pPr>
                <w:adjustRightInd w:val="0"/>
                <w:snapToGrid w:val="0"/>
                <w:spacing w:line="360" w:lineRule="auto"/>
                <w:ind w:firstLineChars="200" w:firstLine="440"/>
                <w:rPr>
                  <w:szCs w:val="21"/>
                </w:rPr>
              </w:pPr>
              <w:r w:rsidRPr="00437FB4">
                <w:rPr>
                  <w:rFonts w:hint="eastAsia"/>
                  <w:kern w:val="2"/>
                  <w:sz w:val="22"/>
                  <w:szCs w:val="22"/>
                </w:rPr>
                <w:t>②</w:t>
              </w:r>
              <w:r w:rsidRPr="00437FB4">
                <w:rPr>
                  <w:rFonts w:ascii="Arial" w:eastAsiaTheme="majorEastAsia" w:hAnsi="Arial" w:cs="Arial"/>
                  <w:kern w:val="2"/>
                  <w:sz w:val="22"/>
                  <w:szCs w:val="22"/>
                </w:rPr>
                <w:t>用于补偿企业已发生的相关费用或损失的，直接计入当期损益。</w:t>
              </w:r>
            </w:p>
          </w:sdtContent>
        </w:sdt>
      </w:sdtContent>
    </w:sdt>
    <w:sdt>
      <w:sdtPr>
        <w:rPr>
          <w:rFonts w:asciiTheme="minorHAnsi" w:hAnsiTheme="minorHAnsi" w:cs="宋体"/>
          <w:b w:val="0"/>
          <w:bCs w:val="0"/>
          <w:kern w:val="0"/>
          <w:szCs w:val="22"/>
        </w:rPr>
        <w:tag w:val="_GBC_01f1973e44f24cd99b90200f8205be13"/>
        <w:id w:val="24723329"/>
        <w:lock w:val="sdtLocked"/>
        <w:placeholder>
          <w:docPart w:val="GBC22222222222222222222222222222"/>
        </w:placeholder>
      </w:sdtPr>
      <w:sdtEndPr>
        <w:rPr>
          <w:rFonts w:ascii="宋体" w:hAnsi="宋体" w:cs="Times New Roman" w:hint="eastAsia"/>
          <w:kern w:val="2"/>
          <w:szCs w:val="21"/>
        </w:rPr>
      </w:sdtEndPr>
      <w:sdtContent>
        <w:p w:rsidR="00DE031E" w:rsidRDefault="001C1A59" w:rsidP="009950AC">
          <w:pPr>
            <w:pStyle w:val="3"/>
            <w:numPr>
              <w:ilvl w:val="0"/>
              <w:numId w:val="35"/>
            </w:numPr>
            <w:spacing w:line="360" w:lineRule="auto"/>
          </w:pPr>
          <w:r>
            <w:rPr>
              <w:rFonts w:hint="eastAsia"/>
            </w:rPr>
            <w:t>企业</w:t>
          </w:r>
          <w:r>
            <w:t>所得税</w:t>
          </w:r>
        </w:p>
        <w:sdt>
          <w:sdtPr>
            <w:rPr>
              <w:rFonts w:ascii="宋体" w:eastAsia="宋体" w:hAnsi="宋体" w:cs="宋体" w:hint="eastAsia"/>
              <w:color w:val="auto"/>
              <w:sz w:val="21"/>
              <w:szCs w:val="21"/>
            </w:rPr>
            <w:alias w:val="所得税的会计处理方法"/>
            <w:tag w:val="_GBC_545dd84ed2b9458fa5e2b87aa1e1cc1c"/>
            <w:id w:val="24723328"/>
            <w:lock w:val="sdtLocked"/>
            <w:placeholder>
              <w:docPart w:val="GBC22222222222222222222222222222"/>
            </w:placeholder>
          </w:sdt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）所得税费用</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所得税费用包括当期所得税和递延所得税；公司在计算确定当期所得税（即当期应交所得税）以及递延所得税费用（或收益）的基础上，将两者之和确认为利润表中的所得税费用（或收益），但不包括直接计入所有者权益的交易或事项的所得税影响。</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）递延所得税资产和递延所得税负债</w:t>
              </w:r>
            </w:p>
            <w:p w:rsidR="00DE031E" w:rsidRDefault="001C1A59" w:rsidP="00DE031E">
              <w:pPr>
                <w:adjustRightInd w:val="0"/>
                <w:snapToGrid w:val="0"/>
                <w:spacing w:line="360" w:lineRule="auto"/>
                <w:ind w:firstLineChars="200" w:firstLine="440"/>
                <w:rPr>
                  <w:szCs w:val="21"/>
                </w:rPr>
              </w:pPr>
              <w:r w:rsidRPr="00437FB4">
                <w:rPr>
                  <w:rFonts w:ascii="Arial" w:eastAsiaTheme="majorEastAsia" w:hAnsi="Arial" w:cs="Arial"/>
                  <w:kern w:val="2"/>
                  <w:sz w:val="22"/>
                  <w:szCs w:val="22"/>
                </w:rPr>
                <w:t>本公司递延所得税资产和递延所得税负债根据资产和负债的计税基础与其账面价值的差额（暂时性差异）计算确认。于资产负债表日，递延所得税资产和递延所得税负债，按照预</w:t>
              </w:r>
              <w:r w:rsidRPr="00437FB4">
                <w:rPr>
                  <w:rFonts w:ascii="Arial" w:eastAsiaTheme="majorEastAsia" w:hAnsi="Arial" w:cs="Arial"/>
                  <w:kern w:val="2"/>
                  <w:sz w:val="22"/>
                  <w:szCs w:val="22"/>
                </w:rPr>
                <w:lastRenderedPageBreak/>
                <w:t>期收回该资产或清偿该负债期间的适用税率计量。本公司以很可能取得用来抵扣可抵扣暂时性差异的应纳税所得额为限，确认由可抵扣暂时性差异产生的递延所得税资产。</w:t>
              </w:r>
            </w:p>
          </w:sdtContent>
        </w:sdt>
      </w:sdtContent>
    </w:sdt>
    <w:sdt>
      <w:sdtPr>
        <w:rPr>
          <w:rFonts w:ascii="宋体" w:hAnsi="宋体" w:cs="宋体"/>
          <w:b w:val="0"/>
          <w:bCs w:val="0"/>
          <w:kern w:val="0"/>
          <w:szCs w:val="24"/>
        </w:rPr>
        <w:tag w:val="_GBC_f9ff4c1b9d1748b8854889b1fd9b076c"/>
        <w:id w:val="24723332"/>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35"/>
            </w:numPr>
            <w:spacing w:line="360" w:lineRule="auto"/>
          </w:pPr>
          <w:r>
            <w:t>租赁</w:t>
          </w:r>
        </w:p>
        <w:p w:rsidR="00DE031E" w:rsidRPr="00A23CDE" w:rsidRDefault="001C1A59" w:rsidP="00DE031E">
          <w:pPr>
            <w:spacing w:line="360" w:lineRule="auto"/>
            <w:ind w:firstLineChars="200" w:firstLine="440"/>
          </w:pPr>
          <w:r w:rsidRPr="00437FB4">
            <w:rPr>
              <w:rFonts w:ascii="Arial" w:eastAsiaTheme="majorEastAsia" w:hAnsi="Arial" w:cs="Arial"/>
              <w:kern w:val="2"/>
              <w:sz w:val="22"/>
              <w:szCs w:val="22"/>
            </w:rPr>
            <w:t>本公司在租赁开始日将租赁分为融资租赁和经营租赁。</w:t>
          </w:r>
        </w:p>
        <w:p w:rsidR="00DE031E" w:rsidRPr="00A62AB5" w:rsidRDefault="001C1A59" w:rsidP="00DE031E">
          <w:pPr>
            <w:spacing w:line="360" w:lineRule="auto"/>
            <w:ind w:firstLineChars="200" w:firstLine="440"/>
            <w:rPr>
              <w:rFonts w:ascii="Arial" w:eastAsiaTheme="majorEastAsia" w:hAnsi="Arial" w:cs="Arial"/>
              <w:kern w:val="2"/>
              <w:sz w:val="22"/>
              <w:szCs w:val="22"/>
            </w:rPr>
          </w:pPr>
          <w:r w:rsidRPr="00437FB4">
            <w:rPr>
              <w:rFonts w:ascii="Arial" w:eastAsiaTheme="majorEastAsia" w:hAnsi="Arial" w:cs="Arial"/>
              <w:kern w:val="2"/>
              <w:sz w:val="22"/>
              <w:szCs w:val="22"/>
            </w:rPr>
            <w:t>（</w:t>
          </w:r>
          <w:r w:rsidRPr="00437FB4">
            <w:rPr>
              <w:rFonts w:ascii="Arial" w:eastAsiaTheme="majorEastAsia" w:hAnsi="Arial" w:cs="Arial"/>
              <w:kern w:val="2"/>
              <w:sz w:val="22"/>
              <w:szCs w:val="22"/>
            </w:rPr>
            <w:t>1</w:t>
          </w:r>
          <w:r w:rsidRPr="00437FB4">
            <w:rPr>
              <w:rFonts w:ascii="Arial" w:eastAsiaTheme="majorEastAsia" w:hAnsi="Arial" w:cs="Arial"/>
              <w:kern w:val="2"/>
              <w:sz w:val="22"/>
              <w:szCs w:val="22"/>
            </w:rPr>
            <w:t>）</w:t>
          </w:r>
          <w:r w:rsidRPr="00A62AB5">
            <w:rPr>
              <w:rFonts w:ascii="Arial" w:eastAsiaTheme="majorEastAsia" w:hAnsi="Arial" w:cs="Arial" w:hint="eastAsia"/>
              <w:kern w:val="2"/>
              <w:sz w:val="22"/>
              <w:szCs w:val="22"/>
            </w:rPr>
            <w:t>经营租赁的会计处理方法</w:t>
          </w:r>
        </w:p>
        <w:sdt>
          <w:sdtPr>
            <w:rPr>
              <w:szCs w:val="21"/>
            </w:rPr>
            <w:alias w:val="经营租赁的会计处理方法"/>
            <w:tag w:val="_GBC_95879bb481f644fd959d3a5843c3b06a"/>
            <w:id w:val="24723330"/>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eastAsiaTheme="majorEastAsia" w:hAnsi="Arial" w:cs="Arial"/>
                  <w:kern w:val="2"/>
                  <w:sz w:val="22"/>
                  <w:szCs w:val="22"/>
                </w:rPr>
                <w:t>经营租赁是指除融资租赁以外的其他租赁。本公司作为承租方的租金在租赁期内的各个期间按直线法计入相关资产成本或当期损益，本公司作为出租方的租金在租赁期内的各个期间按直线法确认为收入。</w:t>
              </w:r>
            </w:p>
          </w:sdtContent>
        </w:sdt>
        <w:p w:rsidR="00DE031E" w:rsidRPr="00A62AB5" w:rsidRDefault="001C1A59" w:rsidP="00DE031E">
          <w:pPr>
            <w:spacing w:line="360" w:lineRule="auto"/>
            <w:ind w:firstLineChars="200" w:firstLine="440"/>
            <w:rPr>
              <w:rFonts w:ascii="Arial" w:eastAsiaTheme="majorEastAsia" w:hAnsi="Arial" w:cs="Arial"/>
              <w:kern w:val="2"/>
              <w:sz w:val="22"/>
              <w:szCs w:val="22"/>
            </w:rPr>
          </w:pPr>
          <w:r w:rsidRPr="00437FB4">
            <w:rPr>
              <w:rFonts w:ascii="Arial" w:eastAsiaTheme="majorEastAsia" w:hAnsi="Arial" w:cs="Arial"/>
              <w:kern w:val="2"/>
              <w:sz w:val="22"/>
              <w:szCs w:val="22"/>
            </w:rPr>
            <w:t>（</w:t>
          </w:r>
          <w:r>
            <w:rPr>
              <w:rFonts w:ascii="Arial" w:eastAsiaTheme="majorEastAsia" w:hAnsi="Arial" w:cs="Arial" w:hint="eastAsia"/>
              <w:kern w:val="2"/>
              <w:sz w:val="22"/>
              <w:szCs w:val="22"/>
            </w:rPr>
            <w:t>2</w:t>
          </w:r>
          <w:r w:rsidRPr="00437FB4">
            <w:rPr>
              <w:rFonts w:ascii="Arial" w:eastAsiaTheme="majorEastAsia" w:hAnsi="Arial" w:cs="Arial"/>
              <w:kern w:val="2"/>
              <w:sz w:val="22"/>
              <w:szCs w:val="22"/>
            </w:rPr>
            <w:t>）</w:t>
          </w:r>
          <w:r w:rsidRPr="00A62AB5">
            <w:rPr>
              <w:rFonts w:ascii="Arial" w:eastAsiaTheme="majorEastAsia" w:hAnsi="Arial" w:cs="Arial" w:hint="eastAsia"/>
              <w:kern w:val="2"/>
              <w:sz w:val="22"/>
              <w:szCs w:val="22"/>
            </w:rPr>
            <w:t>融资租赁的会计处理方法</w:t>
          </w:r>
        </w:p>
        <w:sdt>
          <w:sdtPr>
            <w:rPr>
              <w:szCs w:val="21"/>
            </w:rPr>
            <w:alias w:val="融资租赁的会计处理方法"/>
            <w:tag w:val="_GBC_b569fbdb600447ad8fef8d88dedd81cc"/>
            <w:id w:val="24723331"/>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eastAsiaTheme="majorEastAsia" w:hAnsi="Arial" w:cs="Arial"/>
                  <w:kern w:val="2"/>
                  <w:sz w:val="22"/>
                  <w:szCs w:val="22"/>
                </w:rPr>
                <w:t>融资租赁是指实质上转移了与资产所有权有关的全部风险和报酬的租赁。本公司作为承租方时，在租赁开始日，按租赁开始日租赁资产的公允价值与最低租赁付款额的现值两者中较低者，作为融资租入固定资产的入账价值，将最低租赁付款额作为长期应付款的入账价值，将两者的差额记录为未确认融资费用。</w:t>
              </w:r>
            </w:p>
          </w:sdtContent>
        </w:sdt>
      </w:sdtContent>
    </w:sdt>
    <w:sdt>
      <w:sdtPr>
        <w:rPr>
          <w:rFonts w:ascii="宋体" w:hAnsi="宋体" w:cs="宋体"/>
          <w:b w:val="0"/>
          <w:bCs w:val="0"/>
          <w:kern w:val="0"/>
          <w:szCs w:val="21"/>
        </w:rPr>
        <w:tag w:val="_GBC_36452712811046b281e9855c9926ed11"/>
        <w:id w:val="24723334"/>
        <w:lock w:val="sdtLocked"/>
        <w:placeholder>
          <w:docPart w:val="GBC22222222222222222222222222222"/>
        </w:placeholder>
      </w:sdtPr>
      <w:sdtContent>
        <w:p w:rsidR="00DE031E" w:rsidRDefault="001C1A59" w:rsidP="009950AC">
          <w:pPr>
            <w:pStyle w:val="3"/>
            <w:numPr>
              <w:ilvl w:val="0"/>
              <w:numId w:val="35"/>
            </w:numPr>
            <w:spacing w:line="360" w:lineRule="auto"/>
            <w:rPr>
              <w:szCs w:val="21"/>
            </w:rPr>
          </w:pPr>
          <w:r>
            <w:rPr>
              <w:szCs w:val="21"/>
            </w:rPr>
            <w:t>融资融券业务</w:t>
          </w:r>
        </w:p>
        <w:sdt>
          <w:sdtPr>
            <w:rPr>
              <w:rFonts w:hint="eastAsia"/>
              <w:szCs w:val="21"/>
            </w:rPr>
            <w:alias w:val="经营租赁、融资租赁"/>
            <w:tag w:val="_GBC_ed7b5a64331c40b28743d320995531c5"/>
            <w:id w:val="24723333"/>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eastAsiaTheme="majorEastAsia" w:hAnsi="Arial" w:cs="Arial"/>
                  <w:kern w:val="2"/>
                  <w:sz w:val="22"/>
                  <w:szCs w:val="22"/>
                </w:rPr>
                <w:t>融资融券业务，分为融资业务和融券业务两类。本公司对融出的资金确认应收债权，并确认相应利息收入；对融出的自有证券，不终止确认该证券，并确认相应利息收入；对客户融资融券并代客户买卖证券时，作为证券经纪业务进行会计处理。</w:t>
              </w:r>
            </w:p>
          </w:sdtContent>
        </w:sdt>
      </w:sdtContent>
    </w:sdt>
    <w:sdt>
      <w:sdtPr>
        <w:rPr>
          <w:rFonts w:ascii="宋体" w:hAnsi="宋体" w:cs="宋体"/>
          <w:b w:val="0"/>
          <w:bCs w:val="0"/>
          <w:kern w:val="0"/>
          <w:szCs w:val="21"/>
        </w:rPr>
        <w:tag w:val="_GBC_2424f92d905d446792ac6023f872b98a"/>
        <w:id w:val="24723336"/>
        <w:lock w:val="sdtLocked"/>
        <w:placeholder>
          <w:docPart w:val="GBC22222222222222222222222222222"/>
        </w:placeholder>
      </w:sdtPr>
      <w:sdtContent>
        <w:p w:rsidR="00DE031E" w:rsidRPr="00BB2941" w:rsidRDefault="001C1A59" w:rsidP="009950AC">
          <w:pPr>
            <w:pStyle w:val="3"/>
            <w:numPr>
              <w:ilvl w:val="0"/>
              <w:numId w:val="35"/>
            </w:numPr>
            <w:spacing w:line="360" w:lineRule="auto"/>
            <w:rPr>
              <w:szCs w:val="21"/>
            </w:rPr>
          </w:pPr>
          <w:r w:rsidRPr="00BB2941">
            <w:rPr>
              <w:rFonts w:ascii="Arial" w:eastAsiaTheme="majorEastAsia" w:hAnsi="Arial" w:cs="Arial"/>
              <w:sz w:val="22"/>
              <w:szCs w:val="22"/>
            </w:rPr>
            <w:t>客户交易结算资金</w:t>
          </w:r>
        </w:p>
        <w:sdt>
          <w:sdtPr>
            <w:rPr>
              <w:rFonts w:hint="eastAsia"/>
              <w:szCs w:val="21"/>
            </w:rPr>
            <w:alias w:val="持有待售资产"/>
            <w:tag w:val="_GBC_0e9d6137c510471990babddb3847e602"/>
            <w:id w:val="24723335"/>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eastAsiaTheme="majorEastAsia" w:hAnsi="Arial" w:cs="Arial"/>
                  <w:kern w:val="2"/>
                  <w:sz w:val="22"/>
                  <w:szCs w:val="22"/>
                </w:rPr>
                <w:t>本公司收到的客户交易结算资金存放在存管银行的专门账户上，与自有资金分开管理，为代理客户证券交易而进行资金清算与交收的款项存入交易所指定的清算代理机构，在结算备付金中进行核算。公司在收到代理客户买卖证券款的同时确认为资产及负债，公司代理客户买卖证券的款项在与清算代理机构清算时，按规定交纳的经手费、证管费、证券结算风险基金等相关费用确认为手续费支出，按规定向客户收取的手续费，在与客户办理买卖证券款项清算时确认为手续费收入。</w:t>
              </w:r>
            </w:p>
          </w:sdtContent>
        </w:sdt>
      </w:sdtContent>
    </w:sdt>
    <w:sdt>
      <w:sdtPr>
        <w:rPr>
          <w:rFonts w:ascii="宋体" w:eastAsia="华文中宋" w:hAnsi="宋体" w:cs="宋体"/>
          <w:b w:val="0"/>
          <w:bCs w:val="0"/>
          <w:color w:val="000000"/>
          <w:kern w:val="0"/>
          <w:sz w:val="24"/>
          <w:szCs w:val="21"/>
        </w:rPr>
        <w:tag w:val="_GBC_3f1af8224d394cd18ae94c39c0183ffb"/>
        <w:id w:val="24723338"/>
        <w:lock w:val="sdtLocked"/>
        <w:placeholder>
          <w:docPart w:val="GBC22222222222222222222222222222"/>
        </w:placeholder>
      </w:sdtPr>
      <w:sdtEndPr>
        <w:rPr>
          <w:rFonts w:ascii="华文中宋" w:hAnsi="Times New Roman" w:cs="华文中宋"/>
        </w:rPr>
      </w:sdtEndPr>
      <w:sdtContent>
        <w:p w:rsidR="00DE031E" w:rsidRDefault="001C1A59" w:rsidP="009950AC">
          <w:pPr>
            <w:pStyle w:val="3"/>
            <w:numPr>
              <w:ilvl w:val="0"/>
              <w:numId w:val="35"/>
            </w:numPr>
            <w:spacing w:line="360" w:lineRule="auto"/>
            <w:rPr>
              <w:rFonts w:ascii="Arial" w:eastAsiaTheme="majorEastAsia" w:hAnsi="Arial" w:cs="Arial"/>
              <w:sz w:val="22"/>
              <w:szCs w:val="22"/>
            </w:rPr>
          </w:pPr>
          <w:r w:rsidRPr="00BB2941">
            <w:rPr>
              <w:rFonts w:ascii="Arial" w:eastAsiaTheme="majorEastAsia" w:hAnsi="Arial" w:cs="Arial"/>
              <w:sz w:val="22"/>
              <w:szCs w:val="22"/>
            </w:rPr>
            <w:t>证券承销业务</w:t>
          </w:r>
        </w:p>
        <w:p w:rsidR="00DE031E" w:rsidRPr="00BB2941" w:rsidRDefault="001C1A59" w:rsidP="00DE031E">
          <w:pPr>
            <w:spacing w:line="360" w:lineRule="auto"/>
            <w:ind w:firstLineChars="200" w:firstLine="440"/>
          </w:pPr>
          <w:r w:rsidRPr="00437FB4">
            <w:rPr>
              <w:rFonts w:ascii="Arial" w:eastAsiaTheme="majorEastAsia" w:hAnsi="Arial" w:cs="Arial"/>
              <w:kern w:val="2"/>
              <w:sz w:val="22"/>
              <w:szCs w:val="22"/>
            </w:rPr>
            <w:t>本公司证券承销的方式包括余额包销和代销；在余额包销和代销方式下，在承销业务提供的相关服务完成时确认收入；在余额包销方式下，本公司对发行期结束后未售出的证券按约定的发行价格转为交易性金融资产、可供出售金融资产等。</w:t>
          </w:r>
        </w:p>
        <w:p w:rsidR="00DE031E" w:rsidRPr="00BB2941" w:rsidRDefault="001C1A59" w:rsidP="009950AC">
          <w:pPr>
            <w:pStyle w:val="3"/>
            <w:numPr>
              <w:ilvl w:val="0"/>
              <w:numId w:val="35"/>
            </w:numPr>
            <w:spacing w:line="360" w:lineRule="auto"/>
            <w:rPr>
              <w:szCs w:val="21"/>
            </w:rPr>
          </w:pPr>
          <w:r w:rsidRPr="00BB2941">
            <w:rPr>
              <w:rFonts w:ascii="Arial" w:eastAsiaTheme="majorEastAsia" w:hAnsi="Arial" w:cs="Arial"/>
              <w:sz w:val="22"/>
              <w:szCs w:val="22"/>
            </w:rPr>
            <w:t>受托投资管理业务</w:t>
          </w:r>
        </w:p>
        <w:sdt>
          <w:sdtPr>
            <w:rPr>
              <w:rFonts w:ascii="宋体" w:eastAsia="宋体" w:hAnsi="宋体" w:cs="宋体" w:hint="eastAsia"/>
              <w:color w:val="auto"/>
              <w:sz w:val="21"/>
              <w:szCs w:val="21"/>
            </w:rPr>
            <w:alias w:val="金融资产转移和非金融资产证券化业务的会计处理方法"/>
            <w:tag w:val="_GBC_747b55173c014f939ce97d33c8fda3c1"/>
            <w:id w:val="24723337"/>
            <w:lock w:val="sdtLocked"/>
            <w:placeholder>
              <w:docPart w:val="GBC22222222222222222222222222222"/>
            </w:placeholder>
          </w:sdtPr>
          <w:sdtEndPr>
            <w:rPr>
              <w:rFonts w:ascii="华文中宋" w:eastAsia="华文中宋" w:hAnsi="Times New Roman" w:cs="华文中宋"/>
              <w:color w:val="000000"/>
              <w:sz w:val="24"/>
            </w:rPr>
          </w:sdtEndPr>
          <w:sdtContent>
            <w:p w:rsidR="00DE031E" w:rsidRPr="00437FB4" w:rsidRDefault="001C1A59" w:rsidP="00DE031E">
              <w:pPr>
                <w:pStyle w:val="Default"/>
                <w:snapToGrid w:val="0"/>
                <w:spacing w:line="360"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本公司受托投资管理业务，按受托的款项同时确认为资产和负债，在表外进行核算。使用受托资金进行证券买卖时，通过受托资产科目进行会计核算。对按合同规定的比例计算应</w:t>
              </w:r>
              <w:r w:rsidRPr="00437FB4">
                <w:rPr>
                  <w:rFonts w:ascii="Arial" w:eastAsiaTheme="majorEastAsia" w:hAnsi="Arial" w:cs="Arial"/>
                  <w:color w:val="auto"/>
                  <w:kern w:val="2"/>
                  <w:sz w:val="22"/>
                  <w:szCs w:val="22"/>
                </w:rPr>
                <w:lastRenderedPageBreak/>
                <w:t>由本公司享有的收益或承担的损失，确认为当期损益。</w:t>
              </w:r>
            </w:p>
            <w:p w:rsidR="00DE031E" w:rsidRPr="00521428"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开展的受托投资管理业务包括定向资产管理业务、集合资产管理业务和专项资产管理业务。为满足集合资产管理业务和专项资产管理业务信息披露要求，本公司参照基金管理公司对基金产品的财务核算和报表编制的要求，对本公司开展的集合资产管理业务和专项资产管理业务单独进行财务核算和编制财务报表。</w:t>
              </w:r>
            </w:p>
          </w:sdtContent>
        </w:sdt>
      </w:sdtContent>
    </w:sdt>
    <w:sdt>
      <w:sdtPr>
        <w:rPr>
          <w:rFonts w:ascii="宋体" w:hAnsi="宋体" w:cs="宋体"/>
          <w:b w:val="0"/>
          <w:bCs w:val="0"/>
          <w:kern w:val="0"/>
          <w:szCs w:val="21"/>
        </w:rPr>
        <w:tag w:val="_GBC_b66e6c882c4548719cb2be5b69634b99"/>
        <w:id w:val="24723340"/>
        <w:lock w:val="sdtLocked"/>
        <w:placeholder>
          <w:docPart w:val="GBC22222222222222222222222222222"/>
        </w:placeholder>
      </w:sdtPr>
      <w:sdtContent>
        <w:p w:rsidR="00DE031E" w:rsidRDefault="001C1A59" w:rsidP="009950AC">
          <w:pPr>
            <w:pStyle w:val="3"/>
            <w:numPr>
              <w:ilvl w:val="0"/>
              <w:numId w:val="35"/>
            </w:numPr>
            <w:spacing w:line="360" w:lineRule="auto"/>
            <w:rPr>
              <w:szCs w:val="21"/>
            </w:rPr>
          </w:pPr>
          <w:r>
            <w:rPr>
              <w:szCs w:val="21"/>
            </w:rPr>
            <w:t>套期会计</w:t>
          </w:r>
        </w:p>
        <w:sdt>
          <w:sdtPr>
            <w:rPr>
              <w:rFonts w:hint="eastAsia"/>
              <w:szCs w:val="21"/>
            </w:rPr>
            <w:alias w:val="公司套期业务的处理方法"/>
            <w:tag w:val="_GBC_6a3c4f2a16734c0f8386484fa320c423"/>
            <w:id w:val="24723339"/>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eastAsiaTheme="majorEastAsia" w:hAnsi="Arial" w:cs="Arial"/>
                  <w:kern w:val="2"/>
                  <w:sz w:val="22"/>
                  <w:szCs w:val="22"/>
                </w:rPr>
                <w:t>对于满足规定条件的套期保值业务，本公司运用套期会计方法进行处理，在相同会计期间将套期工具和被套期项目公允价值变动的抵销结果计入当期损益。</w:t>
              </w:r>
            </w:p>
          </w:sdtContent>
        </w:sdt>
      </w:sdtContent>
    </w:sdt>
    <w:sdt>
      <w:sdtPr>
        <w:rPr>
          <w:rFonts w:asciiTheme="minorHAnsi" w:hAnsiTheme="minorHAnsi" w:cstheme="minorBidi" w:hint="eastAsia"/>
          <w:b w:val="0"/>
          <w:bCs w:val="0"/>
          <w:kern w:val="0"/>
          <w:szCs w:val="22"/>
        </w:rPr>
        <w:tag w:val="_GBC_208440ea3a0f4676970b3672c3cdf96f"/>
        <w:id w:val="24723342"/>
        <w:lock w:val="sdtLocked"/>
        <w:placeholder>
          <w:docPart w:val="GBC22222222222222222222222222222"/>
        </w:placeholder>
      </w:sdtPr>
      <w:sdtEndPr>
        <w:rPr>
          <w:rFonts w:ascii="宋体" w:hAnsi="宋体" w:cs="Times New Roman"/>
          <w:szCs w:val="21"/>
        </w:rPr>
      </w:sdtEndPr>
      <w:sdtContent>
        <w:p w:rsidR="00DE031E" w:rsidRDefault="001C1A59" w:rsidP="009950AC">
          <w:pPr>
            <w:pStyle w:val="3"/>
            <w:numPr>
              <w:ilvl w:val="0"/>
              <w:numId w:val="35"/>
            </w:numPr>
            <w:spacing w:line="360" w:lineRule="auto"/>
            <w:rPr>
              <w:rFonts w:asciiTheme="minorHAnsi" w:hAnsiTheme="minorHAnsi" w:cstheme="minorBidi"/>
              <w:bCs w:val="0"/>
              <w:kern w:val="0"/>
              <w:szCs w:val="22"/>
            </w:rPr>
          </w:pPr>
          <w:r w:rsidRPr="00912145">
            <w:rPr>
              <w:rFonts w:asciiTheme="minorHAnsi" w:hAnsiTheme="minorHAnsi" w:cstheme="minorBidi" w:hint="eastAsia"/>
              <w:bCs w:val="0"/>
              <w:kern w:val="0"/>
              <w:szCs w:val="22"/>
            </w:rPr>
            <w:t>商誉</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商誉为股权投资成本或非同一控制下企业合并成本超过应享有的或企业合并中取得的被投资单位或被购买方可辨认净资产于取得日或购买日的公允价值份额的差额。</w:t>
          </w:r>
        </w:p>
        <w:p w:rsidR="00DE031E" w:rsidRPr="00912145" w:rsidRDefault="001C1A59" w:rsidP="00DE031E">
          <w:pPr>
            <w:adjustRightInd w:val="0"/>
            <w:snapToGrid w:val="0"/>
            <w:spacing w:line="360" w:lineRule="auto"/>
            <w:ind w:firstLineChars="200" w:firstLine="440"/>
          </w:pPr>
          <w:r w:rsidRPr="00912145">
            <w:rPr>
              <w:rFonts w:ascii="Arial" w:eastAsiaTheme="majorEastAsia" w:hAnsi="Arial" w:cs="Arial"/>
              <w:sz w:val="22"/>
            </w:rPr>
            <w:t>与子公司有关的商誉在合并财务报表上单独列示，与联营企业和合营企业有关的商誉，包含在长期股权投资的账面价值中。</w:t>
          </w:r>
        </w:p>
        <w:p w:rsidR="00DE031E" w:rsidRDefault="001C1A59" w:rsidP="009950AC">
          <w:pPr>
            <w:pStyle w:val="3"/>
            <w:numPr>
              <w:ilvl w:val="0"/>
              <w:numId w:val="35"/>
            </w:numPr>
            <w:spacing w:line="360" w:lineRule="auto"/>
          </w:pPr>
          <w:r>
            <w:rPr>
              <w:rFonts w:hint="eastAsia"/>
            </w:rPr>
            <w:t>利润分配</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根据公司章程规定，公司分配当年税后利润时，应当分别按当年净利润的</w:t>
          </w:r>
          <w:r w:rsidRPr="00437FB4">
            <w:rPr>
              <w:rFonts w:ascii="Arial" w:eastAsiaTheme="majorEastAsia" w:hAnsi="Arial" w:cs="Arial"/>
              <w:color w:val="auto"/>
              <w:kern w:val="2"/>
              <w:sz w:val="22"/>
              <w:szCs w:val="22"/>
            </w:rPr>
            <w:t>10%</w:t>
          </w:r>
          <w:r w:rsidRPr="00437FB4">
            <w:rPr>
              <w:rFonts w:ascii="Arial" w:eastAsiaTheme="majorEastAsia" w:hAnsi="Arial" w:cs="Arial"/>
              <w:color w:val="auto"/>
              <w:kern w:val="2"/>
              <w:sz w:val="22"/>
              <w:szCs w:val="22"/>
            </w:rPr>
            <w:t>计提公司法定公积金和一般风险准备金、交易风险准备金。当公司法定公积金累计额为公司注册资本的</w:t>
          </w:r>
          <w:r w:rsidRPr="00437FB4">
            <w:rPr>
              <w:rFonts w:ascii="Arial" w:eastAsiaTheme="majorEastAsia" w:hAnsi="Arial" w:cs="Arial"/>
              <w:color w:val="auto"/>
              <w:kern w:val="2"/>
              <w:sz w:val="22"/>
              <w:szCs w:val="22"/>
            </w:rPr>
            <w:t>50%</w:t>
          </w:r>
          <w:r w:rsidRPr="00437FB4">
            <w:rPr>
              <w:rFonts w:ascii="Arial" w:eastAsiaTheme="majorEastAsia" w:hAnsi="Arial" w:cs="Arial"/>
              <w:color w:val="auto"/>
              <w:kern w:val="2"/>
              <w:sz w:val="22"/>
              <w:szCs w:val="22"/>
            </w:rPr>
            <w:t>以上的，可以不再提取。公司从税后利润中提取法定公积金、一般风险准备金和交易风险准备金后，经股东大会决议，还可以从税后利润中提取任意公积金。公司在弥补亏损和提取法定公积金、一般风险准备金和交易风险准备金后，按照股东持有的股份比例分配。公司可供分配利润中向股东进行现金分配的部分必须符合相关法律法规的要求，并应确保利润分配方案实施后，公司净资本等风险控制指标不低于《证券公司风险控制指标管理办法》规定的预警标准。公司持有的公司股份不参与分配利润。</w:t>
          </w:r>
        </w:p>
        <w:p w:rsidR="00DE031E" w:rsidRPr="00912145" w:rsidRDefault="001C1A59" w:rsidP="00DE031E">
          <w:pPr>
            <w:adjustRightInd w:val="0"/>
            <w:snapToGrid w:val="0"/>
            <w:spacing w:line="360" w:lineRule="auto"/>
            <w:ind w:firstLineChars="200" w:firstLine="440"/>
          </w:pPr>
          <w:r w:rsidRPr="00912145">
            <w:rPr>
              <w:rFonts w:ascii="Arial" w:eastAsiaTheme="majorEastAsia" w:hAnsi="Arial" w:cs="Arial"/>
              <w:sz w:val="22"/>
            </w:rPr>
            <w:t>根据中国证监会的相关规定，本公司计提的交易风险准备金用于弥补证券交易损失。</w:t>
          </w:r>
        </w:p>
        <w:p w:rsidR="00DE031E" w:rsidRDefault="001C1A59" w:rsidP="009950AC">
          <w:pPr>
            <w:pStyle w:val="3"/>
            <w:numPr>
              <w:ilvl w:val="0"/>
              <w:numId w:val="35"/>
            </w:numPr>
            <w:spacing w:line="360" w:lineRule="auto"/>
          </w:pPr>
          <w:r>
            <w:rPr>
              <w:rFonts w:hint="eastAsia"/>
            </w:rPr>
            <w:t>分部报告</w:t>
          </w:r>
        </w:p>
        <w:p w:rsidR="00DE031E" w:rsidRPr="00912145" w:rsidRDefault="001C1A59" w:rsidP="00DE031E">
          <w:pPr>
            <w:spacing w:line="360" w:lineRule="auto"/>
            <w:ind w:firstLineChars="200" w:firstLine="440"/>
          </w:pPr>
          <w:r w:rsidRPr="00437FB4">
            <w:rPr>
              <w:rFonts w:ascii="Arial" w:eastAsiaTheme="majorEastAsia" w:hAnsi="Arial" w:cs="Arial"/>
              <w:kern w:val="2"/>
              <w:sz w:val="22"/>
              <w:szCs w:val="22"/>
            </w:rPr>
            <w:t>本公司以内部组织结构、管理要求、内部报告制度为依据确定经营分部，以经营分部为基础确定报告分部。经营分部，是指公司内同时满足下列条件的组成部分：该组成部分能够在日常活动中产生收入、发生费用；公司管理层能够定期评价该组成部分的经营成果，以决定向其配置资源、评价其业绩；公司能够取得该组成部分的财务状况、经营成果和现金流量等有关会计信息。</w:t>
          </w:r>
        </w:p>
        <w:p w:rsidR="00DE031E" w:rsidRDefault="001C1A59" w:rsidP="009950AC">
          <w:pPr>
            <w:pStyle w:val="3"/>
            <w:numPr>
              <w:ilvl w:val="0"/>
              <w:numId w:val="35"/>
            </w:numPr>
            <w:spacing w:line="360" w:lineRule="auto"/>
          </w:pPr>
          <w:r>
            <w:rPr>
              <w:rFonts w:hint="eastAsia"/>
            </w:rPr>
            <w:t>关联方</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一方控制、共同控制另一方或对另一方施加重大影响，以及两方或两方以上同受一方控</w:t>
          </w:r>
          <w:r w:rsidRPr="00437FB4">
            <w:rPr>
              <w:rFonts w:ascii="Arial" w:eastAsiaTheme="majorEastAsia" w:hAnsi="Arial" w:cs="Arial"/>
              <w:color w:val="auto"/>
              <w:kern w:val="2"/>
              <w:sz w:val="22"/>
              <w:szCs w:val="22"/>
            </w:rPr>
            <w:lastRenderedPageBreak/>
            <w:t>制、共同控制的，构成关联方。下列各方构成本公司的关联方：</w:t>
          </w:r>
        </w:p>
        <w:p w:rsidR="00DE031E" w:rsidRPr="00437FB4" w:rsidRDefault="001C1A59" w:rsidP="00DE031E">
          <w:pPr>
            <w:pStyle w:val="Default"/>
            <w:tabs>
              <w:tab w:val="left" w:pos="3570"/>
            </w:tabs>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）母公司</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实际控制人；</w:t>
          </w:r>
          <w:r>
            <w:rPr>
              <w:rFonts w:ascii="Arial" w:eastAsiaTheme="majorEastAsia" w:hAnsi="Arial" w:cs="Arial"/>
              <w:color w:val="auto"/>
              <w:kern w:val="2"/>
              <w:sz w:val="22"/>
              <w:szCs w:val="22"/>
            </w:rPr>
            <w:tab/>
          </w:r>
        </w:p>
        <w:p w:rsidR="00DE031E" w:rsidRPr="00437FB4" w:rsidRDefault="001C1A59" w:rsidP="00DE031E">
          <w:pPr>
            <w:pStyle w:val="Default"/>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）子公司；</w:t>
          </w:r>
        </w:p>
        <w:p w:rsidR="00DE031E" w:rsidRPr="00437FB4" w:rsidRDefault="001C1A59" w:rsidP="00DE031E">
          <w:pPr>
            <w:pStyle w:val="Default"/>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3</w:t>
          </w:r>
          <w:r w:rsidRPr="00437FB4">
            <w:rPr>
              <w:rFonts w:ascii="Arial" w:eastAsiaTheme="majorEastAsia" w:hAnsi="Arial" w:cs="Arial"/>
              <w:color w:val="auto"/>
              <w:kern w:val="2"/>
              <w:sz w:val="22"/>
              <w:szCs w:val="22"/>
            </w:rPr>
            <w:t>）受同一母公司</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实际控制人控制的其他企业；</w:t>
          </w:r>
        </w:p>
        <w:p w:rsidR="00DE031E" w:rsidRPr="00437FB4" w:rsidRDefault="001C1A59" w:rsidP="00DE031E">
          <w:pPr>
            <w:pStyle w:val="Default"/>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4</w:t>
          </w:r>
          <w:r w:rsidRPr="00437FB4">
            <w:rPr>
              <w:rFonts w:ascii="Arial" w:eastAsiaTheme="majorEastAsia" w:hAnsi="Arial" w:cs="Arial"/>
              <w:color w:val="auto"/>
              <w:kern w:val="2"/>
              <w:sz w:val="22"/>
              <w:szCs w:val="22"/>
            </w:rPr>
            <w:t>）实施共同控制的投资方；</w:t>
          </w:r>
        </w:p>
        <w:p w:rsidR="00DE031E" w:rsidRPr="00437FB4" w:rsidRDefault="001C1A59" w:rsidP="00DE031E">
          <w:pPr>
            <w:pStyle w:val="Default"/>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5</w:t>
          </w:r>
          <w:r w:rsidRPr="00437FB4">
            <w:rPr>
              <w:rFonts w:ascii="Arial" w:eastAsiaTheme="majorEastAsia" w:hAnsi="Arial" w:cs="Arial"/>
              <w:color w:val="auto"/>
              <w:kern w:val="2"/>
              <w:sz w:val="22"/>
              <w:szCs w:val="22"/>
            </w:rPr>
            <w:t>）施加重大影响的投资方；</w:t>
          </w:r>
        </w:p>
        <w:p w:rsidR="00DE031E" w:rsidRPr="00437FB4" w:rsidRDefault="001C1A59" w:rsidP="00DE031E">
          <w:pPr>
            <w:pStyle w:val="Default"/>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6</w:t>
          </w:r>
          <w:r w:rsidRPr="00437FB4">
            <w:rPr>
              <w:rFonts w:ascii="Arial" w:eastAsiaTheme="majorEastAsia" w:hAnsi="Arial" w:cs="Arial"/>
              <w:color w:val="auto"/>
              <w:kern w:val="2"/>
              <w:sz w:val="22"/>
              <w:szCs w:val="22"/>
            </w:rPr>
            <w:t>）合营企业及其子公司；</w:t>
          </w:r>
        </w:p>
        <w:p w:rsidR="00DE031E" w:rsidRPr="00437FB4" w:rsidRDefault="001C1A59" w:rsidP="00DE031E">
          <w:pPr>
            <w:pStyle w:val="Default"/>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7</w:t>
          </w:r>
          <w:r w:rsidRPr="00437FB4">
            <w:rPr>
              <w:rFonts w:ascii="Arial" w:eastAsiaTheme="majorEastAsia" w:hAnsi="Arial" w:cs="Arial"/>
              <w:color w:val="auto"/>
              <w:kern w:val="2"/>
              <w:sz w:val="22"/>
              <w:szCs w:val="22"/>
            </w:rPr>
            <w:t>）联营企业及其子公司；</w:t>
          </w:r>
        </w:p>
        <w:p w:rsidR="00DE031E" w:rsidRPr="00437FB4" w:rsidRDefault="001C1A59" w:rsidP="00DE031E">
          <w:pPr>
            <w:pStyle w:val="Default"/>
            <w:snapToGrid w:val="0"/>
            <w:spacing w:line="360" w:lineRule="auto"/>
            <w:ind w:left="425"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8</w:t>
          </w:r>
          <w:r w:rsidRPr="00437FB4">
            <w:rPr>
              <w:rFonts w:ascii="Arial" w:eastAsiaTheme="majorEastAsia" w:hAnsi="Arial" w:cs="Arial"/>
              <w:color w:val="auto"/>
              <w:kern w:val="2"/>
              <w:sz w:val="22"/>
              <w:szCs w:val="22"/>
            </w:rPr>
            <w:t>）主要投资者个人及与其关系密切的家庭成员；</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9</w:t>
          </w:r>
          <w:r w:rsidRPr="00437FB4">
            <w:rPr>
              <w:rFonts w:ascii="Arial" w:eastAsiaTheme="majorEastAsia" w:hAnsi="Arial" w:cs="Arial"/>
              <w:color w:val="auto"/>
              <w:kern w:val="2"/>
              <w:sz w:val="22"/>
              <w:szCs w:val="22"/>
            </w:rPr>
            <w:t>）本公司或其母公司</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实际控制人关键管理人员，以及与其关系密切的家庭成员；</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10</w:t>
          </w:r>
          <w:r w:rsidRPr="00437FB4">
            <w:rPr>
              <w:rFonts w:ascii="Arial" w:eastAsiaTheme="majorEastAsia" w:hAnsi="Arial" w:cs="Arial"/>
              <w:color w:val="auto"/>
              <w:kern w:val="2"/>
              <w:sz w:val="22"/>
              <w:szCs w:val="22"/>
            </w:rPr>
            <w:t>）主要投资者个人、关键管理人员或与其关系密切的家庭成员控制或共同控制的其他企业；</w:t>
          </w:r>
        </w:p>
        <w:p w:rsidR="00DE031E" w:rsidRPr="00437FB4" w:rsidRDefault="001C1A59" w:rsidP="009950AC">
          <w:pPr>
            <w:pStyle w:val="Default"/>
            <w:numPr>
              <w:ilvl w:val="0"/>
              <w:numId w:val="39"/>
            </w:numPr>
            <w:snapToGrid w:val="0"/>
            <w:spacing w:line="360" w:lineRule="auto"/>
            <w:ind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本公司设立的企业年金基金。</w:t>
          </w:r>
        </w:p>
        <w:p w:rsidR="00DE031E" w:rsidRPr="00912145" w:rsidRDefault="001C1A59" w:rsidP="00DE031E">
          <w:pPr>
            <w:adjustRightInd w:val="0"/>
            <w:snapToGrid w:val="0"/>
            <w:spacing w:line="360" w:lineRule="auto"/>
            <w:ind w:firstLineChars="200" w:firstLine="440"/>
          </w:pPr>
          <w:r w:rsidRPr="00912145">
            <w:rPr>
              <w:rFonts w:ascii="Arial" w:eastAsiaTheme="majorEastAsia" w:hAnsi="Arial" w:cs="Arial"/>
              <w:sz w:val="22"/>
            </w:rPr>
            <w:t>仅同受国家控制而不存在其他关联方关系的企业，不构成本公司的关联方。</w:t>
          </w:r>
        </w:p>
        <w:p w:rsidR="00DE031E" w:rsidRDefault="001C1A59" w:rsidP="009950AC">
          <w:pPr>
            <w:pStyle w:val="3"/>
            <w:numPr>
              <w:ilvl w:val="0"/>
              <w:numId w:val="35"/>
            </w:numPr>
            <w:spacing w:line="360" w:lineRule="auto"/>
          </w:pPr>
          <w:r>
            <w:rPr>
              <w:rFonts w:hint="eastAsia"/>
            </w:rPr>
            <w:t>重大会计判断和估计</w:t>
          </w:r>
        </w:p>
        <w:sdt>
          <w:sdtPr>
            <w:rPr>
              <w:rFonts w:ascii="宋体" w:eastAsia="宋体" w:hAnsi="宋体" w:cs="宋体" w:hint="eastAsia"/>
              <w:color w:val="auto"/>
              <w:sz w:val="21"/>
              <w:szCs w:val="21"/>
            </w:rPr>
            <w:alias w:val="其他主要会计政策会计估计和会计报表的编制方法"/>
            <w:tag w:val="_GBC_5cf318d9d3d148c4af010cce77bc955d"/>
            <w:id w:val="24723341"/>
            <w:lock w:val="sdtLocked"/>
            <w:placeholder>
              <w:docPart w:val="GBC22222222222222222222222222222"/>
            </w:placeholder>
          </w:sdtPr>
          <w:sdtContent>
            <w:p w:rsidR="00DE031E" w:rsidRPr="00437FB4" w:rsidRDefault="001C1A59" w:rsidP="00DE031E">
              <w:pPr>
                <w:pStyle w:val="Default"/>
                <w:snapToGrid w:val="0"/>
                <w:spacing w:line="336" w:lineRule="auto"/>
                <w:ind w:rightChars="20" w:right="42"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根据历史经验和其他因素，包括对未来事项的合理预期，对所采用的重要会计估计和关键判断进行持续的评价。管理层在报告期末就主要未来不确定事项做出下列的判断及主要假设，实际的结果可能与本公司的估计存在误差。</w:t>
              </w:r>
            </w:p>
            <w:p w:rsidR="00DE031E" w:rsidRPr="00437FB4" w:rsidRDefault="001C1A59" w:rsidP="00DE031E">
              <w:pPr>
                <w:pStyle w:val="Default"/>
                <w:snapToGrid w:val="0"/>
                <w:spacing w:line="336"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）可供出售金融资产和持有至到期投资的减值损失</w:t>
              </w:r>
            </w:p>
            <w:p w:rsidR="00DE031E" w:rsidRPr="00437FB4" w:rsidRDefault="001C1A59" w:rsidP="00DE031E">
              <w:pPr>
                <w:pStyle w:val="Default"/>
                <w:snapToGrid w:val="0"/>
                <w:spacing w:line="336"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在判断是否存在客观证据表明可供出售金融资产及持有至到期投资发生减值时，本公司需评估该项投资的公允价值低于成本的程度和持续期间，或分析被投资对象的财务状况和业务前景，包括行业状况、技术变革、经营和融资现金流等。</w:t>
              </w:r>
            </w:p>
            <w:p w:rsidR="00DE031E" w:rsidRPr="00437FB4" w:rsidRDefault="001C1A59" w:rsidP="00DE031E">
              <w:pPr>
                <w:pStyle w:val="Default"/>
                <w:snapToGrid w:val="0"/>
                <w:spacing w:line="336"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2</w:t>
              </w:r>
              <w:r w:rsidRPr="00437FB4">
                <w:rPr>
                  <w:rFonts w:ascii="Arial" w:eastAsiaTheme="majorEastAsia" w:hAnsi="Arial" w:cs="Arial"/>
                  <w:color w:val="auto"/>
                  <w:kern w:val="2"/>
                  <w:sz w:val="22"/>
                  <w:szCs w:val="22"/>
                </w:rPr>
                <w:t>）商誉减值</w:t>
              </w:r>
            </w:p>
            <w:p w:rsidR="00DE031E" w:rsidRPr="00437FB4" w:rsidRDefault="001C1A59" w:rsidP="00DE031E">
              <w:pPr>
                <w:pStyle w:val="Default"/>
                <w:snapToGrid w:val="0"/>
                <w:spacing w:line="336"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本公司至少每年测试商誉是否发生减值。在进行减值测试时，需要将商誉分配到相应的资产组或资产组组合，并预计资产组或者资产组组合未来产生的现金流量，同时选择恰当的折现率确定未来现金流量的现值。</w:t>
              </w:r>
            </w:p>
            <w:p w:rsidR="00DE031E" w:rsidRPr="00437FB4" w:rsidRDefault="001C1A59" w:rsidP="00DE031E">
              <w:pPr>
                <w:pStyle w:val="Default"/>
                <w:snapToGrid w:val="0"/>
                <w:spacing w:line="336"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3</w:t>
              </w:r>
              <w:r w:rsidRPr="00437FB4">
                <w:rPr>
                  <w:rFonts w:ascii="Arial" w:eastAsiaTheme="majorEastAsia" w:hAnsi="Arial" w:cs="Arial"/>
                  <w:color w:val="auto"/>
                  <w:kern w:val="2"/>
                  <w:sz w:val="22"/>
                  <w:szCs w:val="22"/>
                </w:rPr>
                <w:t>）递延所得税</w:t>
              </w:r>
            </w:p>
            <w:p w:rsidR="00DE031E" w:rsidRPr="00437FB4" w:rsidRDefault="001C1A59" w:rsidP="00DE031E">
              <w:pPr>
                <w:pStyle w:val="Default"/>
                <w:snapToGrid w:val="0"/>
                <w:spacing w:line="336"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本公司需要对某些交易未来的税务处理做出判断以确认所得税。本公司根据有关税收法规，谨慎判断交易对应的所得税影响并相应地计提所得税。递延所得税资产只会在有可能有未来应纳税利润并可用作抵销有关暂时性差异时才可确认。</w:t>
              </w:r>
            </w:p>
            <w:p w:rsidR="00DE031E" w:rsidRPr="00437FB4" w:rsidRDefault="001C1A59" w:rsidP="00DE031E">
              <w:pPr>
                <w:pStyle w:val="Default"/>
                <w:snapToGrid w:val="0"/>
                <w:spacing w:line="336"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4</w:t>
              </w:r>
              <w:r w:rsidRPr="00437FB4">
                <w:rPr>
                  <w:rFonts w:ascii="Arial" w:eastAsiaTheme="majorEastAsia" w:hAnsi="Arial" w:cs="Arial"/>
                  <w:color w:val="auto"/>
                  <w:kern w:val="2"/>
                  <w:sz w:val="22"/>
                  <w:szCs w:val="22"/>
                </w:rPr>
                <w:t>）金融工具的公允价值</w:t>
              </w:r>
            </w:p>
            <w:p w:rsidR="00DE031E" w:rsidRDefault="001C1A59" w:rsidP="00DE031E">
              <w:pPr>
                <w:adjustRightInd w:val="0"/>
                <w:snapToGrid w:val="0"/>
                <w:spacing w:line="336" w:lineRule="auto"/>
                <w:rPr>
                  <w:szCs w:val="21"/>
                </w:rPr>
              </w:pPr>
              <w:r w:rsidRPr="00437FB4">
                <w:rPr>
                  <w:rFonts w:ascii="Arial" w:eastAsiaTheme="majorEastAsia" w:hAnsi="Arial" w:cs="Arial"/>
                  <w:kern w:val="2"/>
                  <w:sz w:val="22"/>
                  <w:szCs w:val="22"/>
                </w:rPr>
                <w:lastRenderedPageBreak/>
                <w:t>对于缺乏活跃市场的金融工具，本公司运用估值方法确定其公允价值。估值方法在最大程度上利用可观察市场信息；当可观察市场信息无法获得时，将对估值方法中包括的重</w:t>
              </w:r>
              <w:r w:rsidRPr="00E53C9E">
                <w:rPr>
                  <w:rFonts w:ascii="Arial" w:eastAsiaTheme="majorEastAsia" w:hAnsi="Arial" w:cs="Arial"/>
                  <w:kern w:val="2"/>
                  <w:sz w:val="22"/>
                  <w:szCs w:val="22"/>
                </w:rPr>
                <w:t>大不可观察信息做出估计。</w:t>
              </w:r>
            </w:p>
          </w:sdtContent>
        </w:sdt>
      </w:sdtContent>
    </w:sdt>
    <w:p w:rsidR="00DE031E" w:rsidRDefault="001C1A59" w:rsidP="009950AC">
      <w:pPr>
        <w:pStyle w:val="2"/>
        <w:numPr>
          <w:ilvl w:val="0"/>
          <w:numId w:val="30"/>
        </w:numPr>
        <w:spacing w:line="360" w:lineRule="auto"/>
        <w:rPr>
          <w:rFonts w:ascii="宋体" w:hAnsi="宋体"/>
        </w:rPr>
      </w:pPr>
      <w:r>
        <w:rPr>
          <w:rFonts w:ascii="宋体" w:hAnsi="宋体" w:hint="eastAsia"/>
        </w:rPr>
        <w:t>税项</w:t>
      </w:r>
    </w:p>
    <w:sdt>
      <w:sdtPr>
        <w:rPr>
          <w:rFonts w:asciiTheme="minorHAnsi" w:hAnsiTheme="minorHAnsi" w:cs="宋体"/>
          <w:b w:val="0"/>
          <w:bCs w:val="0"/>
          <w:kern w:val="0"/>
          <w:szCs w:val="22"/>
        </w:rPr>
        <w:tag w:val="_GBC_21c965fa52af49a9865023fb4e05671a"/>
        <w:id w:val="24723367"/>
        <w:lock w:val="sdtLocked"/>
        <w:placeholder>
          <w:docPart w:val="GBC22222222222222222222222222222"/>
        </w:placeholder>
      </w:sdtPr>
      <w:sdtEndPr>
        <w:rPr>
          <w:rFonts w:ascii="宋体" w:hAnsi="宋体"/>
          <w:szCs w:val="24"/>
        </w:rPr>
      </w:sdtEndPr>
      <w:sdtContent>
        <w:p w:rsidR="00DE031E" w:rsidRDefault="001C1A59" w:rsidP="009950AC">
          <w:pPr>
            <w:pStyle w:val="3"/>
            <w:numPr>
              <w:ilvl w:val="0"/>
              <w:numId w:val="40"/>
            </w:numPr>
            <w:tabs>
              <w:tab w:val="left" w:pos="546"/>
            </w:tabs>
            <w:spacing w:line="360" w:lineRule="auto"/>
          </w:pPr>
          <w:r>
            <w:t>主要税种及税率</w:t>
          </w:r>
        </w:p>
        <w:sdt>
          <w:sdtPr>
            <w:rPr>
              <w:rFonts w:cstheme="minorBidi"/>
              <w:kern w:val="2"/>
              <w:szCs w:val="21"/>
            </w:rPr>
            <w:tag w:val="_GBC_cd48dbef8f724802baa896e009e06b0d"/>
            <w:id w:val="24723359"/>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DE031E" w:rsidTr="007C634C">
                <w:tc>
                  <w:tcPr>
                    <w:tcW w:w="1537" w:type="pct"/>
                    <w:vAlign w:val="center"/>
                  </w:tcPr>
                  <w:p w:rsidR="00DE031E" w:rsidRDefault="001C1A59">
                    <w:pPr>
                      <w:jc w:val="center"/>
                      <w:rPr>
                        <w:szCs w:val="21"/>
                      </w:rPr>
                    </w:pPr>
                    <w:r>
                      <w:rPr>
                        <w:szCs w:val="21"/>
                      </w:rPr>
                      <w:t>税种</w:t>
                    </w:r>
                  </w:p>
                </w:tc>
                <w:tc>
                  <w:tcPr>
                    <w:tcW w:w="1738" w:type="pct"/>
                    <w:vAlign w:val="center"/>
                  </w:tcPr>
                  <w:p w:rsidR="00DE031E" w:rsidRDefault="001C1A59">
                    <w:pPr>
                      <w:jc w:val="center"/>
                      <w:rPr>
                        <w:szCs w:val="21"/>
                      </w:rPr>
                    </w:pPr>
                    <w:r>
                      <w:rPr>
                        <w:szCs w:val="21"/>
                      </w:rPr>
                      <w:t>计税依据</w:t>
                    </w:r>
                  </w:p>
                </w:tc>
                <w:tc>
                  <w:tcPr>
                    <w:tcW w:w="1725" w:type="pct"/>
                    <w:vAlign w:val="center"/>
                  </w:tcPr>
                  <w:p w:rsidR="00DE031E" w:rsidRDefault="001C1A59">
                    <w:pPr>
                      <w:jc w:val="center"/>
                      <w:rPr>
                        <w:szCs w:val="21"/>
                      </w:rPr>
                    </w:pPr>
                    <w:r>
                      <w:rPr>
                        <w:szCs w:val="21"/>
                      </w:rPr>
                      <w:t>税率</w:t>
                    </w:r>
                  </w:p>
                </w:tc>
              </w:tr>
              <w:tr w:rsidR="00DE031E" w:rsidTr="00F96290">
                <w:tc>
                  <w:tcPr>
                    <w:tcW w:w="1537" w:type="pct"/>
                  </w:tcPr>
                  <w:p w:rsidR="00DE031E" w:rsidRDefault="001C1A59">
                    <w:pPr>
                      <w:rPr>
                        <w:szCs w:val="21"/>
                      </w:rPr>
                    </w:pPr>
                    <w:r>
                      <w:rPr>
                        <w:szCs w:val="21"/>
                      </w:rPr>
                      <w:t>增值税</w:t>
                    </w:r>
                  </w:p>
                </w:tc>
                <w:sdt>
                  <w:sdtPr>
                    <w:rPr>
                      <w:szCs w:val="21"/>
                    </w:rPr>
                    <w:alias w:val="增值税的计缴标准"/>
                    <w:tag w:val="_GBC_11f2a3832d244b0ab73a57a8c8a61bf2"/>
                    <w:id w:val="24723343"/>
                    <w:lock w:val="sdtLocked"/>
                  </w:sdtPr>
                  <w:sdtContent>
                    <w:tc>
                      <w:tcPr>
                        <w:tcW w:w="1738" w:type="pct"/>
                      </w:tcPr>
                      <w:p w:rsidR="00DE031E" w:rsidRDefault="001C1A59">
                        <w:pPr>
                          <w:rPr>
                            <w:szCs w:val="21"/>
                          </w:rPr>
                        </w:pPr>
                        <w:r>
                          <w:rPr>
                            <w:rFonts w:hint="eastAsia"/>
                            <w:szCs w:val="21"/>
                          </w:rPr>
                          <w:t>应纳销项税额</w:t>
                        </w:r>
                      </w:p>
                    </w:tc>
                  </w:sdtContent>
                </w:sdt>
                <w:sdt>
                  <w:sdtPr>
                    <w:rPr>
                      <w:szCs w:val="21"/>
                    </w:rPr>
                    <w:alias w:val="增值税税率"/>
                    <w:tag w:val="_GBC_ba800c47453f4253a4567179200d7fdf"/>
                    <w:id w:val="24723344"/>
                    <w:lock w:val="sdtLocked"/>
                  </w:sdtPr>
                  <w:sdtContent>
                    <w:tc>
                      <w:tcPr>
                        <w:tcW w:w="1725" w:type="pct"/>
                      </w:tcPr>
                      <w:p w:rsidR="00DE031E" w:rsidRDefault="001C1A59">
                        <w:pPr>
                          <w:rPr>
                            <w:szCs w:val="21"/>
                          </w:rPr>
                        </w:pPr>
                        <w:r>
                          <w:rPr>
                            <w:szCs w:val="21"/>
                          </w:rPr>
                          <w:t>6%</w:t>
                        </w:r>
                      </w:p>
                    </w:tc>
                  </w:sdtContent>
                </w:sdt>
              </w:tr>
              <w:tr w:rsidR="00DE031E" w:rsidTr="00F96290">
                <w:tc>
                  <w:tcPr>
                    <w:tcW w:w="1537" w:type="pct"/>
                  </w:tcPr>
                  <w:p w:rsidR="00DE031E" w:rsidRDefault="001C1A59">
                    <w:pPr>
                      <w:rPr>
                        <w:szCs w:val="21"/>
                      </w:rPr>
                    </w:pPr>
                    <w:r>
                      <w:rPr>
                        <w:szCs w:val="21"/>
                      </w:rPr>
                      <w:t>营业税</w:t>
                    </w:r>
                  </w:p>
                </w:tc>
                <w:sdt>
                  <w:sdtPr>
                    <w:rPr>
                      <w:szCs w:val="21"/>
                    </w:rPr>
                    <w:alias w:val="营业税的计缴标准"/>
                    <w:tag w:val="_GBC_3c6a374f8b274931891b9142610590fe"/>
                    <w:id w:val="24723345"/>
                    <w:lock w:val="sdtLocked"/>
                  </w:sdtPr>
                  <w:sdtContent>
                    <w:tc>
                      <w:tcPr>
                        <w:tcW w:w="1738" w:type="pct"/>
                      </w:tcPr>
                      <w:p w:rsidR="00DE031E" w:rsidRDefault="001C1A59">
                        <w:pPr>
                          <w:rPr>
                            <w:szCs w:val="21"/>
                          </w:rPr>
                        </w:pPr>
                        <w:r>
                          <w:rPr>
                            <w:rFonts w:hint="eastAsia"/>
                            <w:szCs w:val="21"/>
                          </w:rPr>
                          <w:t>应纳营业税额</w:t>
                        </w:r>
                      </w:p>
                    </w:tc>
                  </w:sdtContent>
                </w:sdt>
                <w:sdt>
                  <w:sdtPr>
                    <w:rPr>
                      <w:szCs w:val="21"/>
                    </w:rPr>
                    <w:alias w:val="营业税税率"/>
                    <w:tag w:val="_GBC_8cf00eb556844bc2b2211a1c76c8dc8f"/>
                    <w:id w:val="24723346"/>
                    <w:lock w:val="sdtLocked"/>
                  </w:sdtPr>
                  <w:sdtContent>
                    <w:tc>
                      <w:tcPr>
                        <w:tcW w:w="1725" w:type="pct"/>
                      </w:tcPr>
                      <w:p w:rsidR="00DE031E" w:rsidRDefault="001C1A59">
                        <w:pPr>
                          <w:rPr>
                            <w:szCs w:val="21"/>
                          </w:rPr>
                        </w:pPr>
                        <w:r>
                          <w:rPr>
                            <w:szCs w:val="21"/>
                          </w:rPr>
                          <w:t>5%</w:t>
                        </w:r>
                      </w:p>
                    </w:tc>
                  </w:sdtContent>
                </w:sdt>
              </w:tr>
              <w:tr w:rsidR="00DE031E" w:rsidTr="00F96290">
                <w:tc>
                  <w:tcPr>
                    <w:tcW w:w="1537" w:type="pct"/>
                  </w:tcPr>
                  <w:p w:rsidR="00DE031E" w:rsidRDefault="001C1A59">
                    <w:pPr>
                      <w:rPr>
                        <w:szCs w:val="21"/>
                      </w:rPr>
                    </w:pPr>
                    <w:r>
                      <w:rPr>
                        <w:szCs w:val="21"/>
                      </w:rPr>
                      <w:t>城市维护建设税</w:t>
                    </w:r>
                  </w:p>
                </w:tc>
                <w:sdt>
                  <w:sdtPr>
                    <w:rPr>
                      <w:szCs w:val="21"/>
                    </w:rPr>
                    <w:alias w:val="城建税的计缴标准"/>
                    <w:tag w:val="_GBC_b8adb0d580af4d7cbe52b708530d870e"/>
                    <w:id w:val="24723347"/>
                    <w:lock w:val="sdtLocked"/>
                  </w:sdtPr>
                  <w:sdtContent>
                    <w:tc>
                      <w:tcPr>
                        <w:tcW w:w="1738" w:type="pct"/>
                      </w:tcPr>
                      <w:p w:rsidR="00DE031E" w:rsidRDefault="001C1A59">
                        <w:pPr>
                          <w:rPr>
                            <w:szCs w:val="21"/>
                          </w:rPr>
                        </w:pPr>
                        <w:r>
                          <w:rPr>
                            <w:rFonts w:hint="eastAsia"/>
                            <w:szCs w:val="21"/>
                          </w:rPr>
                          <w:t>应缴流转税额</w:t>
                        </w:r>
                      </w:p>
                    </w:tc>
                  </w:sdtContent>
                </w:sdt>
                <w:sdt>
                  <w:sdtPr>
                    <w:rPr>
                      <w:szCs w:val="21"/>
                    </w:rPr>
                    <w:alias w:val="城建税税率"/>
                    <w:tag w:val="_GBC_0bf2ebb5727a4af29d739eff67e0cd9c"/>
                    <w:id w:val="24723348"/>
                    <w:lock w:val="sdtLocked"/>
                  </w:sdtPr>
                  <w:sdtContent>
                    <w:tc>
                      <w:tcPr>
                        <w:tcW w:w="1725" w:type="pct"/>
                      </w:tcPr>
                      <w:p w:rsidR="00DE031E" w:rsidRDefault="001C1A59">
                        <w:pPr>
                          <w:rPr>
                            <w:szCs w:val="21"/>
                          </w:rPr>
                        </w:pPr>
                        <w:r>
                          <w:rPr>
                            <w:szCs w:val="21"/>
                          </w:rPr>
                          <w:t>7%</w:t>
                        </w:r>
                      </w:p>
                    </w:tc>
                  </w:sdtContent>
                </w:sdt>
              </w:tr>
              <w:tr w:rsidR="00DE031E" w:rsidTr="00F96290">
                <w:tc>
                  <w:tcPr>
                    <w:tcW w:w="1537" w:type="pct"/>
                  </w:tcPr>
                  <w:p w:rsidR="00DE031E" w:rsidRDefault="001C1A59">
                    <w:pPr>
                      <w:rPr>
                        <w:szCs w:val="21"/>
                      </w:rPr>
                    </w:pPr>
                    <w:r>
                      <w:rPr>
                        <w:szCs w:val="21"/>
                      </w:rPr>
                      <w:t>企业所得税</w:t>
                    </w:r>
                  </w:p>
                </w:tc>
                <w:sdt>
                  <w:sdtPr>
                    <w:rPr>
                      <w:szCs w:val="21"/>
                    </w:rPr>
                    <w:alias w:val="所得税的计缴标准"/>
                    <w:tag w:val="_GBC_fc8438529f7f47089c036c6f62ba0dc7"/>
                    <w:id w:val="24723349"/>
                    <w:lock w:val="sdtLocked"/>
                  </w:sdtPr>
                  <w:sdtContent>
                    <w:tc>
                      <w:tcPr>
                        <w:tcW w:w="1738" w:type="pct"/>
                      </w:tcPr>
                      <w:p w:rsidR="00DE031E" w:rsidRDefault="001C1A59">
                        <w:pPr>
                          <w:rPr>
                            <w:szCs w:val="21"/>
                          </w:rPr>
                        </w:pPr>
                        <w:r>
                          <w:rPr>
                            <w:rFonts w:hint="eastAsia"/>
                            <w:szCs w:val="21"/>
                          </w:rPr>
                          <w:t>应纳税所得额</w:t>
                        </w:r>
                      </w:p>
                    </w:tc>
                  </w:sdtContent>
                </w:sdt>
                <w:sdt>
                  <w:sdtPr>
                    <w:rPr>
                      <w:szCs w:val="21"/>
                    </w:rPr>
                    <w:alias w:val="企业所得税税率"/>
                    <w:tag w:val="_GBC_10a877fdd8df46e98ec5e56db75c969a"/>
                    <w:id w:val="24723350"/>
                    <w:lock w:val="sdtLocked"/>
                  </w:sdtPr>
                  <w:sdtContent>
                    <w:tc>
                      <w:tcPr>
                        <w:tcW w:w="1725" w:type="pct"/>
                      </w:tcPr>
                      <w:p w:rsidR="00DE031E" w:rsidRDefault="001C1A59">
                        <w:pPr>
                          <w:rPr>
                            <w:szCs w:val="21"/>
                          </w:rPr>
                        </w:pPr>
                        <w:r>
                          <w:rPr>
                            <w:szCs w:val="21"/>
                          </w:rPr>
                          <w:t>25%</w:t>
                        </w:r>
                        <w:r>
                          <w:rPr>
                            <w:rFonts w:hint="eastAsia"/>
                            <w:szCs w:val="21"/>
                          </w:rPr>
                          <w:t>、15%、16.5%</w:t>
                        </w:r>
                      </w:p>
                    </w:tc>
                  </w:sdtContent>
                </w:sdt>
              </w:tr>
              <w:sdt>
                <w:sdtPr>
                  <w:rPr>
                    <w:rFonts w:cstheme="minorBidi"/>
                    <w:kern w:val="2"/>
                    <w:szCs w:val="21"/>
                  </w:rPr>
                  <w:alias w:val="其他主要税种及税率"/>
                  <w:tag w:val="_GBC_b4f10406bc8741879c7bff390b72f9b9"/>
                  <w:id w:val="24723354"/>
                  <w:lock w:val="sdtLocked"/>
                </w:sdtPr>
                <w:sdtContent>
                  <w:tr w:rsidR="00DE031E" w:rsidTr="00F96290">
                    <w:sdt>
                      <w:sdtPr>
                        <w:rPr>
                          <w:rFonts w:cstheme="minorBidi"/>
                          <w:kern w:val="2"/>
                          <w:szCs w:val="21"/>
                        </w:rPr>
                        <w:alias w:val="其他主要税种名称"/>
                        <w:tag w:val="_GBC_1223c460ad9643b2be25823841569b04"/>
                        <w:id w:val="24723351"/>
                        <w:lock w:val="sdtLocked"/>
                      </w:sdtPr>
                      <w:sdtEndPr>
                        <w:rPr>
                          <w:rFonts w:cs="Times New Roman"/>
                          <w:kern w:val="0"/>
                          <w:sz w:val="20"/>
                        </w:rPr>
                      </w:sdtEndPr>
                      <w:sdtContent>
                        <w:tc>
                          <w:tcPr>
                            <w:tcW w:w="1537" w:type="pct"/>
                          </w:tcPr>
                          <w:p w:rsidR="00DE031E" w:rsidRDefault="001C1A59" w:rsidP="00DE031E">
                            <w:pPr>
                              <w:rPr>
                                <w:szCs w:val="21"/>
                              </w:rPr>
                            </w:pPr>
                            <w:r>
                              <w:rPr>
                                <w:rFonts w:cstheme="minorBidi" w:hint="eastAsia"/>
                                <w:kern w:val="2"/>
                                <w:szCs w:val="21"/>
                              </w:rPr>
                              <w:t>教育费附加</w:t>
                            </w:r>
                          </w:p>
                        </w:tc>
                      </w:sdtContent>
                    </w:sdt>
                    <w:sdt>
                      <w:sdtPr>
                        <w:rPr>
                          <w:szCs w:val="21"/>
                        </w:rPr>
                        <w:alias w:val="其他主要税种计税依据"/>
                        <w:tag w:val="_GBC_36b43cfa1c5b4e56b53e56c3668c2985"/>
                        <w:id w:val="24723352"/>
                        <w:lock w:val="sdtLocked"/>
                      </w:sdtPr>
                      <w:sdtContent>
                        <w:tc>
                          <w:tcPr>
                            <w:tcW w:w="1738" w:type="pct"/>
                          </w:tcPr>
                          <w:p w:rsidR="00DE031E" w:rsidRDefault="001C1A59">
                            <w:pPr>
                              <w:rPr>
                                <w:szCs w:val="21"/>
                              </w:rPr>
                            </w:pPr>
                            <w:r>
                              <w:rPr>
                                <w:rFonts w:hint="eastAsia"/>
                                <w:szCs w:val="21"/>
                              </w:rPr>
                              <w:t>应缴流转税额</w:t>
                            </w:r>
                          </w:p>
                        </w:tc>
                      </w:sdtContent>
                    </w:sdt>
                    <w:sdt>
                      <w:sdtPr>
                        <w:rPr>
                          <w:szCs w:val="21"/>
                        </w:rPr>
                        <w:alias w:val="其他主要税种税率"/>
                        <w:tag w:val="_GBC_ff09195391064ccb8c7ca98d11731bcc"/>
                        <w:id w:val="24723353"/>
                        <w:lock w:val="sdtLocked"/>
                      </w:sdtPr>
                      <w:sdtContent>
                        <w:tc>
                          <w:tcPr>
                            <w:tcW w:w="1725" w:type="pct"/>
                          </w:tcPr>
                          <w:p w:rsidR="00DE031E" w:rsidRDefault="001C1A59">
                            <w:pPr>
                              <w:rPr>
                                <w:szCs w:val="21"/>
                              </w:rPr>
                            </w:pPr>
                            <w:r>
                              <w:rPr>
                                <w:szCs w:val="21"/>
                              </w:rPr>
                              <w:t>3%</w:t>
                            </w:r>
                          </w:p>
                        </w:tc>
                      </w:sdtContent>
                    </w:sdt>
                  </w:tr>
                </w:sdtContent>
              </w:sdt>
              <w:sdt>
                <w:sdtPr>
                  <w:rPr>
                    <w:rFonts w:cstheme="minorBidi"/>
                    <w:kern w:val="2"/>
                    <w:szCs w:val="21"/>
                  </w:rPr>
                  <w:alias w:val="其他主要税种及税率"/>
                  <w:tag w:val="_GBC_b4f10406bc8741879c7bff390b72f9b9"/>
                  <w:id w:val="24723358"/>
                  <w:lock w:val="sdtLocked"/>
                </w:sdtPr>
                <w:sdtContent>
                  <w:tr w:rsidR="00DE031E" w:rsidTr="00F96290">
                    <w:sdt>
                      <w:sdtPr>
                        <w:rPr>
                          <w:rFonts w:cstheme="minorBidi"/>
                          <w:kern w:val="2"/>
                          <w:szCs w:val="21"/>
                        </w:rPr>
                        <w:alias w:val="其他主要税种名称"/>
                        <w:tag w:val="_GBC_1223c460ad9643b2be25823841569b04"/>
                        <w:id w:val="24723355"/>
                        <w:lock w:val="sdtLocked"/>
                      </w:sdtPr>
                      <w:sdtEndPr>
                        <w:rPr>
                          <w:rFonts w:cs="Times New Roman"/>
                          <w:kern w:val="0"/>
                          <w:sz w:val="20"/>
                        </w:rPr>
                      </w:sdtEndPr>
                      <w:sdtContent>
                        <w:tc>
                          <w:tcPr>
                            <w:tcW w:w="1537" w:type="pct"/>
                          </w:tcPr>
                          <w:p w:rsidR="00DE031E" w:rsidRDefault="001C1A59" w:rsidP="00DE031E">
                            <w:pPr>
                              <w:rPr>
                                <w:szCs w:val="21"/>
                              </w:rPr>
                            </w:pPr>
                            <w:r>
                              <w:rPr>
                                <w:rFonts w:cstheme="minorBidi" w:hint="eastAsia"/>
                                <w:kern w:val="2"/>
                                <w:szCs w:val="21"/>
                              </w:rPr>
                              <w:t>地方教育费附加</w:t>
                            </w:r>
                          </w:p>
                        </w:tc>
                      </w:sdtContent>
                    </w:sdt>
                    <w:sdt>
                      <w:sdtPr>
                        <w:rPr>
                          <w:szCs w:val="21"/>
                        </w:rPr>
                        <w:alias w:val="其他主要税种计税依据"/>
                        <w:tag w:val="_GBC_36b43cfa1c5b4e56b53e56c3668c2985"/>
                        <w:id w:val="24723356"/>
                        <w:lock w:val="sdtLocked"/>
                      </w:sdtPr>
                      <w:sdtContent>
                        <w:tc>
                          <w:tcPr>
                            <w:tcW w:w="1738" w:type="pct"/>
                          </w:tcPr>
                          <w:p w:rsidR="00DE031E" w:rsidRDefault="001C1A59">
                            <w:pPr>
                              <w:rPr>
                                <w:szCs w:val="21"/>
                              </w:rPr>
                            </w:pPr>
                            <w:r>
                              <w:rPr>
                                <w:rFonts w:hint="eastAsia"/>
                                <w:szCs w:val="21"/>
                              </w:rPr>
                              <w:t>应缴流转税额</w:t>
                            </w:r>
                          </w:p>
                        </w:tc>
                      </w:sdtContent>
                    </w:sdt>
                    <w:sdt>
                      <w:sdtPr>
                        <w:rPr>
                          <w:szCs w:val="21"/>
                        </w:rPr>
                        <w:alias w:val="其他主要税种税率"/>
                        <w:tag w:val="_GBC_ff09195391064ccb8c7ca98d11731bcc"/>
                        <w:id w:val="24723357"/>
                        <w:lock w:val="sdtLocked"/>
                      </w:sdtPr>
                      <w:sdtContent>
                        <w:tc>
                          <w:tcPr>
                            <w:tcW w:w="1725" w:type="pct"/>
                          </w:tcPr>
                          <w:p w:rsidR="00DE031E" w:rsidRDefault="001C1A59">
                            <w:pPr>
                              <w:rPr>
                                <w:szCs w:val="21"/>
                              </w:rPr>
                            </w:pPr>
                            <w:r>
                              <w:rPr>
                                <w:szCs w:val="21"/>
                              </w:rPr>
                              <w:t>2%</w:t>
                            </w:r>
                          </w:p>
                        </w:tc>
                      </w:sdtContent>
                    </w:sdt>
                  </w:tr>
                </w:sdtContent>
              </w:sdt>
            </w:tbl>
          </w:sdtContent>
        </w:sdt>
        <w:p w:rsidR="00DE031E" w:rsidRDefault="00DE031E">
          <w:pPr>
            <w:rPr>
              <w:szCs w:val="21"/>
            </w:rPr>
          </w:pPr>
        </w:p>
        <w:p w:rsidR="00DE031E" w:rsidRDefault="001C1A59" w:rsidP="00DE031E">
          <w:pPr>
            <w:spacing w:line="360" w:lineRule="auto"/>
            <w:rPr>
              <w:szCs w:val="21"/>
            </w:rPr>
          </w:pPr>
          <w:r>
            <w:rPr>
              <w:rFonts w:hint="eastAsia"/>
              <w:szCs w:val="21"/>
            </w:rPr>
            <w:t>存在不同企业所得税税率纳税主体的，披露情况说明</w:t>
          </w:r>
        </w:p>
        <w:sdt>
          <w:sdtPr>
            <w:rPr>
              <w:szCs w:val="21"/>
            </w:rPr>
            <w:alias w:val="是否适用：存在不同企业所得税税率纳税主体的，披露情况说明"/>
            <w:tag w:val="_GBC_e6eab9c8d31848aa9181a2d8bfe0e817"/>
            <w:id w:val="24723360"/>
            <w:lock w:val="sdtContentLocked"/>
            <w:placeholder>
              <w:docPart w:val="GBC22222222222222222222222222222"/>
            </w:placeholder>
          </w:sdtPr>
          <w:sdtContent>
            <w:p w:rsidR="00DE031E" w:rsidRDefault="00422DCA">
              <w:pPr>
                <w:rPr>
                  <w:szCs w:val="21"/>
                </w:rPr>
              </w:pPr>
              <w:r>
                <w:rPr>
                  <w:szCs w:val="21"/>
                </w:rPr>
                <w:fldChar w:fldCharType="begin"/>
              </w:r>
              <w:r w:rsidR="001C1A59">
                <w:rPr>
                  <w:szCs w:val="21"/>
                </w:rPr>
                <w:instrText xml:space="preserve"> MACROBUTTON  SnrToggleCheckbox √适用 </w:instrText>
              </w:r>
              <w:r>
                <w:rPr>
                  <w:szCs w:val="21"/>
                </w:rPr>
                <w:fldChar w:fldCharType="end"/>
              </w:r>
              <w:r>
                <w:rPr>
                  <w:szCs w:val="21"/>
                </w:rPr>
                <w:fldChar w:fldCharType="begin"/>
              </w:r>
              <w:r w:rsidR="001C1A59">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339"/>
            <w:gridCol w:w="1710"/>
          </w:tblGrid>
          <w:tr w:rsidR="00DE031E" w:rsidTr="00DE031E">
            <w:tc>
              <w:tcPr>
                <w:tcW w:w="4055" w:type="pct"/>
                <w:shd w:val="clear" w:color="auto" w:fill="auto"/>
                <w:vAlign w:val="center"/>
              </w:tcPr>
              <w:p w:rsidR="00DE031E" w:rsidRDefault="001C1A59">
                <w:pPr>
                  <w:jc w:val="center"/>
                  <w:rPr>
                    <w:szCs w:val="21"/>
                  </w:rPr>
                </w:pPr>
                <w:r>
                  <w:rPr>
                    <w:rFonts w:hint="eastAsia"/>
                    <w:szCs w:val="21"/>
                  </w:rPr>
                  <w:t>纳税主体名称</w:t>
                </w:r>
              </w:p>
            </w:tc>
            <w:tc>
              <w:tcPr>
                <w:tcW w:w="945" w:type="pct"/>
                <w:shd w:val="clear" w:color="auto" w:fill="auto"/>
                <w:vAlign w:val="center"/>
              </w:tcPr>
              <w:p w:rsidR="00DE031E" w:rsidRDefault="001C1A59">
                <w:pPr>
                  <w:jc w:val="center"/>
                  <w:rPr>
                    <w:szCs w:val="21"/>
                  </w:rPr>
                </w:pPr>
                <w:r>
                  <w:rPr>
                    <w:rFonts w:hint="eastAsia"/>
                    <w:szCs w:val="21"/>
                  </w:rPr>
                  <w:t>所得税税率</w:t>
                </w:r>
              </w:p>
            </w:tc>
          </w:tr>
          <w:sdt>
            <w:sdtPr>
              <w:rPr>
                <w:szCs w:val="21"/>
              </w:rPr>
              <w:alias w:val="不同纳税主体所得税税率说明明细"/>
              <w:tag w:val="_GBC_e71b3f1578da465088bdd975b9618640"/>
              <w:id w:val="24723363"/>
              <w:lock w:val="sdtLocked"/>
            </w:sdtPr>
            <w:sdtContent>
              <w:tr w:rsidR="00DE031E" w:rsidTr="00DE031E">
                <w:sdt>
                  <w:sdtPr>
                    <w:rPr>
                      <w:szCs w:val="21"/>
                    </w:rPr>
                    <w:alias w:val="不同纳税主体所得税税率说明明细-纳税主体名称"/>
                    <w:tag w:val="_GBC_4c66efa1d67d48338ad780345fb56db0"/>
                    <w:id w:val="24723361"/>
                    <w:lock w:val="sdtLocked"/>
                  </w:sdtPr>
                  <w:sdtContent>
                    <w:tc>
                      <w:tcPr>
                        <w:tcW w:w="4055" w:type="pct"/>
                        <w:shd w:val="clear" w:color="auto" w:fill="auto"/>
                        <w:vAlign w:val="center"/>
                      </w:tcPr>
                      <w:p w:rsidR="00DE031E" w:rsidRDefault="001C1A59">
                        <w:pPr>
                          <w:rPr>
                            <w:szCs w:val="21"/>
                          </w:rPr>
                        </w:pPr>
                        <w:r w:rsidRPr="00437FB4">
                          <w:rPr>
                            <w:rFonts w:ascii="Arial" w:eastAsiaTheme="majorEastAsia" w:hAnsi="Arial" w:cs="Arial"/>
                            <w:kern w:val="2"/>
                            <w:sz w:val="22"/>
                            <w:szCs w:val="22"/>
                          </w:rPr>
                          <w:t>江西招联投资管理有限公司、赣州招商致远壹号股权投资管理有限公司、江西致远发展投资管理有限公司、赣州招远投资管理有限公司</w:t>
                        </w:r>
                      </w:p>
                    </w:tc>
                  </w:sdtContent>
                </w:sdt>
                <w:sdt>
                  <w:sdtPr>
                    <w:rPr>
                      <w:szCs w:val="21"/>
                    </w:rPr>
                    <w:alias w:val="不同纳税主体所得税税率说明明细-所得税税率"/>
                    <w:tag w:val="_GBC_f980f5132fdc420482dec5668738b716"/>
                    <w:id w:val="24723362"/>
                    <w:lock w:val="sdtLocked"/>
                  </w:sdtPr>
                  <w:sdtContent>
                    <w:tc>
                      <w:tcPr>
                        <w:tcW w:w="945" w:type="pct"/>
                        <w:shd w:val="clear" w:color="auto" w:fill="auto"/>
                        <w:vAlign w:val="center"/>
                      </w:tcPr>
                      <w:p w:rsidR="00DE031E" w:rsidRDefault="001C1A59" w:rsidP="00DE031E">
                        <w:pPr>
                          <w:jc w:val="right"/>
                          <w:rPr>
                            <w:szCs w:val="21"/>
                          </w:rPr>
                        </w:pPr>
                        <w:r>
                          <w:rPr>
                            <w:rFonts w:hint="eastAsia"/>
                            <w:szCs w:val="21"/>
                          </w:rPr>
                          <w:t>15%</w:t>
                        </w:r>
                      </w:p>
                    </w:tc>
                  </w:sdtContent>
                </w:sdt>
              </w:tr>
            </w:sdtContent>
          </w:sdt>
          <w:sdt>
            <w:sdtPr>
              <w:rPr>
                <w:szCs w:val="21"/>
              </w:rPr>
              <w:alias w:val="不同纳税主体所得税税率说明明细"/>
              <w:tag w:val="_GBC_e71b3f1578da465088bdd975b9618640"/>
              <w:id w:val="24723366"/>
              <w:lock w:val="sdtLocked"/>
            </w:sdtPr>
            <w:sdtContent>
              <w:tr w:rsidR="00DE031E" w:rsidRPr="007F6F64" w:rsidTr="00DE031E">
                <w:sdt>
                  <w:sdtPr>
                    <w:rPr>
                      <w:szCs w:val="21"/>
                    </w:rPr>
                    <w:alias w:val="不同纳税主体所得税税率说明明细-纳税主体名称"/>
                    <w:tag w:val="_GBC_4c66efa1d67d48338ad780345fb56db0"/>
                    <w:id w:val="24723364"/>
                    <w:lock w:val="sdtLocked"/>
                  </w:sdtPr>
                  <w:sdtContent>
                    <w:tc>
                      <w:tcPr>
                        <w:tcW w:w="4055" w:type="pct"/>
                        <w:shd w:val="clear" w:color="auto" w:fill="auto"/>
                        <w:vAlign w:val="center"/>
                      </w:tcPr>
                      <w:p w:rsidR="00DE031E" w:rsidRDefault="001C1A59">
                        <w:pPr>
                          <w:rPr>
                            <w:szCs w:val="21"/>
                          </w:rPr>
                        </w:pPr>
                        <w:r w:rsidRPr="00437FB4">
                          <w:rPr>
                            <w:rFonts w:ascii="Arial" w:eastAsiaTheme="majorEastAsia" w:hAnsi="Arial" w:cs="Arial"/>
                            <w:kern w:val="2"/>
                            <w:sz w:val="22"/>
                            <w:szCs w:val="22"/>
                          </w:rPr>
                          <w:t>招商证券国际有限公司及其下属注册地在香港的控股子公司缴纳香港特别行政区利得税率</w:t>
                        </w:r>
                      </w:p>
                    </w:tc>
                  </w:sdtContent>
                </w:sdt>
                <w:sdt>
                  <w:sdtPr>
                    <w:rPr>
                      <w:szCs w:val="21"/>
                    </w:rPr>
                    <w:alias w:val="不同纳税主体所得税税率说明明细-所得税税率"/>
                    <w:tag w:val="_GBC_f980f5132fdc420482dec5668738b716"/>
                    <w:id w:val="24723365"/>
                    <w:lock w:val="sdtLocked"/>
                  </w:sdtPr>
                  <w:sdtContent>
                    <w:tc>
                      <w:tcPr>
                        <w:tcW w:w="945" w:type="pct"/>
                        <w:shd w:val="clear" w:color="auto" w:fill="auto"/>
                        <w:vAlign w:val="center"/>
                      </w:tcPr>
                      <w:p w:rsidR="00DE031E" w:rsidRDefault="001C1A59" w:rsidP="00DE031E">
                        <w:pPr>
                          <w:jc w:val="right"/>
                          <w:rPr>
                            <w:szCs w:val="21"/>
                          </w:rPr>
                        </w:pPr>
                        <w:r>
                          <w:rPr>
                            <w:rFonts w:hint="eastAsia"/>
                            <w:szCs w:val="21"/>
                          </w:rPr>
                          <w:t>16.5%</w:t>
                        </w:r>
                      </w:p>
                    </w:tc>
                  </w:sdtContent>
                </w:sdt>
              </w:tr>
            </w:sdtContent>
          </w:sdt>
        </w:tbl>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注</w:t>
          </w:r>
          <w:r w:rsidRPr="00437FB4">
            <w:rPr>
              <w:rFonts w:ascii="Arial" w:eastAsiaTheme="majorEastAsia" w:hAnsi="Arial" w:cs="Arial"/>
              <w:color w:val="auto"/>
              <w:kern w:val="2"/>
              <w:sz w:val="22"/>
              <w:szCs w:val="22"/>
            </w:rPr>
            <w:t>1</w:t>
          </w:r>
          <w:r w:rsidRPr="00437FB4">
            <w:rPr>
              <w:rFonts w:ascii="Arial" w:eastAsiaTheme="majorEastAsia" w:hAnsi="Arial" w:cs="Arial"/>
              <w:color w:val="auto"/>
              <w:kern w:val="2"/>
              <w:sz w:val="22"/>
              <w:szCs w:val="22"/>
            </w:rPr>
            <w:t>：根据国家税务总局《关于印发〈跨地区经营汇总纳税企业所得税征收管理办法〉的</w:t>
          </w:r>
          <w:r w:rsidRPr="00437FB4">
            <w:rPr>
              <w:rFonts w:ascii="Arial" w:eastAsiaTheme="majorEastAsia" w:hAnsi="Arial" w:cs="Arial" w:hint="eastAsia"/>
              <w:color w:val="auto"/>
              <w:kern w:val="2"/>
              <w:sz w:val="22"/>
              <w:szCs w:val="22"/>
            </w:rPr>
            <w:t>公告</w:t>
          </w:r>
          <w:r w:rsidRPr="00437FB4">
            <w:rPr>
              <w:rFonts w:ascii="Arial" w:eastAsiaTheme="majorEastAsia" w:hAnsi="Arial" w:cs="Arial"/>
              <w:color w:val="auto"/>
              <w:kern w:val="2"/>
              <w:sz w:val="22"/>
              <w:szCs w:val="22"/>
            </w:rPr>
            <w:t>》</w:t>
          </w:r>
          <w:r w:rsidRPr="00437FB4">
            <w:rPr>
              <w:rFonts w:ascii="Arial" w:eastAsiaTheme="majorEastAsia" w:hAnsi="Arial" w:cs="Arial" w:hint="eastAsia"/>
              <w:color w:val="auto"/>
              <w:kern w:val="2"/>
              <w:sz w:val="22"/>
              <w:szCs w:val="22"/>
            </w:rPr>
            <w:t>（</w:t>
          </w:r>
          <w:r w:rsidRPr="00437FB4">
            <w:rPr>
              <w:rFonts w:ascii="Arial" w:eastAsiaTheme="majorEastAsia" w:hAnsi="Arial" w:cs="Arial" w:hint="eastAsia"/>
              <w:sz w:val="22"/>
              <w:szCs w:val="22"/>
            </w:rPr>
            <w:t>总局公告</w:t>
          </w:r>
          <w:r w:rsidRPr="00437FB4">
            <w:rPr>
              <w:rFonts w:ascii="Arial" w:eastAsiaTheme="majorEastAsia" w:hAnsi="Arial" w:cs="Arial" w:hint="eastAsia"/>
              <w:sz w:val="22"/>
              <w:szCs w:val="22"/>
            </w:rPr>
            <w:t>2012</w:t>
          </w:r>
          <w:r w:rsidRPr="00437FB4">
            <w:rPr>
              <w:rFonts w:ascii="Arial" w:eastAsiaTheme="majorEastAsia" w:hAnsi="Arial" w:cs="Arial" w:hint="eastAsia"/>
              <w:sz w:val="22"/>
              <w:szCs w:val="22"/>
            </w:rPr>
            <w:t>年第</w:t>
          </w:r>
          <w:r w:rsidRPr="00437FB4">
            <w:rPr>
              <w:rFonts w:ascii="Arial" w:eastAsiaTheme="majorEastAsia" w:hAnsi="Arial" w:cs="Arial" w:hint="eastAsia"/>
              <w:sz w:val="22"/>
              <w:szCs w:val="22"/>
            </w:rPr>
            <w:t>57</w:t>
          </w:r>
          <w:r w:rsidRPr="00437FB4">
            <w:rPr>
              <w:rFonts w:ascii="Arial" w:eastAsiaTheme="majorEastAsia" w:hAnsi="Arial" w:cs="Arial" w:hint="eastAsia"/>
              <w:sz w:val="22"/>
              <w:szCs w:val="22"/>
            </w:rPr>
            <w:t>号）</w:t>
          </w:r>
          <w:r w:rsidRPr="00437FB4">
            <w:rPr>
              <w:rFonts w:ascii="Arial" w:eastAsiaTheme="majorEastAsia" w:hAnsi="Arial" w:cs="Arial"/>
              <w:color w:val="auto"/>
              <w:kern w:val="2"/>
              <w:sz w:val="22"/>
              <w:szCs w:val="22"/>
            </w:rPr>
            <w:t>的规定，本公司的所得税实行</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统一计算、分级管理、就地预缴、汇总清算、财政调库</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的企业所得税征收管理办法。</w:t>
          </w:r>
        </w:p>
        <w:p w:rsidR="00DE031E" w:rsidRPr="00437FB4" w:rsidRDefault="001C1A59" w:rsidP="00DE031E">
          <w:pPr>
            <w:pStyle w:val="Default"/>
            <w:snapToGrid w:val="0"/>
            <w:spacing w:line="360" w:lineRule="auto"/>
            <w:ind w:rightChars="20" w:right="42"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注</w:t>
          </w:r>
          <w:r>
            <w:rPr>
              <w:rFonts w:ascii="Arial" w:eastAsiaTheme="majorEastAsia" w:hAnsi="Arial" w:cs="Arial" w:hint="eastAsia"/>
              <w:color w:val="auto"/>
              <w:kern w:val="2"/>
              <w:sz w:val="22"/>
              <w:szCs w:val="22"/>
            </w:rPr>
            <w:t>2</w:t>
          </w:r>
          <w:r w:rsidRPr="00437FB4">
            <w:rPr>
              <w:rFonts w:ascii="Arial" w:eastAsiaTheme="majorEastAsia" w:hAnsi="Arial" w:cs="Arial"/>
              <w:color w:val="auto"/>
              <w:kern w:val="2"/>
              <w:sz w:val="22"/>
              <w:szCs w:val="22"/>
            </w:rPr>
            <w:t>：本公司之子公司招商证券国际有限公司及其下属注册地在香港的控股子公司缴纳香港特别行政区利得税率。</w:t>
          </w:r>
        </w:p>
        <w:p w:rsidR="00DE031E" w:rsidRPr="007F6F64" w:rsidRDefault="001C1A59" w:rsidP="00DE031E">
          <w:pPr>
            <w:adjustRightInd w:val="0"/>
            <w:snapToGrid w:val="0"/>
            <w:spacing w:line="360" w:lineRule="auto"/>
          </w:pPr>
          <w:r w:rsidRPr="00437FB4">
            <w:rPr>
              <w:rFonts w:ascii="Arial" w:eastAsiaTheme="majorEastAsia" w:hAnsi="Arial" w:cs="Arial"/>
              <w:kern w:val="2"/>
              <w:sz w:val="22"/>
              <w:szCs w:val="22"/>
            </w:rPr>
            <w:t>注</w:t>
          </w:r>
          <w:r>
            <w:rPr>
              <w:rFonts w:ascii="Arial" w:eastAsiaTheme="majorEastAsia" w:hAnsi="Arial" w:cs="Arial" w:hint="eastAsia"/>
              <w:kern w:val="2"/>
              <w:sz w:val="22"/>
              <w:szCs w:val="22"/>
            </w:rPr>
            <w:t>3</w:t>
          </w:r>
          <w:r w:rsidRPr="00437FB4">
            <w:rPr>
              <w:rFonts w:ascii="Arial" w:eastAsiaTheme="majorEastAsia" w:hAnsi="Arial" w:cs="Arial"/>
              <w:kern w:val="2"/>
              <w:sz w:val="22"/>
              <w:szCs w:val="22"/>
            </w:rPr>
            <w:t>：根据《财政部、国家税务总局关于证券投资者保护基金有关营业税问题的通知》【财税</w:t>
          </w:r>
          <w:r w:rsidRPr="00437FB4">
            <w:rPr>
              <w:rFonts w:ascii="Arial" w:eastAsiaTheme="majorEastAsia" w:hAnsi="Arial" w:cs="Arial"/>
              <w:kern w:val="2"/>
              <w:sz w:val="22"/>
              <w:szCs w:val="22"/>
            </w:rPr>
            <w:t xml:space="preserve">[2006]172 </w:t>
          </w:r>
          <w:r w:rsidRPr="00437FB4">
            <w:rPr>
              <w:rFonts w:ascii="Arial" w:eastAsiaTheme="majorEastAsia" w:hAnsi="Arial" w:cs="Arial"/>
              <w:kern w:val="2"/>
              <w:sz w:val="22"/>
              <w:szCs w:val="22"/>
            </w:rPr>
            <w:t>号】文件规定，准许证券公司上缴的证券投资者保护基金从其营业税计税营业额中扣除。</w:t>
          </w:r>
        </w:p>
      </w:sdtContent>
    </w:sdt>
    <w:sdt>
      <w:sdtPr>
        <w:rPr>
          <w:rFonts w:ascii="宋体" w:eastAsia="华文中宋" w:hAnsi="宋体" w:cs="宋体"/>
          <w:b w:val="0"/>
          <w:bCs w:val="0"/>
          <w:color w:val="000000"/>
          <w:kern w:val="0"/>
          <w:sz w:val="24"/>
          <w:szCs w:val="22"/>
        </w:rPr>
        <w:tag w:val="_GBC_8efa381cc976417f9135f0c744d05452"/>
        <w:id w:val="2472336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DE031E" w:rsidRDefault="001C1A59" w:rsidP="009950AC">
          <w:pPr>
            <w:pStyle w:val="3"/>
            <w:numPr>
              <w:ilvl w:val="0"/>
              <w:numId w:val="40"/>
            </w:numPr>
            <w:tabs>
              <w:tab w:val="left" w:pos="546"/>
            </w:tabs>
            <w:spacing w:line="360" w:lineRule="auto"/>
          </w:pPr>
          <w:r>
            <w:t>税收优惠</w:t>
          </w:r>
        </w:p>
        <w:sdt>
          <w:sdtPr>
            <w:rPr>
              <w:rFonts w:hint="eastAsia"/>
              <w:szCs w:val="21"/>
            </w:rPr>
            <w:alias w:val="优惠税赋及批文"/>
            <w:tag w:val="_GBC_3bbdacdaa3ba421fb8a81b9bda047bb4"/>
            <w:id w:val="24723368"/>
            <w:lock w:val="sdtLocked"/>
            <w:placeholder>
              <w:docPart w:val="GBC22222222222222222222222222222"/>
            </w:placeholder>
          </w:sdtPr>
          <w:sdtContent>
            <w:p w:rsidR="00DE031E" w:rsidRPr="00521428" w:rsidRDefault="001C1A59" w:rsidP="00DE031E">
              <w:pPr>
                <w:pStyle w:val="Default"/>
                <w:snapToGrid w:val="0"/>
                <w:spacing w:line="360" w:lineRule="auto"/>
                <w:ind w:rightChars="20" w:right="42" w:firstLineChars="200" w:firstLine="48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根据</w:t>
              </w:r>
              <w:r w:rsidRPr="00437FB4">
                <w:rPr>
                  <w:rFonts w:ascii="Arial" w:eastAsia="宋体" w:hAnsi="Arial" w:cs="Arial"/>
                  <w:color w:val="auto"/>
                  <w:kern w:val="2"/>
                  <w:sz w:val="22"/>
                  <w:szCs w:val="22"/>
                </w:rPr>
                <w:t>江西省地方税务局关于发布《赣州市执行西部大开发企业所得税优惠政策管理办法（试行）》的公告</w:t>
              </w:r>
              <w:r w:rsidRPr="00437FB4">
                <w:rPr>
                  <w:rFonts w:ascii="Arial" w:eastAsiaTheme="majorEastAsia" w:hAnsi="Arial" w:cs="Arial"/>
                  <w:color w:val="auto"/>
                  <w:kern w:val="2"/>
                  <w:sz w:val="22"/>
                  <w:szCs w:val="22"/>
                </w:rPr>
                <w:t>，本公司之下属子公司江西招联投资管理有限公司、赣州招商致远壹号股权投资管理有限公司、江西致远发展投资管理有限公司、赣州招远投资管理有限公司四家获批执行西部大开发企业所得税优惠政策，按</w:t>
              </w:r>
              <w:r w:rsidRPr="00437FB4">
                <w:rPr>
                  <w:rFonts w:ascii="Arial" w:eastAsiaTheme="majorEastAsia" w:hAnsi="Arial" w:cs="Arial"/>
                  <w:color w:val="auto"/>
                  <w:kern w:val="2"/>
                  <w:sz w:val="22"/>
                  <w:szCs w:val="22"/>
                </w:rPr>
                <w:t>15%</w:t>
              </w:r>
              <w:r w:rsidRPr="00437FB4">
                <w:rPr>
                  <w:rFonts w:ascii="Arial" w:eastAsiaTheme="majorEastAsia" w:hAnsi="Arial" w:cs="Arial"/>
                  <w:color w:val="auto"/>
                  <w:kern w:val="2"/>
                  <w:sz w:val="22"/>
                  <w:szCs w:val="22"/>
                </w:rPr>
                <w:t>计缴企业所得税。</w:t>
              </w:r>
            </w:p>
          </w:sdtContent>
        </w:sdt>
      </w:sdtContent>
    </w:sdt>
    <w:p w:rsidR="00DE031E" w:rsidRDefault="001C1A59" w:rsidP="009950AC">
      <w:pPr>
        <w:pStyle w:val="2"/>
        <w:numPr>
          <w:ilvl w:val="0"/>
          <w:numId w:val="30"/>
        </w:numPr>
        <w:spacing w:line="360" w:lineRule="auto"/>
      </w:pPr>
      <w:r>
        <w:rPr>
          <w:rFonts w:hint="eastAsia"/>
        </w:rPr>
        <w:t>合并财务报表项目注释</w:t>
      </w:r>
    </w:p>
    <w:p w:rsidR="00DE031E" w:rsidRDefault="001C1A59" w:rsidP="009950AC">
      <w:pPr>
        <w:pStyle w:val="3"/>
        <w:numPr>
          <w:ilvl w:val="0"/>
          <w:numId w:val="42"/>
        </w:numPr>
        <w:spacing w:line="360" w:lineRule="auto"/>
        <w:sectPr w:rsidR="00DE031E" w:rsidSect="000F6CCA">
          <w:headerReference w:type="default" r:id="rId17"/>
          <w:pgSz w:w="11906" w:h="16838"/>
          <w:pgMar w:top="1440" w:right="1797" w:bottom="1525" w:left="1276" w:header="856" w:footer="992" w:gutter="0"/>
          <w:cols w:space="425"/>
          <w:docGrid w:linePitch="312"/>
        </w:sectPr>
      </w:pPr>
      <w:r>
        <w:rPr>
          <w:rFonts w:hint="eastAsia"/>
        </w:rPr>
        <w:t>货币资金</w:t>
      </w:r>
    </w:p>
    <w:sdt>
      <w:sdtPr>
        <w:rPr>
          <w:rFonts w:hint="eastAsia"/>
          <w:szCs w:val="21"/>
        </w:rPr>
        <w:tag w:val="_GBC_e001074b3db146e59ba240ad8dd14b68"/>
        <w:id w:val="24723529"/>
        <w:lock w:val="sdtLocked"/>
        <w:placeholder>
          <w:docPart w:val="GBC22222222222222222222222222222"/>
        </w:placeholder>
      </w:sdtPr>
      <w:sdtContent>
        <w:p w:rsidR="00DE031E" w:rsidRDefault="001C1A59">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4723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3"/>
            <w:gridCol w:w="2524"/>
            <w:gridCol w:w="1387"/>
            <w:gridCol w:w="2525"/>
            <w:gridCol w:w="1896"/>
            <w:gridCol w:w="1333"/>
            <w:gridCol w:w="2001"/>
          </w:tblGrid>
          <w:tr w:rsidR="00DE031E" w:rsidRPr="00BA4523" w:rsidTr="00DE031E">
            <w:trPr>
              <w:trHeight w:val="212"/>
            </w:trPr>
            <w:tc>
              <w:tcPr>
                <w:tcW w:w="896" w:type="pct"/>
                <w:vMerge w:val="restart"/>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项目</w:t>
                </w:r>
              </w:p>
            </w:tc>
            <w:tc>
              <w:tcPr>
                <w:tcW w:w="2391" w:type="pct"/>
                <w:gridSpan w:val="3"/>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期末</w:t>
                </w:r>
              </w:p>
            </w:tc>
            <w:tc>
              <w:tcPr>
                <w:tcW w:w="1712" w:type="pct"/>
                <w:gridSpan w:val="3"/>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期初</w:t>
                </w:r>
              </w:p>
            </w:tc>
          </w:tr>
          <w:tr w:rsidR="00DE031E" w:rsidRPr="00BA4523" w:rsidTr="00DE031E">
            <w:trPr>
              <w:trHeight w:val="603"/>
            </w:trPr>
            <w:tc>
              <w:tcPr>
                <w:tcW w:w="896" w:type="pct"/>
                <w:vMerge/>
                <w:tcBorders>
                  <w:bottom w:val="single" w:sz="4" w:space="0" w:color="auto"/>
                </w:tcBorders>
                <w:shd w:val="clear" w:color="auto" w:fill="auto"/>
                <w:vAlign w:val="center"/>
              </w:tcPr>
              <w:p w:rsidR="00DE031E" w:rsidRPr="00BA4523" w:rsidRDefault="00DE031E" w:rsidP="00DE031E">
                <w:pPr>
                  <w:jc w:val="center"/>
                  <w:rPr>
                    <w:rFonts w:asciiTheme="minorEastAsia" w:eastAsiaTheme="minorEastAsia" w:hAnsiTheme="minorEastAsia"/>
                    <w:bCs/>
                    <w:szCs w:val="21"/>
                  </w:rPr>
                </w:pPr>
              </w:p>
            </w:tc>
            <w:tc>
              <w:tcPr>
                <w:tcW w:w="932" w:type="pct"/>
                <w:tcBorders>
                  <w:bottom w:val="single" w:sz="4" w:space="0" w:color="auto"/>
                </w:tcBorders>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外币金额</w:t>
                </w:r>
              </w:p>
            </w:tc>
            <w:tc>
              <w:tcPr>
                <w:tcW w:w="528" w:type="pct"/>
                <w:tcBorders>
                  <w:bottom w:val="single" w:sz="4" w:space="0" w:color="auto"/>
                </w:tcBorders>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折算率</w:t>
                </w:r>
              </w:p>
            </w:tc>
            <w:tc>
              <w:tcPr>
                <w:tcW w:w="932" w:type="pct"/>
                <w:tcBorders>
                  <w:bottom w:val="single" w:sz="4" w:space="0" w:color="auto"/>
                </w:tcBorders>
                <w:shd w:val="clear" w:color="auto" w:fill="auto"/>
                <w:vAlign w:val="center"/>
              </w:tcPr>
              <w:p w:rsidR="00DE031E" w:rsidRPr="00BA4523" w:rsidRDefault="001C1A59" w:rsidP="00DE031E">
                <w:pPr>
                  <w:ind w:rightChars="-27" w:right="-57"/>
                  <w:jc w:val="center"/>
                  <w:rPr>
                    <w:rFonts w:asciiTheme="minorEastAsia" w:eastAsiaTheme="minorEastAsia" w:hAnsiTheme="minorEastAsia"/>
                    <w:bCs/>
                    <w:szCs w:val="21"/>
                  </w:rPr>
                </w:pPr>
                <w:r w:rsidRPr="00BA4523">
                  <w:rPr>
                    <w:rFonts w:asciiTheme="minorEastAsia" w:eastAsiaTheme="minorEastAsia" w:hAnsiTheme="minorEastAsia"/>
                    <w:bCs/>
                    <w:szCs w:val="21"/>
                  </w:rPr>
                  <w:t>折人民币</w:t>
                </w:r>
              </w:p>
              <w:p w:rsidR="00DE031E" w:rsidRPr="00BA4523" w:rsidRDefault="001C1A59" w:rsidP="00DE031E">
                <w:pPr>
                  <w:ind w:rightChars="-27" w:right="-57"/>
                  <w:jc w:val="center"/>
                  <w:rPr>
                    <w:rFonts w:asciiTheme="minorEastAsia" w:eastAsiaTheme="minorEastAsia" w:hAnsiTheme="minorEastAsia"/>
                    <w:bCs/>
                    <w:szCs w:val="21"/>
                  </w:rPr>
                </w:pPr>
                <w:r w:rsidRPr="00BA4523">
                  <w:rPr>
                    <w:rFonts w:asciiTheme="minorEastAsia" w:eastAsiaTheme="minorEastAsia" w:hAnsiTheme="minorEastAsia"/>
                    <w:bCs/>
                    <w:szCs w:val="21"/>
                  </w:rPr>
                  <w:t>金额</w:t>
                </w:r>
              </w:p>
            </w:tc>
            <w:tc>
              <w:tcPr>
                <w:tcW w:w="562" w:type="pct"/>
                <w:tcBorders>
                  <w:bottom w:val="single" w:sz="4" w:space="0" w:color="auto"/>
                </w:tcBorders>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外币金额</w:t>
                </w:r>
              </w:p>
            </w:tc>
            <w:tc>
              <w:tcPr>
                <w:tcW w:w="509" w:type="pct"/>
                <w:tcBorders>
                  <w:bottom w:val="single" w:sz="4" w:space="0" w:color="auto"/>
                </w:tcBorders>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折算率</w:t>
                </w:r>
              </w:p>
            </w:tc>
            <w:tc>
              <w:tcPr>
                <w:tcW w:w="642" w:type="pct"/>
                <w:tcBorders>
                  <w:bottom w:val="single" w:sz="4" w:space="0" w:color="auto"/>
                </w:tcBorders>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折人民币</w:t>
                </w:r>
              </w:p>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bCs/>
                    <w:szCs w:val="21"/>
                  </w:rPr>
                  <w:t>金额</w:t>
                </w:r>
              </w:p>
            </w:tc>
          </w:tr>
          <w:tr w:rsidR="00DE031E" w:rsidRPr="00BA4523" w:rsidTr="00DE031E">
            <w:tc>
              <w:tcPr>
                <w:tcW w:w="896" w:type="pct"/>
                <w:shd w:val="clear" w:color="auto" w:fill="auto"/>
                <w:vAlign w:val="center"/>
              </w:tcPr>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现金：</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现金合计"/>
                <w:tag w:val="_GBC_6b383bdd720a48d8ab0ade3b8896fcb6"/>
                <w:id w:val="24723371"/>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bCs/>
                        <w:color w:val="000000"/>
                        <w:szCs w:val="21"/>
                      </w:rPr>
                      <w:t>23,092.18</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现金合计"/>
                <w:tag w:val="_GBC_5aabaa00ed284d4ebf0885fa81f4288c"/>
                <w:id w:val="24723372"/>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bCs/>
                        <w:color w:val="000000"/>
                        <w:szCs w:val="21"/>
                      </w:rPr>
                      <w:t>27,057.52</w:t>
                    </w:r>
                  </w:p>
                </w:tc>
              </w:sdtContent>
            </w:sdt>
          </w:tr>
          <w:tr w:rsidR="00DE031E" w:rsidRPr="00BA4523" w:rsidTr="00DE031E">
            <w:tc>
              <w:tcPr>
                <w:tcW w:w="896" w:type="pct"/>
                <w:shd w:val="clear" w:color="auto" w:fill="auto"/>
                <w:vAlign w:val="center"/>
              </w:tcPr>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人民币</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现金本币金额"/>
                <w:tag w:val="_GBC_a5a131e8b4694c8bbd8622610e38304a"/>
                <w:id w:val="24723373"/>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14,774.47</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现金本币金额"/>
                <w:tag w:val="_GBC_648589dd28cd409a946e716f1780635c"/>
                <w:id w:val="24723374"/>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18,629.47</w:t>
                    </w:r>
                  </w:p>
                </w:tc>
              </w:sdtContent>
            </w:sdt>
          </w:tr>
          <w:sdt>
            <w:sdtPr>
              <w:rPr>
                <w:rFonts w:asciiTheme="minorEastAsia" w:eastAsiaTheme="minorEastAsia" w:hAnsiTheme="minorEastAsia" w:hint="eastAsia"/>
                <w:color w:val="000000" w:themeColor="text1"/>
                <w:szCs w:val="21"/>
              </w:rPr>
              <w:alias w:val="现金外币分类"/>
              <w:tag w:val="_GBC_fa68e77360ff464ca15e07896779574c"/>
              <w:id w:val="24723382"/>
              <w:lock w:val="sdtLocked"/>
            </w:sdtPr>
            <w:sdtContent>
              <w:tr w:rsidR="00DE031E" w:rsidRPr="00BA4523" w:rsidTr="00DE031E">
                <w:tc>
                  <w:tcPr>
                    <w:tcW w:w="896" w:type="pct"/>
                    <w:shd w:val="clear" w:color="auto" w:fill="auto"/>
                  </w:tcPr>
                  <w:sdt>
                    <w:sdtPr>
                      <w:rPr>
                        <w:rFonts w:asciiTheme="minorEastAsia" w:eastAsiaTheme="minorEastAsia" w:hAnsiTheme="minorEastAsia" w:hint="eastAsia"/>
                        <w:color w:val="000000" w:themeColor="text1"/>
                        <w:szCs w:val="21"/>
                      </w:rPr>
                      <w:alias w:val="现金外币币种"/>
                      <w:tag w:val="_GBC_5e0f2ecbda844c4293d7bcf73a45fb16"/>
                      <w:id w:val="2472337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color w:val="000000" w:themeColor="text1"/>
                            <w:szCs w:val="21"/>
                          </w:rPr>
                        </w:pPr>
                        <w:r w:rsidRPr="00BA4523">
                          <w:rPr>
                            <w:rFonts w:asciiTheme="minorEastAsia" w:eastAsiaTheme="minorEastAsia" w:hAnsiTheme="minorEastAsia" w:hint="eastAsia"/>
                            <w:color w:val="000000" w:themeColor="text1"/>
                            <w:szCs w:val="21"/>
                          </w:rPr>
                          <w:t>港元</w:t>
                        </w:r>
                      </w:p>
                    </w:sdtContent>
                  </w:sdt>
                </w:tc>
                <w:sdt>
                  <w:sdtPr>
                    <w:rPr>
                      <w:rFonts w:asciiTheme="minorEastAsia" w:eastAsiaTheme="minorEastAsia" w:hAnsiTheme="minorEastAsia"/>
                      <w:bCs/>
                      <w:color w:val="000000" w:themeColor="text1"/>
                      <w:szCs w:val="21"/>
                    </w:rPr>
                    <w:alias w:val="现金外币金额"/>
                    <w:tag w:val="_GBC_b339194e55fb4cc2925a2de92d3b9d0a"/>
                    <w:id w:val="24723376"/>
                    <w:lock w:val="sdtLocked"/>
                  </w:sdtPr>
                  <w:sdtContent>
                    <w:tc>
                      <w:tcPr>
                        <w:tcW w:w="932" w:type="pct"/>
                        <w:shd w:val="clear" w:color="auto" w:fill="auto"/>
                      </w:tcPr>
                      <w:p w:rsidR="00DE031E" w:rsidRPr="00BA4523" w:rsidRDefault="001C1A59" w:rsidP="00DE031E">
                        <w:pPr>
                          <w:autoSpaceDE w:val="0"/>
                          <w:autoSpaceDN w:val="0"/>
                          <w:adjustRightInd w:val="0"/>
                          <w:snapToGrid w:val="0"/>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10,547.30</w:t>
                        </w:r>
                      </w:p>
                    </w:tc>
                  </w:sdtContent>
                </w:sdt>
                <w:sdt>
                  <w:sdtPr>
                    <w:rPr>
                      <w:rFonts w:asciiTheme="minorEastAsia" w:eastAsiaTheme="minorEastAsia" w:hAnsiTheme="minorEastAsia"/>
                      <w:bCs/>
                      <w:color w:val="000000" w:themeColor="text1"/>
                      <w:szCs w:val="21"/>
                    </w:rPr>
                    <w:alias w:val="现金外币折算率"/>
                    <w:tag w:val="_GBC_5b03d49b97ce40ecab62bbce1aa98fd5"/>
                    <w:id w:val="24723377"/>
                    <w:lock w:val="sdtLocked"/>
                  </w:sdtPr>
                  <w:sdtContent>
                    <w:tc>
                      <w:tcPr>
                        <w:tcW w:w="528" w:type="pct"/>
                        <w:shd w:val="clear" w:color="auto" w:fill="auto"/>
                      </w:tcPr>
                      <w:p w:rsidR="00DE031E" w:rsidRPr="00BA4523" w:rsidRDefault="001C1A59" w:rsidP="00DE031E">
                        <w:pPr>
                          <w:autoSpaceDE w:val="0"/>
                          <w:autoSpaceDN w:val="0"/>
                          <w:adjustRightInd w:val="0"/>
                          <w:snapToGrid w:val="0"/>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0.78861</w:t>
                        </w:r>
                      </w:p>
                    </w:tc>
                  </w:sdtContent>
                </w:sdt>
                <w:sdt>
                  <w:sdtPr>
                    <w:rPr>
                      <w:rFonts w:asciiTheme="minorEastAsia" w:eastAsiaTheme="minorEastAsia" w:hAnsiTheme="minorEastAsia"/>
                      <w:bCs/>
                      <w:color w:val="000000" w:themeColor="text1"/>
                      <w:szCs w:val="21"/>
                    </w:rPr>
                    <w:alias w:val="现金外币折算人民币金额"/>
                    <w:tag w:val="_GBC_fc5cd2f494064c578b10fdb2d06b3ece"/>
                    <w:id w:val="2472337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8,317.71</w:t>
                        </w:r>
                      </w:p>
                    </w:tc>
                  </w:sdtContent>
                </w:sdt>
                <w:sdt>
                  <w:sdtPr>
                    <w:rPr>
                      <w:rFonts w:asciiTheme="minorEastAsia" w:eastAsiaTheme="minorEastAsia" w:hAnsiTheme="minorEastAsia"/>
                      <w:bCs/>
                      <w:color w:val="000000" w:themeColor="text1"/>
                      <w:szCs w:val="21"/>
                    </w:rPr>
                    <w:alias w:val="现金外币金额"/>
                    <w:tag w:val="_GBC_eb437a96b45545f4a20742b5ecc9841e"/>
                    <w:id w:val="24723379"/>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10,683.70</w:t>
                        </w:r>
                      </w:p>
                    </w:tc>
                  </w:sdtContent>
                </w:sdt>
                <w:sdt>
                  <w:sdtPr>
                    <w:rPr>
                      <w:rFonts w:asciiTheme="minorEastAsia" w:eastAsiaTheme="minorEastAsia" w:hAnsiTheme="minorEastAsia"/>
                      <w:bCs/>
                      <w:color w:val="000000" w:themeColor="text1"/>
                      <w:szCs w:val="21"/>
                    </w:rPr>
                    <w:alias w:val="现金外币折算率"/>
                    <w:tag w:val="_GBC_0f66e864c8814c6b81abd674c4024d34"/>
                    <w:id w:val="24723380"/>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0.78887</w:t>
                        </w:r>
                      </w:p>
                    </w:tc>
                  </w:sdtContent>
                </w:sdt>
                <w:sdt>
                  <w:sdtPr>
                    <w:rPr>
                      <w:rFonts w:asciiTheme="minorEastAsia" w:eastAsiaTheme="minorEastAsia" w:hAnsiTheme="minorEastAsia"/>
                      <w:bCs/>
                      <w:color w:val="000000" w:themeColor="text1"/>
                      <w:szCs w:val="21"/>
                    </w:rPr>
                    <w:alias w:val="现金外币折算人民币金额"/>
                    <w:tag w:val="_GBC_cfaab61956e847fa9b38b25228c1c31e"/>
                    <w:id w:val="24723381"/>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8,428.05</w:t>
                        </w:r>
                      </w:p>
                    </w:tc>
                  </w:sdtContent>
                </w:sdt>
              </w:tr>
            </w:sdtContent>
          </w:sdt>
          <w:sdt>
            <w:sdtPr>
              <w:rPr>
                <w:rFonts w:asciiTheme="minorEastAsia" w:eastAsiaTheme="minorEastAsia" w:hAnsiTheme="minorEastAsia" w:hint="eastAsia"/>
                <w:color w:val="000000" w:themeColor="text1"/>
                <w:szCs w:val="21"/>
              </w:rPr>
              <w:alias w:val="现金外币分类"/>
              <w:tag w:val="_GBC_fa68e77360ff464ca15e07896779574c"/>
              <w:id w:val="24723390"/>
              <w:lock w:val="sdtLocked"/>
            </w:sdtPr>
            <w:sdtContent>
              <w:tr w:rsidR="00DE031E" w:rsidRPr="00BA4523" w:rsidTr="00DE031E">
                <w:tc>
                  <w:tcPr>
                    <w:tcW w:w="896" w:type="pct"/>
                    <w:shd w:val="clear" w:color="auto" w:fill="auto"/>
                  </w:tcPr>
                  <w:sdt>
                    <w:sdtPr>
                      <w:rPr>
                        <w:rFonts w:asciiTheme="minorEastAsia" w:eastAsiaTheme="minorEastAsia" w:hAnsiTheme="minorEastAsia" w:hint="eastAsia"/>
                        <w:color w:val="000000" w:themeColor="text1"/>
                        <w:szCs w:val="21"/>
                      </w:rPr>
                      <w:alias w:val="现金外币币种"/>
                      <w:tag w:val="_GBC_5e0f2ecbda844c4293d7bcf73a45fb16"/>
                      <w:id w:val="247233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color w:val="000000" w:themeColor="text1"/>
                            <w:szCs w:val="21"/>
                          </w:rPr>
                        </w:pPr>
                        <w:r w:rsidRPr="00BA4523">
                          <w:rPr>
                            <w:rFonts w:asciiTheme="minorEastAsia" w:eastAsiaTheme="minorEastAsia" w:hAnsiTheme="minorEastAsia" w:hint="eastAsia"/>
                            <w:color w:val="000000" w:themeColor="text1"/>
                            <w:szCs w:val="21"/>
                          </w:rPr>
                          <w:t>美元</w:t>
                        </w:r>
                      </w:p>
                    </w:sdtContent>
                  </w:sdt>
                </w:tc>
                <w:sdt>
                  <w:sdtPr>
                    <w:rPr>
                      <w:rFonts w:asciiTheme="minorEastAsia" w:eastAsiaTheme="minorEastAsia" w:hAnsiTheme="minorEastAsia"/>
                      <w:bCs/>
                      <w:color w:val="000000" w:themeColor="text1"/>
                      <w:szCs w:val="21"/>
                    </w:rPr>
                    <w:alias w:val="现金外币金额"/>
                    <w:tag w:val="_GBC_b339194e55fb4cc2925a2de92d3b9d0a"/>
                    <w:id w:val="24723384"/>
                    <w:lock w:val="sdtLocked"/>
                    <w:showingPlcHdr/>
                  </w:sdtPr>
                  <w:sdtContent>
                    <w:tc>
                      <w:tcPr>
                        <w:tcW w:w="932" w:type="pct"/>
                        <w:shd w:val="clear" w:color="auto" w:fill="auto"/>
                      </w:tcPr>
                      <w:p w:rsidR="00DE031E" w:rsidRPr="00BA4523" w:rsidRDefault="001C1A59" w:rsidP="00DE031E">
                        <w:pPr>
                          <w:autoSpaceDE w:val="0"/>
                          <w:autoSpaceDN w:val="0"/>
                          <w:adjustRightInd w:val="0"/>
                          <w:snapToGrid w:val="0"/>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bCs/>
                      <w:color w:val="000000" w:themeColor="text1"/>
                      <w:szCs w:val="21"/>
                    </w:rPr>
                    <w:alias w:val="现金外币折算率"/>
                    <w:tag w:val="_GBC_5b03d49b97ce40ecab62bbce1aa98fd5"/>
                    <w:id w:val="24723385"/>
                    <w:lock w:val="sdtLocked"/>
                    <w:showingPlcHdr/>
                  </w:sdtPr>
                  <w:sdtContent>
                    <w:tc>
                      <w:tcPr>
                        <w:tcW w:w="528" w:type="pct"/>
                        <w:shd w:val="clear" w:color="auto" w:fill="auto"/>
                      </w:tcPr>
                      <w:p w:rsidR="00DE031E" w:rsidRPr="00BA4523" w:rsidRDefault="001C1A59" w:rsidP="00DE031E">
                        <w:pPr>
                          <w:autoSpaceDE w:val="0"/>
                          <w:autoSpaceDN w:val="0"/>
                          <w:adjustRightInd w:val="0"/>
                          <w:snapToGrid w:val="0"/>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bCs/>
                      <w:color w:val="000000" w:themeColor="text1"/>
                      <w:szCs w:val="21"/>
                    </w:rPr>
                    <w:alias w:val="现金外币折算人民币金额"/>
                    <w:tag w:val="_GBC_fc5cd2f494064c578b10fdb2d06b3ece"/>
                    <w:id w:val="24723386"/>
                    <w:lock w:val="sdtLocked"/>
                    <w:showingPlcHdr/>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bCs/>
                      <w:color w:val="000000" w:themeColor="text1"/>
                      <w:szCs w:val="21"/>
                    </w:rPr>
                    <w:alias w:val="现金外币金额"/>
                    <w:tag w:val="_GBC_eb437a96b45545f4a20742b5ecc9841e"/>
                    <w:id w:val="24723387"/>
                    <w:lock w:val="sdtLocked"/>
                    <w:showingPlcHdr/>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bCs/>
                      <w:color w:val="000000" w:themeColor="text1"/>
                      <w:szCs w:val="21"/>
                    </w:rPr>
                    <w:alias w:val="现金外币折算率"/>
                    <w:tag w:val="_GBC_0f66e864c8814c6b81abd674c4024d34"/>
                    <w:id w:val="24723388"/>
                    <w:lock w:val="sdtLocked"/>
                    <w:showingPlcHdr/>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bCs/>
                      <w:color w:val="000000" w:themeColor="text1"/>
                      <w:szCs w:val="21"/>
                    </w:rPr>
                    <w:alias w:val="现金外币折算人民币金额"/>
                    <w:tag w:val="_GBC_cfaab61956e847fa9b38b25228c1c31e"/>
                    <w:id w:val="24723389"/>
                    <w:lock w:val="sdtLocked"/>
                    <w:showingPlcHdr/>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tr>
            </w:sdtContent>
          </w:sdt>
          <w:tr w:rsidR="00DE031E" w:rsidRPr="00BA4523" w:rsidTr="00DE031E">
            <w:tc>
              <w:tcPr>
                <w:tcW w:w="896" w:type="pct"/>
                <w:shd w:val="clear" w:color="auto" w:fill="auto"/>
                <w:vAlign w:val="center"/>
              </w:tcPr>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银行存款：</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合计"/>
                <w:tag w:val="_GBC_d1532f88014348ee8986219586a4ba5b"/>
                <w:id w:val="24723391"/>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bCs/>
                        <w:color w:val="000000"/>
                        <w:szCs w:val="21"/>
                      </w:rPr>
                      <w:t>128,099,009,793.67</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合计"/>
                <w:tag w:val="_GBC_49c027d91f6f466e9f2ac81d8a4b2e57"/>
                <w:id w:val="24723392"/>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54,866,866,580.96</w:t>
                    </w:r>
                  </w:p>
                </w:tc>
              </w:sdtContent>
            </w:sdt>
          </w:tr>
          <w:tr w:rsidR="00DE031E" w:rsidRPr="00BA4523" w:rsidTr="00DE031E">
            <w:tc>
              <w:tcPr>
                <w:tcW w:w="896" w:type="pct"/>
                <w:shd w:val="clear" w:color="auto" w:fill="auto"/>
                <w:vAlign w:val="center"/>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其中：自有资金</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自有资金小计"/>
                <w:tag w:val="_GBC_b8eee8908f3e46d4a119bd0d5481439f"/>
                <w:id w:val="24723393"/>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15,578,497,632.54</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自有资金小计"/>
                <w:tag w:val="_GBC_de9c89cc9cb94ac3b3d48d550a17ffff"/>
                <w:id w:val="24723394"/>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bCs/>
                        <w:color w:val="000000"/>
                        <w:szCs w:val="21"/>
                      </w:rPr>
                      <w:t>7,379,928,535.45</w:t>
                    </w:r>
                  </w:p>
                </w:tc>
              </w:sdtContent>
            </w:sdt>
          </w:tr>
          <w:tr w:rsidR="00DE031E" w:rsidRPr="00BA4523" w:rsidTr="00DE031E">
            <w:tc>
              <w:tcPr>
                <w:tcW w:w="896" w:type="pct"/>
                <w:shd w:val="clear" w:color="auto" w:fill="auto"/>
                <w:vAlign w:val="center"/>
              </w:tcPr>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人民币</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自有资金中人民币金额"/>
                <w:tag w:val="_GBC_8d4fd16e43484e2da4b688a0ce0779bc"/>
                <w:id w:val="24723395"/>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14,824,412,340.48</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自有资金中人民币金额"/>
                <w:tag w:val="_GBC_686b63038df6461a97d3145e7b000c31"/>
                <w:id w:val="24723396"/>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6,408,488,224.41</w:t>
                    </w:r>
                  </w:p>
                </w:tc>
              </w:sdtContent>
            </w:sdt>
          </w:tr>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04"/>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hint="eastAsia"/>
                        <w:color w:val="000000" w:themeColor="text1"/>
                        <w:szCs w:val="21"/>
                      </w:rPr>
                      <w:alias w:val="银行存款自有资金外币币种"/>
                      <w:tag w:val="_GBC_0ebd4c79ac434978b8bcf69c5b9dd01c"/>
                      <w:id w:val="247233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000000" w:themeColor="text1"/>
                            <w:szCs w:val="21"/>
                          </w:rPr>
                          <w:t>港元</w:t>
                        </w:r>
                      </w:p>
                    </w:sdtContent>
                  </w:sdt>
                </w:tc>
                <w:sdt>
                  <w:sdtPr>
                    <w:rPr>
                      <w:rFonts w:asciiTheme="minorEastAsia" w:eastAsiaTheme="minorEastAsia" w:hAnsiTheme="minorEastAsia"/>
                      <w:bCs/>
                      <w:color w:val="000000" w:themeColor="text1"/>
                      <w:szCs w:val="21"/>
                    </w:rPr>
                    <w:alias w:val="银行存款自有资金外币金额"/>
                    <w:tag w:val="_GBC_ea865f41170b46488f0a1a133b745c27"/>
                    <w:id w:val="2472339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655,952,138.31</w:t>
                        </w:r>
                      </w:p>
                    </w:tc>
                  </w:sdtContent>
                </w:sdt>
                <w:sdt>
                  <w:sdtPr>
                    <w:rPr>
                      <w:rFonts w:asciiTheme="minorEastAsia" w:eastAsiaTheme="minorEastAsia" w:hAnsiTheme="minorEastAsia"/>
                      <w:bCs/>
                      <w:color w:val="000000" w:themeColor="text1"/>
                      <w:szCs w:val="21"/>
                    </w:rPr>
                    <w:alias w:val="银行存款自有资金外币折算率"/>
                    <w:tag w:val="_GBC_38de7ef2e2164dc58b87dd4dbb0ac7f6"/>
                    <w:id w:val="24723399"/>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0.78861</w:t>
                        </w:r>
                      </w:p>
                    </w:tc>
                  </w:sdtContent>
                </w:sdt>
                <w:sdt>
                  <w:sdtPr>
                    <w:rPr>
                      <w:rFonts w:asciiTheme="minorEastAsia" w:eastAsiaTheme="minorEastAsia" w:hAnsiTheme="minorEastAsia"/>
                      <w:bCs/>
                      <w:color w:val="000000" w:themeColor="text1"/>
                      <w:szCs w:val="21"/>
                    </w:rPr>
                    <w:alias w:val="银行存款自有资金外币折算人民币金额"/>
                    <w:tag w:val="_GBC_63ab900195c240aa91fbad5527b16e8d"/>
                    <w:id w:val="24723400"/>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517,290,415.79</w:t>
                        </w:r>
                      </w:p>
                    </w:tc>
                  </w:sdtContent>
                </w:sdt>
                <w:sdt>
                  <w:sdtPr>
                    <w:rPr>
                      <w:rFonts w:asciiTheme="minorEastAsia" w:eastAsiaTheme="minorEastAsia" w:hAnsiTheme="minorEastAsia"/>
                      <w:bCs/>
                      <w:szCs w:val="21"/>
                    </w:rPr>
                    <w:alias w:val="银行存款自有资金外币金额"/>
                    <w:tag w:val="_GBC_a005c3d4f58d47a887d2246a2fd3e3bc"/>
                    <w:id w:val="24723401"/>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880,860,739.10</w:t>
                        </w:r>
                      </w:p>
                    </w:tc>
                  </w:sdtContent>
                </w:sdt>
                <w:sdt>
                  <w:sdtPr>
                    <w:rPr>
                      <w:rFonts w:asciiTheme="minorEastAsia" w:eastAsiaTheme="minorEastAsia" w:hAnsiTheme="minorEastAsia"/>
                      <w:bCs/>
                      <w:szCs w:val="21"/>
                    </w:rPr>
                    <w:alias w:val="银行存款自有资金外币折算率"/>
                    <w:tag w:val="_GBC_036f43a6ec9643e4bd97af2f27780ff9"/>
                    <w:id w:val="24723402"/>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0.78887</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03"/>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694,884,611.25</w:t>
                        </w:r>
                      </w:p>
                    </w:tc>
                  </w:sdtContent>
                </w:sdt>
              </w:tr>
            </w:sdtContent>
          </w:sdt>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12"/>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hint="eastAsia"/>
                        <w:color w:val="000000" w:themeColor="text1"/>
                        <w:szCs w:val="21"/>
                      </w:rPr>
                      <w:alias w:val="银行存款自有资金外币币种"/>
                      <w:tag w:val="_GBC_0ebd4c79ac434978b8bcf69c5b9dd01c"/>
                      <w:id w:val="247234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000000" w:themeColor="text1"/>
                            <w:szCs w:val="21"/>
                          </w:rPr>
                          <w:t>美元</w:t>
                        </w:r>
                      </w:p>
                    </w:sdtContent>
                  </w:sdt>
                </w:tc>
                <w:sdt>
                  <w:sdtPr>
                    <w:rPr>
                      <w:rFonts w:asciiTheme="minorEastAsia" w:eastAsiaTheme="minorEastAsia" w:hAnsiTheme="minorEastAsia"/>
                      <w:bCs/>
                      <w:color w:val="000000" w:themeColor="text1"/>
                      <w:szCs w:val="21"/>
                    </w:rPr>
                    <w:alias w:val="银行存款自有资金外币金额"/>
                    <w:tag w:val="_GBC_ea865f41170b46488f0a1a133b745c27"/>
                    <w:id w:val="24723406"/>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38,129,117.04</w:t>
                        </w:r>
                      </w:p>
                    </w:tc>
                  </w:sdtContent>
                </w:sdt>
                <w:sdt>
                  <w:sdtPr>
                    <w:rPr>
                      <w:rFonts w:asciiTheme="minorEastAsia" w:eastAsiaTheme="minorEastAsia" w:hAnsiTheme="minorEastAsia"/>
                      <w:bCs/>
                      <w:color w:val="000000" w:themeColor="text1"/>
                      <w:szCs w:val="21"/>
                    </w:rPr>
                    <w:alias w:val="银行存款自有资金外币折算率"/>
                    <w:tag w:val="_GBC_38de7ef2e2164dc58b87dd4dbb0ac7f6"/>
                    <w:id w:val="24723407"/>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6.1136</w:t>
                        </w:r>
                      </w:p>
                    </w:tc>
                  </w:sdtContent>
                </w:sdt>
                <w:sdt>
                  <w:sdtPr>
                    <w:rPr>
                      <w:rFonts w:asciiTheme="minorEastAsia" w:eastAsiaTheme="minorEastAsia" w:hAnsiTheme="minorEastAsia"/>
                      <w:bCs/>
                      <w:color w:val="000000" w:themeColor="text1"/>
                      <w:szCs w:val="21"/>
                    </w:rPr>
                    <w:alias w:val="银行存款自有资金外币折算人民币金额"/>
                    <w:tag w:val="_GBC_63ab900195c240aa91fbad5527b16e8d"/>
                    <w:id w:val="2472340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233,106,169.94</w:t>
                        </w:r>
                      </w:p>
                    </w:tc>
                  </w:sdtContent>
                </w:sdt>
                <w:sdt>
                  <w:sdtPr>
                    <w:rPr>
                      <w:rFonts w:asciiTheme="minorEastAsia" w:eastAsiaTheme="minorEastAsia" w:hAnsiTheme="minorEastAsia"/>
                      <w:bCs/>
                      <w:szCs w:val="21"/>
                    </w:rPr>
                    <w:alias w:val="银行存款自有资金外币金额"/>
                    <w:tag w:val="_GBC_a005c3d4f58d47a887d2246a2fd3e3bc"/>
                    <w:id w:val="24723409"/>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44,634,993.92</w:t>
                        </w:r>
                      </w:p>
                    </w:tc>
                  </w:sdtContent>
                </w:sdt>
                <w:sdt>
                  <w:sdtPr>
                    <w:rPr>
                      <w:rFonts w:asciiTheme="minorEastAsia" w:eastAsiaTheme="minorEastAsia" w:hAnsiTheme="minorEastAsia"/>
                      <w:bCs/>
                      <w:szCs w:val="21"/>
                    </w:rPr>
                    <w:alias w:val="银行存款自有资金外币折算率"/>
                    <w:tag w:val="_GBC_036f43a6ec9643e4bd97af2f27780ff9"/>
                    <w:id w:val="24723410"/>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6.119</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11"/>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273,121,527.80</w:t>
                        </w:r>
                      </w:p>
                    </w:tc>
                  </w:sdtContent>
                </w:sdt>
              </w:tr>
            </w:sdtContent>
          </w:sdt>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20"/>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自有资金外币币种"/>
                      <w:tag w:val="_GBC_0ebd4c79ac434978b8bcf69c5b9dd01c"/>
                      <w:id w:val="2472341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英镑</w:t>
                        </w:r>
                      </w:p>
                    </w:sdtContent>
                  </w:sdt>
                </w:tc>
                <w:sdt>
                  <w:sdtPr>
                    <w:rPr>
                      <w:rFonts w:asciiTheme="minorEastAsia" w:eastAsiaTheme="minorEastAsia" w:hAnsiTheme="minorEastAsia"/>
                      <w:bCs/>
                      <w:szCs w:val="21"/>
                    </w:rPr>
                    <w:alias w:val="银行存款自有资金外币金额"/>
                    <w:tag w:val="_GBC_ea865f41170b46488f0a1a133b745c27"/>
                    <w:id w:val="24723414"/>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366,996.27</w:t>
                        </w:r>
                      </w:p>
                    </w:tc>
                  </w:sdtContent>
                </w:sdt>
                <w:sdt>
                  <w:sdtPr>
                    <w:rPr>
                      <w:rFonts w:asciiTheme="minorEastAsia" w:eastAsiaTheme="minorEastAsia" w:hAnsiTheme="minorEastAsia"/>
                      <w:bCs/>
                      <w:szCs w:val="21"/>
                    </w:rPr>
                    <w:alias w:val="银行存款自有资金外币折算率"/>
                    <w:tag w:val="_GBC_38de7ef2e2164dc58b87dd4dbb0ac7f6"/>
                    <w:id w:val="24723415"/>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9.6422</w:t>
                        </w:r>
                      </w:p>
                    </w:tc>
                  </w:sdtContent>
                </w:sdt>
                <w:sdt>
                  <w:sdtPr>
                    <w:rPr>
                      <w:rFonts w:asciiTheme="minorEastAsia" w:eastAsiaTheme="minorEastAsia" w:hAnsiTheme="minorEastAsia"/>
                      <w:bCs/>
                      <w:szCs w:val="21"/>
                    </w:rPr>
                    <w:alias w:val="银行存款自有资金外币折算人民币金额"/>
                    <w:tag w:val="_GBC_63ab900195c240aa91fbad5527b16e8d"/>
                    <w:id w:val="24723416"/>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3,538,651.43</w:t>
                        </w:r>
                      </w:p>
                    </w:tc>
                  </w:sdtContent>
                </w:sdt>
                <w:sdt>
                  <w:sdtPr>
                    <w:rPr>
                      <w:rFonts w:asciiTheme="minorEastAsia" w:eastAsiaTheme="minorEastAsia" w:hAnsiTheme="minorEastAsia"/>
                      <w:bCs/>
                      <w:szCs w:val="21"/>
                    </w:rPr>
                    <w:alias w:val="银行存款自有资金外币金额"/>
                    <w:tag w:val="_GBC_a005c3d4f58d47a887d2246a2fd3e3bc"/>
                    <w:id w:val="24723417"/>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344,665.93</w:t>
                        </w:r>
                      </w:p>
                    </w:tc>
                  </w:sdtContent>
                </w:sdt>
                <w:sdt>
                  <w:sdtPr>
                    <w:rPr>
                      <w:rFonts w:asciiTheme="minorEastAsia" w:eastAsiaTheme="minorEastAsia" w:hAnsiTheme="minorEastAsia"/>
                      <w:bCs/>
                      <w:szCs w:val="21"/>
                    </w:rPr>
                    <w:alias w:val="银行存款自有资金外币折算率"/>
                    <w:tag w:val="_GBC_036f43a6ec9643e4bd97af2f27780ff9"/>
                    <w:id w:val="24723418"/>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9.5437</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19"/>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3,289,388.24</w:t>
                        </w:r>
                      </w:p>
                    </w:tc>
                  </w:sdtContent>
                </w:sdt>
              </w:tr>
            </w:sdtContent>
          </w:sdt>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28"/>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自有资金外币币种"/>
                      <w:tag w:val="_GBC_0ebd4c79ac434978b8bcf69c5b9dd01c"/>
                      <w:id w:val="2472342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澳元</w:t>
                        </w:r>
                      </w:p>
                    </w:sdtContent>
                  </w:sdt>
                </w:tc>
                <w:sdt>
                  <w:sdtPr>
                    <w:rPr>
                      <w:rFonts w:asciiTheme="minorEastAsia" w:eastAsiaTheme="minorEastAsia" w:hAnsiTheme="minorEastAsia"/>
                      <w:bCs/>
                      <w:szCs w:val="21"/>
                    </w:rPr>
                    <w:alias w:val="银行存款自有资金外币金额"/>
                    <w:tag w:val="_GBC_ea865f41170b46488f0a1a133b745c27"/>
                    <w:id w:val="24723422"/>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4,015.49</w:t>
                        </w:r>
                      </w:p>
                    </w:tc>
                  </w:sdtContent>
                </w:sdt>
                <w:sdt>
                  <w:sdtPr>
                    <w:rPr>
                      <w:rFonts w:asciiTheme="minorEastAsia" w:eastAsiaTheme="minorEastAsia" w:hAnsiTheme="minorEastAsia"/>
                      <w:bCs/>
                      <w:szCs w:val="21"/>
                    </w:rPr>
                    <w:alias w:val="银行存款自有资金外币折算率"/>
                    <w:tag w:val="_GBC_38de7ef2e2164dc58b87dd4dbb0ac7f6"/>
                    <w:id w:val="24723423"/>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4.6993</w:t>
                        </w:r>
                      </w:p>
                    </w:tc>
                  </w:sdtContent>
                </w:sdt>
                <w:sdt>
                  <w:sdtPr>
                    <w:rPr>
                      <w:rFonts w:asciiTheme="minorEastAsia" w:eastAsiaTheme="minorEastAsia" w:hAnsiTheme="minorEastAsia"/>
                      <w:bCs/>
                      <w:szCs w:val="21"/>
                    </w:rPr>
                    <w:alias w:val="银行存款自有资金外币折算人民币金额"/>
                    <w:tag w:val="_GBC_63ab900195c240aa91fbad5527b16e8d"/>
                    <w:id w:val="24723424"/>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18,869.99</w:t>
                        </w:r>
                      </w:p>
                    </w:tc>
                  </w:sdtContent>
                </w:sdt>
                <w:sdt>
                  <w:sdtPr>
                    <w:rPr>
                      <w:rFonts w:asciiTheme="minorEastAsia" w:eastAsiaTheme="minorEastAsia" w:hAnsiTheme="minorEastAsia"/>
                      <w:bCs/>
                      <w:szCs w:val="21"/>
                    </w:rPr>
                    <w:alias w:val="银行存款自有资金外币金额"/>
                    <w:tag w:val="_GBC_a005c3d4f58d47a887d2246a2fd3e3bc"/>
                    <w:id w:val="24723425"/>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9,140.16</w:t>
                        </w:r>
                      </w:p>
                    </w:tc>
                  </w:sdtContent>
                </w:sdt>
                <w:sdt>
                  <w:sdtPr>
                    <w:rPr>
                      <w:rFonts w:asciiTheme="minorEastAsia" w:eastAsiaTheme="minorEastAsia" w:hAnsiTheme="minorEastAsia"/>
                      <w:bCs/>
                      <w:szCs w:val="21"/>
                    </w:rPr>
                    <w:alias w:val="银行存款自有资金外币折算率"/>
                    <w:tag w:val="_GBC_036f43a6ec9643e4bd97af2f27780ff9"/>
                    <w:id w:val="24723426"/>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5.0174</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27"/>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45,859.84</w:t>
                        </w:r>
                      </w:p>
                    </w:tc>
                  </w:sdtContent>
                </w:sdt>
              </w:tr>
            </w:sdtContent>
          </w:sdt>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36"/>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自有资金外币币种"/>
                      <w:tag w:val="_GBC_0ebd4c79ac434978b8bcf69c5b9dd01c"/>
                      <w:id w:val="247234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加元</w:t>
                        </w:r>
                      </w:p>
                    </w:sdtContent>
                  </w:sdt>
                </w:tc>
                <w:sdt>
                  <w:sdtPr>
                    <w:rPr>
                      <w:rFonts w:asciiTheme="minorEastAsia" w:eastAsiaTheme="minorEastAsia" w:hAnsiTheme="minorEastAsia"/>
                      <w:bCs/>
                      <w:szCs w:val="21"/>
                    </w:rPr>
                    <w:alias w:val="银行存款自有资金外币金额"/>
                    <w:tag w:val="_GBC_ea865f41170b46488f0a1a133b745c27"/>
                    <w:id w:val="24723430"/>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8,064.64</w:t>
                        </w:r>
                      </w:p>
                    </w:tc>
                  </w:sdtContent>
                </w:sdt>
                <w:sdt>
                  <w:sdtPr>
                    <w:rPr>
                      <w:rFonts w:asciiTheme="minorEastAsia" w:eastAsiaTheme="minorEastAsia" w:hAnsiTheme="minorEastAsia"/>
                      <w:bCs/>
                      <w:szCs w:val="21"/>
                    </w:rPr>
                    <w:alias w:val="银行存款自有资金外币折算率"/>
                    <w:tag w:val="_GBC_38de7ef2e2164dc58b87dd4dbb0ac7f6"/>
                    <w:id w:val="24723431"/>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4.9232</w:t>
                        </w:r>
                      </w:p>
                    </w:tc>
                  </w:sdtContent>
                </w:sdt>
                <w:sdt>
                  <w:sdtPr>
                    <w:rPr>
                      <w:rFonts w:asciiTheme="minorEastAsia" w:eastAsiaTheme="minorEastAsia" w:hAnsiTheme="minorEastAsia"/>
                      <w:bCs/>
                      <w:szCs w:val="21"/>
                    </w:rPr>
                    <w:alias w:val="银行存款自有资金外币折算人民币金额"/>
                    <w:tag w:val="_GBC_63ab900195c240aa91fbad5527b16e8d"/>
                    <w:id w:val="24723432"/>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39,703.84</w:t>
                        </w:r>
                      </w:p>
                    </w:tc>
                  </w:sdtContent>
                </w:sdt>
                <w:sdt>
                  <w:sdtPr>
                    <w:rPr>
                      <w:rFonts w:asciiTheme="minorEastAsia" w:eastAsiaTheme="minorEastAsia" w:hAnsiTheme="minorEastAsia"/>
                      <w:bCs/>
                      <w:szCs w:val="21"/>
                    </w:rPr>
                    <w:alias w:val="银行存款自有资金外币金额"/>
                    <w:tag w:val="_GBC_a005c3d4f58d47a887d2246a2fd3e3bc"/>
                    <w:id w:val="24723433"/>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8,062.58</w:t>
                        </w:r>
                      </w:p>
                    </w:tc>
                  </w:sdtContent>
                </w:sdt>
                <w:sdt>
                  <w:sdtPr>
                    <w:rPr>
                      <w:rFonts w:asciiTheme="minorEastAsia" w:eastAsiaTheme="minorEastAsia" w:hAnsiTheme="minorEastAsia"/>
                      <w:bCs/>
                      <w:szCs w:val="21"/>
                    </w:rPr>
                    <w:alias w:val="银行存款自有资金外币折算率"/>
                    <w:tag w:val="_GBC_036f43a6ec9643e4bd97af2f27780ff9"/>
                    <w:id w:val="24723434"/>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5.2755</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35"/>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42,534.14</w:t>
                        </w:r>
                      </w:p>
                    </w:tc>
                  </w:sdtContent>
                </w:sdt>
              </w:tr>
            </w:sdtContent>
          </w:sdt>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44"/>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自有资金外币币种"/>
                      <w:tag w:val="_GBC_0ebd4c79ac434978b8bcf69c5b9dd01c"/>
                      <w:id w:val="247234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欧元</w:t>
                        </w:r>
                      </w:p>
                    </w:sdtContent>
                  </w:sdt>
                </w:tc>
                <w:sdt>
                  <w:sdtPr>
                    <w:rPr>
                      <w:rFonts w:asciiTheme="minorEastAsia" w:eastAsiaTheme="minorEastAsia" w:hAnsiTheme="minorEastAsia"/>
                      <w:bCs/>
                      <w:szCs w:val="21"/>
                    </w:rPr>
                    <w:alias w:val="银行存款自有资金外币金额"/>
                    <w:tag w:val="_GBC_ea865f41170b46488f0a1a133b745c27"/>
                    <w:id w:val="2472343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13,037.08</w:t>
                        </w:r>
                      </w:p>
                    </w:tc>
                  </w:sdtContent>
                </w:sdt>
                <w:sdt>
                  <w:sdtPr>
                    <w:rPr>
                      <w:rFonts w:asciiTheme="minorEastAsia" w:eastAsiaTheme="minorEastAsia" w:hAnsiTheme="minorEastAsia"/>
                      <w:bCs/>
                      <w:szCs w:val="21"/>
                    </w:rPr>
                    <w:alias w:val="银行存款自有资金外币折算率"/>
                    <w:tag w:val="_GBC_38de7ef2e2164dc58b87dd4dbb0ac7f6"/>
                    <w:id w:val="24723439"/>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6.8699</w:t>
                        </w:r>
                      </w:p>
                    </w:tc>
                  </w:sdtContent>
                </w:sdt>
                <w:sdt>
                  <w:sdtPr>
                    <w:rPr>
                      <w:rFonts w:asciiTheme="minorEastAsia" w:eastAsiaTheme="minorEastAsia" w:hAnsiTheme="minorEastAsia"/>
                      <w:bCs/>
                      <w:szCs w:val="21"/>
                    </w:rPr>
                    <w:alias w:val="银行存款自有资金外币折算人民币金额"/>
                    <w:tag w:val="_GBC_63ab900195c240aa91fbad5527b16e8d"/>
                    <w:id w:val="24723440"/>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89,563.44</w:t>
                        </w:r>
                      </w:p>
                    </w:tc>
                  </w:sdtContent>
                </w:sdt>
                <w:sdt>
                  <w:sdtPr>
                    <w:rPr>
                      <w:rFonts w:asciiTheme="minorEastAsia" w:eastAsiaTheme="minorEastAsia" w:hAnsiTheme="minorEastAsia"/>
                      <w:bCs/>
                      <w:szCs w:val="21"/>
                    </w:rPr>
                    <w:alias w:val="银行存款自有资金外币金额"/>
                    <w:tag w:val="_GBC_a005c3d4f58d47a887d2246a2fd3e3bc"/>
                    <w:id w:val="24723441"/>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7,301.40</w:t>
                        </w:r>
                      </w:p>
                    </w:tc>
                  </w:sdtContent>
                </w:sdt>
                <w:sdt>
                  <w:sdtPr>
                    <w:rPr>
                      <w:rFonts w:asciiTheme="minorEastAsia" w:eastAsiaTheme="minorEastAsia" w:hAnsiTheme="minorEastAsia"/>
                      <w:bCs/>
                      <w:szCs w:val="21"/>
                    </w:rPr>
                    <w:alias w:val="银行存款自有资金外币折算率"/>
                    <w:tag w:val="_GBC_036f43a6ec9643e4bd97af2f27780ff9"/>
                    <w:id w:val="24723442"/>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7.4556</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43"/>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54,436.32</w:t>
                        </w:r>
                      </w:p>
                    </w:tc>
                  </w:sdtContent>
                </w:sdt>
              </w:tr>
            </w:sdtContent>
          </w:sdt>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52"/>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cs="Arial" w:hint="eastAsia"/>
                        <w:szCs w:val="21"/>
                      </w:rPr>
                      <w:alias w:val="银行存款自有资金外币币种"/>
                      <w:tag w:val="_GBC_0ebd4c79ac434978b8bcf69c5b9dd01c"/>
                      <w:id w:val="2472344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cs="Arial" w:hint="eastAsia"/>
                            <w:szCs w:val="21"/>
                          </w:rPr>
                          <w:t>新加坡元</w:t>
                        </w:r>
                      </w:p>
                    </w:sdtContent>
                  </w:sdt>
                </w:tc>
                <w:sdt>
                  <w:sdtPr>
                    <w:rPr>
                      <w:rFonts w:asciiTheme="minorEastAsia" w:eastAsiaTheme="minorEastAsia" w:hAnsiTheme="minorEastAsia"/>
                      <w:bCs/>
                      <w:szCs w:val="21"/>
                    </w:rPr>
                    <w:alias w:val="银行存款自有资金外币金额"/>
                    <w:tag w:val="_GBC_ea865f41170b46488f0a1a133b745c27"/>
                    <w:id w:val="24723446"/>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418.18</w:t>
                        </w:r>
                      </w:p>
                    </w:tc>
                  </w:sdtContent>
                </w:sdt>
                <w:sdt>
                  <w:sdtPr>
                    <w:rPr>
                      <w:rFonts w:asciiTheme="minorEastAsia" w:eastAsiaTheme="minorEastAsia" w:hAnsiTheme="minorEastAsia"/>
                      <w:bCs/>
                      <w:szCs w:val="21"/>
                    </w:rPr>
                    <w:alias w:val="银行存款自有资金外币折算率"/>
                    <w:tag w:val="_GBC_38de7ef2e2164dc58b87dd4dbb0ac7f6"/>
                    <w:id w:val="24723447"/>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4.5580</w:t>
                        </w:r>
                      </w:p>
                    </w:tc>
                  </w:sdtContent>
                </w:sdt>
                <w:sdt>
                  <w:sdtPr>
                    <w:rPr>
                      <w:rFonts w:asciiTheme="minorEastAsia" w:eastAsiaTheme="minorEastAsia" w:hAnsiTheme="minorEastAsia"/>
                      <w:bCs/>
                      <w:szCs w:val="21"/>
                    </w:rPr>
                    <w:alias w:val="银行存款自有资金外币折算人民币金额"/>
                    <w:tag w:val="_GBC_63ab900195c240aa91fbad5527b16e8d"/>
                    <w:id w:val="2472344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1,906.06</w:t>
                        </w:r>
                      </w:p>
                    </w:tc>
                  </w:sdtContent>
                </w:sdt>
                <w:sdt>
                  <w:sdtPr>
                    <w:rPr>
                      <w:rFonts w:asciiTheme="minorEastAsia" w:eastAsiaTheme="minorEastAsia" w:hAnsiTheme="minorEastAsia"/>
                      <w:bCs/>
                      <w:szCs w:val="21"/>
                    </w:rPr>
                    <w:alias w:val="银行存款自有资金外币金额"/>
                    <w:tag w:val="_GBC_a005c3d4f58d47a887d2246a2fd3e3bc"/>
                    <w:id w:val="24723449"/>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418.18</w:t>
                        </w:r>
                      </w:p>
                    </w:tc>
                  </w:sdtContent>
                </w:sdt>
                <w:sdt>
                  <w:sdtPr>
                    <w:rPr>
                      <w:rFonts w:asciiTheme="minorEastAsia" w:eastAsiaTheme="minorEastAsia" w:hAnsiTheme="minorEastAsia"/>
                      <w:bCs/>
                      <w:szCs w:val="21"/>
                    </w:rPr>
                    <w:alias w:val="银行存款自有资金外币折算率"/>
                    <w:tag w:val="_GBC_036f43a6ec9643e4bd97af2f27780ff9"/>
                    <w:id w:val="24723450"/>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4.6396</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51"/>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1,940.19</w:t>
                        </w:r>
                      </w:p>
                    </w:tc>
                  </w:sdtContent>
                </w:sdt>
              </w:tr>
            </w:sdtContent>
          </w:sdt>
          <w:sdt>
            <w:sdtPr>
              <w:rPr>
                <w:rFonts w:asciiTheme="minorEastAsia" w:eastAsiaTheme="minorEastAsia" w:hAnsiTheme="minorEastAsia" w:hint="eastAsia"/>
                <w:color w:val="000000" w:themeColor="text1"/>
                <w:szCs w:val="21"/>
              </w:rPr>
              <w:alias w:val="银行存款自有资金外币分类"/>
              <w:tag w:val="_GBC_e904ca0055404fb09165b3b4e60e3efb"/>
              <w:id w:val="24723460"/>
              <w:lock w:val="sdtLocked"/>
            </w:sdtPr>
            <w:sdtContent>
              <w:tr w:rsidR="00DE031E" w:rsidRPr="00BA4523" w:rsidTr="00DE031E">
                <w:tc>
                  <w:tcPr>
                    <w:tcW w:w="896" w:type="pct"/>
                    <w:shd w:val="clear" w:color="auto" w:fill="auto"/>
                    <w:vAlign w:val="center"/>
                  </w:tcPr>
                  <w:sdt>
                    <w:sdtPr>
                      <w:rPr>
                        <w:rFonts w:asciiTheme="minorEastAsia" w:eastAsiaTheme="minorEastAsia" w:hAnsiTheme="minorEastAsia" w:cs="Arial" w:hint="eastAsia"/>
                        <w:szCs w:val="21"/>
                      </w:rPr>
                      <w:alias w:val="银行存款自有资金外币币种"/>
                      <w:tag w:val="_GBC_0ebd4c79ac434978b8bcf69c5b9dd01c"/>
                      <w:id w:val="247234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cs="Arial" w:hint="eastAsia"/>
                            <w:szCs w:val="21"/>
                          </w:rPr>
                          <w:t>新西兰元</w:t>
                        </w:r>
                      </w:p>
                    </w:sdtContent>
                  </w:sdt>
                </w:tc>
                <w:sdt>
                  <w:sdtPr>
                    <w:rPr>
                      <w:rFonts w:asciiTheme="minorEastAsia" w:eastAsiaTheme="minorEastAsia" w:hAnsiTheme="minorEastAsia"/>
                      <w:bCs/>
                      <w:szCs w:val="21"/>
                    </w:rPr>
                    <w:alias w:val="银行存款自有资金外币金额"/>
                    <w:tag w:val="_GBC_ea865f41170b46488f0a1a133b745c27"/>
                    <w:id w:val="24723454"/>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2.76</w:t>
                        </w:r>
                      </w:p>
                    </w:tc>
                  </w:sdtContent>
                </w:sdt>
                <w:sdt>
                  <w:sdtPr>
                    <w:rPr>
                      <w:rFonts w:asciiTheme="minorEastAsia" w:eastAsiaTheme="minorEastAsia" w:hAnsiTheme="minorEastAsia"/>
                      <w:bCs/>
                      <w:szCs w:val="21"/>
                    </w:rPr>
                    <w:alias w:val="银行存款自有资金外币折算率"/>
                    <w:tag w:val="_GBC_38de7ef2e2164dc58b87dd4dbb0ac7f6"/>
                    <w:id w:val="24723455"/>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4.1912</w:t>
                        </w:r>
                      </w:p>
                    </w:tc>
                  </w:sdtContent>
                </w:sdt>
                <w:sdt>
                  <w:sdtPr>
                    <w:rPr>
                      <w:rFonts w:asciiTheme="minorEastAsia" w:eastAsiaTheme="minorEastAsia" w:hAnsiTheme="minorEastAsia"/>
                      <w:bCs/>
                      <w:szCs w:val="21"/>
                    </w:rPr>
                    <w:alias w:val="银行存款自有资金外币折算人民币金额"/>
                    <w:tag w:val="_GBC_63ab900195c240aa91fbad5527b16e8d"/>
                    <w:id w:val="24723456"/>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11.57</w:t>
                        </w:r>
                      </w:p>
                    </w:tc>
                  </w:sdtContent>
                </w:sdt>
                <w:sdt>
                  <w:sdtPr>
                    <w:rPr>
                      <w:rFonts w:asciiTheme="minorEastAsia" w:eastAsiaTheme="minorEastAsia" w:hAnsiTheme="minorEastAsia"/>
                      <w:bCs/>
                      <w:szCs w:val="21"/>
                    </w:rPr>
                    <w:alias w:val="银行存款自有资金外币金额"/>
                    <w:tag w:val="_GBC_a005c3d4f58d47a887d2246a2fd3e3bc"/>
                    <w:id w:val="24723457"/>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2.76</w:t>
                        </w:r>
                      </w:p>
                    </w:tc>
                  </w:sdtContent>
                </w:sdt>
                <w:sdt>
                  <w:sdtPr>
                    <w:rPr>
                      <w:rFonts w:asciiTheme="minorEastAsia" w:eastAsiaTheme="minorEastAsia" w:hAnsiTheme="minorEastAsia"/>
                      <w:bCs/>
                      <w:szCs w:val="21"/>
                    </w:rPr>
                    <w:alias w:val="银行存款自有资金外币折算率"/>
                    <w:tag w:val="_GBC_036f43a6ec9643e4bd97af2f27780ff9"/>
                    <w:id w:val="24723458"/>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4.8034</w:t>
                        </w:r>
                      </w:p>
                    </w:tc>
                  </w:sdtContent>
                </w:sdt>
                <w:sdt>
                  <w:sdtPr>
                    <w:rPr>
                      <w:rFonts w:asciiTheme="minorEastAsia" w:eastAsiaTheme="minorEastAsia" w:hAnsiTheme="minorEastAsia"/>
                      <w:bCs/>
                      <w:szCs w:val="21"/>
                    </w:rPr>
                    <w:alias w:val="银行存款自有资金外币折算人民币金额"/>
                    <w:tag w:val="_GBC_5af9271a369b41af886c011e2d786d5d"/>
                    <w:id w:val="24723459"/>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13.26</w:t>
                        </w:r>
                      </w:p>
                    </w:tc>
                  </w:sdtContent>
                </w:sdt>
              </w:tr>
            </w:sdtContent>
          </w:sdt>
          <w:tr w:rsidR="00DE031E" w:rsidRPr="00BA4523" w:rsidTr="00DE031E">
            <w:tc>
              <w:tcPr>
                <w:tcW w:w="896" w:type="pct"/>
                <w:shd w:val="clear" w:color="auto" w:fill="auto"/>
                <w:vAlign w:val="center"/>
              </w:tcPr>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客户资金</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客户资金小计"/>
                <w:tag w:val="_GBC_3ba88c49e3124491b27aa54c2227af1d"/>
                <w:id w:val="24723461"/>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112,520,512,161.13</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客户资金小计"/>
                <w:tag w:val="_GBC_d7d993c0fdfe46129e41f7e8011f3dbd"/>
                <w:id w:val="24723462"/>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bCs/>
                        <w:color w:val="000000"/>
                        <w:szCs w:val="21"/>
                      </w:rPr>
                      <w:t>47,486,938,045.51</w:t>
                    </w:r>
                  </w:p>
                </w:tc>
              </w:sdtContent>
            </w:sdt>
          </w:tr>
          <w:tr w:rsidR="00DE031E" w:rsidRPr="00BA4523" w:rsidTr="00DE031E">
            <w:tc>
              <w:tcPr>
                <w:tcW w:w="896" w:type="pct"/>
                <w:shd w:val="clear" w:color="auto" w:fill="auto"/>
                <w:vAlign w:val="center"/>
              </w:tcPr>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人民币</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客户资金中人民币金额"/>
                <w:tag w:val="_GBC_71728b9544fc4e08b0b1ddf5e96efa30"/>
                <w:id w:val="24723463"/>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106,147,819,870.96</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银行存款客户资金中人民币金额"/>
                <w:tag w:val="_GBC_99dfb2e72039474fb0c1e309250a448b"/>
                <w:id w:val="24723464"/>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41,922,037,958.61</w:t>
                    </w:r>
                  </w:p>
                </w:tc>
              </w:sdtContent>
            </w:sdt>
          </w:tr>
          <w:sdt>
            <w:sdtPr>
              <w:rPr>
                <w:rFonts w:asciiTheme="minorEastAsia" w:eastAsiaTheme="minorEastAsia" w:hAnsiTheme="minorEastAsia" w:hint="eastAsia"/>
                <w:color w:val="000000" w:themeColor="text1"/>
                <w:szCs w:val="21"/>
              </w:rPr>
              <w:alias w:val="银行存款客户资金外币分类"/>
              <w:tag w:val="_GBC_1eabdcd716844f1a982499fc2e0b7539"/>
              <w:id w:val="24723472"/>
              <w:lock w:val="sdtLocked"/>
            </w:sdtPr>
            <w:sdtEndPr>
              <w:rPr>
                <w:rFonts w:hint="default"/>
              </w:rPr>
            </w:sdtEndPr>
            <w:sdtContent>
              <w:tr w:rsidR="00DE031E" w:rsidRPr="00BA4523" w:rsidTr="00DE031E">
                <w:tc>
                  <w:tcPr>
                    <w:tcW w:w="896" w:type="pct"/>
                    <w:shd w:val="clear" w:color="auto" w:fill="auto"/>
                    <w:vAlign w:val="center"/>
                  </w:tcPr>
                  <w:sdt>
                    <w:sdtPr>
                      <w:rPr>
                        <w:rFonts w:asciiTheme="minorEastAsia" w:eastAsiaTheme="minorEastAsia" w:hAnsiTheme="minorEastAsia" w:hint="eastAsia"/>
                        <w:color w:val="000000" w:themeColor="text1"/>
                        <w:szCs w:val="21"/>
                      </w:rPr>
                      <w:alias w:val="银行存款客户资金外币币种"/>
                      <w:tag w:val="_GBC_91f8836d573940658ef7e5a417a308b2"/>
                      <w:id w:val="2472346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000000" w:themeColor="text1"/>
                            <w:szCs w:val="21"/>
                          </w:rPr>
                          <w:t>港元</w:t>
                        </w:r>
                      </w:p>
                    </w:sdtContent>
                  </w:sdt>
                </w:tc>
                <w:sdt>
                  <w:sdtPr>
                    <w:rPr>
                      <w:rFonts w:asciiTheme="minorEastAsia" w:eastAsiaTheme="minorEastAsia" w:hAnsiTheme="minorEastAsia"/>
                      <w:bCs/>
                      <w:color w:val="000000" w:themeColor="text1"/>
                      <w:szCs w:val="21"/>
                    </w:rPr>
                    <w:alias w:val="银行存款客户资金外币金额"/>
                    <w:tag w:val="_GBC_2f84437e7bc94b01af7991546f5f2743"/>
                    <w:id w:val="24723466"/>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6,289,290,789.67</w:t>
                        </w:r>
                      </w:p>
                    </w:tc>
                  </w:sdtContent>
                </w:sdt>
                <w:sdt>
                  <w:sdtPr>
                    <w:rPr>
                      <w:rFonts w:asciiTheme="minorEastAsia" w:eastAsiaTheme="minorEastAsia" w:hAnsiTheme="minorEastAsia"/>
                      <w:bCs/>
                      <w:color w:val="000000" w:themeColor="text1"/>
                      <w:szCs w:val="21"/>
                    </w:rPr>
                    <w:alias w:val="银行存款客户资金外币折算率"/>
                    <w:tag w:val="_GBC_a4bd0f631f5247248af26261909d000e"/>
                    <w:id w:val="24723467"/>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0.78861</w:t>
                        </w:r>
                      </w:p>
                    </w:tc>
                  </w:sdtContent>
                </w:sdt>
                <w:sdt>
                  <w:sdtPr>
                    <w:rPr>
                      <w:rFonts w:asciiTheme="minorEastAsia" w:eastAsiaTheme="minorEastAsia" w:hAnsiTheme="minorEastAsia"/>
                      <w:bCs/>
                      <w:color w:val="000000" w:themeColor="text1"/>
                      <w:szCs w:val="21"/>
                    </w:rPr>
                    <w:alias w:val="银行存款客户资金外币折算人民币金额"/>
                    <w:tag w:val="_GBC_565c91b8bdc84153b93c3820d82bb0e7"/>
                    <w:id w:val="2472346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4,959,797,609.64</w:t>
                        </w:r>
                      </w:p>
                    </w:tc>
                  </w:sdtContent>
                </w:sdt>
                <w:sdt>
                  <w:sdtPr>
                    <w:rPr>
                      <w:rFonts w:asciiTheme="minorEastAsia" w:eastAsiaTheme="minorEastAsia" w:hAnsiTheme="minorEastAsia"/>
                      <w:bCs/>
                      <w:szCs w:val="21"/>
                    </w:rPr>
                    <w:alias w:val="银行存款客户资金外币金额"/>
                    <w:tag w:val="_GBC_836335f15da94f9aae9af2ff0a6851a5"/>
                    <w:id w:val="24723469"/>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6,175,866,726.07</w:t>
                        </w:r>
                      </w:p>
                    </w:tc>
                  </w:sdtContent>
                </w:sdt>
                <w:sdt>
                  <w:sdtPr>
                    <w:rPr>
                      <w:rFonts w:asciiTheme="minorEastAsia" w:eastAsiaTheme="minorEastAsia" w:hAnsiTheme="minorEastAsia"/>
                      <w:bCs/>
                      <w:szCs w:val="21"/>
                    </w:rPr>
                    <w:alias w:val="银行存款客户资金外币折算率"/>
                    <w:tag w:val="_GBC_2afa5d0660a9464886e46477ca15361f"/>
                    <w:id w:val="24723470"/>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0.78887</w:t>
                        </w:r>
                      </w:p>
                    </w:tc>
                  </w:sdtContent>
                </w:sdt>
                <w:sdt>
                  <w:sdtPr>
                    <w:rPr>
                      <w:rFonts w:asciiTheme="minorEastAsia" w:eastAsiaTheme="minorEastAsia" w:hAnsiTheme="minorEastAsia"/>
                      <w:bCs/>
                      <w:szCs w:val="21"/>
                    </w:rPr>
                    <w:alias w:val="银行存款客户资金外币折算人民币金额"/>
                    <w:tag w:val="_GBC_4c7840d4582f49a097778b3a72d744da"/>
                    <w:id w:val="24723471"/>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4,871,955,984.19</w:t>
                        </w:r>
                      </w:p>
                    </w:tc>
                  </w:sdtContent>
                </w:sdt>
              </w:tr>
            </w:sdtContent>
          </w:sdt>
          <w:sdt>
            <w:sdtPr>
              <w:rPr>
                <w:rFonts w:asciiTheme="minorEastAsia" w:eastAsiaTheme="minorEastAsia" w:hAnsiTheme="minorEastAsia" w:hint="eastAsia"/>
                <w:color w:val="000000" w:themeColor="text1"/>
                <w:szCs w:val="21"/>
              </w:rPr>
              <w:alias w:val="银行存款客户资金外币分类"/>
              <w:tag w:val="_GBC_1eabdcd716844f1a982499fc2e0b7539"/>
              <w:id w:val="24723480"/>
              <w:lock w:val="sdtLocked"/>
            </w:sdtPr>
            <w:sdtEndPr>
              <w:rPr>
                <w:rFonts w:hint="default"/>
              </w:rPr>
            </w:sdtEndPr>
            <w:sdtContent>
              <w:tr w:rsidR="00DE031E" w:rsidRPr="00BA4523" w:rsidTr="00DE031E">
                <w:tc>
                  <w:tcPr>
                    <w:tcW w:w="896" w:type="pct"/>
                    <w:shd w:val="clear" w:color="auto" w:fill="auto"/>
                    <w:vAlign w:val="center"/>
                  </w:tcPr>
                  <w:sdt>
                    <w:sdtPr>
                      <w:rPr>
                        <w:rFonts w:asciiTheme="minorEastAsia" w:eastAsiaTheme="minorEastAsia" w:hAnsiTheme="minorEastAsia" w:hint="eastAsia"/>
                        <w:color w:val="000000" w:themeColor="text1"/>
                        <w:szCs w:val="21"/>
                      </w:rPr>
                      <w:alias w:val="银行存款客户资金外币币种"/>
                      <w:tag w:val="_GBC_91f8836d573940658ef7e5a417a308b2"/>
                      <w:id w:val="247234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000000" w:themeColor="text1"/>
                            <w:szCs w:val="21"/>
                          </w:rPr>
                          <w:t>美元</w:t>
                        </w:r>
                      </w:p>
                    </w:sdtContent>
                  </w:sdt>
                </w:tc>
                <w:sdt>
                  <w:sdtPr>
                    <w:rPr>
                      <w:rFonts w:asciiTheme="minorEastAsia" w:eastAsiaTheme="minorEastAsia" w:hAnsiTheme="minorEastAsia"/>
                      <w:bCs/>
                      <w:color w:val="000000" w:themeColor="text1"/>
                      <w:szCs w:val="21"/>
                    </w:rPr>
                    <w:alias w:val="银行存款客户资金外币金额"/>
                    <w:tag w:val="_GBC_2f84437e7bc94b01af7991546f5f2743"/>
                    <w:id w:val="24723474"/>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230,415,866.34</w:t>
                        </w:r>
                      </w:p>
                    </w:tc>
                  </w:sdtContent>
                </w:sdt>
                <w:sdt>
                  <w:sdtPr>
                    <w:rPr>
                      <w:rFonts w:asciiTheme="minorEastAsia" w:eastAsiaTheme="minorEastAsia" w:hAnsiTheme="minorEastAsia"/>
                      <w:bCs/>
                      <w:color w:val="000000" w:themeColor="text1"/>
                      <w:szCs w:val="21"/>
                    </w:rPr>
                    <w:alias w:val="银行存款客户资金外币折算率"/>
                    <w:tag w:val="_GBC_a4bd0f631f5247248af26261909d000e"/>
                    <w:id w:val="24723475"/>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6.1136</w:t>
                        </w:r>
                      </w:p>
                    </w:tc>
                  </w:sdtContent>
                </w:sdt>
                <w:sdt>
                  <w:sdtPr>
                    <w:rPr>
                      <w:rFonts w:asciiTheme="minorEastAsia" w:eastAsiaTheme="minorEastAsia" w:hAnsiTheme="minorEastAsia"/>
                      <w:bCs/>
                      <w:color w:val="000000" w:themeColor="text1"/>
                      <w:szCs w:val="21"/>
                    </w:rPr>
                    <w:alias w:val="银行存款客户资金外币折算人民币金额"/>
                    <w:tag w:val="_GBC_565c91b8bdc84153b93c3820d82bb0e7"/>
                    <w:id w:val="24723476"/>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1,408,670,440.46</w:t>
                        </w:r>
                      </w:p>
                    </w:tc>
                  </w:sdtContent>
                </w:sdt>
                <w:sdt>
                  <w:sdtPr>
                    <w:rPr>
                      <w:rFonts w:asciiTheme="minorEastAsia" w:eastAsiaTheme="minorEastAsia" w:hAnsiTheme="minorEastAsia"/>
                      <w:bCs/>
                      <w:szCs w:val="21"/>
                    </w:rPr>
                    <w:alias w:val="银行存款客户资金外币金额"/>
                    <w:tag w:val="_GBC_836335f15da94f9aae9af2ff0a6851a5"/>
                    <w:id w:val="24723477"/>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112,665,788.36</w:t>
                        </w:r>
                      </w:p>
                    </w:tc>
                  </w:sdtContent>
                </w:sdt>
                <w:sdt>
                  <w:sdtPr>
                    <w:rPr>
                      <w:rFonts w:asciiTheme="minorEastAsia" w:eastAsiaTheme="minorEastAsia" w:hAnsiTheme="minorEastAsia"/>
                      <w:bCs/>
                      <w:szCs w:val="21"/>
                    </w:rPr>
                    <w:alias w:val="银行存款客户资金外币折算率"/>
                    <w:tag w:val="_GBC_2afa5d0660a9464886e46477ca15361f"/>
                    <w:id w:val="24723478"/>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6.119</w:t>
                        </w:r>
                      </w:p>
                    </w:tc>
                  </w:sdtContent>
                </w:sdt>
                <w:sdt>
                  <w:sdtPr>
                    <w:rPr>
                      <w:rFonts w:asciiTheme="minorEastAsia" w:eastAsiaTheme="minorEastAsia" w:hAnsiTheme="minorEastAsia"/>
                      <w:bCs/>
                      <w:szCs w:val="21"/>
                    </w:rPr>
                    <w:alias w:val="银行存款客户资金外币折算人民币金额"/>
                    <w:tag w:val="_GBC_4c7840d4582f49a097778b3a72d744da"/>
                    <w:id w:val="24723479"/>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689,401,958.97</w:t>
                        </w:r>
                      </w:p>
                    </w:tc>
                  </w:sdtContent>
                </w:sdt>
              </w:tr>
            </w:sdtContent>
          </w:sdt>
          <w:sdt>
            <w:sdtPr>
              <w:rPr>
                <w:rFonts w:asciiTheme="minorEastAsia" w:eastAsiaTheme="minorEastAsia" w:hAnsiTheme="minorEastAsia" w:hint="eastAsia"/>
                <w:color w:val="000000" w:themeColor="text1"/>
                <w:szCs w:val="21"/>
              </w:rPr>
              <w:alias w:val="银行存款客户资金外币分类"/>
              <w:tag w:val="_GBC_1eabdcd716844f1a982499fc2e0b7539"/>
              <w:id w:val="24723488"/>
              <w:lock w:val="sdtLocked"/>
            </w:sdtPr>
            <w:sdtEndPr>
              <w:rPr>
                <w:rFonts w:hint="default"/>
              </w:rPr>
            </w:sdtEnd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客户资金外币币种"/>
                      <w:tag w:val="_GBC_91f8836d573940658ef7e5a417a308b2"/>
                      <w:id w:val="247234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英镑</w:t>
                        </w:r>
                      </w:p>
                    </w:sdtContent>
                  </w:sdt>
                </w:tc>
                <w:sdt>
                  <w:sdtPr>
                    <w:rPr>
                      <w:rFonts w:asciiTheme="minorEastAsia" w:eastAsiaTheme="minorEastAsia" w:hAnsiTheme="minorEastAsia"/>
                      <w:bCs/>
                      <w:szCs w:val="21"/>
                    </w:rPr>
                    <w:alias w:val="银行存款客户资金外币金额"/>
                    <w:tag w:val="_GBC_2f84437e7bc94b01af7991546f5f2743"/>
                    <w:id w:val="24723482"/>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0.44</w:t>
                        </w:r>
                      </w:p>
                    </w:tc>
                  </w:sdtContent>
                </w:sdt>
                <w:sdt>
                  <w:sdtPr>
                    <w:rPr>
                      <w:rFonts w:asciiTheme="minorEastAsia" w:eastAsiaTheme="minorEastAsia" w:hAnsiTheme="minorEastAsia"/>
                      <w:bCs/>
                      <w:szCs w:val="21"/>
                    </w:rPr>
                    <w:alias w:val="银行存款客户资金外币折算率"/>
                    <w:tag w:val="_GBC_a4bd0f631f5247248af26261909d000e"/>
                    <w:id w:val="24723483"/>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9.6422</w:t>
                        </w:r>
                      </w:p>
                    </w:tc>
                  </w:sdtContent>
                </w:sdt>
                <w:sdt>
                  <w:sdtPr>
                    <w:rPr>
                      <w:rFonts w:asciiTheme="minorEastAsia" w:eastAsiaTheme="minorEastAsia" w:hAnsiTheme="minorEastAsia"/>
                      <w:bCs/>
                      <w:szCs w:val="21"/>
                    </w:rPr>
                    <w:alias w:val="银行存款客户资金外币折算人民币金额"/>
                    <w:tag w:val="_GBC_565c91b8bdc84153b93c3820d82bb0e7"/>
                    <w:id w:val="24723484"/>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4.24</w:t>
                        </w:r>
                      </w:p>
                    </w:tc>
                  </w:sdtContent>
                </w:sdt>
                <w:sdt>
                  <w:sdtPr>
                    <w:rPr>
                      <w:rFonts w:asciiTheme="minorEastAsia" w:eastAsiaTheme="minorEastAsia" w:hAnsiTheme="minorEastAsia"/>
                      <w:bCs/>
                      <w:szCs w:val="21"/>
                    </w:rPr>
                    <w:alias w:val="银行存款客户资金外币金额"/>
                    <w:tag w:val="_GBC_836335f15da94f9aae9af2ff0a6851a5"/>
                    <w:id w:val="24723485"/>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2,130.86</w:t>
                        </w:r>
                      </w:p>
                    </w:tc>
                  </w:sdtContent>
                </w:sdt>
                <w:sdt>
                  <w:sdtPr>
                    <w:rPr>
                      <w:rFonts w:asciiTheme="minorEastAsia" w:eastAsiaTheme="minorEastAsia" w:hAnsiTheme="minorEastAsia"/>
                      <w:bCs/>
                      <w:szCs w:val="21"/>
                    </w:rPr>
                    <w:alias w:val="银行存款客户资金外币折算率"/>
                    <w:tag w:val="_GBC_2afa5d0660a9464886e46477ca15361f"/>
                    <w:id w:val="24723486"/>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9.5437</w:t>
                        </w:r>
                      </w:p>
                    </w:tc>
                  </w:sdtContent>
                </w:sdt>
                <w:sdt>
                  <w:sdtPr>
                    <w:rPr>
                      <w:rFonts w:asciiTheme="minorEastAsia" w:eastAsiaTheme="minorEastAsia" w:hAnsiTheme="minorEastAsia"/>
                      <w:bCs/>
                      <w:szCs w:val="21"/>
                    </w:rPr>
                    <w:alias w:val="银行存款客户资金外币折算人民币金额"/>
                    <w:tag w:val="_GBC_4c7840d4582f49a097778b3a72d744da"/>
                    <w:id w:val="24723487"/>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20,336.29</w:t>
                        </w:r>
                      </w:p>
                    </w:tc>
                  </w:sdtContent>
                </w:sdt>
              </w:tr>
            </w:sdtContent>
          </w:sdt>
          <w:sdt>
            <w:sdtPr>
              <w:rPr>
                <w:rFonts w:asciiTheme="minorEastAsia" w:eastAsiaTheme="minorEastAsia" w:hAnsiTheme="minorEastAsia" w:hint="eastAsia"/>
                <w:color w:val="000000" w:themeColor="text1"/>
                <w:szCs w:val="21"/>
              </w:rPr>
              <w:alias w:val="银行存款客户资金外币分类"/>
              <w:tag w:val="_GBC_1eabdcd716844f1a982499fc2e0b7539"/>
              <w:id w:val="24723496"/>
              <w:lock w:val="sdtLocked"/>
            </w:sdtPr>
            <w:sdtEndPr>
              <w:rPr>
                <w:rFonts w:hint="default"/>
              </w:rPr>
            </w:sdtEnd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客户资金外币币种"/>
                      <w:tag w:val="_GBC_91f8836d573940658ef7e5a417a308b2"/>
                      <w:id w:val="247234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澳元</w:t>
                        </w:r>
                      </w:p>
                    </w:sdtContent>
                  </w:sdt>
                </w:tc>
                <w:sdt>
                  <w:sdtPr>
                    <w:rPr>
                      <w:rFonts w:asciiTheme="minorEastAsia" w:eastAsiaTheme="minorEastAsia" w:hAnsiTheme="minorEastAsia"/>
                      <w:bCs/>
                      <w:szCs w:val="21"/>
                    </w:rPr>
                    <w:alias w:val="银行存款客户资金外币金额"/>
                    <w:tag w:val="_GBC_2f84437e7bc94b01af7991546f5f2743"/>
                    <w:id w:val="24723490"/>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25,445.90</w:t>
                        </w:r>
                      </w:p>
                    </w:tc>
                  </w:sdtContent>
                </w:sdt>
                <w:sdt>
                  <w:sdtPr>
                    <w:rPr>
                      <w:rFonts w:asciiTheme="minorEastAsia" w:eastAsiaTheme="minorEastAsia" w:hAnsiTheme="minorEastAsia"/>
                      <w:bCs/>
                      <w:szCs w:val="21"/>
                    </w:rPr>
                    <w:alias w:val="银行存款客户资金外币折算率"/>
                    <w:tag w:val="_GBC_a4bd0f631f5247248af26261909d000e"/>
                    <w:id w:val="24723491"/>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4.6993</w:t>
                        </w:r>
                      </w:p>
                    </w:tc>
                  </w:sdtContent>
                </w:sdt>
                <w:sdt>
                  <w:sdtPr>
                    <w:rPr>
                      <w:rFonts w:asciiTheme="minorEastAsia" w:eastAsiaTheme="minorEastAsia" w:hAnsiTheme="minorEastAsia"/>
                      <w:bCs/>
                      <w:szCs w:val="21"/>
                    </w:rPr>
                    <w:alias w:val="银行存款客户资金外币折算人民币金额"/>
                    <w:tag w:val="_GBC_565c91b8bdc84153b93c3820d82bb0e7"/>
                    <w:id w:val="24723492"/>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119,577.92</w:t>
                        </w:r>
                      </w:p>
                    </w:tc>
                  </w:sdtContent>
                </w:sdt>
                <w:sdt>
                  <w:sdtPr>
                    <w:rPr>
                      <w:rFonts w:asciiTheme="minorEastAsia" w:eastAsiaTheme="minorEastAsia" w:hAnsiTheme="minorEastAsia"/>
                      <w:bCs/>
                      <w:szCs w:val="21"/>
                    </w:rPr>
                    <w:alias w:val="银行存款客户资金外币金额"/>
                    <w:tag w:val="_GBC_836335f15da94f9aae9af2ff0a6851a5"/>
                    <w:id w:val="24723493"/>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21,736.90</w:t>
                        </w:r>
                      </w:p>
                    </w:tc>
                  </w:sdtContent>
                </w:sdt>
                <w:sdt>
                  <w:sdtPr>
                    <w:rPr>
                      <w:rFonts w:asciiTheme="minorEastAsia" w:eastAsiaTheme="minorEastAsia" w:hAnsiTheme="minorEastAsia"/>
                      <w:bCs/>
                      <w:szCs w:val="21"/>
                    </w:rPr>
                    <w:alias w:val="银行存款客户资金外币折算率"/>
                    <w:tag w:val="_GBC_2afa5d0660a9464886e46477ca15361f"/>
                    <w:id w:val="24723494"/>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5.0174</w:t>
                        </w:r>
                      </w:p>
                    </w:tc>
                  </w:sdtContent>
                </w:sdt>
                <w:sdt>
                  <w:sdtPr>
                    <w:rPr>
                      <w:rFonts w:asciiTheme="minorEastAsia" w:eastAsiaTheme="minorEastAsia" w:hAnsiTheme="minorEastAsia"/>
                      <w:bCs/>
                      <w:szCs w:val="21"/>
                    </w:rPr>
                    <w:alias w:val="银行存款客户资金外币折算人民币金额"/>
                    <w:tag w:val="_GBC_4c7840d4582f49a097778b3a72d744da"/>
                    <w:id w:val="24723495"/>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109,062.72</w:t>
                        </w:r>
                      </w:p>
                    </w:tc>
                  </w:sdtContent>
                </w:sdt>
              </w:tr>
            </w:sdtContent>
          </w:sdt>
          <w:sdt>
            <w:sdtPr>
              <w:rPr>
                <w:rFonts w:asciiTheme="minorEastAsia" w:eastAsiaTheme="minorEastAsia" w:hAnsiTheme="minorEastAsia" w:hint="eastAsia"/>
                <w:color w:val="000000" w:themeColor="text1"/>
                <w:szCs w:val="21"/>
              </w:rPr>
              <w:alias w:val="银行存款客户资金外币分类"/>
              <w:tag w:val="_GBC_1eabdcd716844f1a982499fc2e0b7539"/>
              <w:id w:val="24723504"/>
              <w:lock w:val="sdtLocked"/>
            </w:sdtPr>
            <w:sdtEndPr>
              <w:rPr>
                <w:rFonts w:hint="default"/>
              </w:rPr>
            </w:sdtEnd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客户资金外币币种"/>
                      <w:tag w:val="_GBC_91f8836d573940658ef7e5a417a308b2"/>
                      <w:id w:val="247234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加元</w:t>
                        </w:r>
                      </w:p>
                    </w:sdtContent>
                  </w:sdt>
                </w:tc>
                <w:sdt>
                  <w:sdtPr>
                    <w:rPr>
                      <w:rFonts w:asciiTheme="minorEastAsia" w:eastAsiaTheme="minorEastAsia" w:hAnsiTheme="minorEastAsia"/>
                      <w:bCs/>
                      <w:szCs w:val="21"/>
                    </w:rPr>
                    <w:alias w:val="银行存款客户资金外币金额"/>
                    <w:tag w:val="_GBC_2f84437e7bc94b01af7991546f5f2743"/>
                    <w:id w:val="2472349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522.70</w:t>
                        </w:r>
                      </w:p>
                    </w:tc>
                  </w:sdtContent>
                </w:sdt>
                <w:sdt>
                  <w:sdtPr>
                    <w:rPr>
                      <w:rFonts w:asciiTheme="minorEastAsia" w:eastAsiaTheme="minorEastAsia" w:hAnsiTheme="minorEastAsia"/>
                      <w:bCs/>
                      <w:szCs w:val="21"/>
                    </w:rPr>
                    <w:alias w:val="银行存款客户资金外币折算率"/>
                    <w:tag w:val="_GBC_a4bd0f631f5247248af26261909d000e"/>
                    <w:id w:val="24723499"/>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4.9232</w:t>
                        </w:r>
                      </w:p>
                    </w:tc>
                  </w:sdtContent>
                </w:sdt>
                <w:sdt>
                  <w:sdtPr>
                    <w:rPr>
                      <w:rFonts w:asciiTheme="minorEastAsia" w:eastAsiaTheme="minorEastAsia" w:hAnsiTheme="minorEastAsia"/>
                      <w:bCs/>
                      <w:szCs w:val="21"/>
                    </w:rPr>
                    <w:alias w:val="银行存款客户资金外币折算人民币金额"/>
                    <w:tag w:val="_GBC_565c91b8bdc84153b93c3820d82bb0e7"/>
                    <w:id w:val="24723500"/>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2,573.36</w:t>
                        </w:r>
                      </w:p>
                    </w:tc>
                  </w:sdtContent>
                </w:sdt>
                <w:sdt>
                  <w:sdtPr>
                    <w:rPr>
                      <w:rFonts w:asciiTheme="minorEastAsia" w:eastAsiaTheme="minorEastAsia" w:hAnsiTheme="minorEastAsia"/>
                      <w:bCs/>
                      <w:szCs w:val="21"/>
                    </w:rPr>
                    <w:alias w:val="银行存款客户资金外币金额"/>
                    <w:tag w:val="_GBC_836335f15da94f9aae9af2ff0a6851a5"/>
                    <w:id w:val="24723501"/>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522.7</w:t>
                        </w:r>
                      </w:p>
                    </w:tc>
                  </w:sdtContent>
                </w:sdt>
                <w:sdt>
                  <w:sdtPr>
                    <w:rPr>
                      <w:rFonts w:asciiTheme="minorEastAsia" w:eastAsiaTheme="minorEastAsia" w:hAnsiTheme="minorEastAsia"/>
                      <w:bCs/>
                      <w:szCs w:val="21"/>
                    </w:rPr>
                    <w:alias w:val="银行存款客户资金外币折算率"/>
                    <w:tag w:val="_GBC_2afa5d0660a9464886e46477ca15361f"/>
                    <w:id w:val="24723502"/>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5.2755</w:t>
                        </w:r>
                      </w:p>
                    </w:tc>
                  </w:sdtContent>
                </w:sdt>
                <w:sdt>
                  <w:sdtPr>
                    <w:rPr>
                      <w:rFonts w:asciiTheme="minorEastAsia" w:eastAsiaTheme="minorEastAsia" w:hAnsiTheme="minorEastAsia"/>
                      <w:bCs/>
                      <w:szCs w:val="21"/>
                    </w:rPr>
                    <w:alias w:val="银行存款客户资金外币折算人民币金额"/>
                    <w:tag w:val="_GBC_4c7840d4582f49a097778b3a72d744da"/>
                    <w:id w:val="24723503"/>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2,757.50</w:t>
                        </w:r>
                      </w:p>
                    </w:tc>
                  </w:sdtContent>
                </w:sdt>
              </w:tr>
            </w:sdtContent>
          </w:sdt>
          <w:sdt>
            <w:sdtPr>
              <w:rPr>
                <w:rFonts w:asciiTheme="minorEastAsia" w:eastAsiaTheme="minorEastAsia" w:hAnsiTheme="minorEastAsia" w:hint="eastAsia"/>
                <w:color w:val="000000" w:themeColor="text1"/>
                <w:szCs w:val="21"/>
              </w:rPr>
              <w:alias w:val="银行存款客户资金外币分类"/>
              <w:tag w:val="_GBC_1eabdcd716844f1a982499fc2e0b7539"/>
              <w:id w:val="24723512"/>
              <w:lock w:val="sdtLocked"/>
            </w:sdtPr>
            <w:sdtEndPr>
              <w:rPr>
                <w:rFonts w:hint="default"/>
              </w:rPr>
            </w:sdtEndPr>
            <w:sdtContent>
              <w:tr w:rsidR="00DE031E" w:rsidRPr="00BA4523" w:rsidTr="00DE031E">
                <w:tc>
                  <w:tcPr>
                    <w:tcW w:w="896" w:type="pct"/>
                    <w:shd w:val="clear" w:color="auto" w:fill="auto"/>
                    <w:vAlign w:val="center"/>
                  </w:tcPr>
                  <w:sdt>
                    <w:sdtPr>
                      <w:rPr>
                        <w:rFonts w:asciiTheme="minorEastAsia" w:eastAsiaTheme="minorEastAsia" w:hAnsiTheme="minorEastAsia" w:hint="eastAsia"/>
                        <w:szCs w:val="21"/>
                      </w:rPr>
                      <w:alias w:val="银行存款客户资金外币币种"/>
                      <w:tag w:val="_GBC_91f8836d573940658ef7e5a417a308b2"/>
                      <w:id w:val="247235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Pr="00BA4523" w:rsidRDefault="001C1A59" w:rsidP="00DE031E">
                        <w:pPr>
                          <w:rPr>
                            <w:rFonts w:asciiTheme="minorEastAsia" w:eastAsiaTheme="minorEastAsia" w:hAnsiTheme="minorEastAsia"/>
                            <w:bCs/>
                            <w:szCs w:val="21"/>
                          </w:rPr>
                        </w:pPr>
                        <w:r w:rsidRPr="00BA4523">
                          <w:rPr>
                            <w:rFonts w:asciiTheme="minorEastAsia" w:eastAsiaTheme="minorEastAsia" w:hAnsiTheme="minorEastAsia" w:hint="eastAsia"/>
                            <w:szCs w:val="21"/>
                          </w:rPr>
                          <w:t>欧元</w:t>
                        </w:r>
                      </w:p>
                    </w:sdtContent>
                  </w:sdt>
                </w:tc>
                <w:sdt>
                  <w:sdtPr>
                    <w:rPr>
                      <w:rFonts w:asciiTheme="minorEastAsia" w:eastAsiaTheme="minorEastAsia" w:hAnsiTheme="minorEastAsia"/>
                      <w:bCs/>
                      <w:szCs w:val="21"/>
                    </w:rPr>
                    <w:alias w:val="银行存款客户资金外币金额"/>
                    <w:tag w:val="_GBC_2f84437e7bc94b01af7991546f5f2743"/>
                    <w:id w:val="24723506"/>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597,109.79</w:t>
                        </w:r>
                      </w:p>
                    </w:tc>
                  </w:sdtContent>
                </w:sdt>
                <w:sdt>
                  <w:sdtPr>
                    <w:rPr>
                      <w:rFonts w:asciiTheme="minorEastAsia" w:eastAsiaTheme="minorEastAsia" w:hAnsiTheme="minorEastAsia"/>
                      <w:bCs/>
                      <w:szCs w:val="21"/>
                    </w:rPr>
                    <w:alias w:val="银行存款客户资金外币折算率"/>
                    <w:tag w:val="_GBC_a4bd0f631f5247248af26261909d000e"/>
                    <w:id w:val="24723507"/>
                    <w:lock w:val="sdtLocked"/>
                  </w:sdtPr>
                  <w:sdtContent>
                    <w:tc>
                      <w:tcPr>
                        <w:tcW w:w="528"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6.8699</w:t>
                        </w:r>
                      </w:p>
                    </w:tc>
                  </w:sdtContent>
                </w:sdt>
                <w:sdt>
                  <w:sdtPr>
                    <w:rPr>
                      <w:rFonts w:asciiTheme="minorEastAsia" w:eastAsiaTheme="minorEastAsia" w:hAnsiTheme="minorEastAsia"/>
                      <w:bCs/>
                      <w:szCs w:val="21"/>
                    </w:rPr>
                    <w:alias w:val="银行存款客户资金外币折算人民币金额"/>
                    <w:tag w:val="_GBC_565c91b8bdc84153b93c3820d82bb0e7"/>
                    <w:id w:val="24723508"/>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4,102,084.55</w:t>
                        </w:r>
                      </w:p>
                    </w:tc>
                  </w:sdtContent>
                </w:sdt>
                <w:sdt>
                  <w:sdtPr>
                    <w:rPr>
                      <w:rFonts w:asciiTheme="minorEastAsia" w:eastAsiaTheme="minorEastAsia" w:hAnsiTheme="minorEastAsia"/>
                      <w:bCs/>
                      <w:szCs w:val="21"/>
                    </w:rPr>
                    <w:alias w:val="银行存款客户资金外币金额"/>
                    <w:tag w:val="_GBC_836335f15da94f9aae9af2ff0a6851a5"/>
                    <w:id w:val="24723509"/>
                    <w:lock w:val="sdtLocked"/>
                  </w:sdtPr>
                  <w:sdtContent>
                    <w:tc>
                      <w:tcPr>
                        <w:tcW w:w="56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457,372.61</w:t>
                        </w:r>
                      </w:p>
                    </w:tc>
                  </w:sdtContent>
                </w:sdt>
                <w:sdt>
                  <w:sdtPr>
                    <w:rPr>
                      <w:rFonts w:asciiTheme="minorEastAsia" w:eastAsiaTheme="minorEastAsia" w:hAnsiTheme="minorEastAsia"/>
                      <w:bCs/>
                      <w:szCs w:val="21"/>
                    </w:rPr>
                    <w:alias w:val="银行存款客户资金外币折算率"/>
                    <w:tag w:val="_GBC_2afa5d0660a9464886e46477ca15361f"/>
                    <w:id w:val="24723510"/>
                    <w:lock w:val="sdtLocked"/>
                  </w:sdtPr>
                  <w:sdtContent>
                    <w:tc>
                      <w:tcPr>
                        <w:tcW w:w="509"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7.4556</w:t>
                        </w:r>
                      </w:p>
                    </w:tc>
                  </w:sdtContent>
                </w:sdt>
                <w:sdt>
                  <w:sdtPr>
                    <w:rPr>
                      <w:rFonts w:asciiTheme="minorEastAsia" w:eastAsiaTheme="minorEastAsia" w:hAnsiTheme="minorEastAsia"/>
                      <w:bCs/>
                      <w:szCs w:val="21"/>
                    </w:rPr>
                    <w:alias w:val="银行存款客户资金外币折算人民币金额"/>
                    <w:tag w:val="_GBC_4c7840d4582f49a097778b3a72d744da"/>
                    <w:id w:val="24723511"/>
                    <w:lock w:val="sdtLocked"/>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szCs w:val="21"/>
                          </w:rPr>
                        </w:pPr>
                        <w:r w:rsidRPr="00BA4523">
                          <w:rPr>
                            <w:rFonts w:asciiTheme="minorEastAsia" w:eastAsiaTheme="minorEastAsia" w:hAnsiTheme="minorEastAsia"/>
                            <w:bCs/>
                            <w:szCs w:val="21"/>
                          </w:rPr>
                          <w:t>3,409,987.23</w:t>
                        </w:r>
                      </w:p>
                    </w:tc>
                  </w:sdtContent>
                </w:sdt>
              </w:tr>
            </w:sdtContent>
          </w:sdt>
          <w:tr w:rsidR="00DE031E" w:rsidRPr="00BA4523" w:rsidTr="00DE031E">
            <w:tc>
              <w:tcPr>
                <w:tcW w:w="896" w:type="pct"/>
                <w:shd w:val="clear" w:color="auto" w:fill="auto"/>
                <w:vAlign w:val="center"/>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其他货币资金：</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其他货币资金合计"/>
                <w:tag w:val="_GBC_567b4ded8564423394e8d0aab35b0da1"/>
                <w:id w:val="24723513"/>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1,126,216,684.19</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其他货币资金合计"/>
                <w:tag w:val="_GBC_ef7ae853ffb946559b0ed17aa38b3003"/>
                <w:id w:val="24723514"/>
                <w:lock w:val="sdtLocked"/>
                <w:showingPlcHdr/>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tr>
          <w:tr w:rsidR="00DE031E" w:rsidRPr="00BA4523" w:rsidTr="00DE031E">
            <w:tc>
              <w:tcPr>
                <w:tcW w:w="896" w:type="pct"/>
                <w:shd w:val="clear" w:color="auto" w:fill="auto"/>
                <w:vAlign w:val="center"/>
              </w:tcPr>
              <w:p w:rsidR="00DE031E" w:rsidRPr="00BA4523" w:rsidRDefault="001C1A59" w:rsidP="00DE031E">
                <w:pP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人民币</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其他货币资金本币金额"/>
                <w:tag w:val="_GBC_261c9f8cd12b471c820ee225cf9c4b11"/>
                <w:id w:val="24723515"/>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1,126,216,684.19</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其他货币资金本币金额"/>
                <w:tag w:val="_GBC_9ffa0aa4f1fc4fb194b18885e307f4f0"/>
                <w:id w:val="24723516"/>
                <w:lock w:val="sdtLocked"/>
                <w:showingPlcHdr/>
              </w:sdtPr>
              <w:sdtContent>
                <w:tc>
                  <w:tcPr>
                    <w:tcW w:w="64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color w:val="333399"/>
                        <w:szCs w:val="21"/>
                      </w:rPr>
                      <w:t xml:space="preserve">　</w:t>
                    </w:r>
                  </w:p>
                </w:tc>
              </w:sdtContent>
            </w:sdt>
          </w:tr>
          <w:tr w:rsidR="00DE031E" w:rsidRPr="00BA4523" w:rsidTr="00DE031E">
            <w:trPr>
              <w:trHeight w:val="20"/>
            </w:trPr>
            <w:tc>
              <w:tcPr>
                <w:tcW w:w="896" w:type="pct"/>
                <w:shd w:val="clear" w:color="auto" w:fill="auto"/>
                <w:vAlign w:val="center"/>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bCs/>
                    <w:color w:val="000000" w:themeColor="text1"/>
                    <w:szCs w:val="21"/>
                  </w:rPr>
                  <w:t>合计</w:t>
                </w:r>
              </w:p>
            </w:tc>
            <w:tc>
              <w:tcPr>
                <w:tcW w:w="93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28"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货币资金"/>
                <w:tag w:val="_GBC_d85e0f26b67b41d6ae1594b8d3813d84"/>
                <w:id w:val="24723517"/>
                <w:lock w:val="sdtLocked"/>
              </w:sdtPr>
              <w:sdtContent>
                <w:tc>
                  <w:tcPr>
                    <w:tcW w:w="932" w:type="pct"/>
                    <w:shd w:val="clear" w:color="auto" w:fill="auto"/>
                  </w:tcPr>
                  <w:p w:rsidR="00DE031E" w:rsidRPr="00BA4523" w:rsidRDefault="001C1A59" w:rsidP="00DE031E">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bCs/>
                        <w:color w:val="000000"/>
                        <w:szCs w:val="21"/>
                      </w:rPr>
                      <w:t>129,225,249,570.04</w:t>
                    </w:r>
                  </w:p>
                </w:tc>
              </w:sdtContent>
            </w:sdt>
            <w:tc>
              <w:tcPr>
                <w:tcW w:w="562"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09" w:type="pct"/>
                <w:shd w:val="clear" w:color="auto" w:fill="auto"/>
              </w:tcPr>
              <w:p w:rsidR="00DE031E" w:rsidRPr="00BA4523" w:rsidRDefault="001C1A59" w:rsidP="00DE031E">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642" w:type="pct"/>
                <w:shd w:val="clear" w:color="auto" w:fill="auto"/>
              </w:tcPr>
              <w:p w:rsidR="00DE031E" w:rsidRPr="00BA4523" w:rsidRDefault="00422DCA" w:rsidP="00DE031E">
                <w:pPr>
                  <w:jc w:val="right"/>
                  <w:rPr>
                    <w:rFonts w:asciiTheme="minorEastAsia" w:eastAsiaTheme="minorEastAsia" w:hAnsiTheme="minorEastAsia"/>
                    <w:bCs/>
                    <w:color w:val="000000" w:themeColor="text1"/>
                    <w:szCs w:val="21"/>
                  </w:rPr>
                </w:pPr>
                <w:sdt>
                  <w:sdtPr>
                    <w:rPr>
                      <w:rFonts w:asciiTheme="minorEastAsia" w:eastAsiaTheme="minorEastAsia" w:hAnsiTheme="minorEastAsia"/>
                      <w:bCs/>
                      <w:color w:val="000000" w:themeColor="text1"/>
                      <w:szCs w:val="21"/>
                    </w:rPr>
                    <w:alias w:val="货币资金"/>
                    <w:tag w:val="_GBC_9b93dd5d25b547efbbe9b89339b38904"/>
                    <w:id w:val="24723518"/>
                    <w:lock w:val="sdtLocked"/>
                  </w:sdtPr>
                  <w:sdtContent>
                    <w:r w:rsidR="001C1A59" w:rsidRPr="00BA4523">
                      <w:rPr>
                        <w:rFonts w:asciiTheme="minorEastAsia" w:eastAsiaTheme="minorEastAsia" w:hAnsiTheme="minorEastAsia"/>
                        <w:bCs/>
                        <w:color w:val="000000" w:themeColor="text1"/>
                        <w:szCs w:val="21"/>
                      </w:rPr>
                      <w:t>54,866,893,638.48</w:t>
                    </w:r>
                  </w:sdtContent>
                </w:sdt>
              </w:p>
            </w:tc>
          </w:tr>
        </w:tbl>
        <w:p w:rsidR="00DE031E" w:rsidRDefault="00DE031E">
          <w:pPr>
            <w:rPr>
              <w:szCs w:val="21"/>
            </w:rPr>
          </w:pPr>
        </w:p>
        <w:p w:rsidR="00DE031E" w:rsidRDefault="001C1A59">
          <w:pPr>
            <w:rPr>
              <w:szCs w:val="21"/>
            </w:rPr>
          </w:pPr>
          <w:r>
            <w:rPr>
              <w:rFonts w:hint="eastAsia"/>
              <w:szCs w:val="21"/>
            </w:rPr>
            <w:lastRenderedPageBreak/>
            <w:t>其中，融资融券业务：</w:t>
          </w:r>
        </w:p>
        <w:sdt>
          <w:sdtPr>
            <w:rPr>
              <w:szCs w:val="21"/>
            </w:rPr>
            <w:alias w:val="是否适用：融资融券业务"/>
            <w:tag w:val="_GBC_e7b3690890254550b15d4ea2938f4a7d"/>
            <w:id w:val="24723519"/>
            <w:lock w:val="sdtContentLocked"/>
            <w:placeholder>
              <w:docPart w:val="GBC22222222222222222222222222222"/>
            </w:placeholder>
          </w:sdtPr>
          <w:sdtContent>
            <w:p w:rsidR="00DE031E" w:rsidRDefault="00422DCA">
              <w:pPr>
                <w:rPr>
                  <w:szCs w:val="21"/>
                </w:rPr>
              </w:pPr>
              <w:r>
                <w:rPr>
                  <w:szCs w:val="21"/>
                </w:rPr>
                <w:fldChar w:fldCharType="begin"/>
              </w:r>
              <w:r w:rsidR="001C1A59">
                <w:rPr>
                  <w:szCs w:val="21"/>
                </w:rPr>
                <w:instrText xml:space="preserve"> MACROBUTTON  SnrToggleCheckbox √适用 </w:instrText>
              </w:r>
              <w:r>
                <w:rPr>
                  <w:szCs w:val="21"/>
                </w:rPr>
                <w:fldChar w:fldCharType="end"/>
              </w:r>
              <w:r>
                <w:rPr>
                  <w:szCs w:val="21"/>
                </w:rPr>
                <w:fldChar w:fldCharType="begin"/>
              </w:r>
              <w:r w:rsidR="001C1A59">
                <w:rPr>
                  <w:szCs w:val="21"/>
                </w:rPr>
                <w:instrText xml:space="preserve"> MACROBUTTON  SnrToggleCheckbox □不适用 </w:instrText>
              </w:r>
              <w:r>
                <w:rPr>
                  <w:szCs w:val="21"/>
                </w:rP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融资融券业务情况"/>
              <w:tag w:val="_GBC_05a35ef8280e42fc8c844b2ad2809bab"/>
              <w:id w:val="247235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234"/>
            <w:gridCol w:w="1843"/>
            <w:gridCol w:w="1561"/>
            <w:gridCol w:w="2835"/>
            <w:gridCol w:w="1829"/>
            <w:gridCol w:w="1564"/>
            <w:gridCol w:w="2223"/>
          </w:tblGrid>
          <w:tr w:rsidR="00DE031E" w:rsidRPr="00BA4523" w:rsidTr="00DE031E">
            <w:trPr>
              <w:jc w:val="center"/>
            </w:trPr>
            <w:tc>
              <w:tcPr>
                <w:tcW w:w="793" w:type="pct"/>
                <w:vMerge w:val="restart"/>
                <w:tcBorders>
                  <w:top w:val="single" w:sz="4" w:space="0" w:color="auto"/>
                  <w:bottom w:val="single" w:sz="6" w:space="0" w:color="auto"/>
                </w:tcBorders>
                <w:shd w:val="clear" w:color="auto" w:fill="auto"/>
                <w:vAlign w:val="center"/>
              </w:tcPr>
              <w:p w:rsidR="00DE031E" w:rsidRPr="00BA4523" w:rsidRDefault="001C1A59">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项目</w:t>
                </w:r>
              </w:p>
            </w:tc>
            <w:tc>
              <w:tcPr>
                <w:tcW w:w="2214" w:type="pct"/>
                <w:gridSpan w:val="3"/>
                <w:tcBorders>
                  <w:top w:val="single" w:sz="4" w:space="0" w:color="auto"/>
                  <w:bottom w:val="single" w:sz="6" w:space="0" w:color="auto"/>
                </w:tcBorders>
                <w:shd w:val="clear" w:color="auto" w:fill="auto"/>
                <w:vAlign w:val="center"/>
              </w:tcPr>
              <w:p w:rsidR="00DE031E" w:rsidRPr="00BA4523" w:rsidRDefault="001C1A59">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期末</w:t>
                </w:r>
              </w:p>
            </w:tc>
            <w:tc>
              <w:tcPr>
                <w:tcW w:w="1993" w:type="pct"/>
                <w:gridSpan w:val="3"/>
                <w:tcBorders>
                  <w:top w:val="single" w:sz="4" w:space="0" w:color="auto"/>
                  <w:bottom w:val="single" w:sz="6" w:space="0" w:color="auto"/>
                </w:tcBorders>
                <w:shd w:val="clear" w:color="auto" w:fill="auto"/>
                <w:vAlign w:val="center"/>
              </w:tcPr>
              <w:p w:rsidR="00DE031E" w:rsidRPr="00BA4523" w:rsidRDefault="001C1A59">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期初</w:t>
                </w:r>
              </w:p>
            </w:tc>
          </w:tr>
          <w:tr w:rsidR="00DE031E" w:rsidRPr="00BA4523" w:rsidTr="00DE031E">
            <w:trPr>
              <w:trHeight w:val="584"/>
              <w:jc w:val="center"/>
            </w:trPr>
            <w:tc>
              <w:tcPr>
                <w:tcW w:w="793" w:type="pct"/>
                <w:vMerge/>
                <w:tcBorders>
                  <w:top w:val="single" w:sz="6" w:space="0" w:color="auto"/>
                  <w:bottom w:val="single" w:sz="6" w:space="0" w:color="auto"/>
                </w:tcBorders>
                <w:shd w:val="clear" w:color="auto" w:fill="auto"/>
                <w:vAlign w:val="center"/>
              </w:tcPr>
              <w:p w:rsidR="00DE031E" w:rsidRPr="00BA4523" w:rsidRDefault="00DE031E">
                <w:pPr>
                  <w:jc w:val="center"/>
                  <w:rPr>
                    <w:rFonts w:asciiTheme="minorEastAsia" w:eastAsiaTheme="minorEastAsia" w:hAnsiTheme="minorEastAsia"/>
                    <w:bCs/>
                    <w:szCs w:val="21"/>
                  </w:rPr>
                </w:pPr>
              </w:p>
            </w:tc>
            <w:tc>
              <w:tcPr>
                <w:tcW w:w="654" w:type="pct"/>
                <w:tcBorders>
                  <w:top w:val="single" w:sz="6" w:space="0" w:color="auto"/>
                  <w:bottom w:val="single" w:sz="6" w:space="0" w:color="auto"/>
                </w:tcBorders>
                <w:shd w:val="clear" w:color="auto" w:fill="auto"/>
                <w:vAlign w:val="center"/>
              </w:tcPr>
              <w:p w:rsidR="00DE031E" w:rsidRPr="00BA4523" w:rsidRDefault="001C1A59">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外币金额</w:t>
                </w:r>
              </w:p>
            </w:tc>
            <w:tc>
              <w:tcPr>
                <w:tcW w:w="554" w:type="pct"/>
                <w:tcBorders>
                  <w:top w:val="single" w:sz="6" w:space="0" w:color="auto"/>
                  <w:bottom w:val="single" w:sz="6" w:space="0" w:color="auto"/>
                </w:tcBorders>
                <w:shd w:val="clear" w:color="auto" w:fill="auto"/>
                <w:vAlign w:val="center"/>
              </w:tcPr>
              <w:p w:rsidR="00DE031E" w:rsidRPr="00BA4523" w:rsidRDefault="001C1A59">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折算率</w:t>
                </w:r>
              </w:p>
            </w:tc>
            <w:tc>
              <w:tcPr>
                <w:tcW w:w="1006" w:type="pct"/>
                <w:tcBorders>
                  <w:top w:val="single" w:sz="6" w:space="0" w:color="auto"/>
                  <w:bottom w:val="single" w:sz="6" w:space="0" w:color="auto"/>
                </w:tcBorders>
                <w:shd w:val="clear" w:color="auto" w:fill="auto"/>
                <w:vAlign w:val="center"/>
              </w:tcPr>
              <w:p w:rsidR="00DE031E" w:rsidRPr="00BA4523" w:rsidRDefault="001C1A59" w:rsidP="00DE031E">
                <w:pPr>
                  <w:ind w:rightChars="-27" w:right="-57"/>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折人民币金额</w:t>
                </w:r>
              </w:p>
            </w:tc>
            <w:tc>
              <w:tcPr>
                <w:tcW w:w="649" w:type="pct"/>
                <w:tcBorders>
                  <w:top w:val="single" w:sz="6" w:space="0" w:color="auto"/>
                  <w:bottom w:val="single" w:sz="6" w:space="0" w:color="auto"/>
                </w:tcBorders>
                <w:shd w:val="clear" w:color="auto" w:fill="auto"/>
                <w:vAlign w:val="center"/>
              </w:tcPr>
              <w:p w:rsidR="00DE031E" w:rsidRPr="00BA4523" w:rsidRDefault="001C1A59">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外币金额</w:t>
                </w:r>
              </w:p>
            </w:tc>
            <w:tc>
              <w:tcPr>
                <w:tcW w:w="555" w:type="pct"/>
                <w:tcBorders>
                  <w:top w:val="single" w:sz="6" w:space="0" w:color="auto"/>
                  <w:bottom w:val="single" w:sz="6" w:space="0" w:color="auto"/>
                </w:tcBorders>
                <w:shd w:val="clear" w:color="auto" w:fill="auto"/>
                <w:vAlign w:val="center"/>
              </w:tcPr>
              <w:p w:rsidR="00DE031E" w:rsidRPr="00BA4523" w:rsidRDefault="001C1A59">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折算率</w:t>
                </w:r>
              </w:p>
            </w:tc>
            <w:tc>
              <w:tcPr>
                <w:tcW w:w="789" w:type="pct"/>
                <w:tcBorders>
                  <w:top w:val="single" w:sz="6" w:space="0" w:color="auto"/>
                  <w:bottom w:val="single" w:sz="6" w:space="0" w:color="auto"/>
                </w:tcBorders>
                <w:shd w:val="clear" w:color="auto" w:fill="auto"/>
                <w:vAlign w:val="center"/>
              </w:tcPr>
              <w:p w:rsidR="00DE031E" w:rsidRPr="00BA4523" w:rsidRDefault="001C1A59" w:rsidP="00DE031E">
                <w:pPr>
                  <w:jc w:val="center"/>
                  <w:rPr>
                    <w:rFonts w:asciiTheme="minorEastAsia" w:eastAsiaTheme="minorEastAsia" w:hAnsiTheme="minorEastAsia"/>
                    <w:bCs/>
                    <w:szCs w:val="21"/>
                  </w:rPr>
                </w:pPr>
                <w:r w:rsidRPr="00BA4523">
                  <w:rPr>
                    <w:rFonts w:asciiTheme="minorEastAsia" w:eastAsiaTheme="minorEastAsia" w:hAnsiTheme="minorEastAsia" w:hint="eastAsia"/>
                    <w:bCs/>
                    <w:szCs w:val="21"/>
                  </w:rPr>
                  <w:t>折人民币金额</w:t>
                </w:r>
              </w:p>
            </w:tc>
          </w:tr>
          <w:tr w:rsidR="00DE031E" w:rsidRPr="00BA4523" w:rsidTr="00DE031E">
            <w:trPr>
              <w:jc w:val="center"/>
            </w:trPr>
            <w:tc>
              <w:tcPr>
                <w:tcW w:w="793" w:type="pct"/>
                <w:tcBorders>
                  <w:top w:val="single" w:sz="6" w:space="0" w:color="auto"/>
                  <w:bottom w:val="single" w:sz="6" w:space="0" w:color="auto"/>
                </w:tcBorders>
                <w:shd w:val="clear" w:color="auto" w:fill="auto"/>
                <w:vAlign w:val="center"/>
              </w:tcPr>
              <w:p w:rsidR="00DE031E" w:rsidRPr="00BA4523" w:rsidRDefault="001C1A59">
                <w:pP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自有信用资金</w:t>
                </w:r>
              </w:p>
            </w:tc>
            <w:tc>
              <w:tcPr>
                <w:tcW w:w="6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color w:val="000000" w:themeColor="text1"/>
                  <w:szCs w:val="21"/>
                </w:rPr>
                <w:alias w:val="自有信用资金小计"/>
                <w:tag w:val="_GBC_ed0129d90fa44cdba25ad91cdf1de042"/>
                <w:id w:val="24723521"/>
                <w:lock w:val="sdtLocked"/>
              </w:sdtPr>
              <w:sdtContent>
                <w:tc>
                  <w:tcPr>
                    <w:tcW w:w="1006"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color w:val="000000" w:themeColor="text1"/>
                        <w:szCs w:val="21"/>
                      </w:rPr>
                    </w:pPr>
                    <w:r w:rsidRPr="00BA4523">
                      <w:rPr>
                        <w:rFonts w:asciiTheme="minorEastAsia" w:eastAsiaTheme="minorEastAsia" w:hAnsiTheme="minorEastAsia" w:cs="Arial"/>
                        <w:color w:val="000000"/>
                        <w:szCs w:val="21"/>
                      </w:rPr>
                      <w:t>10,128,188.10</w:t>
                    </w:r>
                  </w:p>
                </w:tc>
              </w:sdtContent>
            </w:sdt>
            <w:tc>
              <w:tcPr>
                <w:tcW w:w="649"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5"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自有信用资金小计"/>
                <w:tag w:val="_GBC_6f177b68b04b46f79304c24b6b5013e9"/>
                <w:id w:val="24723522"/>
                <w:lock w:val="sdtLocked"/>
              </w:sdtPr>
              <w:sdtContent>
                <w:tc>
                  <w:tcPr>
                    <w:tcW w:w="789"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18,244,096.48</w:t>
                    </w:r>
                  </w:p>
                </w:tc>
              </w:sdtContent>
            </w:sdt>
          </w:tr>
          <w:tr w:rsidR="00DE031E" w:rsidRPr="00BA4523" w:rsidTr="00DE031E">
            <w:trPr>
              <w:jc w:val="center"/>
            </w:trPr>
            <w:tc>
              <w:tcPr>
                <w:tcW w:w="793" w:type="pct"/>
                <w:tcBorders>
                  <w:top w:val="single" w:sz="6" w:space="0" w:color="auto"/>
                  <w:bottom w:val="single" w:sz="6" w:space="0" w:color="auto"/>
                </w:tcBorders>
                <w:shd w:val="clear" w:color="auto" w:fill="auto"/>
                <w:vAlign w:val="center"/>
              </w:tcPr>
              <w:p w:rsidR="00DE031E" w:rsidRPr="00BA4523" w:rsidRDefault="001C1A59">
                <w:pP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人民币</w:t>
                </w:r>
              </w:p>
            </w:tc>
            <w:tc>
              <w:tcPr>
                <w:tcW w:w="6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color w:val="000000" w:themeColor="text1"/>
                  <w:szCs w:val="21"/>
                </w:rPr>
                <w:alias w:val="自有信用资金中人民币金额"/>
                <w:tag w:val="_GBC_e778a3a332564a2a9ea1aad928432983"/>
                <w:id w:val="24723523"/>
                <w:lock w:val="sdtLocked"/>
              </w:sdtPr>
              <w:sdtContent>
                <w:tc>
                  <w:tcPr>
                    <w:tcW w:w="1006"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color w:val="000000" w:themeColor="text1"/>
                        <w:szCs w:val="21"/>
                      </w:rPr>
                    </w:pPr>
                    <w:r w:rsidRPr="00BA4523">
                      <w:rPr>
                        <w:rFonts w:asciiTheme="minorEastAsia" w:eastAsiaTheme="minorEastAsia" w:hAnsiTheme="minorEastAsia" w:cs="Arial"/>
                        <w:color w:val="000000"/>
                        <w:szCs w:val="21"/>
                      </w:rPr>
                      <w:t>10,128,188.10</w:t>
                    </w:r>
                  </w:p>
                </w:tc>
              </w:sdtContent>
            </w:sdt>
            <w:tc>
              <w:tcPr>
                <w:tcW w:w="649"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5"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bCs/>
                  <w:color w:val="000000" w:themeColor="text1"/>
                  <w:szCs w:val="21"/>
                </w:rPr>
                <w:alias w:val="自有信用资金中人民币金额"/>
                <w:tag w:val="_GBC_0e4f0daa68e04149822ac00635b8cc66"/>
                <w:id w:val="24723524"/>
                <w:lock w:val="sdtLocked"/>
              </w:sdtPr>
              <w:sdtContent>
                <w:tc>
                  <w:tcPr>
                    <w:tcW w:w="789"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bCs/>
                        <w:color w:val="000000" w:themeColor="text1"/>
                        <w:szCs w:val="21"/>
                      </w:rPr>
                    </w:pPr>
                    <w:r w:rsidRPr="00BA4523">
                      <w:rPr>
                        <w:rFonts w:asciiTheme="minorEastAsia" w:eastAsiaTheme="minorEastAsia" w:hAnsiTheme="minorEastAsia" w:cs="Arial"/>
                        <w:color w:val="000000"/>
                        <w:szCs w:val="21"/>
                      </w:rPr>
                      <w:t>18,244,096.48</w:t>
                    </w:r>
                  </w:p>
                </w:tc>
              </w:sdtContent>
            </w:sdt>
          </w:tr>
          <w:tr w:rsidR="00DE031E" w:rsidRPr="00BA4523" w:rsidTr="00DE031E">
            <w:trPr>
              <w:jc w:val="center"/>
            </w:trPr>
            <w:tc>
              <w:tcPr>
                <w:tcW w:w="793" w:type="pct"/>
                <w:tcBorders>
                  <w:top w:val="single" w:sz="6" w:space="0" w:color="auto"/>
                  <w:bottom w:val="single" w:sz="6" w:space="0" w:color="auto"/>
                </w:tcBorders>
                <w:shd w:val="clear" w:color="auto" w:fill="auto"/>
                <w:vAlign w:val="center"/>
              </w:tcPr>
              <w:p w:rsidR="00DE031E" w:rsidRPr="00BA4523" w:rsidRDefault="001C1A59">
                <w:pPr>
                  <w:rPr>
                    <w:rFonts w:asciiTheme="minorEastAsia" w:eastAsiaTheme="minorEastAsia" w:hAnsiTheme="minorEastAsia"/>
                    <w:color w:val="000000" w:themeColor="text1"/>
                    <w:szCs w:val="21"/>
                  </w:rPr>
                </w:pPr>
                <w:r w:rsidRPr="00BA4523">
                  <w:rPr>
                    <w:rFonts w:asciiTheme="minorEastAsia" w:eastAsiaTheme="minorEastAsia" w:hAnsiTheme="minorEastAsia" w:hint="eastAsia"/>
                    <w:color w:val="000000" w:themeColor="text1"/>
                    <w:szCs w:val="21"/>
                  </w:rPr>
                  <w:t>客户信用资金</w:t>
                </w:r>
              </w:p>
            </w:tc>
            <w:tc>
              <w:tcPr>
                <w:tcW w:w="6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color w:val="000000" w:themeColor="text1"/>
                  <w:szCs w:val="21"/>
                </w:rPr>
                <w:alias w:val="客户信用资金小计"/>
                <w:tag w:val="_GBC_3a173131d0d84f00bc1788633de846b0"/>
                <w:id w:val="24723525"/>
                <w:lock w:val="sdtLocked"/>
              </w:sdtPr>
              <w:sdtContent>
                <w:tc>
                  <w:tcPr>
                    <w:tcW w:w="1006"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color w:val="000000" w:themeColor="text1"/>
                        <w:szCs w:val="21"/>
                      </w:rPr>
                    </w:pPr>
                    <w:r w:rsidRPr="00BA4523">
                      <w:rPr>
                        <w:rFonts w:asciiTheme="minorEastAsia" w:eastAsiaTheme="minorEastAsia" w:hAnsiTheme="minorEastAsia" w:cs="Arial"/>
                        <w:color w:val="000000"/>
                        <w:szCs w:val="21"/>
                      </w:rPr>
                      <w:t>17,803,265,279.03</w:t>
                    </w:r>
                  </w:p>
                </w:tc>
              </w:sdtContent>
            </w:sdt>
            <w:tc>
              <w:tcPr>
                <w:tcW w:w="649"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5"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color w:val="000000" w:themeColor="text1"/>
                  <w:szCs w:val="21"/>
                </w:rPr>
                <w:alias w:val="客户信用资金小计"/>
                <w:tag w:val="_GBC_a2cd1ef5bf604629b0a8d56393d54fe8"/>
                <w:id w:val="24723526"/>
                <w:lock w:val="sdtLocked"/>
              </w:sdtPr>
              <w:sdtContent>
                <w:tc>
                  <w:tcPr>
                    <w:tcW w:w="789"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color w:val="000000" w:themeColor="text1"/>
                        <w:szCs w:val="21"/>
                      </w:rPr>
                    </w:pPr>
                    <w:r w:rsidRPr="00BA4523">
                      <w:rPr>
                        <w:rFonts w:asciiTheme="minorEastAsia" w:eastAsiaTheme="minorEastAsia" w:hAnsiTheme="minorEastAsia" w:cs="Arial"/>
                        <w:color w:val="000000"/>
                        <w:szCs w:val="21"/>
                      </w:rPr>
                      <w:t>6,418,977,772.24</w:t>
                    </w:r>
                  </w:p>
                </w:tc>
              </w:sdtContent>
            </w:sdt>
          </w:tr>
          <w:tr w:rsidR="00DE031E" w:rsidRPr="00BA4523" w:rsidTr="00DE031E">
            <w:trPr>
              <w:jc w:val="center"/>
            </w:trPr>
            <w:tc>
              <w:tcPr>
                <w:tcW w:w="793" w:type="pct"/>
                <w:tcBorders>
                  <w:top w:val="single" w:sz="6" w:space="0" w:color="auto"/>
                  <w:bottom w:val="single" w:sz="6" w:space="0" w:color="auto"/>
                </w:tcBorders>
                <w:shd w:val="clear" w:color="auto" w:fill="auto"/>
                <w:vAlign w:val="center"/>
              </w:tcPr>
              <w:p w:rsidR="00DE031E" w:rsidRPr="00BA4523" w:rsidRDefault="001C1A59">
                <w:pPr>
                  <w:rPr>
                    <w:rFonts w:asciiTheme="minorEastAsia" w:eastAsiaTheme="minorEastAsia" w:hAnsiTheme="minorEastAsia"/>
                    <w:color w:val="000000" w:themeColor="text1"/>
                    <w:szCs w:val="21"/>
                  </w:rPr>
                </w:pPr>
                <w:r w:rsidRPr="00BA4523">
                  <w:rPr>
                    <w:rFonts w:asciiTheme="minorEastAsia" w:eastAsiaTheme="minorEastAsia" w:hAnsiTheme="minorEastAsia" w:hint="eastAsia"/>
                    <w:color w:val="000000" w:themeColor="text1"/>
                    <w:szCs w:val="21"/>
                  </w:rPr>
                  <w:t>人民币</w:t>
                </w:r>
              </w:p>
            </w:tc>
            <w:tc>
              <w:tcPr>
                <w:tcW w:w="6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4"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color w:val="000000" w:themeColor="text1"/>
                  <w:szCs w:val="21"/>
                </w:rPr>
                <w:alias w:val="客户信用资金中人民币金额"/>
                <w:tag w:val="_GBC_847d178263e144deb1629e228877fb91"/>
                <w:id w:val="24723527"/>
                <w:lock w:val="sdtLocked"/>
              </w:sdtPr>
              <w:sdtContent>
                <w:tc>
                  <w:tcPr>
                    <w:tcW w:w="1006"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color w:val="000000" w:themeColor="text1"/>
                        <w:szCs w:val="21"/>
                      </w:rPr>
                    </w:pPr>
                    <w:r w:rsidRPr="00BA4523">
                      <w:rPr>
                        <w:rFonts w:asciiTheme="minorEastAsia" w:eastAsiaTheme="minorEastAsia" w:hAnsiTheme="minorEastAsia" w:cs="Arial"/>
                        <w:color w:val="000000"/>
                        <w:szCs w:val="21"/>
                      </w:rPr>
                      <w:t>17,803,265,279.03</w:t>
                    </w:r>
                  </w:p>
                </w:tc>
              </w:sdtContent>
            </w:sdt>
            <w:tc>
              <w:tcPr>
                <w:tcW w:w="649"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tc>
              <w:tcPr>
                <w:tcW w:w="555" w:type="pct"/>
                <w:tcBorders>
                  <w:top w:val="single" w:sz="6" w:space="0" w:color="auto"/>
                  <w:bottom w:val="single" w:sz="6" w:space="0" w:color="auto"/>
                </w:tcBorders>
                <w:shd w:val="clear" w:color="auto" w:fill="auto"/>
              </w:tcPr>
              <w:p w:rsidR="00DE031E" w:rsidRPr="00BA4523" w:rsidRDefault="001C1A59">
                <w:pPr>
                  <w:jc w:val="center"/>
                  <w:rPr>
                    <w:rFonts w:asciiTheme="minorEastAsia" w:eastAsiaTheme="minorEastAsia" w:hAnsiTheme="minorEastAsia"/>
                    <w:bCs/>
                    <w:color w:val="000000" w:themeColor="text1"/>
                    <w:szCs w:val="21"/>
                  </w:rPr>
                </w:pPr>
                <w:r w:rsidRPr="00BA4523">
                  <w:rPr>
                    <w:rFonts w:asciiTheme="minorEastAsia" w:eastAsiaTheme="minorEastAsia" w:hAnsiTheme="minorEastAsia" w:hint="eastAsia"/>
                    <w:bCs/>
                    <w:color w:val="000000" w:themeColor="text1"/>
                    <w:szCs w:val="21"/>
                  </w:rPr>
                  <w:t>/</w:t>
                </w:r>
              </w:p>
            </w:tc>
            <w:sdt>
              <w:sdtPr>
                <w:rPr>
                  <w:rFonts w:asciiTheme="minorEastAsia" w:eastAsiaTheme="minorEastAsia" w:hAnsiTheme="minorEastAsia"/>
                  <w:color w:val="000000" w:themeColor="text1"/>
                  <w:szCs w:val="21"/>
                </w:rPr>
                <w:alias w:val="客户信用资金中人民币金额"/>
                <w:tag w:val="_GBC_1a5cf97fb36f4da8a58cf123b035bc24"/>
                <w:id w:val="24723528"/>
                <w:lock w:val="sdtLocked"/>
              </w:sdtPr>
              <w:sdtContent>
                <w:tc>
                  <w:tcPr>
                    <w:tcW w:w="789" w:type="pct"/>
                    <w:tcBorders>
                      <w:top w:val="single" w:sz="6" w:space="0" w:color="auto"/>
                      <w:bottom w:val="single" w:sz="6" w:space="0" w:color="auto"/>
                    </w:tcBorders>
                    <w:shd w:val="clear" w:color="auto" w:fill="auto"/>
                  </w:tcPr>
                  <w:p w:rsidR="00DE031E" w:rsidRPr="00BA4523" w:rsidRDefault="001C1A59">
                    <w:pPr>
                      <w:jc w:val="right"/>
                      <w:rPr>
                        <w:rFonts w:asciiTheme="minorEastAsia" w:eastAsiaTheme="minorEastAsia" w:hAnsiTheme="minorEastAsia"/>
                        <w:color w:val="000000" w:themeColor="text1"/>
                        <w:szCs w:val="21"/>
                      </w:rPr>
                    </w:pPr>
                    <w:r w:rsidRPr="00BA4523">
                      <w:rPr>
                        <w:rFonts w:asciiTheme="minorEastAsia" w:eastAsiaTheme="minorEastAsia" w:hAnsiTheme="minorEastAsia" w:cs="Arial"/>
                        <w:color w:val="000000"/>
                        <w:szCs w:val="21"/>
                      </w:rPr>
                      <w:t>6,418,977,772.24</w:t>
                    </w:r>
                  </w:p>
                </w:tc>
              </w:sdtContent>
            </w:sdt>
          </w:tr>
        </w:tbl>
      </w:sdtContent>
    </w:sdt>
    <w:sdt>
      <w:sdtPr>
        <w:rPr>
          <w:b/>
          <w:bCs/>
          <w:szCs w:val="21"/>
        </w:rPr>
        <w:tag w:val="_GBC_91fa19e82bb9455daceacec7e82f227c"/>
        <w:id w:val="24723562"/>
        <w:lock w:val="sdtLocked"/>
        <w:placeholder>
          <w:docPart w:val="GBC22222222222222222222222222222"/>
        </w:placeholder>
      </w:sdtPr>
      <w:sdtEndPr>
        <w:rPr>
          <w:b w:val="0"/>
          <w:bCs w:val="0"/>
        </w:rPr>
      </w:sdtEndPr>
      <w:sdtContent>
        <w:p w:rsidR="00DE031E" w:rsidRDefault="001C1A59" w:rsidP="00DE031E">
          <w:pPr>
            <w:widowControl w:val="0"/>
            <w:autoSpaceDE w:val="0"/>
            <w:autoSpaceDN w:val="0"/>
            <w:adjustRightInd w:val="0"/>
            <w:rPr>
              <w:rFonts w:hAnsi="Arial"/>
              <w:sz w:val="22"/>
              <w:szCs w:val="22"/>
            </w:rPr>
          </w:pPr>
          <w:r>
            <w:rPr>
              <w:rFonts w:ascii="Arial" w:hAnsi="Arial" w:cs="Arial"/>
              <w:sz w:val="22"/>
              <w:szCs w:val="22"/>
            </w:rPr>
            <w:t>1</w:t>
          </w:r>
          <w:r>
            <w:rPr>
              <w:rFonts w:hAnsi="Arial" w:hint="eastAsia"/>
              <w:sz w:val="22"/>
              <w:szCs w:val="22"/>
            </w:rPr>
            <w:t>）截至</w:t>
          </w:r>
          <w:r>
            <w:rPr>
              <w:rFonts w:ascii="Arial" w:hAnsi="Arial" w:cs="Arial"/>
              <w:sz w:val="22"/>
              <w:szCs w:val="22"/>
            </w:rPr>
            <w:t>201</w:t>
          </w:r>
          <w:r>
            <w:rPr>
              <w:rFonts w:ascii="Arial" w:hAnsi="Arial" w:cs="Arial" w:hint="eastAsia"/>
              <w:sz w:val="22"/>
              <w:szCs w:val="22"/>
            </w:rPr>
            <w:t>5</w:t>
          </w:r>
          <w:r>
            <w:rPr>
              <w:rFonts w:hAnsi="Arial" w:hint="eastAsia"/>
              <w:sz w:val="22"/>
              <w:szCs w:val="22"/>
            </w:rPr>
            <w:t>年</w:t>
          </w:r>
          <w:r>
            <w:rPr>
              <w:rFonts w:ascii="Arial" w:hAnsi="Arial" w:cs="Arial" w:hint="eastAsia"/>
              <w:sz w:val="22"/>
              <w:szCs w:val="22"/>
            </w:rPr>
            <w:t>6</w:t>
          </w:r>
          <w:r>
            <w:rPr>
              <w:rFonts w:hAnsi="Arial" w:hint="eastAsia"/>
              <w:sz w:val="22"/>
              <w:szCs w:val="22"/>
            </w:rPr>
            <w:t>月</w:t>
          </w:r>
          <w:r>
            <w:rPr>
              <w:rFonts w:ascii="Arial" w:hAnsi="Arial" w:cs="Arial"/>
              <w:sz w:val="22"/>
              <w:szCs w:val="22"/>
            </w:rPr>
            <w:t>3</w:t>
          </w:r>
          <w:r>
            <w:rPr>
              <w:rFonts w:ascii="Arial" w:hAnsi="Arial" w:cs="Arial" w:hint="eastAsia"/>
              <w:sz w:val="22"/>
              <w:szCs w:val="22"/>
            </w:rPr>
            <w:t>0</w:t>
          </w:r>
          <w:r>
            <w:rPr>
              <w:rFonts w:hAnsi="Arial" w:hint="eastAsia"/>
              <w:sz w:val="22"/>
              <w:szCs w:val="22"/>
            </w:rPr>
            <w:t>日，货币资金较年初增加</w:t>
          </w:r>
          <w:r>
            <w:rPr>
              <w:rFonts w:ascii="Arial" w:hAnsi="Arial" w:cs="Arial" w:hint="eastAsia"/>
              <w:sz w:val="22"/>
              <w:szCs w:val="22"/>
            </w:rPr>
            <w:t>74</w:t>
          </w:r>
          <w:r>
            <w:rPr>
              <w:rFonts w:ascii="Arial" w:hAnsi="Arial" w:cs="Arial"/>
              <w:sz w:val="22"/>
              <w:szCs w:val="22"/>
            </w:rPr>
            <w:t>,</w:t>
          </w:r>
          <w:r>
            <w:rPr>
              <w:rFonts w:ascii="Arial" w:hAnsi="Arial" w:cs="Arial" w:hint="eastAsia"/>
              <w:sz w:val="22"/>
              <w:szCs w:val="22"/>
            </w:rPr>
            <w:t>358</w:t>
          </w:r>
          <w:r>
            <w:rPr>
              <w:rFonts w:ascii="Arial" w:hAnsi="Arial" w:cs="Arial"/>
              <w:sz w:val="22"/>
              <w:szCs w:val="22"/>
            </w:rPr>
            <w:t>,</w:t>
          </w:r>
          <w:r>
            <w:rPr>
              <w:rFonts w:ascii="Arial" w:hAnsi="Arial" w:cs="Arial" w:hint="eastAsia"/>
              <w:sz w:val="22"/>
              <w:szCs w:val="22"/>
            </w:rPr>
            <w:t>355</w:t>
          </w:r>
          <w:r>
            <w:rPr>
              <w:rFonts w:ascii="Arial" w:hAnsi="Arial" w:cs="Arial"/>
              <w:sz w:val="22"/>
              <w:szCs w:val="22"/>
            </w:rPr>
            <w:t>,9</w:t>
          </w:r>
          <w:r>
            <w:rPr>
              <w:rFonts w:ascii="Arial" w:hAnsi="Arial" w:cs="Arial" w:hint="eastAsia"/>
              <w:sz w:val="22"/>
              <w:szCs w:val="22"/>
            </w:rPr>
            <w:t>31</w:t>
          </w:r>
          <w:r>
            <w:rPr>
              <w:rFonts w:ascii="Arial" w:hAnsi="Arial" w:cs="Arial"/>
              <w:sz w:val="22"/>
              <w:szCs w:val="22"/>
            </w:rPr>
            <w:t>.</w:t>
          </w:r>
          <w:r>
            <w:rPr>
              <w:rFonts w:ascii="Arial" w:hAnsi="Arial" w:cs="Arial" w:hint="eastAsia"/>
              <w:sz w:val="22"/>
              <w:szCs w:val="22"/>
            </w:rPr>
            <w:t>56</w:t>
          </w:r>
          <w:r>
            <w:rPr>
              <w:rFonts w:hAnsi="Arial" w:hint="eastAsia"/>
              <w:sz w:val="22"/>
              <w:szCs w:val="22"/>
            </w:rPr>
            <w:t>元，增幅为</w:t>
          </w:r>
          <w:r>
            <w:rPr>
              <w:rFonts w:ascii="Arial" w:hAnsi="Arial" w:cs="Arial"/>
              <w:sz w:val="22"/>
              <w:szCs w:val="22"/>
            </w:rPr>
            <w:t>1</w:t>
          </w:r>
          <w:r>
            <w:rPr>
              <w:rFonts w:ascii="Arial" w:hAnsi="Arial" w:cs="Arial" w:hint="eastAsia"/>
              <w:sz w:val="22"/>
              <w:szCs w:val="22"/>
            </w:rPr>
            <w:t>35</w:t>
          </w:r>
          <w:r>
            <w:rPr>
              <w:rFonts w:ascii="Arial" w:hAnsi="Arial" w:cs="Arial"/>
              <w:sz w:val="22"/>
              <w:szCs w:val="22"/>
            </w:rPr>
            <w:t>.</w:t>
          </w:r>
          <w:r>
            <w:rPr>
              <w:rFonts w:ascii="Arial" w:hAnsi="Arial" w:cs="Arial" w:hint="eastAsia"/>
              <w:sz w:val="22"/>
              <w:szCs w:val="22"/>
            </w:rPr>
            <w:t>5</w:t>
          </w:r>
          <w:r w:rsidR="009224FC">
            <w:rPr>
              <w:rFonts w:ascii="Arial" w:hAnsi="Arial" w:cs="Arial" w:hint="eastAsia"/>
              <w:sz w:val="22"/>
              <w:szCs w:val="22"/>
            </w:rPr>
            <w:t>2</w:t>
          </w:r>
          <w:r>
            <w:rPr>
              <w:rFonts w:ascii="Arial" w:hAnsi="Arial" w:cs="Arial"/>
              <w:sz w:val="22"/>
              <w:szCs w:val="22"/>
            </w:rPr>
            <w:t>%</w:t>
          </w:r>
          <w:r>
            <w:rPr>
              <w:rFonts w:hAnsi="Arial" w:hint="eastAsia"/>
              <w:sz w:val="22"/>
              <w:szCs w:val="22"/>
            </w:rPr>
            <w:t>，主要系经纪业务客户资金存款增加所致。</w:t>
          </w:r>
        </w:p>
        <w:p w:rsidR="00DE031E" w:rsidRDefault="001C1A59" w:rsidP="00DE031E">
          <w:pPr>
            <w:widowControl w:val="0"/>
            <w:autoSpaceDE w:val="0"/>
            <w:autoSpaceDN w:val="0"/>
            <w:adjustRightInd w:val="0"/>
            <w:rPr>
              <w:rFonts w:hAnsi="Arial"/>
              <w:sz w:val="22"/>
              <w:szCs w:val="22"/>
            </w:rPr>
          </w:pPr>
          <w:r>
            <w:rPr>
              <w:rFonts w:ascii="Arial" w:hAnsi="Arial" w:cs="Arial"/>
              <w:sz w:val="22"/>
              <w:szCs w:val="22"/>
            </w:rPr>
            <w:t>2</w:t>
          </w:r>
          <w:r>
            <w:rPr>
              <w:rFonts w:hAnsi="Arial" w:hint="eastAsia"/>
              <w:sz w:val="22"/>
              <w:szCs w:val="22"/>
            </w:rPr>
            <w:t>）截至</w:t>
          </w:r>
          <w:r>
            <w:rPr>
              <w:rFonts w:ascii="Arial" w:hAnsi="Arial" w:cs="Arial"/>
              <w:sz w:val="22"/>
              <w:szCs w:val="22"/>
            </w:rPr>
            <w:t>201</w:t>
          </w:r>
          <w:r>
            <w:rPr>
              <w:rFonts w:ascii="Arial" w:hAnsi="Arial" w:cs="Arial" w:hint="eastAsia"/>
              <w:sz w:val="22"/>
              <w:szCs w:val="22"/>
            </w:rPr>
            <w:t>5</w:t>
          </w:r>
          <w:r>
            <w:rPr>
              <w:rFonts w:hAnsi="Arial" w:hint="eastAsia"/>
              <w:sz w:val="22"/>
              <w:szCs w:val="22"/>
            </w:rPr>
            <w:t>年</w:t>
          </w:r>
          <w:r>
            <w:rPr>
              <w:rFonts w:ascii="Arial" w:hAnsi="Arial" w:cs="Arial" w:hint="eastAsia"/>
              <w:sz w:val="22"/>
              <w:szCs w:val="22"/>
            </w:rPr>
            <w:t>6</w:t>
          </w:r>
          <w:r>
            <w:rPr>
              <w:rFonts w:hAnsi="Arial" w:hint="eastAsia"/>
              <w:sz w:val="22"/>
              <w:szCs w:val="22"/>
            </w:rPr>
            <w:t>月</w:t>
          </w:r>
          <w:r>
            <w:rPr>
              <w:rFonts w:ascii="Arial" w:hAnsi="Arial" w:cs="Arial"/>
              <w:sz w:val="22"/>
              <w:szCs w:val="22"/>
            </w:rPr>
            <w:t>3</w:t>
          </w:r>
          <w:r>
            <w:rPr>
              <w:rFonts w:ascii="Arial" w:hAnsi="Arial" w:cs="Arial" w:hint="eastAsia"/>
              <w:sz w:val="22"/>
              <w:szCs w:val="22"/>
            </w:rPr>
            <w:t>0</w:t>
          </w:r>
          <w:r>
            <w:rPr>
              <w:rFonts w:hAnsi="Arial" w:hint="eastAsia"/>
              <w:sz w:val="22"/>
              <w:szCs w:val="22"/>
            </w:rPr>
            <w:t>日，货币资金包含用于子公司招商证券国际有限公司质押借款的存款计人民币</w:t>
          </w:r>
          <w:r>
            <w:rPr>
              <w:rFonts w:ascii="Arial" w:hAnsi="Arial" w:cs="Arial"/>
              <w:sz w:val="22"/>
              <w:szCs w:val="22"/>
            </w:rPr>
            <w:t>3</w:t>
          </w:r>
          <w:r>
            <w:rPr>
              <w:rFonts w:ascii="Arial" w:hAnsi="Arial" w:cs="Arial" w:hint="eastAsia"/>
              <w:sz w:val="22"/>
              <w:szCs w:val="22"/>
            </w:rPr>
            <w:t>57</w:t>
          </w:r>
          <w:r>
            <w:rPr>
              <w:rFonts w:ascii="Arial" w:hAnsi="Arial" w:cs="Arial"/>
              <w:sz w:val="22"/>
              <w:szCs w:val="22"/>
            </w:rPr>
            <w:t>,</w:t>
          </w:r>
          <w:r>
            <w:rPr>
              <w:rFonts w:ascii="Arial" w:hAnsi="Arial" w:cs="Arial" w:hint="eastAsia"/>
              <w:sz w:val="22"/>
              <w:szCs w:val="22"/>
            </w:rPr>
            <w:t>467</w:t>
          </w:r>
          <w:r>
            <w:rPr>
              <w:rFonts w:ascii="Arial" w:hAnsi="Arial" w:cs="Arial"/>
              <w:sz w:val="22"/>
              <w:szCs w:val="22"/>
            </w:rPr>
            <w:t>,</w:t>
          </w:r>
          <w:r>
            <w:rPr>
              <w:rFonts w:ascii="Arial" w:hAnsi="Arial" w:cs="Arial" w:hint="eastAsia"/>
              <w:sz w:val="22"/>
              <w:szCs w:val="22"/>
            </w:rPr>
            <w:t>458</w:t>
          </w:r>
          <w:r>
            <w:rPr>
              <w:rFonts w:ascii="Arial" w:hAnsi="Arial" w:cs="Arial"/>
              <w:sz w:val="22"/>
              <w:szCs w:val="22"/>
            </w:rPr>
            <w:t>.0</w:t>
          </w:r>
          <w:r>
            <w:rPr>
              <w:rFonts w:ascii="Arial" w:hAnsi="Arial" w:cs="Arial" w:hint="eastAsia"/>
              <w:sz w:val="22"/>
              <w:szCs w:val="22"/>
            </w:rPr>
            <w:t>6</w:t>
          </w:r>
          <w:r>
            <w:rPr>
              <w:rFonts w:hAnsi="Arial" w:hint="eastAsia"/>
              <w:sz w:val="22"/>
              <w:szCs w:val="22"/>
            </w:rPr>
            <w:t>元。</w:t>
          </w:r>
        </w:p>
        <w:p w:rsidR="00DE031E" w:rsidRPr="00EE48AA" w:rsidRDefault="001C1A59" w:rsidP="00DE031E">
          <w:pPr>
            <w:widowControl w:val="0"/>
            <w:autoSpaceDE w:val="0"/>
            <w:autoSpaceDN w:val="0"/>
            <w:adjustRightInd w:val="0"/>
            <w:rPr>
              <w:szCs w:val="21"/>
            </w:rPr>
          </w:pPr>
          <w:r>
            <w:rPr>
              <w:rFonts w:ascii="Arial" w:hAnsi="Arial" w:cs="Arial"/>
              <w:sz w:val="22"/>
              <w:szCs w:val="22"/>
            </w:rPr>
            <w:t>3</w:t>
          </w:r>
          <w:r>
            <w:rPr>
              <w:rFonts w:hAnsi="Arial" w:hint="eastAsia"/>
              <w:sz w:val="22"/>
              <w:szCs w:val="22"/>
            </w:rPr>
            <w:t>）截至</w:t>
          </w:r>
          <w:r>
            <w:rPr>
              <w:rFonts w:ascii="Arial" w:hAnsi="Arial" w:cs="Arial"/>
              <w:sz w:val="22"/>
              <w:szCs w:val="22"/>
            </w:rPr>
            <w:t>201</w:t>
          </w:r>
          <w:r>
            <w:rPr>
              <w:rFonts w:ascii="Arial" w:hAnsi="Arial" w:cs="Arial" w:hint="eastAsia"/>
              <w:sz w:val="22"/>
              <w:szCs w:val="22"/>
            </w:rPr>
            <w:t>5</w:t>
          </w:r>
          <w:r>
            <w:rPr>
              <w:rFonts w:hAnsi="Arial" w:hint="eastAsia"/>
              <w:sz w:val="22"/>
              <w:szCs w:val="22"/>
            </w:rPr>
            <w:t>年</w:t>
          </w:r>
          <w:r>
            <w:rPr>
              <w:rFonts w:ascii="Arial" w:hAnsi="Arial" w:cs="Arial" w:hint="eastAsia"/>
              <w:sz w:val="22"/>
              <w:szCs w:val="22"/>
            </w:rPr>
            <w:t>6</w:t>
          </w:r>
          <w:r>
            <w:rPr>
              <w:rFonts w:hAnsi="Arial" w:hint="eastAsia"/>
              <w:sz w:val="22"/>
              <w:szCs w:val="22"/>
            </w:rPr>
            <w:t>月</w:t>
          </w:r>
          <w:r>
            <w:rPr>
              <w:rFonts w:ascii="Arial" w:hAnsi="Arial" w:cs="Arial"/>
              <w:sz w:val="22"/>
              <w:szCs w:val="22"/>
            </w:rPr>
            <w:t>3</w:t>
          </w:r>
          <w:r>
            <w:rPr>
              <w:rFonts w:ascii="Arial" w:hAnsi="Arial" w:cs="Arial" w:hint="eastAsia"/>
              <w:sz w:val="22"/>
              <w:szCs w:val="22"/>
            </w:rPr>
            <w:t>0</w:t>
          </w:r>
          <w:r>
            <w:rPr>
              <w:rFonts w:hAnsi="Arial" w:hint="eastAsia"/>
              <w:sz w:val="22"/>
              <w:szCs w:val="22"/>
            </w:rPr>
            <w:t>日，本公司存放在境外的货币资金共计</w:t>
          </w:r>
          <w:r>
            <w:rPr>
              <w:rFonts w:ascii="Arial" w:hAnsi="Arial" w:cs="Arial"/>
              <w:sz w:val="22"/>
              <w:szCs w:val="22"/>
            </w:rPr>
            <w:t>6,</w:t>
          </w:r>
          <w:r>
            <w:rPr>
              <w:rFonts w:ascii="Arial" w:hAnsi="Arial" w:cs="Arial" w:hint="eastAsia"/>
              <w:sz w:val="22"/>
              <w:szCs w:val="22"/>
            </w:rPr>
            <w:t>763</w:t>
          </w:r>
          <w:r>
            <w:rPr>
              <w:rFonts w:ascii="Arial" w:hAnsi="Arial" w:cs="Arial"/>
              <w:sz w:val="22"/>
              <w:szCs w:val="22"/>
            </w:rPr>
            <w:t>,</w:t>
          </w:r>
          <w:r>
            <w:rPr>
              <w:rFonts w:ascii="Arial" w:hAnsi="Arial" w:cs="Arial" w:hint="eastAsia"/>
              <w:sz w:val="22"/>
              <w:szCs w:val="22"/>
            </w:rPr>
            <w:t>0</w:t>
          </w:r>
          <w:r>
            <w:rPr>
              <w:rFonts w:ascii="Arial" w:hAnsi="Arial" w:cs="Arial"/>
              <w:sz w:val="22"/>
              <w:szCs w:val="22"/>
            </w:rPr>
            <w:t>87,</w:t>
          </w:r>
          <w:r>
            <w:rPr>
              <w:rFonts w:ascii="Arial" w:hAnsi="Arial" w:cs="Arial" w:hint="eastAsia"/>
              <w:sz w:val="22"/>
              <w:szCs w:val="22"/>
            </w:rPr>
            <w:t>499</w:t>
          </w:r>
          <w:r>
            <w:rPr>
              <w:rFonts w:ascii="Arial" w:hAnsi="Arial" w:cs="Arial"/>
              <w:sz w:val="22"/>
              <w:szCs w:val="22"/>
            </w:rPr>
            <w:t>.</w:t>
          </w:r>
          <w:r>
            <w:rPr>
              <w:rFonts w:ascii="Arial" w:hAnsi="Arial" w:cs="Arial" w:hint="eastAsia"/>
              <w:sz w:val="22"/>
              <w:szCs w:val="22"/>
            </w:rPr>
            <w:t>60</w:t>
          </w:r>
          <w:r>
            <w:rPr>
              <w:rFonts w:hAnsi="Arial" w:hint="eastAsia"/>
              <w:sz w:val="22"/>
              <w:szCs w:val="22"/>
            </w:rPr>
            <w:t>元，主要为本公司之子公司招商证券国际有限公司存放在境外的资金。</w:t>
          </w:r>
        </w:p>
        <w:p w:rsidR="00DE031E" w:rsidRDefault="001C1A59" w:rsidP="009950AC">
          <w:pPr>
            <w:pStyle w:val="3"/>
            <w:numPr>
              <w:ilvl w:val="0"/>
              <w:numId w:val="41"/>
            </w:numPr>
            <w:rPr>
              <w:szCs w:val="21"/>
            </w:rPr>
          </w:pPr>
          <w:r>
            <w:rPr>
              <w:szCs w:val="21"/>
            </w:rPr>
            <w:t>结算</w:t>
          </w:r>
          <w:r>
            <w:t>备付金</w:t>
          </w:r>
        </w:p>
        <w:p w:rsidR="00DE031E" w:rsidRDefault="001C1A59">
          <w:pPr>
            <w:jc w:val="right"/>
            <w:rPr>
              <w:szCs w:val="21"/>
            </w:rPr>
          </w:pPr>
          <w:r>
            <w:rPr>
              <w:rFonts w:hint="eastAsia"/>
              <w:szCs w:val="21"/>
            </w:rPr>
            <w:t>单位：</w:t>
          </w:r>
          <w:sdt>
            <w:sdtPr>
              <w:rPr>
                <w:rFonts w:hint="eastAsia"/>
                <w:szCs w:val="21"/>
              </w:rPr>
              <w:alias w:val="单位：财务附注：结算备付金"/>
              <w:tag w:val="_GBC_d75821fcaa1e4bd185a820bace17859a"/>
              <w:id w:val="247235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1846"/>
            <w:gridCol w:w="1792"/>
            <w:gridCol w:w="2001"/>
            <w:gridCol w:w="1792"/>
            <w:gridCol w:w="1857"/>
            <w:gridCol w:w="2001"/>
          </w:tblGrid>
          <w:tr w:rsidR="00DE031E" w:rsidTr="00DE031E">
            <w:trPr>
              <w:trHeight w:val="299"/>
            </w:trPr>
            <w:tc>
              <w:tcPr>
                <w:tcW w:w="994" w:type="pct"/>
                <w:vMerge w:val="restart"/>
                <w:vAlign w:val="center"/>
              </w:tcPr>
              <w:p w:rsidR="00DE031E" w:rsidRDefault="001C1A59">
                <w:pPr>
                  <w:jc w:val="center"/>
                  <w:rPr>
                    <w:color w:val="000000" w:themeColor="text1"/>
                  </w:rPr>
                </w:pPr>
                <w:r>
                  <w:rPr>
                    <w:rFonts w:hint="eastAsia"/>
                    <w:color w:val="000000" w:themeColor="text1"/>
                  </w:rPr>
                  <w:t>项目</w:t>
                </w:r>
              </w:p>
            </w:tc>
            <w:tc>
              <w:tcPr>
                <w:tcW w:w="2001" w:type="pct"/>
                <w:gridSpan w:val="3"/>
                <w:vAlign w:val="center"/>
              </w:tcPr>
              <w:p w:rsidR="00DE031E" w:rsidRDefault="001C1A59">
                <w:pPr>
                  <w:jc w:val="center"/>
                  <w:rPr>
                    <w:color w:val="000000" w:themeColor="text1"/>
                  </w:rPr>
                </w:pPr>
                <w:r>
                  <w:rPr>
                    <w:color w:val="000000" w:themeColor="text1"/>
                  </w:rPr>
                  <w:t>期末</w:t>
                </w:r>
              </w:p>
            </w:tc>
            <w:tc>
              <w:tcPr>
                <w:tcW w:w="2005" w:type="pct"/>
                <w:gridSpan w:val="3"/>
                <w:vAlign w:val="center"/>
              </w:tcPr>
              <w:p w:rsidR="00DE031E" w:rsidRDefault="001C1A59">
                <w:pPr>
                  <w:jc w:val="center"/>
                  <w:rPr>
                    <w:color w:val="000000" w:themeColor="text1"/>
                  </w:rPr>
                </w:pPr>
                <w:r>
                  <w:rPr>
                    <w:rFonts w:hint="eastAsia"/>
                    <w:color w:val="000000" w:themeColor="text1"/>
                  </w:rPr>
                  <w:t>期初</w:t>
                </w:r>
              </w:p>
            </w:tc>
          </w:tr>
          <w:tr w:rsidR="00DE031E" w:rsidTr="00DE031E">
            <w:trPr>
              <w:trHeight w:val="303"/>
            </w:trPr>
            <w:tc>
              <w:tcPr>
                <w:tcW w:w="994" w:type="pct"/>
                <w:vMerge/>
                <w:vAlign w:val="center"/>
              </w:tcPr>
              <w:p w:rsidR="00DE031E" w:rsidRDefault="00DE031E">
                <w:pPr>
                  <w:jc w:val="center"/>
                  <w:rPr>
                    <w:color w:val="000000" w:themeColor="text1"/>
                  </w:rPr>
                </w:pPr>
              </w:p>
            </w:tc>
            <w:tc>
              <w:tcPr>
                <w:tcW w:w="655" w:type="pct"/>
                <w:vAlign w:val="center"/>
              </w:tcPr>
              <w:p w:rsidR="00DE031E" w:rsidRDefault="001C1A59">
                <w:pPr>
                  <w:jc w:val="center"/>
                  <w:rPr>
                    <w:color w:val="000000" w:themeColor="text1"/>
                  </w:rPr>
                </w:pPr>
                <w:r>
                  <w:rPr>
                    <w:rFonts w:hint="eastAsia"/>
                    <w:color w:val="000000" w:themeColor="text1"/>
                  </w:rPr>
                  <w:t>外币金额</w:t>
                </w:r>
              </w:p>
            </w:tc>
            <w:tc>
              <w:tcPr>
                <w:tcW w:w="636" w:type="pct"/>
                <w:vAlign w:val="center"/>
              </w:tcPr>
              <w:p w:rsidR="00DE031E" w:rsidRDefault="001C1A59">
                <w:pPr>
                  <w:jc w:val="center"/>
                  <w:rPr>
                    <w:color w:val="000000" w:themeColor="text1"/>
                  </w:rPr>
                </w:pPr>
                <w:r>
                  <w:rPr>
                    <w:rFonts w:hint="eastAsia"/>
                    <w:color w:val="000000" w:themeColor="text1"/>
                  </w:rPr>
                  <w:t>折算</w:t>
                </w:r>
                <w:r>
                  <w:rPr>
                    <w:color w:val="000000" w:themeColor="text1"/>
                  </w:rPr>
                  <w:t>率</w:t>
                </w:r>
              </w:p>
            </w:tc>
            <w:tc>
              <w:tcPr>
                <w:tcW w:w="710" w:type="pct"/>
                <w:vAlign w:val="center"/>
              </w:tcPr>
              <w:p w:rsidR="00DE031E" w:rsidRDefault="001C1A59">
                <w:pPr>
                  <w:jc w:val="center"/>
                  <w:rPr>
                    <w:color w:val="000000" w:themeColor="text1"/>
                  </w:rPr>
                </w:pPr>
                <w:r>
                  <w:rPr>
                    <w:color w:val="000000" w:themeColor="text1"/>
                  </w:rPr>
                  <w:t>折人民币</w:t>
                </w:r>
                <w:r>
                  <w:rPr>
                    <w:rFonts w:hint="eastAsia"/>
                    <w:color w:val="000000" w:themeColor="text1"/>
                  </w:rPr>
                  <w:t>金额</w:t>
                </w:r>
              </w:p>
            </w:tc>
            <w:tc>
              <w:tcPr>
                <w:tcW w:w="636" w:type="pct"/>
                <w:vAlign w:val="center"/>
              </w:tcPr>
              <w:p w:rsidR="00DE031E" w:rsidRDefault="001C1A59">
                <w:pPr>
                  <w:jc w:val="center"/>
                  <w:rPr>
                    <w:color w:val="000000" w:themeColor="text1"/>
                  </w:rPr>
                </w:pPr>
                <w:r>
                  <w:rPr>
                    <w:rFonts w:hint="eastAsia"/>
                    <w:color w:val="000000" w:themeColor="text1"/>
                  </w:rPr>
                  <w:t>外币金额</w:t>
                </w:r>
              </w:p>
            </w:tc>
            <w:tc>
              <w:tcPr>
                <w:tcW w:w="659" w:type="pct"/>
                <w:vAlign w:val="center"/>
              </w:tcPr>
              <w:p w:rsidR="00DE031E" w:rsidRDefault="001C1A59">
                <w:pPr>
                  <w:jc w:val="center"/>
                  <w:rPr>
                    <w:color w:val="000000" w:themeColor="text1"/>
                  </w:rPr>
                </w:pPr>
                <w:r>
                  <w:rPr>
                    <w:rFonts w:hint="eastAsia"/>
                    <w:color w:val="000000" w:themeColor="text1"/>
                  </w:rPr>
                  <w:t>折算率</w:t>
                </w:r>
              </w:p>
            </w:tc>
            <w:tc>
              <w:tcPr>
                <w:tcW w:w="710" w:type="pct"/>
                <w:vAlign w:val="center"/>
              </w:tcPr>
              <w:p w:rsidR="00DE031E" w:rsidRDefault="001C1A59">
                <w:pPr>
                  <w:jc w:val="center"/>
                  <w:rPr>
                    <w:color w:val="000000" w:themeColor="text1"/>
                  </w:rPr>
                </w:pPr>
                <w:r>
                  <w:rPr>
                    <w:color w:val="000000" w:themeColor="text1"/>
                  </w:rPr>
                  <w:t>折人民币</w:t>
                </w:r>
                <w:r>
                  <w:rPr>
                    <w:rFonts w:hint="eastAsia"/>
                    <w:color w:val="000000" w:themeColor="text1"/>
                  </w:rPr>
                  <w:t>金额</w:t>
                </w:r>
              </w:p>
            </w:tc>
          </w:tr>
          <w:tr w:rsidR="00DE031E" w:rsidTr="00DE031E">
            <w:trPr>
              <w:trHeight w:val="311"/>
            </w:trPr>
            <w:tc>
              <w:tcPr>
                <w:tcW w:w="994" w:type="pct"/>
              </w:tcPr>
              <w:p w:rsidR="00DE031E" w:rsidDel="001F120C" w:rsidRDefault="001C1A59">
                <w:pPr>
                  <w:rPr>
                    <w:color w:val="000000" w:themeColor="text1"/>
                  </w:rPr>
                </w:pPr>
                <w:r>
                  <w:rPr>
                    <w:rFonts w:hint="eastAsia"/>
                    <w:color w:val="000000" w:themeColor="text1"/>
                  </w:rPr>
                  <w:t>自有</w:t>
                </w:r>
                <w:r>
                  <w:rPr>
                    <w:color w:val="000000" w:themeColor="text1"/>
                  </w:rPr>
                  <w:t>备付金</w:t>
                </w:r>
                <w:r>
                  <w:rPr>
                    <w:rFonts w:hint="eastAsia"/>
                    <w:color w:val="000000" w:themeColor="text1"/>
                  </w:rPr>
                  <w:t>：</w:t>
                </w:r>
              </w:p>
            </w:tc>
            <w:tc>
              <w:tcPr>
                <w:tcW w:w="655" w:type="pct"/>
              </w:tcPr>
              <w:p w:rsidR="00DE031E" w:rsidRDefault="001C1A59">
                <w:pPr>
                  <w:jc w:val="center"/>
                  <w:rPr>
                    <w:color w:val="000000" w:themeColor="text1"/>
                  </w:rPr>
                </w:pPr>
                <w:r>
                  <w:rPr>
                    <w:color w:val="000000" w:themeColor="text1"/>
                  </w:rPr>
                  <w:t>/</w:t>
                </w:r>
              </w:p>
            </w:tc>
            <w:tc>
              <w:tcPr>
                <w:tcW w:w="636" w:type="pct"/>
              </w:tcPr>
              <w:p w:rsidR="00DE031E" w:rsidRDefault="001C1A59">
                <w:pPr>
                  <w:jc w:val="center"/>
                  <w:rPr>
                    <w:color w:val="000000" w:themeColor="text1"/>
                  </w:rPr>
                </w:pPr>
                <w:r>
                  <w:rPr>
                    <w:color w:val="000000" w:themeColor="text1"/>
                  </w:rPr>
                  <w:t>/</w:t>
                </w:r>
              </w:p>
            </w:tc>
            <w:sdt>
              <w:sdtPr>
                <w:rPr>
                  <w:color w:val="000000" w:themeColor="text1"/>
                </w:rPr>
                <w:alias w:val="公司备付金"/>
                <w:tag w:val="_GBC_6e4966a9f5e847c8854409d7cbe3dc48"/>
                <w:id w:val="24723531"/>
                <w:lock w:val="sdtLocked"/>
              </w:sdtPr>
              <w:sdtContent>
                <w:tc>
                  <w:tcPr>
                    <w:tcW w:w="710" w:type="pct"/>
                  </w:tcPr>
                  <w:p w:rsidR="00DE031E" w:rsidRDefault="001C1A59">
                    <w:pPr>
                      <w:jc w:val="right"/>
                      <w:rPr>
                        <w:color w:val="000000" w:themeColor="text1"/>
                      </w:rPr>
                    </w:pPr>
                    <w:r>
                      <w:rPr>
                        <w:color w:val="000000" w:themeColor="text1"/>
                      </w:rPr>
                      <w:t>1,919,095,430.67</w:t>
                    </w:r>
                  </w:p>
                </w:tc>
              </w:sdtContent>
            </w:sdt>
            <w:tc>
              <w:tcPr>
                <w:tcW w:w="636" w:type="pct"/>
              </w:tcPr>
              <w:p w:rsidR="00DE031E" w:rsidRDefault="001C1A59">
                <w:pPr>
                  <w:jc w:val="center"/>
                  <w:rPr>
                    <w:color w:val="000000" w:themeColor="text1"/>
                  </w:rPr>
                </w:pPr>
                <w:r>
                  <w:rPr>
                    <w:color w:val="000000" w:themeColor="text1"/>
                  </w:rPr>
                  <w:t>/</w:t>
                </w:r>
              </w:p>
            </w:tc>
            <w:tc>
              <w:tcPr>
                <w:tcW w:w="659" w:type="pct"/>
              </w:tcPr>
              <w:p w:rsidR="00DE031E" w:rsidRDefault="001C1A59">
                <w:pPr>
                  <w:jc w:val="center"/>
                  <w:rPr>
                    <w:color w:val="000000" w:themeColor="text1"/>
                  </w:rPr>
                </w:pPr>
                <w:r>
                  <w:rPr>
                    <w:color w:val="000000" w:themeColor="text1"/>
                  </w:rPr>
                  <w:t>/</w:t>
                </w:r>
              </w:p>
            </w:tc>
            <w:sdt>
              <w:sdtPr>
                <w:rPr>
                  <w:color w:val="000000" w:themeColor="text1"/>
                </w:rPr>
                <w:alias w:val="公司备付金"/>
                <w:tag w:val="_GBC_260b699c613c46d3890942679ea71794"/>
                <w:id w:val="24723532"/>
                <w:lock w:val="sdtLocked"/>
              </w:sdtPr>
              <w:sdtContent>
                <w:tc>
                  <w:tcPr>
                    <w:tcW w:w="710" w:type="pct"/>
                  </w:tcPr>
                  <w:p w:rsidR="00DE031E" w:rsidRDefault="001C1A59">
                    <w:pPr>
                      <w:jc w:val="right"/>
                      <w:rPr>
                        <w:color w:val="000000" w:themeColor="text1"/>
                      </w:rPr>
                    </w:pPr>
                    <w:r>
                      <w:rPr>
                        <w:color w:val="000000" w:themeColor="text1"/>
                      </w:rPr>
                      <w:t>1,158,750,227.01</w:t>
                    </w:r>
                  </w:p>
                </w:tc>
              </w:sdtContent>
            </w:sdt>
          </w:tr>
          <w:tr w:rsidR="00DE031E" w:rsidTr="00DE031E">
            <w:trPr>
              <w:trHeight w:val="311"/>
            </w:trPr>
            <w:tc>
              <w:tcPr>
                <w:tcW w:w="994" w:type="pct"/>
              </w:tcPr>
              <w:p w:rsidR="00DE031E" w:rsidRDefault="001C1A59">
                <w:pPr>
                  <w:rPr>
                    <w:color w:val="000000" w:themeColor="text1"/>
                  </w:rPr>
                </w:pPr>
                <w:r>
                  <w:rPr>
                    <w:color w:val="000000" w:themeColor="text1"/>
                  </w:rPr>
                  <w:t>人民币</w:t>
                </w:r>
              </w:p>
            </w:tc>
            <w:tc>
              <w:tcPr>
                <w:tcW w:w="655" w:type="pct"/>
              </w:tcPr>
              <w:p w:rsidR="00DE031E" w:rsidRDefault="001C1A59">
                <w:pPr>
                  <w:jc w:val="center"/>
                  <w:rPr>
                    <w:color w:val="000000" w:themeColor="text1"/>
                  </w:rPr>
                </w:pPr>
                <w:r>
                  <w:rPr>
                    <w:color w:val="000000" w:themeColor="text1"/>
                  </w:rPr>
                  <w:t>/</w:t>
                </w:r>
              </w:p>
            </w:tc>
            <w:tc>
              <w:tcPr>
                <w:tcW w:w="636" w:type="pct"/>
              </w:tcPr>
              <w:p w:rsidR="00DE031E" w:rsidRDefault="001C1A59">
                <w:pPr>
                  <w:jc w:val="center"/>
                  <w:rPr>
                    <w:color w:val="000000" w:themeColor="text1"/>
                  </w:rPr>
                </w:pPr>
                <w:r>
                  <w:rPr>
                    <w:color w:val="000000" w:themeColor="text1"/>
                  </w:rPr>
                  <w:t>/</w:t>
                </w:r>
              </w:p>
            </w:tc>
            <w:sdt>
              <w:sdtPr>
                <w:rPr>
                  <w:color w:val="000000" w:themeColor="text1"/>
                </w:rPr>
                <w:alias w:val="公司备付金中人民币金额"/>
                <w:tag w:val="_GBC_30b97c6e2f27464db05c85ce11d00f0e"/>
                <w:id w:val="24723533"/>
                <w:lock w:val="sdtLocked"/>
              </w:sdtPr>
              <w:sdtContent>
                <w:tc>
                  <w:tcPr>
                    <w:tcW w:w="710" w:type="pct"/>
                  </w:tcPr>
                  <w:p w:rsidR="00DE031E" w:rsidRDefault="001C1A59">
                    <w:pPr>
                      <w:jc w:val="right"/>
                      <w:rPr>
                        <w:color w:val="000000" w:themeColor="text1"/>
                      </w:rPr>
                    </w:pPr>
                    <w:r>
                      <w:rPr>
                        <w:color w:val="000000" w:themeColor="text1"/>
                      </w:rPr>
                      <w:t>1,919,095,430.67</w:t>
                    </w:r>
                  </w:p>
                </w:tc>
              </w:sdtContent>
            </w:sdt>
            <w:tc>
              <w:tcPr>
                <w:tcW w:w="636" w:type="pct"/>
              </w:tcPr>
              <w:p w:rsidR="00DE031E" w:rsidRDefault="001C1A59">
                <w:pPr>
                  <w:jc w:val="center"/>
                  <w:rPr>
                    <w:color w:val="000000" w:themeColor="text1"/>
                  </w:rPr>
                </w:pPr>
                <w:r>
                  <w:rPr>
                    <w:color w:val="000000" w:themeColor="text1"/>
                  </w:rPr>
                  <w:t>/</w:t>
                </w:r>
              </w:p>
            </w:tc>
            <w:tc>
              <w:tcPr>
                <w:tcW w:w="659" w:type="pct"/>
              </w:tcPr>
              <w:p w:rsidR="00DE031E" w:rsidRDefault="001C1A59">
                <w:pPr>
                  <w:jc w:val="center"/>
                  <w:rPr>
                    <w:color w:val="000000" w:themeColor="text1"/>
                  </w:rPr>
                </w:pPr>
                <w:r>
                  <w:rPr>
                    <w:color w:val="000000" w:themeColor="text1"/>
                  </w:rPr>
                  <w:t>/</w:t>
                </w:r>
              </w:p>
            </w:tc>
            <w:sdt>
              <w:sdtPr>
                <w:rPr>
                  <w:color w:val="000000" w:themeColor="text1"/>
                </w:rPr>
                <w:alias w:val="公司备付金中人民币金额"/>
                <w:tag w:val="_GBC_9b265859990e48fe80d4a3c73abbdf95"/>
                <w:id w:val="24723534"/>
                <w:lock w:val="sdtLocked"/>
              </w:sdtPr>
              <w:sdtContent>
                <w:tc>
                  <w:tcPr>
                    <w:tcW w:w="710" w:type="pct"/>
                  </w:tcPr>
                  <w:p w:rsidR="00DE031E" w:rsidRDefault="001C1A59">
                    <w:pPr>
                      <w:jc w:val="right"/>
                      <w:rPr>
                        <w:color w:val="000000" w:themeColor="text1"/>
                      </w:rPr>
                    </w:pPr>
                    <w:r>
                      <w:rPr>
                        <w:color w:val="000000" w:themeColor="text1"/>
                      </w:rPr>
                      <w:t>1,158,750,227.01</w:t>
                    </w:r>
                  </w:p>
                </w:tc>
              </w:sdtContent>
            </w:sdt>
          </w:tr>
          <w:tr w:rsidR="00DE031E" w:rsidTr="00DE031E">
            <w:trPr>
              <w:trHeight w:val="291"/>
            </w:trPr>
            <w:tc>
              <w:tcPr>
                <w:tcW w:w="994" w:type="pct"/>
              </w:tcPr>
              <w:p w:rsidR="00DE031E" w:rsidRDefault="001C1A59">
                <w:pPr>
                  <w:rPr>
                    <w:color w:val="000000" w:themeColor="text1"/>
                  </w:rPr>
                </w:pPr>
                <w:r w:rsidRPr="001D0F4A">
                  <w:rPr>
                    <w:rFonts w:hint="eastAsia"/>
                  </w:rPr>
                  <w:t>客户</w:t>
                </w:r>
                <w:r w:rsidRPr="001D0F4A">
                  <w:t>备付金</w:t>
                </w:r>
                <w:r w:rsidRPr="001D0F4A">
                  <w:rPr>
                    <w:rFonts w:hint="eastAsia"/>
                  </w:rPr>
                  <w:t>：</w:t>
                </w:r>
              </w:p>
            </w:tc>
            <w:tc>
              <w:tcPr>
                <w:tcW w:w="655" w:type="pct"/>
              </w:tcPr>
              <w:p w:rsidR="00DE031E" w:rsidRDefault="001C1A59">
                <w:pPr>
                  <w:jc w:val="center"/>
                  <w:rPr>
                    <w:color w:val="000000" w:themeColor="text1"/>
                  </w:rPr>
                </w:pPr>
                <w:r>
                  <w:rPr>
                    <w:color w:val="000000" w:themeColor="text1"/>
                  </w:rPr>
                  <w:t>/</w:t>
                </w:r>
              </w:p>
            </w:tc>
            <w:tc>
              <w:tcPr>
                <w:tcW w:w="636" w:type="pct"/>
              </w:tcPr>
              <w:p w:rsidR="00DE031E" w:rsidRDefault="001C1A59">
                <w:pPr>
                  <w:jc w:val="center"/>
                  <w:rPr>
                    <w:color w:val="000000" w:themeColor="text1"/>
                  </w:rPr>
                </w:pPr>
                <w:r>
                  <w:rPr>
                    <w:color w:val="000000" w:themeColor="text1"/>
                  </w:rPr>
                  <w:t>/</w:t>
                </w:r>
              </w:p>
            </w:tc>
            <w:sdt>
              <w:sdtPr>
                <w:rPr>
                  <w:color w:val="000000" w:themeColor="text1"/>
                </w:rPr>
                <w:alias w:val="客户备付金"/>
                <w:tag w:val="_GBC_1720d44f6f9344679fec64205acffcd8"/>
                <w:id w:val="24723535"/>
                <w:lock w:val="sdtLocked"/>
              </w:sdtPr>
              <w:sdtEndPr>
                <w:rPr>
                  <w:color w:val="FF0000"/>
                </w:rPr>
              </w:sdtEndPr>
              <w:sdtContent>
                <w:tc>
                  <w:tcPr>
                    <w:tcW w:w="710" w:type="pct"/>
                  </w:tcPr>
                  <w:p w:rsidR="00DE031E" w:rsidRDefault="001C1A59">
                    <w:pPr>
                      <w:jc w:val="right"/>
                      <w:rPr>
                        <w:color w:val="000000" w:themeColor="text1"/>
                      </w:rPr>
                    </w:pPr>
                    <w:r w:rsidRPr="003B64D2">
                      <w:t>22,855,353,410.25</w:t>
                    </w:r>
                  </w:p>
                </w:tc>
              </w:sdtContent>
            </w:sdt>
            <w:tc>
              <w:tcPr>
                <w:tcW w:w="636" w:type="pct"/>
              </w:tcPr>
              <w:p w:rsidR="00DE031E" w:rsidRDefault="001C1A59">
                <w:pPr>
                  <w:jc w:val="center"/>
                  <w:rPr>
                    <w:color w:val="000000" w:themeColor="text1"/>
                  </w:rPr>
                </w:pPr>
                <w:r>
                  <w:rPr>
                    <w:color w:val="000000" w:themeColor="text1"/>
                  </w:rPr>
                  <w:t>/</w:t>
                </w:r>
              </w:p>
            </w:tc>
            <w:tc>
              <w:tcPr>
                <w:tcW w:w="659" w:type="pct"/>
              </w:tcPr>
              <w:p w:rsidR="00DE031E" w:rsidRDefault="001C1A59">
                <w:pPr>
                  <w:jc w:val="center"/>
                  <w:rPr>
                    <w:color w:val="000000" w:themeColor="text1"/>
                  </w:rPr>
                </w:pPr>
                <w:r>
                  <w:rPr>
                    <w:color w:val="000000" w:themeColor="text1"/>
                  </w:rPr>
                  <w:t>/</w:t>
                </w:r>
              </w:p>
            </w:tc>
            <w:sdt>
              <w:sdtPr>
                <w:rPr>
                  <w:color w:val="000000" w:themeColor="text1"/>
                </w:rPr>
                <w:alias w:val="客户备付金"/>
                <w:tag w:val="_GBC_14b41d3d34594a27ad6085f1382c39dd"/>
                <w:id w:val="24723536"/>
                <w:lock w:val="sdtLocked"/>
              </w:sdtPr>
              <w:sdtContent>
                <w:tc>
                  <w:tcPr>
                    <w:tcW w:w="710" w:type="pct"/>
                  </w:tcPr>
                  <w:p w:rsidR="00DE031E" w:rsidRDefault="001C1A59">
                    <w:pPr>
                      <w:jc w:val="right"/>
                      <w:rPr>
                        <w:color w:val="000000" w:themeColor="text1"/>
                      </w:rPr>
                    </w:pPr>
                    <w:r>
                      <w:rPr>
                        <w:color w:val="000000" w:themeColor="text1"/>
                      </w:rPr>
                      <w:t>11,033,050,511.03</w:t>
                    </w:r>
                  </w:p>
                </w:tc>
              </w:sdtContent>
            </w:sdt>
          </w:tr>
          <w:tr w:rsidR="00DE031E" w:rsidTr="00DE031E">
            <w:trPr>
              <w:trHeight w:val="299"/>
            </w:trPr>
            <w:tc>
              <w:tcPr>
                <w:tcW w:w="994" w:type="pct"/>
              </w:tcPr>
              <w:p w:rsidR="00DE031E" w:rsidRDefault="001C1A59">
                <w:pPr>
                  <w:rPr>
                    <w:color w:val="000000" w:themeColor="text1"/>
                  </w:rPr>
                </w:pPr>
                <w:r>
                  <w:rPr>
                    <w:color w:val="000000" w:themeColor="text1"/>
                  </w:rPr>
                  <w:t>人民币</w:t>
                </w:r>
              </w:p>
            </w:tc>
            <w:tc>
              <w:tcPr>
                <w:tcW w:w="655" w:type="pct"/>
              </w:tcPr>
              <w:p w:rsidR="00DE031E" w:rsidRDefault="001C1A59">
                <w:pPr>
                  <w:jc w:val="center"/>
                  <w:rPr>
                    <w:color w:val="000000" w:themeColor="text1"/>
                  </w:rPr>
                </w:pPr>
                <w:r>
                  <w:rPr>
                    <w:color w:val="000000" w:themeColor="text1"/>
                  </w:rPr>
                  <w:t>/</w:t>
                </w:r>
              </w:p>
            </w:tc>
            <w:tc>
              <w:tcPr>
                <w:tcW w:w="636" w:type="pct"/>
              </w:tcPr>
              <w:p w:rsidR="00DE031E" w:rsidRDefault="001C1A59">
                <w:pPr>
                  <w:jc w:val="center"/>
                  <w:rPr>
                    <w:color w:val="000000" w:themeColor="text1"/>
                  </w:rPr>
                </w:pPr>
                <w:r>
                  <w:rPr>
                    <w:color w:val="000000" w:themeColor="text1"/>
                  </w:rPr>
                  <w:t>/</w:t>
                </w:r>
              </w:p>
            </w:tc>
            <w:sdt>
              <w:sdtPr>
                <w:rPr>
                  <w:color w:val="000000" w:themeColor="text1"/>
                </w:rPr>
                <w:alias w:val="客户备付金中人民币金额"/>
                <w:tag w:val="_GBC_3ed7213e688646e59190d3190864b2b6"/>
                <w:id w:val="24723537"/>
                <w:lock w:val="sdtLocked"/>
              </w:sdtPr>
              <w:sdtContent>
                <w:tc>
                  <w:tcPr>
                    <w:tcW w:w="710" w:type="pct"/>
                  </w:tcPr>
                  <w:p w:rsidR="00DE031E" w:rsidRDefault="001C1A59">
                    <w:pPr>
                      <w:jc w:val="right"/>
                      <w:rPr>
                        <w:color w:val="000000" w:themeColor="text1"/>
                      </w:rPr>
                    </w:pPr>
                    <w:r>
                      <w:rPr>
                        <w:color w:val="000000" w:themeColor="text1"/>
                      </w:rPr>
                      <w:t>22,576,236,817.18</w:t>
                    </w:r>
                  </w:p>
                </w:tc>
              </w:sdtContent>
            </w:sdt>
            <w:tc>
              <w:tcPr>
                <w:tcW w:w="636" w:type="pct"/>
              </w:tcPr>
              <w:p w:rsidR="00DE031E" w:rsidRDefault="001C1A59">
                <w:pPr>
                  <w:jc w:val="center"/>
                  <w:rPr>
                    <w:color w:val="000000" w:themeColor="text1"/>
                  </w:rPr>
                </w:pPr>
                <w:r>
                  <w:rPr>
                    <w:color w:val="000000" w:themeColor="text1"/>
                  </w:rPr>
                  <w:t>/</w:t>
                </w:r>
              </w:p>
            </w:tc>
            <w:tc>
              <w:tcPr>
                <w:tcW w:w="659" w:type="pct"/>
              </w:tcPr>
              <w:p w:rsidR="00DE031E" w:rsidRDefault="001C1A59">
                <w:pPr>
                  <w:jc w:val="center"/>
                  <w:rPr>
                    <w:color w:val="000000" w:themeColor="text1"/>
                  </w:rPr>
                </w:pPr>
                <w:r>
                  <w:rPr>
                    <w:color w:val="000000" w:themeColor="text1"/>
                  </w:rPr>
                  <w:t>/</w:t>
                </w:r>
              </w:p>
            </w:tc>
            <w:sdt>
              <w:sdtPr>
                <w:rPr>
                  <w:color w:val="000000" w:themeColor="text1"/>
                </w:rPr>
                <w:alias w:val="客户备付金中人民币金额"/>
                <w:tag w:val="_GBC_f38178b2f0894245a99aecf592cff680"/>
                <w:id w:val="24723538"/>
                <w:lock w:val="sdtLocked"/>
              </w:sdtPr>
              <w:sdtContent>
                <w:tc>
                  <w:tcPr>
                    <w:tcW w:w="710" w:type="pct"/>
                  </w:tcPr>
                  <w:p w:rsidR="00DE031E" w:rsidRDefault="001C1A59">
                    <w:pPr>
                      <w:jc w:val="right"/>
                      <w:rPr>
                        <w:color w:val="000000" w:themeColor="text1"/>
                      </w:rPr>
                    </w:pPr>
                    <w:r>
                      <w:rPr>
                        <w:color w:val="000000" w:themeColor="text1"/>
                      </w:rPr>
                      <w:t>10,886,544,495.37</w:t>
                    </w:r>
                  </w:p>
                </w:tc>
              </w:sdtContent>
            </w:sdt>
          </w:tr>
          <w:sdt>
            <w:sdtPr>
              <w:rPr>
                <w:color w:val="000000" w:themeColor="text1"/>
                <w:szCs w:val="21"/>
              </w:rPr>
              <w:alias w:val="其他客户备付金明细"/>
              <w:tag w:val="_GBC_1d8680953d7549afb80d295dbc5f9af8"/>
              <w:id w:val="24723546"/>
              <w:lock w:val="sdtLocked"/>
            </w:sdtPr>
            <w:sdtContent>
              <w:tr w:rsidR="00DE031E" w:rsidTr="00DE031E">
                <w:trPr>
                  <w:trHeight w:val="302"/>
                </w:trPr>
                <w:tc>
                  <w:tcPr>
                    <w:tcW w:w="994" w:type="pct"/>
                  </w:tcPr>
                  <w:sdt>
                    <w:sdtPr>
                      <w:rPr>
                        <w:color w:val="000000" w:themeColor="text1"/>
                      </w:rPr>
                      <w:alias w:val="其他客户备付金明细－类别"/>
                      <w:tag w:val="_GBC_f5f22339e19c4af1aebb4d4e155058a5"/>
                      <w:id w:val="247235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Default="001C1A59">
                        <w:pPr>
                          <w:rPr>
                            <w:color w:val="000000" w:themeColor="text1"/>
                          </w:rPr>
                        </w:pPr>
                        <w:r>
                          <w:rPr>
                            <w:color w:val="000000" w:themeColor="text1"/>
                          </w:rPr>
                          <w:t>港元</w:t>
                        </w:r>
                      </w:p>
                    </w:sdtContent>
                  </w:sdt>
                </w:tc>
                <w:sdt>
                  <w:sdtPr>
                    <w:rPr>
                      <w:color w:val="000000" w:themeColor="text1"/>
                    </w:rPr>
                    <w:alias w:val="其他客户备付金明细－原币金额"/>
                    <w:tag w:val="_GBC_454632532a384c41b328f7eb9fc4669b"/>
                    <w:id w:val="24723540"/>
                    <w:lock w:val="sdtLocked"/>
                  </w:sdtPr>
                  <w:sdtContent>
                    <w:tc>
                      <w:tcPr>
                        <w:tcW w:w="655" w:type="pct"/>
                      </w:tcPr>
                      <w:p w:rsidR="00DE031E" w:rsidRDefault="001C1A59">
                        <w:pPr>
                          <w:jc w:val="right"/>
                          <w:rPr>
                            <w:color w:val="000000" w:themeColor="text1"/>
                          </w:rPr>
                        </w:pPr>
                        <w:r>
                          <w:rPr>
                            <w:color w:val="000000" w:themeColor="text1"/>
                          </w:rPr>
                          <w:t>242,369,651.79</w:t>
                        </w:r>
                      </w:p>
                    </w:tc>
                  </w:sdtContent>
                </w:sdt>
                <w:sdt>
                  <w:sdtPr>
                    <w:rPr>
                      <w:color w:val="000000" w:themeColor="text1"/>
                    </w:rPr>
                    <w:alias w:val="其他客户备付金明细－汇率"/>
                    <w:tag w:val="_GBC_611c05d89ecc489a8534802f06729e40"/>
                    <w:id w:val="24723541"/>
                    <w:lock w:val="sdtLocked"/>
                  </w:sdtPr>
                  <w:sdtContent>
                    <w:tc>
                      <w:tcPr>
                        <w:tcW w:w="636" w:type="pct"/>
                      </w:tcPr>
                      <w:p w:rsidR="00DE031E" w:rsidRDefault="001C1A59">
                        <w:pPr>
                          <w:jc w:val="right"/>
                          <w:rPr>
                            <w:color w:val="000000" w:themeColor="text1"/>
                          </w:rPr>
                        </w:pPr>
                        <w:r>
                          <w:rPr>
                            <w:color w:val="000000" w:themeColor="text1"/>
                          </w:rPr>
                          <w:t>0.78861</w:t>
                        </w:r>
                      </w:p>
                    </w:tc>
                  </w:sdtContent>
                </w:sdt>
                <w:sdt>
                  <w:sdtPr>
                    <w:rPr>
                      <w:color w:val="000000" w:themeColor="text1"/>
                    </w:rPr>
                    <w:alias w:val="其他客户备付金明细－折合人民币金额"/>
                    <w:tag w:val="_GBC_7b1a57f2cbb743efb3403213ba601979"/>
                    <w:id w:val="24723542"/>
                    <w:lock w:val="sdtLocked"/>
                  </w:sdtPr>
                  <w:sdtContent>
                    <w:tc>
                      <w:tcPr>
                        <w:tcW w:w="710" w:type="pct"/>
                      </w:tcPr>
                      <w:p w:rsidR="00DE031E" w:rsidRDefault="001C1A59">
                        <w:pPr>
                          <w:jc w:val="right"/>
                          <w:rPr>
                            <w:color w:val="000000" w:themeColor="text1"/>
                          </w:rPr>
                        </w:pPr>
                        <w:r>
                          <w:rPr>
                            <w:color w:val="000000" w:themeColor="text1"/>
                          </w:rPr>
                          <w:t>191,135,131.10</w:t>
                        </w:r>
                      </w:p>
                    </w:tc>
                  </w:sdtContent>
                </w:sdt>
                <w:sdt>
                  <w:sdtPr>
                    <w:rPr>
                      <w:color w:val="000000" w:themeColor="text1"/>
                    </w:rPr>
                    <w:alias w:val="其他客户备付金明细－原币金额"/>
                    <w:tag w:val="_GBC_87bdcac989e240128b5d649f12979951"/>
                    <w:id w:val="24723543"/>
                    <w:lock w:val="sdtLocked"/>
                  </w:sdtPr>
                  <w:sdtContent>
                    <w:tc>
                      <w:tcPr>
                        <w:tcW w:w="636" w:type="pct"/>
                      </w:tcPr>
                      <w:p w:rsidR="00DE031E" w:rsidRDefault="001C1A59">
                        <w:pPr>
                          <w:jc w:val="right"/>
                          <w:rPr>
                            <w:color w:val="000000" w:themeColor="text1"/>
                          </w:rPr>
                        </w:pPr>
                        <w:r>
                          <w:rPr>
                            <w:color w:val="000000" w:themeColor="text1"/>
                          </w:rPr>
                          <w:t>129,496,959.98</w:t>
                        </w:r>
                      </w:p>
                    </w:tc>
                  </w:sdtContent>
                </w:sdt>
                <w:sdt>
                  <w:sdtPr>
                    <w:rPr>
                      <w:color w:val="000000" w:themeColor="text1"/>
                    </w:rPr>
                    <w:alias w:val="其他客户备付金明细－汇率"/>
                    <w:tag w:val="_GBC_0ffc4f079e62490ea12091f4d8ee88a1"/>
                    <w:id w:val="24723544"/>
                    <w:lock w:val="sdtLocked"/>
                  </w:sdtPr>
                  <w:sdtContent>
                    <w:tc>
                      <w:tcPr>
                        <w:tcW w:w="659" w:type="pct"/>
                      </w:tcPr>
                      <w:p w:rsidR="00DE031E" w:rsidRDefault="001C1A59">
                        <w:pPr>
                          <w:jc w:val="right"/>
                          <w:rPr>
                            <w:color w:val="000000" w:themeColor="text1"/>
                          </w:rPr>
                        </w:pPr>
                        <w:r>
                          <w:rPr>
                            <w:color w:val="000000" w:themeColor="text1"/>
                          </w:rPr>
                          <w:t>0.78887</w:t>
                        </w:r>
                      </w:p>
                    </w:tc>
                  </w:sdtContent>
                </w:sdt>
                <w:sdt>
                  <w:sdtPr>
                    <w:rPr>
                      <w:color w:val="000000" w:themeColor="text1"/>
                    </w:rPr>
                    <w:alias w:val="其他客户备付金明细－折合人民币金额"/>
                    <w:tag w:val="_GBC_2bc358230e2a4f539d3e1aaea68725a7"/>
                    <w:id w:val="24723545"/>
                    <w:lock w:val="sdtLocked"/>
                  </w:sdtPr>
                  <w:sdtContent>
                    <w:tc>
                      <w:tcPr>
                        <w:tcW w:w="710" w:type="pct"/>
                      </w:tcPr>
                      <w:p w:rsidR="00DE031E" w:rsidRDefault="001C1A59">
                        <w:pPr>
                          <w:jc w:val="right"/>
                          <w:rPr>
                            <w:color w:val="000000" w:themeColor="text1"/>
                          </w:rPr>
                        </w:pPr>
                        <w:r>
                          <w:rPr>
                            <w:color w:val="000000" w:themeColor="text1"/>
                          </w:rPr>
                          <w:t>102,156,266.82</w:t>
                        </w:r>
                      </w:p>
                    </w:tc>
                  </w:sdtContent>
                </w:sdt>
              </w:tr>
            </w:sdtContent>
          </w:sdt>
          <w:sdt>
            <w:sdtPr>
              <w:rPr>
                <w:color w:val="000000" w:themeColor="text1"/>
                <w:szCs w:val="21"/>
              </w:rPr>
              <w:alias w:val="其他客户备付金明细"/>
              <w:tag w:val="_GBC_1d8680953d7549afb80d295dbc5f9af8"/>
              <w:id w:val="24723554"/>
              <w:lock w:val="sdtLocked"/>
            </w:sdtPr>
            <w:sdtContent>
              <w:tr w:rsidR="00DE031E" w:rsidTr="00DE031E">
                <w:trPr>
                  <w:trHeight w:val="302"/>
                </w:trPr>
                <w:tc>
                  <w:tcPr>
                    <w:tcW w:w="994" w:type="pct"/>
                  </w:tcPr>
                  <w:sdt>
                    <w:sdtPr>
                      <w:rPr>
                        <w:color w:val="000000" w:themeColor="text1"/>
                      </w:rPr>
                      <w:alias w:val="其他客户备付金明细－类别"/>
                      <w:tag w:val="_GBC_f5f22339e19c4af1aebb4d4e155058a5"/>
                      <w:id w:val="247235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p w:rsidR="00DE031E" w:rsidRDefault="001C1A59">
                        <w:pPr>
                          <w:rPr>
                            <w:color w:val="000000" w:themeColor="text1"/>
                          </w:rPr>
                        </w:pPr>
                        <w:r>
                          <w:rPr>
                            <w:color w:val="000000" w:themeColor="text1"/>
                          </w:rPr>
                          <w:t>美元</w:t>
                        </w:r>
                      </w:p>
                    </w:sdtContent>
                  </w:sdt>
                </w:tc>
                <w:sdt>
                  <w:sdtPr>
                    <w:rPr>
                      <w:color w:val="000000" w:themeColor="text1"/>
                    </w:rPr>
                    <w:alias w:val="其他客户备付金明细－原币金额"/>
                    <w:tag w:val="_GBC_454632532a384c41b328f7eb9fc4669b"/>
                    <w:id w:val="24723548"/>
                    <w:lock w:val="sdtLocked"/>
                  </w:sdtPr>
                  <w:sdtContent>
                    <w:tc>
                      <w:tcPr>
                        <w:tcW w:w="655" w:type="pct"/>
                      </w:tcPr>
                      <w:p w:rsidR="00DE031E" w:rsidRDefault="001C1A59">
                        <w:pPr>
                          <w:jc w:val="right"/>
                          <w:rPr>
                            <w:color w:val="000000" w:themeColor="text1"/>
                          </w:rPr>
                        </w:pPr>
                        <w:r>
                          <w:rPr>
                            <w:color w:val="000000" w:themeColor="text1"/>
                          </w:rPr>
                          <w:t>14,391,105.40</w:t>
                        </w:r>
                      </w:p>
                    </w:tc>
                  </w:sdtContent>
                </w:sdt>
                <w:sdt>
                  <w:sdtPr>
                    <w:rPr>
                      <w:color w:val="000000" w:themeColor="text1"/>
                    </w:rPr>
                    <w:alias w:val="其他客户备付金明细－汇率"/>
                    <w:tag w:val="_GBC_611c05d89ecc489a8534802f06729e40"/>
                    <w:id w:val="24723549"/>
                    <w:lock w:val="sdtLocked"/>
                  </w:sdtPr>
                  <w:sdtContent>
                    <w:tc>
                      <w:tcPr>
                        <w:tcW w:w="636" w:type="pct"/>
                      </w:tcPr>
                      <w:p w:rsidR="00DE031E" w:rsidRDefault="001C1A59">
                        <w:pPr>
                          <w:jc w:val="right"/>
                          <w:rPr>
                            <w:color w:val="000000" w:themeColor="text1"/>
                          </w:rPr>
                        </w:pPr>
                        <w:r>
                          <w:rPr>
                            <w:color w:val="000000" w:themeColor="text1"/>
                          </w:rPr>
                          <w:t>6.1136</w:t>
                        </w:r>
                      </w:p>
                    </w:tc>
                  </w:sdtContent>
                </w:sdt>
                <w:sdt>
                  <w:sdtPr>
                    <w:rPr>
                      <w:color w:val="000000" w:themeColor="text1"/>
                    </w:rPr>
                    <w:alias w:val="其他客户备付金明细－折合人民币金额"/>
                    <w:tag w:val="_GBC_7b1a57f2cbb743efb3403213ba601979"/>
                    <w:id w:val="24723550"/>
                    <w:lock w:val="sdtLocked"/>
                  </w:sdtPr>
                  <w:sdtContent>
                    <w:tc>
                      <w:tcPr>
                        <w:tcW w:w="710" w:type="pct"/>
                      </w:tcPr>
                      <w:p w:rsidR="00DE031E" w:rsidRDefault="001C1A59">
                        <w:pPr>
                          <w:jc w:val="right"/>
                          <w:rPr>
                            <w:color w:val="000000" w:themeColor="text1"/>
                          </w:rPr>
                        </w:pPr>
                        <w:r>
                          <w:rPr>
                            <w:color w:val="000000" w:themeColor="text1"/>
                          </w:rPr>
                          <w:t>87,981,461.97</w:t>
                        </w:r>
                      </w:p>
                    </w:tc>
                  </w:sdtContent>
                </w:sdt>
                <w:sdt>
                  <w:sdtPr>
                    <w:rPr>
                      <w:color w:val="000000" w:themeColor="text1"/>
                    </w:rPr>
                    <w:alias w:val="其他客户备付金明细－原币金额"/>
                    <w:tag w:val="_GBC_87bdcac989e240128b5d649f12979951"/>
                    <w:id w:val="24723551"/>
                    <w:lock w:val="sdtLocked"/>
                  </w:sdtPr>
                  <w:sdtContent>
                    <w:tc>
                      <w:tcPr>
                        <w:tcW w:w="636" w:type="pct"/>
                      </w:tcPr>
                      <w:p w:rsidR="00DE031E" w:rsidRDefault="001C1A59">
                        <w:pPr>
                          <w:jc w:val="right"/>
                          <w:rPr>
                            <w:color w:val="000000" w:themeColor="text1"/>
                          </w:rPr>
                        </w:pPr>
                        <w:r>
                          <w:rPr>
                            <w:color w:val="000000" w:themeColor="text1"/>
                          </w:rPr>
                          <w:t>7,247,875.28</w:t>
                        </w:r>
                      </w:p>
                    </w:tc>
                  </w:sdtContent>
                </w:sdt>
                <w:sdt>
                  <w:sdtPr>
                    <w:rPr>
                      <w:color w:val="000000" w:themeColor="text1"/>
                    </w:rPr>
                    <w:alias w:val="其他客户备付金明细－汇率"/>
                    <w:tag w:val="_GBC_0ffc4f079e62490ea12091f4d8ee88a1"/>
                    <w:id w:val="24723552"/>
                    <w:lock w:val="sdtLocked"/>
                  </w:sdtPr>
                  <w:sdtContent>
                    <w:tc>
                      <w:tcPr>
                        <w:tcW w:w="659" w:type="pct"/>
                      </w:tcPr>
                      <w:p w:rsidR="00DE031E" w:rsidRDefault="001C1A59">
                        <w:pPr>
                          <w:jc w:val="right"/>
                          <w:rPr>
                            <w:color w:val="000000" w:themeColor="text1"/>
                          </w:rPr>
                        </w:pPr>
                        <w:r>
                          <w:rPr>
                            <w:color w:val="000000" w:themeColor="text1"/>
                          </w:rPr>
                          <w:t>6.1190</w:t>
                        </w:r>
                      </w:p>
                    </w:tc>
                  </w:sdtContent>
                </w:sdt>
                <w:sdt>
                  <w:sdtPr>
                    <w:rPr>
                      <w:color w:val="000000" w:themeColor="text1"/>
                    </w:rPr>
                    <w:alias w:val="其他客户备付金明细－折合人民币金额"/>
                    <w:tag w:val="_GBC_2bc358230e2a4f539d3e1aaea68725a7"/>
                    <w:id w:val="24723553"/>
                    <w:lock w:val="sdtLocked"/>
                  </w:sdtPr>
                  <w:sdtContent>
                    <w:tc>
                      <w:tcPr>
                        <w:tcW w:w="710" w:type="pct"/>
                      </w:tcPr>
                      <w:p w:rsidR="00DE031E" w:rsidRDefault="001C1A59">
                        <w:pPr>
                          <w:jc w:val="right"/>
                          <w:rPr>
                            <w:color w:val="000000" w:themeColor="text1"/>
                          </w:rPr>
                        </w:pPr>
                        <w:r>
                          <w:rPr>
                            <w:color w:val="000000" w:themeColor="text1"/>
                          </w:rPr>
                          <w:t>44,349,748.84</w:t>
                        </w:r>
                      </w:p>
                    </w:tc>
                  </w:sdtContent>
                </w:sdt>
              </w:tr>
            </w:sdtContent>
          </w:sdt>
          <w:tr w:rsidR="00DE031E" w:rsidTr="00DE031E">
            <w:trPr>
              <w:trHeight w:val="302"/>
            </w:trPr>
            <w:tc>
              <w:tcPr>
                <w:tcW w:w="994" w:type="pct"/>
                <w:tcBorders>
                  <w:bottom w:val="single" w:sz="4" w:space="0" w:color="auto"/>
                </w:tcBorders>
              </w:tcPr>
              <w:p w:rsidR="00DE031E" w:rsidRDefault="001C1A59">
                <w:pPr>
                  <w:rPr>
                    <w:color w:val="000000" w:themeColor="text1"/>
                  </w:rPr>
                </w:pPr>
                <w:r>
                  <w:rPr>
                    <w:rFonts w:hint="eastAsia"/>
                    <w:color w:val="000000" w:themeColor="text1"/>
                  </w:rPr>
                  <w:t>信用备付金：</w:t>
                </w:r>
              </w:p>
            </w:tc>
            <w:tc>
              <w:tcPr>
                <w:tcW w:w="655" w:type="pct"/>
              </w:tcPr>
              <w:p w:rsidR="00DE031E" w:rsidRDefault="001C1A59">
                <w:pPr>
                  <w:jc w:val="center"/>
                  <w:rPr>
                    <w:color w:val="000000" w:themeColor="text1"/>
                  </w:rPr>
                </w:pPr>
                <w:r>
                  <w:rPr>
                    <w:color w:val="000000" w:themeColor="text1"/>
                  </w:rPr>
                  <w:t>/</w:t>
                </w:r>
              </w:p>
            </w:tc>
            <w:tc>
              <w:tcPr>
                <w:tcW w:w="636" w:type="pct"/>
              </w:tcPr>
              <w:p w:rsidR="00DE031E" w:rsidRDefault="001C1A59">
                <w:pPr>
                  <w:jc w:val="center"/>
                  <w:rPr>
                    <w:color w:val="000000" w:themeColor="text1"/>
                  </w:rPr>
                </w:pPr>
                <w:r>
                  <w:rPr>
                    <w:color w:val="000000" w:themeColor="text1"/>
                  </w:rPr>
                  <w:t>/</w:t>
                </w:r>
              </w:p>
            </w:tc>
            <w:sdt>
              <w:sdtPr>
                <w:rPr>
                  <w:color w:val="000000" w:themeColor="text1"/>
                </w:rPr>
                <w:alias w:val="信用备付金人民币金额小计"/>
                <w:tag w:val="_GBC_05e470f1908245f3b609695f5009a88f"/>
                <w:id w:val="24723555"/>
                <w:lock w:val="sdtLocked"/>
                <w:showingPlcHdr/>
              </w:sdtPr>
              <w:sdtContent>
                <w:tc>
                  <w:tcPr>
                    <w:tcW w:w="710" w:type="pct"/>
                  </w:tcPr>
                  <w:p w:rsidR="00DE031E" w:rsidRDefault="00DE031E" w:rsidP="00DE031E">
                    <w:pPr>
                      <w:jc w:val="right"/>
                      <w:rPr>
                        <w:color w:val="000000" w:themeColor="text1"/>
                      </w:rPr>
                    </w:pPr>
                  </w:p>
                </w:tc>
              </w:sdtContent>
            </w:sdt>
            <w:tc>
              <w:tcPr>
                <w:tcW w:w="636" w:type="pct"/>
              </w:tcPr>
              <w:p w:rsidR="00DE031E" w:rsidRDefault="001C1A59">
                <w:pPr>
                  <w:jc w:val="center"/>
                  <w:rPr>
                    <w:color w:val="000000" w:themeColor="text1"/>
                  </w:rPr>
                </w:pPr>
                <w:r>
                  <w:rPr>
                    <w:color w:val="000000" w:themeColor="text1"/>
                  </w:rPr>
                  <w:t>/</w:t>
                </w:r>
              </w:p>
            </w:tc>
            <w:tc>
              <w:tcPr>
                <w:tcW w:w="659" w:type="pct"/>
              </w:tcPr>
              <w:p w:rsidR="00DE031E" w:rsidRDefault="001C1A59">
                <w:pPr>
                  <w:jc w:val="center"/>
                  <w:rPr>
                    <w:color w:val="000000" w:themeColor="text1"/>
                  </w:rPr>
                </w:pPr>
                <w:r>
                  <w:rPr>
                    <w:color w:val="000000" w:themeColor="text1"/>
                  </w:rPr>
                  <w:t>/</w:t>
                </w:r>
              </w:p>
            </w:tc>
            <w:sdt>
              <w:sdtPr>
                <w:rPr>
                  <w:color w:val="000000" w:themeColor="text1"/>
                </w:rPr>
                <w:alias w:val="信用备付金人民币金额小计"/>
                <w:tag w:val="_GBC_5d5a1fc95a6a43968d7b105e35339748"/>
                <w:id w:val="24723556"/>
                <w:lock w:val="sdtLocked"/>
                <w:showingPlcHdr/>
              </w:sdtPr>
              <w:sdtContent>
                <w:tc>
                  <w:tcPr>
                    <w:tcW w:w="710" w:type="pct"/>
                  </w:tcPr>
                  <w:p w:rsidR="00DE031E" w:rsidRDefault="00DE031E" w:rsidP="00DE031E">
                    <w:pPr>
                      <w:jc w:val="right"/>
                      <w:rPr>
                        <w:color w:val="000000" w:themeColor="text1"/>
                      </w:rPr>
                    </w:pPr>
                  </w:p>
                </w:tc>
              </w:sdtContent>
            </w:sdt>
          </w:tr>
          <w:tr w:rsidR="00DE031E" w:rsidTr="00DE031E">
            <w:trPr>
              <w:trHeight w:val="302"/>
            </w:trPr>
            <w:tc>
              <w:tcPr>
                <w:tcW w:w="994" w:type="pct"/>
                <w:tcBorders>
                  <w:bottom w:val="single" w:sz="4" w:space="0" w:color="auto"/>
                </w:tcBorders>
              </w:tcPr>
              <w:p w:rsidR="00DE031E" w:rsidRDefault="001C1A59">
                <w:pPr>
                  <w:rPr>
                    <w:color w:val="000000" w:themeColor="text1"/>
                  </w:rPr>
                </w:pPr>
                <w:r>
                  <w:rPr>
                    <w:rFonts w:hint="eastAsia"/>
                    <w:color w:val="000000" w:themeColor="text1"/>
                  </w:rPr>
                  <w:t>人民币</w:t>
                </w:r>
              </w:p>
            </w:tc>
            <w:tc>
              <w:tcPr>
                <w:tcW w:w="655" w:type="pct"/>
              </w:tcPr>
              <w:p w:rsidR="00DE031E" w:rsidRDefault="001C1A59">
                <w:pPr>
                  <w:jc w:val="center"/>
                  <w:rPr>
                    <w:color w:val="000000" w:themeColor="text1"/>
                  </w:rPr>
                </w:pPr>
                <w:r>
                  <w:rPr>
                    <w:color w:val="000000" w:themeColor="text1"/>
                  </w:rPr>
                  <w:t>/</w:t>
                </w:r>
              </w:p>
            </w:tc>
            <w:tc>
              <w:tcPr>
                <w:tcW w:w="636" w:type="pct"/>
              </w:tcPr>
              <w:p w:rsidR="00DE031E" w:rsidRDefault="001C1A59">
                <w:pPr>
                  <w:jc w:val="center"/>
                  <w:rPr>
                    <w:color w:val="000000" w:themeColor="text1"/>
                  </w:rPr>
                </w:pPr>
                <w:r>
                  <w:rPr>
                    <w:color w:val="000000" w:themeColor="text1"/>
                  </w:rPr>
                  <w:t>/</w:t>
                </w:r>
              </w:p>
            </w:tc>
            <w:sdt>
              <w:sdtPr>
                <w:rPr>
                  <w:color w:val="000000" w:themeColor="text1"/>
                </w:rPr>
                <w:alias w:val="信用备付金中人民币金额"/>
                <w:tag w:val="_GBC_041cc71177ac46789e42202415d247ec"/>
                <w:id w:val="24723557"/>
                <w:lock w:val="sdtLocked"/>
                <w:showingPlcHdr/>
              </w:sdtPr>
              <w:sdtContent>
                <w:tc>
                  <w:tcPr>
                    <w:tcW w:w="710" w:type="pct"/>
                  </w:tcPr>
                  <w:p w:rsidR="00DE031E" w:rsidRDefault="00DE031E" w:rsidP="00DE031E">
                    <w:pPr>
                      <w:jc w:val="right"/>
                      <w:rPr>
                        <w:color w:val="000000" w:themeColor="text1"/>
                      </w:rPr>
                    </w:pPr>
                  </w:p>
                </w:tc>
              </w:sdtContent>
            </w:sdt>
            <w:tc>
              <w:tcPr>
                <w:tcW w:w="636" w:type="pct"/>
              </w:tcPr>
              <w:p w:rsidR="00DE031E" w:rsidRDefault="001C1A59">
                <w:pPr>
                  <w:jc w:val="center"/>
                  <w:rPr>
                    <w:color w:val="000000" w:themeColor="text1"/>
                  </w:rPr>
                </w:pPr>
                <w:r>
                  <w:rPr>
                    <w:color w:val="000000" w:themeColor="text1"/>
                  </w:rPr>
                  <w:t>/</w:t>
                </w:r>
              </w:p>
            </w:tc>
            <w:tc>
              <w:tcPr>
                <w:tcW w:w="659" w:type="pct"/>
              </w:tcPr>
              <w:p w:rsidR="00DE031E" w:rsidRDefault="001C1A59">
                <w:pPr>
                  <w:jc w:val="center"/>
                  <w:rPr>
                    <w:color w:val="000000" w:themeColor="text1"/>
                  </w:rPr>
                </w:pPr>
                <w:r>
                  <w:rPr>
                    <w:color w:val="000000" w:themeColor="text1"/>
                  </w:rPr>
                  <w:t>/</w:t>
                </w:r>
              </w:p>
            </w:tc>
            <w:sdt>
              <w:sdtPr>
                <w:rPr>
                  <w:color w:val="000000" w:themeColor="text1"/>
                </w:rPr>
                <w:alias w:val="信用备付金中人民币金额"/>
                <w:tag w:val="_GBC_78aa27e4378540bba3dc145dad39fd88"/>
                <w:id w:val="24723558"/>
                <w:lock w:val="sdtLocked"/>
                <w:showingPlcHdr/>
              </w:sdtPr>
              <w:sdtContent>
                <w:tc>
                  <w:tcPr>
                    <w:tcW w:w="710" w:type="pct"/>
                  </w:tcPr>
                  <w:p w:rsidR="00DE031E" w:rsidRDefault="00DE031E" w:rsidP="00DE031E">
                    <w:pPr>
                      <w:jc w:val="right"/>
                      <w:rPr>
                        <w:color w:val="000000" w:themeColor="text1"/>
                      </w:rPr>
                    </w:pPr>
                  </w:p>
                </w:tc>
              </w:sdtContent>
            </w:sdt>
          </w:tr>
          <w:tr w:rsidR="00DE031E" w:rsidTr="00DE031E">
            <w:trPr>
              <w:trHeight w:val="293"/>
            </w:trPr>
            <w:tc>
              <w:tcPr>
                <w:tcW w:w="994" w:type="pct"/>
              </w:tcPr>
              <w:p w:rsidR="00DE031E" w:rsidRDefault="001C1A59">
                <w:pPr>
                  <w:jc w:val="center"/>
                  <w:rPr>
                    <w:color w:val="000000" w:themeColor="text1"/>
                  </w:rPr>
                </w:pPr>
                <w:r>
                  <w:rPr>
                    <w:color w:val="000000" w:themeColor="text1"/>
                  </w:rPr>
                  <w:t>合计</w:t>
                </w:r>
              </w:p>
            </w:tc>
            <w:tc>
              <w:tcPr>
                <w:tcW w:w="655" w:type="pct"/>
              </w:tcPr>
              <w:p w:rsidR="00DE031E" w:rsidRDefault="001C1A59">
                <w:pPr>
                  <w:jc w:val="center"/>
                  <w:rPr>
                    <w:color w:val="000000" w:themeColor="text1"/>
                  </w:rPr>
                </w:pPr>
                <w:r>
                  <w:rPr>
                    <w:color w:val="000000" w:themeColor="text1"/>
                  </w:rPr>
                  <w:t>/</w:t>
                </w:r>
              </w:p>
            </w:tc>
            <w:tc>
              <w:tcPr>
                <w:tcW w:w="636" w:type="pct"/>
              </w:tcPr>
              <w:p w:rsidR="00DE031E" w:rsidRDefault="001C1A59">
                <w:pPr>
                  <w:jc w:val="center"/>
                  <w:rPr>
                    <w:color w:val="000000" w:themeColor="text1"/>
                  </w:rPr>
                </w:pPr>
                <w:r>
                  <w:rPr>
                    <w:color w:val="000000" w:themeColor="text1"/>
                  </w:rPr>
                  <w:t>/</w:t>
                </w:r>
              </w:p>
            </w:tc>
            <w:sdt>
              <w:sdtPr>
                <w:rPr>
                  <w:rFonts w:asciiTheme="minorEastAsia" w:eastAsiaTheme="minorEastAsia" w:hAnsiTheme="minorEastAsia"/>
                  <w:color w:val="000000" w:themeColor="text1"/>
                  <w:szCs w:val="21"/>
                </w:rPr>
                <w:alias w:val="结算备付金"/>
                <w:tag w:val="_GBC_11a0e0657b704cad847f27c6a499a914"/>
                <w:id w:val="24723559"/>
                <w:lock w:val="sdtLocked"/>
              </w:sdtPr>
              <w:sdtContent>
                <w:tc>
                  <w:tcPr>
                    <w:tcW w:w="710" w:type="pct"/>
                  </w:tcPr>
                  <w:p w:rsidR="00DE031E" w:rsidRPr="00EE48AA" w:rsidRDefault="001C1A59">
                    <w:pPr>
                      <w:jc w:val="right"/>
                      <w:rPr>
                        <w:rFonts w:asciiTheme="minorEastAsia" w:eastAsiaTheme="minorEastAsia" w:hAnsiTheme="minorEastAsia"/>
                        <w:color w:val="000000" w:themeColor="text1"/>
                        <w:szCs w:val="21"/>
                      </w:rPr>
                    </w:pPr>
                    <w:r w:rsidRPr="00EE48AA">
                      <w:rPr>
                        <w:rFonts w:asciiTheme="minorEastAsia" w:eastAsiaTheme="minorEastAsia" w:hAnsiTheme="minorEastAsia" w:cs="Arial"/>
                        <w:bCs/>
                        <w:color w:val="000000"/>
                        <w:szCs w:val="21"/>
                      </w:rPr>
                      <w:t>24,774,448,840.92</w:t>
                    </w:r>
                  </w:p>
                </w:tc>
              </w:sdtContent>
            </w:sdt>
            <w:tc>
              <w:tcPr>
                <w:tcW w:w="636" w:type="pct"/>
              </w:tcPr>
              <w:p w:rsidR="00DE031E" w:rsidRPr="00EE48AA" w:rsidRDefault="001C1A59">
                <w:pPr>
                  <w:jc w:val="center"/>
                  <w:rPr>
                    <w:rFonts w:asciiTheme="minorEastAsia" w:eastAsiaTheme="minorEastAsia" w:hAnsiTheme="minorEastAsia"/>
                    <w:color w:val="000000" w:themeColor="text1"/>
                    <w:szCs w:val="21"/>
                  </w:rPr>
                </w:pPr>
                <w:r w:rsidRPr="00EE48AA">
                  <w:rPr>
                    <w:rFonts w:asciiTheme="minorEastAsia" w:eastAsiaTheme="minorEastAsia" w:hAnsiTheme="minorEastAsia"/>
                    <w:color w:val="000000" w:themeColor="text1"/>
                    <w:szCs w:val="21"/>
                  </w:rPr>
                  <w:t>/</w:t>
                </w:r>
              </w:p>
            </w:tc>
            <w:tc>
              <w:tcPr>
                <w:tcW w:w="659" w:type="pct"/>
              </w:tcPr>
              <w:p w:rsidR="00DE031E" w:rsidRPr="00EE48AA" w:rsidRDefault="001C1A59">
                <w:pPr>
                  <w:jc w:val="center"/>
                  <w:rPr>
                    <w:rFonts w:asciiTheme="minorEastAsia" w:eastAsiaTheme="minorEastAsia" w:hAnsiTheme="minorEastAsia"/>
                    <w:color w:val="000000" w:themeColor="text1"/>
                    <w:szCs w:val="21"/>
                  </w:rPr>
                </w:pPr>
                <w:r w:rsidRPr="00EE48AA">
                  <w:rPr>
                    <w:rFonts w:asciiTheme="minorEastAsia" w:eastAsiaTheme="minorEastAsia" w:hAnsiTheme="minorEastAsia"/>
                    <w:color w:val="000000" w:themeColor="text1"/>
                    <w:szCs w:val="21"/>
                  </w:rPr>
                  <w:t>/</w:t>
                </w:r>
              </w:p>
            </w:tc>
            <w:tc>
              <w:tcPr>
                <w:tcW w:w="710" w:type="pct"/>
              </w:tcPr>
              <w:p w:rsidR="00DE031E" w:rsidRPr="00EE48AA" w:rsidRDefault="00422DCA">
                <w:pPr>
                  <w:jc w:val="right"/>
                  <w:rPr>
                    <w:rFonts w:asciiTheme="minorEastAsia" w:eastAsiaTheme="minorEastAsia" w:hAnsiTheme="minorEastAsia"/>
                    <w:color w:val="000000" w:themeColor="text1"/>
                    <w:szCs w:val="21"/>
                  </w:rPr>
                </w:pPr>
                <w:sdt>
                  <w:sdtPr>
                    <w:rPr>
                      <w:rFonts w:asciiTheme="minorEastAsia" w:eastAsiaTheme="minorEastAsia" w:hAnsiTheme="minorEastAsia"/>
                      <w:color w:val="000000" w:themeColor="text1"/>
                      <w:szCs w:val="21"/>
                    </w:rPr>
                    <w:alias w:val="结算备付金"/>
                    <w:tag w:val="_GBC_9f11a83dda1d4a6092833939a5d1ea49"/>
                    <w:id w:val="24723560"/>
                    <w:lock w:val="sdtLocked"/>
                  </w:sdtPr>
                  <w:sdtContent>
                    <w:r w:rsidR="001C1A59" w:rsidRPr="00EE48AA">
                      <w:rPr>
                        <w:rFonts w:asciiTheme="minorEastAsia" w:eastAsiaTheme="minorEastAsia" w:hAnsiTheme="minorEastAsia" w:cs="Arial"/>
                        <w:bCs/>
                        <w:szCs w:val="21"/>
                      </w:rPr>
                      <w:t>12,191,800,738.04</w:t>
                    </w:r>
                  </w:sdtContent>
                </w:sdt>
              </w:p>
            </w:tc>
          </w:tr>
        </w:tbl>
        <w:sdt>
          <w:sdtPr>
            <w:rPr>
              <w:rFonts w:hint="eastAsia"/>
              <w:szCs w:val="21"/>
            </w:rPr>
            <w:alias w:val="结算备付金的说明"/>
            <w:tag w:val="_GBC_b106451cb3a24063a16492dbfdff6e28"/>
            <w:id w:val="24723561"/>
            <w:lock w:val="sdtLocked"/>
            <w:placeholder>
              <w:docPart w:val="GBC22222222222222222222222222222"/>
            </w:placeholder>
          </w:sdtPr>
          <w:sdtContent>
            <w:p w:rsidR="00DE031E" w:rsidRDefault="001C1A59" w:rsidP="00DE031E">
              <w:pPr>
                <w:widowControl w:val="0"/>
                <w:autoSpaceDE w:val="0"/>
                <w:autoSpaceDN w:val="0"/>
                <w:adjustRightInd w:val="0"/>
                <w:spacing w:line="276" w:lineRule="auto"/>
                <w:rPr>
                  <w:rFonts w:hAnsi="Arial"/>
                  <w:sz w:val="22"/>
                  <w:szCs w:val="22"/>
                </w:rPr>
              </w:pPr>
              <w:r>
                <w:rPr>
                  <w:rFonts w:ascii="Arial" w:hAnsi="Arial" w:cs="Arial"/>
                  <w:sz w:val="22"/>
                  <w:szCs w:val="22"/>
                </w:rPr>
                <w:t>1</w:t>
              </w:r>
              <w:r>
                <w:rPr>
                  <w:rFonts w:hAnsi="Arial" w:hint="eastAsia"/>
                  <w:sz w:val="22"/>
                  <w:szCs w:val="22"/>
                </w:rPr>
                <w:t>）截至</w:t>
              </w:r>
              <w:r>
                <w:rPr>
                  <w:rFonts w:ascii="Arial" w:hAnsi="Arial" w:cs="Arial"/>
                  <w:sz w:val="22"/>
                  <w:szCs w:val="22"/>
                </w:rPr>
                <w:t>201</w:t>
              </w:r>
              <w:r>
                <w:rPr>
                  <w:rFonts w:ascii="Arial" w:hAnsi="Arial" w:cs="Arial" w:hint="eastAsia"/>
                  <w:sz w:val="22"/>
                  <w:szCs w:val="22"/>
                </w:rPr>
                <w:t>5</w:t>
              </w:r>
              <w:r>
                <w:rPr>
                  <w:rFonts w:hAnsi="Arial" w:hint="eastAsia"/>
                  <w:sz w:val="22"/>
                  <w:szCs w:val="22"/>
                </w:rPr>
                <w:t>年</w:t>
              </w:r>
              <w:r>
                <w:rPr>
                  <w:rFonts w:ascii="Arial" w:hAnsi="Arial" w:cs="Arial" w:hint="eastAsia"/>
                  <w:sz w:val="22"/>
                  <w:szCs w:val="22"/>
                </w:rPr>
                <w:t>6</w:t>
              </w:r>
              <w:r>
                <w:rPr>
                  <w:rFonts w:hAnsi="Arial" w:hint="eastAsia"/>
                  <w:sz w:val="22"/>
                  <w:szCs w:val="22"/>
                </w:rPr>
                <w:t>月</w:t>
              </w:r>
              <w:r>
                <w:rPr>
                  <w:rFonts w:ascii="Arial" w:hAnsi="Arial" w:cs="Arial"/>
                  <w:sz w:val="22"/>
                  <w:szCs w:val="22"/>
                </w:rPr>
                <w:t>3</w:t>
              </w:r>
              <w:r>
                <w:rPr>
                  <w:rFonts w:ascii="Arial" w:hAnsi="Arial" w:cs="Arial" w:hint="eastAsia"/>
                  <w:sz w:val="22"/>
                  <w:szCs w:val="22"/>
                </w:rPr>
                <w:t>0</w:t>
              </w:r>
              <w:r>
                <w:rPr>
                  <w:rFonts w:hAnsi="Arial" w:hint="eastAsia"/>
                  <w:sz w:val="22"/>
                  <w:szCs w:val="22"/>
                </w:rPr>
                <w:t>日，结算备付金较年初增加</w:t>
              </w:r>
              <w:r>
                <w:rPr>
                  <w:rFonts w:ascii="Arial" w:hAnsi="Arial" w:cs="Arial" w:hint="eastAsia"/>
                  <w:sz w:val="22"/>
                  <w:szCs w:val="22"/>
                </w:rPr>
                <w:t>12</w:t>
              </w:r>
              <w:r>
                <w:rPr>
                  <w:rFonts w:ascii="Arial" w:hAnsi="Arial" w:cs="Arial"/>
                  <w:sz w:val="22"/>
                  <w:szCs w:val="22"/>
                </w:rPr>
                <w:t>,</w:t>
              </w:r>
              <w:r>
                <w:rPr>
                  <w:rFonts w:ascii="Arial" w:hAnsi="Arial" w:cs="Arial" w:hint="eastAsia"/>
                  <w:sz w:val="22"/>
                  <w:szCs w:val="22"/>
                </w:rPr>
                <w:t>582</w:t>
              </w:r>
              <w:r>
                <w:rPr>
                  <w:rFonts w:ascii="Arial" w:hAnsi="Arial" w:cs="Arial"/>
                  <w:sz w:val="22"/>
                  <w:szCs w:val="22"/>
                </w:rPr>
                <w:t>,</w:t>
              </w:r>
              <w:r>
                <w:rPr>
                  <w:rFonts w:ascii="Arial" w:hAnsi="Arial" w:cs="Arial" w:hint="eastAsia"/>
                  <w:sz w:val="22"/>
                  <w:szCs w:val="22"/>
                </w:rPr>
                <w:t>648</w:t>
              </w:r>
              <w:r>
                <w:rPr>
                  <w:rFonts w:ascii="Arial" w:hAnsi="Arial" w:cs="Arial"/>
                  <w:sz w:val="22"/>
                  <w:szCs w:val="22"/>
                </w:rPr>
                <w:t>,</w:t>
              </w:r>
              <w:r>
                <w:rPr>
                  <w:rFonts w:ascii="Arial" w:hAnsi="Arial" w:cs="Arial" w:hint="eastAsia"/>
                  <w:sz w:val="22"/>
                  <w:szCs w:val="22"/>
                </w:rPr>
                <w:t>102</w:t>
              </w:r>
              <w:r>
                <w:rPr>
                  <w:rFonts w:ascii="Arial" w:hAnsi="Arial" w:cs="Arial"/>
                  <w:sz w:val="22"/>
                  <w:szCs w:val="22"/>
                </w:rPr>
                <w:t>.</w:t>
              </w:r>
              <w:r>
                <w:rPr>
                  <w:rFonts w:ascii="Arial" w:hAnsi="Arial" w:cs="Arial" w:hint="eastAsia"/>
                  <w:sz w:val="22"/>
                  <w:szCs w:val="22"/>
                </w:rPr>
                <w:t>88</w:t>
              </w:r>
              <w:r>
                <w:rPr>
                  <w:rFonts w:hAnsi="Arial" w:hint="eastAsia"/>
                  <w:sz w:val="22"/>
                  <w:szCs w:val="22"/>
                </w:rPr>
                <w:t>元，增幅</w:t>
              </w:r>
              <w:r>
                <w:rPr>
                  <w:rFonts w:ascii="Arial" w:hAnsi="Arial" w:cs="Arial" w:hint="eastAsia"/>
                  <w:sz w:val="22"/>
                  <w:szCs w:val="22"/>
                </w:rPr>
                <w:t>103.21</w:t>
              </w:r>
              <w:r>
                <w:rPr>
                  <w:rFonts w:ascii="Arial" w:hAnsi="Arial" w:cs="Arial"/>
                  <w:sz w:val="22"/>
                  <w:szCs w:val="22"/>
                </w:rPr>
                <w:t>%</w:t>
              </w:r>
              <w:r>
                <w:rPr>
                  <w:rFonts w:hAnsi="Arial" w:hint="eastAsia"/>
                  <w:sz w:val="22"/>
                  <w:szCs w:val="22"/>
                </w:rPr>
                <w:t>，主要系公司经纪业务客户结算备付金增加所致。</w:t>
              </w:r>
            </w:p>
            <w:p w:rsidR="00DE031E" w:rsidRDefault="001C1A59" w:rsidP="00DE031E">
              <w:pPr>
                <w:spacing w:line="276" w:lineRule="auto"/>
                <w:rPr>
                  <w:szCs w:val="21"/>
                </w:rPr>
                <w:sectPr w:rsidR="00DE031E" w:rsidSect="00DE031E">
                  <w:headerReference w:type="default" r:id="rId18"/>
                  <w:pgSz w:w="16838" w:h="11906" w:orient="landscape"/>
                  <w:pgMar w:top="1276" w:right="1440" w:bottom="1797" w:left="1525" w:header="856" w:footer="992" w:gutter="0"/>
                  <w:cols w:space="425"/>
                  <w:docGrid w:linePitch="312"/>
                </w:sectPr>
              </w:pPr>
              <w:r>
                <w:rPr>
                  <w:rFonts w:ascii="Arial" w:hAnsi="Arial" w:cs="Arial"/>
                  <w:sz w:val="22"/>
                  <w:szCs w:val="22"/>
                </w:rPr>
                <w:t>2</w:t>
              </w:r>
              <w:r>
                <w:rPr>
                  <w:rFonts w:hAnsi="Arial" w:hint="eastAsia"/>
                  <w:sz w:val="22"/>
                  <w:szCs w:val="22"/>
                </w:rPr>
                <w:t>）截至</w:t>
              </w:r>
              <w:r>
                <w:rPr>
                  <w:rFonts w:ascii="Arial" w:hAnsi="Arial" w:cs="Arial"/>
                  <w:sz w:val="22"/>
                  <w:szCs w:val="22"/>
                </w:rPr>
                <w:t>201</w:t>
              </w:r>
              <w:r>
                <w:rPr>
                  <w:rFonts w:ascii="Arial" w:hAnsi="Arial" w:cs="Arial" w:hint="eastAsia"/>
                  <w:sz w:val="22"/>
                  <w:szCs w:val="22"/>
                </w:rPr>
                <w:t>5</w:t>
              </w:r>
              <w:r>
                <w:rPr>
                  <w:rFonts w:hAnsi="Arial" w:hint="eastAsia"/>
                  <w:sz w:val="22"/>
                  <w:szCs w:val="22"/>
                </w:rPr>
                <w:t>年</w:t>
              </w:r>
              <w:r>
                <w:rPr>
                  <w:rFonts w:ascii="Arial" w:hAnsi="Arial" w:cs="Arial" w:hint="eastAsia"/>
                  <w:sz w:val="22"/>
                  <w:szCs w:val="22"/>
                </w:rPr>
                <w:t>6</w:t>
              </w:r>
              <w:r>
                <w:rPr>
                  <w:rFonts w:hAnsi="Arial" w:hint="eastAsia"/>
                  <w:sz w:val="22"/>
                  <w:szCs w:val="22"/>
                </w:rPr>
                <w:t>月</w:t>
              </w:r>
              <w:r>
                <w:rPr>
                  <w:rFonts w:ascii="Arial" w:hAnsi="Arial" w:cs="Arial"/>
                  <w:sz w:val="22"/>
                  <w:szCs w:val="22"/>
                </w:rPr>
                <w:t>3</w:t>
              </w:r>
              <w:r>
                <w:rPr>
                  <w:rFonts w:ascii="Arial" w:hAnsi="Arial" w:cs="Arial" w:hint="eastAsia"/>
                  <w:sz w:val="22"/>
                  <w:szCs w:val="22"/>
                </w:rPr>
                <w:t>0</w:t>
              </w:r>
              <w:r>
                <w:rPr>
                  <w:rFonts w:hAnsi="Arial" w:hint="eastAsia"/>
                  <w:sz w:val="22"/>
                  <w:szCs w:val="22"/>
                </w:rPr>
                <w:t>日，本公司无使用受限的结算备付金。</w:t>
              </w:r>
            </w:p>
          </w:sdtContent>
        </w:sdt>
      </w:sdtContent>
    </w:sdt>
    <w:p w:rsidR="00DE031E" w:rsidRDefault="001C1A59" w:rsidP="009950AC">
      <w:pPr>
        <w:pStyle w:val="3"/>
        <w:numPr>
          <w:ilvl w:val="0"/>
          <w:numId w:val="41"/>
        </w:numPr>
        <w:rPr>
          <w:rFonts w:ascii="宋体" w:hAnsi="宋体"/>
        </w:rPr>
      </w:pPr>
      <w:r>
        <w:rPr>
          <w:rFonts w:ascii="宋体" w:hAnsi="宋体" w:hint="eastAsia"/>
        </w:rPr>
        <w:lastRenderedPageBreak/>
        <w:t>融出资金</w:t>
      </w:r>
    </w:p>
    <w:sdt>
      <w:sdtPr>
        <w:rPr>
          <w:szCs w:val="21"/>
        </w:rPr>
        <w:alias w:val="是否适用：融出资金"/>
        <w:tag w:val="_GBC_8b4a5061b64f484bb7c13dba93671feb"/>
        <w:id w:val="24723563"/>
        <w:lock w:val="sdtContentLocked"/>
        <w:placeholder>
          <w:docPart w:val="GBC22222222222222222222222222222"/>
        </w:placeholder>
      </w:sdtPr>
      <w:sdtContent>
        <w:p w:rsidR="00DE031E" w:rsidRDefault="00422DCA">
          <w:pPr>
            <w:rPr>
              <w:szCs w:val="21"/>
            </w:rPr>
          </w:pPr>
          <w:r>
            <w:rPr>
              <w:szCs w:val="21"/>
            </w:rPr>
            <w:fldChar w:fldCharType="begin"/>
          </w:r>
          <w:r w:rsidR="001C1A59">
            <w:rPr>
              <w:szCs w:val="21"/>
            </w:rPr>
            <w:instrText xml:space="preserve"> MACROBUTTON  SnrToggleCheckbox √适用 </w:instrText>
          </w:r>
          <w:r>
            <w:rPr>
              <w:szCs w:val="21"/>
            </w:rPr>
            <w:fldChar w:fldCharType="end"/>
          </w:r>
          <w:r>
            <w:rPr>
              <w:szCs w:val="21"/>
            </w:rPr>
            <w:fldChar w:fldCharType="begin"/>
          </w:r>
          <w:r w:rsidR="001C1A59">
            <w:rPr>
              <w:szCs w:val="21"/>
            </w:rPr>
            <w:instrText xml:space="preserve"> MACROBUTTON  SnrToggleCheckbox □不适用 </w:instrText>
          </w:r>
          <w:r>
            <w:rPr>
              <w:szCs w:val="21"/>
            </w:rPr>
            <w:fldChar w:fldCharType="end"/>
          </w:r>
        </w:p>
      </w:sdtContent>
    </w:sdt>
    <w:sdt>
      <w:sdtPr>
        <w:rPr>
          <w:rFonts w:hint="eastAsia"/>
          <w:b/>
          <w:bCs/>
        </w:rPr>
        <w:tag w:val="_GBC_da9a1cfbb81e4e1fae086441c17d3ec4"/>
        <w:id w:val="24723572"/>
        <w:lock w:val="sdtLocked"/>
        <w:placeholder>
          <w:docPart w:val="GBC22222222222222222222222222222"/>
        </w:placeholder>
      </w:sdtPr>
      <w:sdtEndPr>
        <w:rPr>
          <w:b w:val="0"/>
          <w:bCs w:val="0"/>
          <w:color w:val="000000" w:themeColor="text1"/>
          <w:szCs w:val="21"/>
        </w:rPr>
      </w:sdtEndPr>
      <w:sdtContent>
        <w:p w:rsidR="00DE031E" w:rsidRDefault="001C1A59">
          <w:pPr>
            <w:jc w:val="right"/>
          </w:pPr>
          <w:r>
            <w:rPr>
              <w:rFonts w:hint="eastAsia"/>
            </w:rPr>
            <w:t>单位：</w:t>
          </w:r>
          <w:sdt>
            <w:sdtPr>
              <w:rPr>
                <w:rFonts w:hint="eastAsia"/>
              </w:rPr>
              <w:alias w:val="单位：财务附注：融出资金"/>
              <w:tag w:val="_GBC_c97232c4cf0d4e80b0b04b89a89325a3"/>
              <w:id w:val="247235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融出资金"/>
              <w:tag w:val="_GBC_31f39d4d63564a59a9fb3e7706098593"/>
              <w:id w:val="247235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8"/>
            <w:gridCol w:w="3016"/>
            <w:gridCol w:w="3015"/>
          </w:tblGrid>
          <w:tr w:rsidR="00DE031E" w:rsidTr="006C50E0">
            <w:trPr>
              <w:trHeight w:val="347"/>
              <w:jc w:val="center"/>
            </w:trPr>
            <w:tc>
              <w:tcPr>
                <w:tcW w:w="1667" w:type="pct"/>
                <w:shd w:val="clear" w:color="auto" w:fill="auto"/>
                <w:vAlign w:val="center"/>
              </w:tcPr>
              <w:p w:rsidR="00DE031E" w:rsidRDefault="001C1A59">
                <w:pPr>
                  <w:jc w:val="center"/>
                  <w:rPr>
                    <w:bCs/>
                  </w:rPr>
                </w:pPr>
                <w:r>
                  <w:rPr>
                    <w:bCs/>
                  </w:rPr>
                  <w:t>项目</w:t>
                </w:r>
              </w:p>
            </w:tc>
            <w:tc>
              <w:tcPr>
                <w:tcW w:w="1666" w:type="pct"/>
                <w:shd w:val="clear" w:color="auto" w:fill="auto"/>
                <w:vAlign w:val="center"/>
              </w:tcPr>
              <w:p w:rsidR="00DE031E" w:rsidRDefault="001C1A59">
                <w:pPr>
                  <w:jc w:val="center"/>
                  <w:rPr>
                    <w:bCs/>
                  </w:rPr>
                </w:pPr>
                <w:r>
                  <w:rPr>
                    <w:bCs/>
                  </w:rPr>
                  <w:t>期末账面余额</w:t>
                </w:r>
              </w:p>
            </w:tc>
            <w:tc>
              <w:tcPr>
                <w:tcW w:w="1666" w:type="pct"/>
                <w:shd w:val="clear" w:color="auto" w:fill="auto"/>
                <w:vAlign w:val="center"/>
              </w:tcPr>
              <w:p w:rsidR="00DE031E" w:rsidRDefault="001C1A59">
                <w:pPr>
                  <w:jc w:val="center"/>
                  <w:rPr>
                    <w:bCs/>
                  </w:rPr>
                </w:pPr>
                <w:r>
                  <w:rPr>
                    <w:rFonts w:hint="eastAsia"/>
                    <w:bCs/>
                  </w:rPr>
                  <w:t>期初</w:t>
                </w:r>
                <w:r>
                  <w:rPr>
                    <w:bCs/>
                  </w:rPr>
                  <w:t>账面余额</w:t>
                </w:r>
              </w:p>
            </w:tc>
          </w:tr>
          <w:tr w:rsidR="00DE031E" w:rsidTr="00E32AD4">
            <w:trPr>
              <w:trHeight w:val="211"/>
              <w:jc w:val="center"/>
            </w:trPr>
            <w:tc>
              <w:tcPr>
                <w:tcW w:w="1667" w:type="pct"/>
                <w:shd w:val="clear" w:color="auto" w:fill="auto"/>
              </w:tcPr>
              <w:p w:rsidR="00DE031E" w:rsidRDefault="001C1A59">
                <w:pPr>
                  <w:rPr>
                    <w:bCs/>
                  </w:rPr>
                </w:pPr>
                <w:r>
                  <w:rPr>
                    <w:bCs/>
                  </w:rPr>
                  <w:t>个人</w:t>
                </w:r>
              </w:p>
            </w:tc>
            <w:sdt>
              <w:sdtPr>
                <w:rPr>
                  <w:bCs/>
                  <w:color w:val="000000" w:themeColor="text1"/>
                </w:rPr>
                <w:alias w:val="个人融出资金账面余额"/>
                <w:tag w:val="_GBC_c0efa1e65bbf4ca09eb2905616f591fc"/>
                <w:id w:val="24723566"/>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110,126,125,668.33</w:t>
                    </w:r>
                  </w:p>
                </w:tc>
              </w:sdtContent>
            </w:sdt>
            <w:sdt>
              <w:sdtPr>
                <w:rPr>
                  <w:bCs/>
                  <w:color w:val="000000" w:themeColor="text1"/>
                </w:rPr>
                <w:alias w:val="个人融出资金账面余额"/>
                <w:tag w:val="_GBC_01e10d968337464ba9ffee558b78afe1"/>
                <w:id w:val="24723567"/>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51,912,433,908.22</w:t>
                    </w:r>
                  </w:p>
                </w:tc>
              </w:sdtContent>
            </w:sdt>
          </w:tr>
          <w:tr w:rsidR="00DE031E" w:rsidTr="00E32AD4">
            <w:trPr>
              <w:trHeight w:val="211"/>
              <w:jc w:val="center"/>
            </w:trPr>
            <w:tc>
              <w:tcPr>
                <w:tcW w:w="1667" w:type="pct"/>
                <w:shd w:val="clear" w:color="auto" w:fill="auto"/>
              </w:tcPr>
              <w:p w:rsidR="00DE031E" w:rsidRDefault="001C1A59">
                <w:pPr>
                  <w:rPr>
                    <w:bCs/>
                  </w:rPr>
                </w:pPr>
                <w:r>
                  <w:rPr>
                    <w:bCs/>
                  </w:rPr>
                  <w:t>机构</w:t>
                </w:r>
              </w:p>
            </w:tc>
            <w:sdt>
              <w:sdtPr>
                <w:rPr>
                  <w:bCs/>
                  <w:color w:val="000000" w:themeColor="text1"/>
                </w:rPr>
                <w:alias w:val="机构融出资金账面余额"/>
                <w:tag w:val="_GBC_95b58576d31a4a26a16e66235175620c"/>
                <w:id w:val="24723568"/>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2,051,345,076.47</w:t>
                    </w:r>
                  </w:p>
                </w:tc>
              </w:sdtContent>
            </w:sdt>
            <w:sdt>
              <w:sdtPr>
                <w:rPr>
                  <w:bCs/>
                  <w:color w:val="000000" w:themeColor="text1"/>
                </w:rPr>
                <w:alias w:val="机构融出资金账面余额"/>
                <w:tag w:val="_GBC_b469737de1eb488faaf7cabf27a2dcc0"/>
                <w:id w:val="24723569"/>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4,938,280,700.51</w:t>
                    </w:r>
                  </w:p>
                </w:tc>
              </w:sdtContent>
            </w:sdt>
          </w:tr>
          <w:tr w:rsidR="00DE031E" w:rsidTr="00E32AD4">
            <w:trPr>
              <w:trHeight w:val="211"/>
              <w:jc w:val="center"/>
            </w:trPr>
            <w:tc>
              <w:tcPr>
                <w:tcW w:w="1667" w:type="pct"/>
                <w:shd w:val="clear" w:color="auto" w:fill="auto"/>
              </w:tcPr>
              <w:p w:rsidR="00DE031E" w:rsidRDefault="001C1A59">
                <w:pPr>
                  <w:rPr>
                    <w:bCs/>
                  </w:rPr>
                </w:pPr>
                <w:r w:rsidRPr="00CC367F">
                  <w:rPr>
                    <w:rFonts w:ascii="Arial" w:hAnsi="Arial" w:cs="Arial"/>
                    <w:b/>
                    <w:bCs/>
                    <w:sz w:val="18"/>
                    <w:szCs w:val="18"/>
                  </w:rPr>
                  <w:t>香港孖展融资</w:t>
                </w:r>
              </w:p>
            </w:tc>
            <w:tc>
              <w:tcPr>
                <w:tcW w:w="1666" w:type="pct"/>
                <w:shd w:val="clear" w:color="auto" w:fill="auto"/>
              </w:tcPr>
              <w:p w:rsidR="00DE031E" w:rsidRDefault="001C1A59">
                <w:pPr>
                  <w:jc w:val="right"/>
                  <w:rPr>
                    <w:bCs/>
                    <w:color w:val="000000" w:themeColor="text1"/>
                  </w:rPr>
                </w:pPr>
                <w:r w:rsidRPr="003A3E9B">
                  <w:rPr>
                    <w:bCs/>
                    <w:color w:val="000000" w:themeColor="text1"/>
                  </w:rPr>
                  <w:t>2,647,977,663.54</w:t>
                </w:r>
              </w:p>
            </w:tc>
            <w:tc>
              <w:tcPr>
                <w:tcW w:w="1666" w:type="pct"/>
                <w:shd w:val="clear" w:color="auto" w:fill="auto"/>
              </w:tcPr>
              <w:p w:rsidR="00DE031E" w:rsidRDefault="001C1A59">
                <w:pPr>
                  <w:jc w:val="right"/>
                  <w:rPr>
                    <w:bCs/>
                    <w:color w:val="000000" w:themeColor="text1"/>
                  </w:rPr>
                </w:pPr>
                <w:r w:rsidRPr="003A3E9B">
                  <w:rPr>
                    <w:bCs/>
                    <w:color w:val="000000" w:themeColor="text1"/>
                  </w:rPr>
                  <w:t>1,744,449,938.53</w:t>
                </w:r>
              </w:p>
            </w:tc>
          </w:tr>
          <w:tr w:rsidR="00DE031E" w:rsidTr="00E32AD4">
            <w:trPr>
              <w:trHeight w:val="211"/>
              <w:jc w:val="center"/>
            </w:trPr>
            <w:tc>
              <w:tcPr>
                <w:tcW w:w="1667" w:type="pct"/>
                <w:shd w:val="clear" w:color="auto" w:fill="auto"/>
              </w:tcPr>
              <w:p w:rsidR="00DE031E" w:rsidRDefault="001C1A59">
                <w:pPr>
                  <w:jc w:val="center"/>
                  <w:rPr>
                    <w:bCs/>
                  </w:rPr>
                </w:pPr>
                <w:r>
                  <w:rPr>
                    <w:bCs/>
                  </w:rPr>
                  <w:t>合计</w:t>
                </w:r>
              </w:p>
            </w:tc>
            <w:sdt>
              <w:sdtPr>
                <w:rPr>
                  <w:bCs/>
                  <w:color w:val="000000" w:themeColor="text1"/>
                </w:rPr>
                <w:alias w:val="融出资金账面余额"/>
                <w:tag w:val="_GBC_4fa79966851446229be5928cd04cbf9e"/>
                <w:id w:val="24723570"/>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114,825,448,408.34</w:t>
                    </w:r>
                  </w:p>
                </w:tc>
              </w:sdtContent>
            </w:sdt>
            <w:sdt>
              <w:sdtPr>
                <w:rPr>
                  <w:bCs/>
                  <w:color w:val="000000" w:themeColor="text1"/>
                </w:rPr>
                <w:alias w:val="融出资金账面余额"/>
                <w:tag w:val="_GBC_0d747c7ffec04356ad03b8b24239e728"/>
                <w:id w:val="24723571"/>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58,595,164,547.26</w:t>
                    </w:r>
                  </w:p>
                </w:tc>
              </w:sdtContent>
            </w:sdt>
          </w:tr>
        </w:tbl>
      </w:sdtContent>
    </w:sdt>
    <w:p w:rsidR="00DE031E" w:rsidRDefault="00DE031E">
      <w:pPr>
        <w:rPr>
          <w:bCs/>
        </w:rPr>
      </w:pPr>
    </w:p>
    <w:sdt>
      <w:sdtPr>
        <w:rPr>
          <w:rFonts w:hint="eastAsia"/>
        </w:rPr>
        <w:tag w:val="_GBC_1b102084bbca49fead87257a107b07f2"/>
        <w:id w:val="24723588"/>
        <w:lock w:val="sdtLocked"/>
        <w:placeholder>
          <w:docPart w:val="GBC22222222222222222222222222222"/>
        </w:placeholder>
      </w:sdtPr>
      <w:sdtEndPr>
        <w:rPr>
          <w:color w:val="000000" w:themeColor="text1"/>
          <w:szCs w:val="21"/>
        </w:rPr>
      </w:sdtEndPr>
      <w:sdtContent>
        <w:p w:rsidR="00DE031E" w:rsidRDefault="001C1A59">
          <w:r>
            <w:rPr>
              <w:rFonts w:hint="eastAsia"/>
            </w:rPr>
            <w:t>客户因融资融券业务向公司提供的担保物公允价值情况：</w:t>
          </w:r>
        </w:p>
        <w:sdt>
          <w:sdtPr>
            <w:rPr>
              <w:bCs/>
            </w:rPr>
            <w:alias w:val="是否适用：客户因融资融券业务向公司提供的担保物公允价值情况"/>
            <w:tag w:val="_GBC_114b879bcbab4786ad2d059111240ad0"/>
            <w:id w:val="24723573"/>
            <w:lock w:val="sdtContentLocked"/>
            <w:placeholder>
              <w:docPart w:val="GBC22222222222222222222222222222"/>
            </w:placeholder>
          </w:sdtPr>
          <w:sdtContent>
            <w:p w:rsidR="00DE031E" w:rsidRDefault="00422DCA">
              <w:pPr>
                <w:rPr>
                  <w:bCs/>
                </w:rPr>
              </w:pPr>
              <w:r>
                <w:rPr>
                  <w:bCs/>
                </w:rPr>
                <w:fldChar w:fldCharType="begin"/>
              </w:r>
              <w:r w:rsidR="001C1A59">
                <w:rPr>
                  <w:bCs/>
                </w:rPr>
                <w:instrText xml:space="preserve"> MACROBUTTON  SnrToggleCheckbox √适用 </w:instrText>
              </w:r>
              <w:r>
                <w:rPr>
                  <w:bCs/>
                </w:rPr>
                <w:fldChar w:fldCharType="end"/>
              </w:r>
              <w:r>
                <w:rPr>
                  <w:bCs/>
                </w:rPr>
                <w:fldChar w:fldCharType="begin"/>
              </w:r>
              <w:r w:rsidR="001C1A59">
                <w:rPr>
                  <w:bCs/>
                </w:rPr>
                <w:instrText xml:space="preserve"> MACROBUTTON  SnrToggleCheckbox □不适用 </w:instrText>
              </w:r>
              <w:r>
                <w:rPr>
                  <w:bCs/>
                </w:rPr>
                <w:fldChar w:fldCharType="end"/>
              </w:r>
            </w:p>
          </w:sdtContent>
        </w:sdt>
        <w:p w:rsidR="00DE031E" w:rsidRDefault="001C1A59">
          <w:pPr>
            <w:jc w:val="right"/>
            <w:rPr>
              <w:bCs/>
              <w:color w:val="FF0000"/>
            </w:rPr>
          </w:pPr>
          <w:r>
            <w:rPr>
              <w:rFonts w:hint="eastAsia"/>
              <w:bCs/>
            </w:rPr>
            <w:t>单位：</w:t>
          </w:r>
          <w:sdt>
            <w:sdtPr>
              <w:rPr>
                <w:rFonts w:hint="eastAsia"/>
                <w:bCs/>
              </w:rPr>
              <w:alias w:val="单位：财务附注：客户因融资融券业务向公司提供的担保物公允价值情况"/>
              <w:tag w:val="_GBC_50939a37156d4e36b01802987e7a9863"/>
              <w:id w:val="247235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rPr>
                <w:t>元</w:t>
              </w:r>
            </w:sdtContent>
          </w:sdt>
          <w:r>
            <w:rPr>
              <w:rFonts w:hint="eastAsia"/>
              <w:bCs/>
            </w:rPr>
            <w:t xml:space="preserve">  币种：</w:t>
          </w:r>
          <w:sdt>
            <w:sdtPr>
              <w:rPr>
                <w:rFonts w:hint="eastAsia"/>
                <w:bCs/>
              </w:rPr>
              <w:alias w:val="币种：财务附注：客户因融资融券业务向公司提供的担保物公允价值情况"/>
              <w:tag w:val="_GBC_0267c340cd82427eadf27b21b0e9c4c9"/>
              <w:id w:val="24723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9"/>
            <w:gridCol w:w="3015"/>
            <w:gridCol w:w="3015"/>
          </w:tblGrid>
          <w:tr w:rsidR="00DE031E" w:rsidTr="00DE031E">
            <w:trPr>
              <w:trHeight w:val="347"/>
            </w:trPr>
            <w:tc>
              <w:tcPr>
                <w:tcW w:w="1668" w:type="pct"/>
                <w:shd w:val="clear" w:color="auto" w:fill="auto"/>
                <w:vAlign w:val="center"/>
              </w:tcPr>
              <w:p w:rsidR="00DE031E" w:rsidRDefault="001C1A59">
                <w:pPr>
                  <w:jc w:val="center"/>
                  <w:rPr>
                    <w:bCs/>
                  </w:rPr>
                </w:pPr>
                <w:r>
                  <w:rPr>
                    <w:bCs/>
                  </w:rPr>
                  <w:t>担保物类别</w:t>
                </w:r>
              </w:p>
            </w:tc>
            <w:tc>
              <w:tcPr>
                <w:tcW w:w="1666" w:type="pct"/>
                <w:shd w:val="clear" w:color="auto" w:fill="auto"/>
                <w:vAlign w:val="center"/>
              </w:tcPr>
              <w:p w:rsidR="00DE031E" w:rsidRDefault="001C1A59">
                <w:pPr>
                  <w:jc w:val="center"/>
                  <w:rPr>
                    <w:bCs/>
                  </w:rPr>
                </w:pPr>
                <w:r w:rsidRPr="00290F96">
                  <w:rPr>
                    <w:bCs/>
                  </w:rPr>
                  <w:t>期末公允价值</w:t>
                </w:r>
              </w:p>
            </w:tc>
            <w:tc>
              <w:tcPr>
                <w:tcW w:w="1666" w:type="pct"/>
                <w:shd w:val="clear" w:color="auto" w:fill="auto"/>
                <w:vAlign w:val="center"/>
              </w:tcPr>
              <w:p w:rsidR="00DE031E" w:rsidRDefault="001C1A59">
                <w:pPr>
                  <w:jc w:val="center"/>
                  <w:rPr>
                    <w:bCs/>
                  </w:rPr>
                </w:pPr>
                <w:r>
                  <w:rPr>
                    <w:rFonts w:hint="eastAsia"/>
                    <w:bCs/>
                  </w:rPr>
                  <w:t>期初</w:t>
                </w:r>
                <w:r>
                  <w:rPr>
                    <w:bCs/>
                  </w:rPr>
                  <w:t>公允价值</w:t>
                </w:r>
              </w:p>
            </w:tc>
          </w:tr>
          <w:tr w:rsidR="00DE031E" w:rsidTr="00DE031E">
            <w:trPr>
              <w:trHeight w:val="252"/>
            </w:trPr>
            <w:tc>
              <w:tcPr>
                <w:tcW w:w="1668" w:type="pct"/>
                <w:shd w:val="clear" w:color="auto" w:fill="auto"/>
              </w:tcPr>
              <w:p w:rsidR="00DE031E" w:rsidRDefault="001C1A59">
                <w:pPr>
                  <w:jc w:val="both"/>
                  <w:rPr>
                    <w:bCs/>
                  </w:rPr>
                </w:pPr>
                <w:r>
                  <w:rPr>
                    <w:bCs/>
                  </w:rPr>
                  <w:t>资金</w:t>
                </w:r>
              </w:p>
            </w:tc>
            <w:sdt>
              <w:sdtPr>
                <w:rPr>
                  <w:bCs/>
                  <w:color w:val="000000" w:themeColor="text1"/>
                </w:rPr>
                <w:alias w:val="客户因融资融券业务向公司提供的资金担保物的公允价值"/>
                <w:tag w:val="_GBC_139ec3ce17b3473d95158ade8a273eb9"/>
                <w:id w:val="24723576"/>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21,149,176,358.85</w:t>
                    </w:r>
                  </w:p>
                </w:tc>
              </w:sdtContent>
            </w:sdt>
            <w:sdt>
              <w:sdtPr>
                <w:rPr>
                  <w:bCs/>
                  <w:color w:val="000000" w:themeColor="text1"/>
                </w:rPr>
                <w:alias w:val="客户因融资融券业务向公司提供的资金担保物的公允价值"/>
                <w:tag w:val="_GBC_c22476ffd6c142cb985ef41bf4cc03c6"/>
                <w:id w:val="24723577"/>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7,044,122,574.21</w:t>
                    </w:r>
                  </w:p>
                </w:tc>
              </w:sdtContent>
            </w:sdt>
          </w:tr>
          <w:tr w:rsidR="00DE031E" w:rsidTr="00DE031E">
            <w:trPr>
              <w:trHeight w:val="211"/>
            </w:trPr>
            <w:tc>
              <w:tcPr>
                <w:tcW w:w="1668" w:type="pct"/>
                <w:shd w:val="clear" w:color="auto" w:fill="auto"/>
              </w:tcPr>
              <w:p w:rsidR="00DE031E" w:rsidRDefault="001C1A59">
                <w:pPr>
                  <w:jc w:val="both"/>
                  <w:rPr>
                    <w:bCs/>
                  </w:rPr>
                </w:pPr>
                <w:r>
                  <w:rPr>
                    <w:bCs/>
                  </w:rPr>
                  <w:t>债券</w:t>
                </w:r>
              </w:p>
            </w:tc>
            <w:sdt>
              <w:sdtPr>
                <w:rPr>
                  <w:color w:val="000000" w:themeColor="text1"/>
                </w:rPr>
                <w:alias w:val="客户因融资融券业务向公司提供的债券担保物的公允价值"/>
                <w:tag w:val="_GBC_62207eaeb6a7408ba2d196ff736af6bb"/>
                <w:id w:val="24723578"/>
                <w:lock w:val="sdtLocked"/>
              </w:sdtPr>
              <w:sdtContent>
                <w:tc>
                  <w:tcPr>
                    <w:tcW w:w="1666" w:type="pct"/>
                    <w:shd w:val="clear" w:color="auto" w:fill="auto"/>
                  </w:tcPr>
                  <w:p w:rsidR="00DE031E" w:rsidRDefault="001C1A59">
                    <w:pPr>
                      <w:jc w:val="right"/>
                      <w:rPr>
                        <w:color w:val="000000" w:themeColor="text1"/>
                      </w:rPr>
                    </w:pPr>
                    <w:r>
                      <w:rPr>
                        <w:color w:val="000000" w:themeColor="text1"/>
                      </w:rPr>
                      <w:t>27,259,719.44</w:t>
                    </w:r>
                  </w:p>
                </w:tc>
              </w:sdtContent>
            </w:sdt>
            <w:sdt>
              <w:sdtPr>
                <w:rPr>
                  <w:color w:val="000000" w:themeColor="text1"/>
                </w:rPr>
                <w:alias w:val="客户因融资融券业务向公司提供的债券担保物的公允价值"/>
                <w:tag w:val="_GBC_2977ee385c324f1282b1388e8da38c5f"/>
                <w:id w:val="24723579"/>
                <w:lock w:val="sdtLocked"/>
              </w:sdtPr>
              <w:sdtContent>
                <w:tc>
                  <w:tcPr>
                    <w:tcW w:w="1666" w:type="pct"/>
                    <w:shd w:val="clear" w:color="auto" w:fill="auto"/>
                  </w:tcPr>
                  <w:p w:rsidR="00DE031E" w:rsidRDefault="001C1A59">
                    <w:pPr>
                      <w:jc w:val="right"/>
                      <w:rPr>
                        <w:color w:val="000000" w:themeColor="text1"/>
                      </w:rPr>
                    </w:pPr>
                    <w:r>
                      <w:rPr>
                        <w:color w:val="000000" w:themeColor="text1"/>
                      </w:rPr>
                      <w:t>46,002,979.02</w:t>
                    </w:r>
                  </w:p>
                </w:tc>
              </w:sdtContent>
            </w:sdt>
          </w:tr>
          <w:tr w:rsidR="00DE031E" w:rsidTr="00DE031E">
            <w:trPr>
              <w:trHeight w:val="211"/>
            </w:trPr>
            <w:tc>
              <w:tcPr>
                <w:tcW w:w="1668" w:type="pct"/>
                <w:shd w:val="clear" w:color="auto" w:fill="auto"/>
              </w:tcPr>
              <w:p w:rsidR="00DE031E" w:rsidRDefault="001C1A59">
                <w:pPr>
                  <w:jc w:val="both"/>
                  <w:rPr>
                    <w:bCs/>
                  </w:rPr>
                </w:pPr>
                <w:r>
                  <w:rPr>
                    <w:bCs/>
                  </w:rPr>
                  <w:t>股票</w:t>
                </w:r>
              </w:p>
            </w:tc>
            <w:sdt>
              <w:sdtPr>
                <w:rPr>
                  <w:color w:val="000000" w:themeColor="text1"/>
                </w:rPr>
                <w:alias w:val="客户因融资融券业务向公司提供的股票担保物的公允价值"/>
                <w:tag w:val="_GBC_dec8264629b74867815433cd0ba5da9c"/>
                <w:id w:val="24723580"/>
                <w:lock w:val="sdtLocked"/>
              </w:sdtPr>
              <w:sdtContent>
                <w:tc>
                  <w:tcPr>
                    <w:tcW w:w="1666" w:type="pct"/>
                    <w:shd w:val="clear" w:color="auto" w:fill="auto"/>
                  </w:tcPr>
                  <w:p w:rsidR="00DE031E" w:rsidRDefault="001C1A59">
                    <w:pPr>
                      <w:jc w:val="right"/>
                      <w:rPr>
                        <w:color w:val="000000" w:themeColor="text1"/>
                      </w:rPr>
                    </w:pPr>
                    <w:r>
                      <w:rPr>
                        <w:color w:val="000000" w:themeColor="text1"/>
                      </w:rPr>
                      <w:t>301,780,500,496.18</w:t>
                    </w:r>
                  </w:p>
                </w:tc>
              </w:sdtContent>
            </w:sdt>
            <w:sdt>
              <w:sdtPr>
                <w:rPr>
                  <w:color w:val="000000" w:themeColor="text1"/>
                </w:rPr>
                <w:alias w:val="客户因融资融券业务向公司提供的股票担保物的公允价值"/>
                <w:tag w:val="_GBC_706c083cacc04a9dacce98f4dce37507"/>
                <w:id w:val="24723581"/>
                <w:lock w:val="sdtLocked"/>
              </w:sdtPr>
              <w:sdtContent>
                <w:tc>
                  <w:tcPr>
                    <w:tcW w:w="1666" w:type="pct"/>
                    <w:shd w:val="clear" w:color="auto" w:fill="auto"/>
                  </w:tcPr>
                  <w:p w:rsidR="00DE031E" w:rsidRDefault="001C1A59">
                    <w:pPr>
                      <w:jc w:val="right"/>
                      <w:rPr>
                        <w:color w:val="000000" w:themeColor="text1"/>
                      </w:rPr>
                    </w:pPr>
                    <w:r>
                      <w:rPr>
                        <w:color w:val="000000" w:themeColor="text1"/>
                      </w:rPr>
                      <w:t>147,214,051,328.66</w:t>
                    </w:r>
                  </w:p>
                </w:tc>
              </w:sdtContent>
            </w:sdt>
          </w:tr>
          <w:sdt>
            <w:sdtPr>
              <w:rPr>
                <w:rFonts w:hint="eastAsia"/>
                <w:bCs/>
                <w:szCs w:val="21"/>
              </w:rPr>
              <w:alias w:val="客户因融资融券业务向公司提供的其他担保物的公允价值明细"/>
              <w:tag w:val="_GBC_9b255a399bcb4337aa193ca60f06c405"/>
              <w:id w:val="24723585"/>
              <w:lock w:val="sdtLocked"/>
            </w:sdtPr>
            <w:sdtEndPr>
              <w:rPr>
                <w:bCs w:val="0"/>
                <w:color w:val="000000" w:themeColor="text1"/>
              </w:rPr>
            </w:sdtEndPr>
            <w:sdtContent>
              <w:tr w:rsidR="00DE031E" w:rsidTr="00DE031E">
                <w:trPr>
                  <w:trHeight w:val="211"/>
                </w:trPr>
                <w:tc>
                  <w:tcPr>
                    <w:tcW w:w="1668" w:type="pct"/>
                    <w:shd w:val="clear" w:color="auto" w:fill="auto"/>
                  </w:tcPr>
                  <w:sdt>
                    <w:sdtPr>
                      <w:rPr>
                        <w:rFonts w:hint="eastAsia"/>
                        <w:bCs/>
                      </w:rPr>
                      <w:alias w:val="客户因融资融券业务向公司提供的其他担保物的公允价值明细-项目"/>
                      <w:tag w:val="_GBC_dfdb256943634a628eebb0d42d537389"/>
                      <w:id w:val="24723582"/>
                      <w:lock w:val="sdtLocked"/>
                    </w:sdtPr>
                    <w:sdtContent>
                      <w:p w:rsidR="00DE031E" w:rsidRDefault="001C1A59" w:rsidP="00DE031E">
                        <w:pPr>
                          <w:rPr>
                            <w:bCs/>
                          </w:rPr>
                        </w:pPr>
                        <w:r>
                          <w:rPr>
                            <w:rFonts w:hint="eastAsia"/>
                            <w:bCs/>
                          </w:rPr>
                          <w:t>基金</w:t>
                        </w:r>
                      </w:p>
                    </w:sdtContent>
                  </w:sdt>
                </w:tc>
                <w:sdt>
                  <w:sdtPr>
                    <w:rPr>
                      <w:bCs/>
                      <w:color w:val="000000" w:themeColor="text1"/>
                    </w:rPr>
                    <w:alias w:val="客户因融资融券业务向公司提供的其他担保物的公允价值明细-公允价值"/>
                    <w:tag w:val="_GBC_608da4ec3efb4b888bc0b464b7983b55"/>
                    <w:id w:val="24723583"/>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3,750,676,119.32</w:t>
                        </w:r>
                      </w:p>
                    </w:tc>
                  </w:sdtContent>
                </w:sdt>
                <w:sdt>
                  <w:sdtPr>
                    <w:rPr>
                      <w:bCs/>
                      <w:color w:val="000000" w:themeColor="text1"/>
                    </w:rPr>
                    <w:alias w:val="客户因融资融券业务向公司提供的其他担保物的公允价值明细-公允价值"/>
                    <w:tag w:val="_GBC_592a3ef6259a49e9b9c4f4586076c03e"/>
                    <w:id w:val="24723584"/>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1,919,768,264.98</w:t>
                        </w:r>
                      </w:p>
                    </w:tc>
                  </w:sdtContent>
                </w:sdt>
              </w:tr>
            </w:sdtContent>
          </w:sdt>
          <w:tr w:rsidR="00DE031E" w:rsidTr="00DE031E">
            <w:trPr>
              <w:trHeight w:val="211"/>
            </w:trPr>
            <w:tc>
              <w:tcPr>
                <w:tcW w:w="1668" w:type="pct"/>
                <w:shd w:val="clear" w:color="auto" w:fill="auto"/>
              </w:tcPr>
              <w:p w:rsidR="00DE031E" w:rsidRDefault="001C1A59">
                <w:pPr>
                  <w:jc w:val="center"/>
                  <w:rPr>
                    <w:bCs/>
                  </w:rPr>
                </w:pPr>
                <w:r>
                  <w:rPr>
                    <w:bCs/>
                  </w:rPr>
                  <w:t>合计</w:t>
                </w:r>
              </w:p>
            </w:tc>
            <w:sdt>
              <w:sdtPr>
                <w:rPr>
                  <w:bCs/>
                  <w:color w:val="000000" w:themeColor="text1"/>
                </w:rPr>
                <w:alias w:val="客户因融资融券业务向公司提供的担保物的公允价值"/>
                <w:tag w:val="_GBC_01477be60b7744bd95dddcbce6a15321"/>
                <w:id w:val="24723586"/>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326,707,612,693.79</w:t>
                    </w:r>
                  </w:p>
                </w:tc>
              </w:sdtContent>
            </w:sdt>
            <w:sdt>
              <w:sdtPr>
                <w:rPr>
                  <w:bCs/>
                  <w:color w:val="000000" w:themeColor="text1"/>
                </w:rPr>
                <w:alias w:val="客户因融资融券业务向公司提供的担保物的公允价值"/>
                <w:tag w:val="_GBC_e12504e8127b407b8009e7ae9dd1e439"/>
                <w:id w:val="24723587"/>
                <w:lock w:val="sdtLocked"/>
              </w:sdtPr>
              <w:sdtContent>
                <w:tc>
                  <w:tcPr>
                    <w:tcW w:w="1666" w:type="pct"/>
                    <w:shd w:val="clear" w:color="auto" w:fill="auto"/>
                  </w:tcPr>
                  <w:p w:rsidR="00DE031E" w:rsidRDefault="001C1A59">
                    <w:pPr>
                      <w:jc w:val="right"/>
                      <w:rPr>
                        <w:bCs/>
                        <w:color w:val="000000" w:themeColor="text1"/>
                      </w:rPr>
                    </w:pPr>
                    <w:r>
                      <w:rPr>
                        <w:bCs/>
                        <w:color w:val="000000" w:themeColor="text1"/>
                      </w:rPr>
                      <w:t>156,223,945,146.87</w:t>
                    </w:r>
                  </w:p>
                </w:tc>
              </w:sdtContent>
            </w:sdt>
          </w:tr>
        </w:tbl>
      </w:sdtContent>
    </w:sdt>
    <w:p w:rsidR="00DE031E" w:rsidRDefault="00DE031E"/>
    <w:sdt>
      <w:sdtPr>
        <w:rPr>
          <w:rFonts w:hint="eastAsia"/>
          <w:vanish/>
        </w:rPr>
        <w:tag w:val="_GBC_9bea3b4870364111888ee669841fa594"/>
        <w:id w:val="24723590"/>
        <w:lock w:val="sdtLocked"/>
        <w:placeholder>
          <w:docPart w:val="GBC22222222222222222222222222222"/>
        </w:placeholder>
      </w:sdtPr>
      <w:sdtEndPr>
        <w:rPr>
          <w:vanish w:val="0"/>
        </w:rPr>
      </w:sdtEndPr>
      <w:sdtContent>
        <w:sdt>
          <w:sdtPr>
            <w:rPr>
              <w:color w:val="000000" w:themeColor="text1"/>
            </w:rPr>
            <w:alias w:val="融出资金的说明"/>
            <w:tag w:val="_GBC_9106a8421eba45dfa8ea27961d5984c8"/>
            <w:id w:val="24723589"/>
            <w:lock w:val="sdtLocked"/>
            <w:placeholder>
              <w:docPart w:val="GBC22222222222222222222222222222"/>
            </w:placeholder>
          </w:sdtPr>
          <w:sdtContent>
            <w:p w:rsidR="00DE031E" w:rsidRDefault="001C1A59">
              <w:pPr>
                <w:tabs>
                  <w:tab w:val="left" w:pos="3420"/>
                </w:tabs>
                <w:rPr>
                  <w:color w:val="000000" w:themeColor="text1"/>
                </w:rPr>
              </w:pPr>
              <w:r>
                <w:rPr>
                  <w:rFonts w:hint="eastAsia"/>
                  <w:color w:val="000000" w:themeColor="text1"/>
                </w:rPr>
                <w:t>1)按账龄列示</w:t>
              </w:r>
            </w:p>
            <w:tbl>
              <w:tblPr>
                <w:tblW w:w="5000" w:type="pct"/>
                <w:tblLook w:val="04A0"/>
              </w:tblPr>
              <w:tblGrid>
                <w:gridCol w:w="2227"/>
                <w:gridCol w:w="1905"/>
                <w:gridCol w:w="1818"/>
                <w:gridCol w:w="1073"/>
                <w:gridCol w:w="62"/>
                <w:gridCol w:w="1003"/>
                <w:gridCol w:w="961"/>
              </w:tblGrid>
              <w:tr w:rsidR="00DE031E" w:rsidRPr="00F040B1" w:rsidTr="00DE031E">
                <w:trPr>
                  <w:trHeight w:val="340"/>
                  <w:tblHeader/>
                </w:trPr>
                <w:tc>
                  <w:tcPr>
                    <w:tcW w:w="1236" w:type="pct"/>
                    <w:vMerge w:val="restart"/>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项目</w:t>
                    </w:r>
                  </w:p>
                </w:tc>
                <w:tc>
                  <w:tcPr>
                    <w:tcW w:w="1058" w:type="pct"/>
                    <w:tcMar>
                      <w:left w:w="28" w:type="dxa"/>
                      <w:right w:w="28" w:type="dxa"/>
                    </w:tcMar>
                    <w:vAlign w:val="bottom"/>
                  </w:tcPr>
                  <w:p w:rsidR="00DE031E" w:rsidRPr="00F040B1" w:rsidRDefault="00DE031E" w:rsidP="00DE031E">
                    <w:pPr>
                      <w:jc w:val="center"/>
                      <w:rPr>
                        <w:rFonts w:ascii="Arial" w:hAnsi="Arial" w:cs="Arial"/>
                        <w:b/>
                        <w:bCs/>
                        <w:sz w:val="18"/>
                        <w:szCs w:val="18"/>
                      </w:rPr>
                    </w:pPr>
                  </w:p>
                </w:tc>
                <w:tc>
                  <w:tcPr>
                    <w:tcW w:w="2706" w:type="pct"/>
                    <w:gridSpan w:val="5"/>
                    <w:tcBorders>
                      <w:bottom w:val="single" w:sz="4" w:space="0" w:color="auto"/>
                    </w:tcBorders>
                    <w:shd w:val="clear" w:color="auto" w:fill="auto"/>
                    <w:vAlign w:val="center"/>
                    <w:hideMark/>
                  </w:tcPr>
                  <w:p w:rsidR="00DE031E" w:rsidRPr="00F040B1" w:rsidRDefault="001C1A59" w:rsidP="00DE031E">
                    <w:pPr>
                      <w:jc w:val="center"/>
                      <w:rPr>
                        <w:rFonts w:ascii="Arial" w:hAnsi="Arial" w:cs="Arial"/>
                        <w:b/>
                        <w:bCs/>
                        <w:sz w:val="18"/>
                        <w:szCs w:val="18"/>
                      </w:rPr>
                    </w:pPr>
                    <w:r w:rsidRPr="00F040B1">
                      <w:rPr>
                        <w:rFonts w:ascii="Arial" w:hAnsi="Arial" w:cs="Arial" w:hint="eastAsia"/>
                        <w:b/>
                        <w:bCs/>
                        <w:sz w:val="18"/>
                        <w:szCs w:val="18"/>
                      </w:rPr>
                      <w:t>2015</w:t>
                    </w:r>
                    <w:r w:rsidRPr="00F040B1">
                      <w:rPr>
                        <w:rFonts w:ascii="Arial" w:hAnsi="Arial" w:cs="Arial" w:hint="eastAsia"/>
                        <w:b/>
                        <w:bCs/>
                        <w:sz w:val="18"/>
                        <w:szCs w:val="18"/>
                      </w:rPr>
                      <w:t>年</w:t>
                    </w:r>
                    <w:r w:rsidRPr="00F040B1">
                      <w:rPr>
                        <w:rFonts w:ascii="Arial" w:hAnsi="Arial" w:cs="Arial" w:hint="eastAsia"/>
                        <w:b/>
                        <w:bCs/>
                        <w:sz w:val="18"/>
                        <w:szCs w:val="18"/>
                      </w:rPr>
                      <w:t>6</w:t>
                    </w:r>
                    <w:r w:rsidRPr="00F040B1">
                      <w:rPr>
                        <w:rFonts w:ascii="Arial" w:hAnsi="Arial" w:cs="Arial" w:hint="eastAsia"/>
                        <w:b/>
                        <w:bCs/>
                        <w:sz w:val="18"/>
                        <w:szCs w:val="18"/>
                      </w:rPr>
                      <w:t>月</w:t>
                    </w:r>
                    <w:r w:rsidRPr="00F040B1">
                      <w:rPr>
                        <w:rFonts w:ascii="Arial" w:hAnsi="Arial" w:cs="Arial" w:hint="eastAsia"/>
                        <w:b/>
                        <w:bCs/>
                        <w:sz w:val="18"/>
                        <w:szCs w:val="18"/>
                      </w:rPr>
                      <w:t>30</w:t>
                    </w:r>
                    <w:r w:rsidRPr="00F040B1">
                      <w:rPr>
                        <w:rFonts w:ascii="Arial" w:hAnsi="Arial" w:cs="Arial" w:hint="eastAsia"/>
                        <w:b/>
                        <w:bCs/>
                        <w:sz w:val="18"/>
                        <w:szCs w:val="18"/>
                      </w:rPr>
                      <w:t>日</w:t>
                    </w:r>
                  </w:p>
                </w:tc>
              </w:tr>
              <w:tr w:rsidR="00DE031E" w:rsidRPr="00F040B1" w:rsidTr="00DE031E">
                <w:trPr>
                  <w:trHeight w:val="340"/>
                  <w:tblHeader/>
                </w:trPr>
                <w:tc>
                  <w:tcPr>
                    <w:tcW w:w="1236" w:type="pct"/>
                    <w:vMerge/>
                    <w:vAlign w:val="center"/>
                    <w:hideMark/>
                  </w:tcPr>
                  <w:p w:rsidR="00DE031E" w:rsidRPr="00F040B1" w:rsidRDefault="00DE031E" w:rsidP="00DE031E">
                    <w:pPr>
                      <w:ind w:rightChars="-32" w:right="-67"/>
                      <w:rPr>
                        <w:rFonts w:ascii="Arial" w:hAnsi="Arial" w:cs="Arial"/>
                        <w:b/>
                        <w:bCs/>
                        <w:sz w:val="18"/>
                        <w:szCs w:val="18"/>
                      </w:rPr>
                    </w:pPr>
                  </w:p>
                </w:tc>
                <w:tc>
                  <w:tcPr>
                    <w:tcW w:w="1058" w:type="pct"/>
                    <w:tcMar>
                      <w:left w:w="28" w:type="dxa"/>
                      <w:right w:w="28" w:type="dxa"/>
                    </w:tcMar>
                  </w:tcPr>
                  <w:p w:rsidR="00DE031E" w:rsidRPr="00F040B1" w:rsidRDefault="00DE031E" w:rsidP="00DE031E">
                    <w:pPr>
                      <w:jc w:val="center"/>
                      <w:rPr>
                        <w:rFonts w:ascii="Arial" w:hAnsi="Arial" w:cs="Arial"/>
                        <w:b/>
                        <w:bCs/>
                        <w:sz w:val="18"/>
                        <w:szCs w:val="18"/>
                      </w:rPr>
                    </w:pPr>
                  </w:p>
                </w:tc>
                <w:tc>
                  <w:tcPr>
                    <w:tcW w:w="1577" w:type="pct"/>
                    <w:gridSpan w:val="2"/>
                    <w:tcBorders>
                      <w:top w:val="single" w:sz="4" w:space="0" w:color="auto"/>
                    </w:tcBorders>
                    <w:shd w:val="clear" w:color="auto" w:fill="auto"/>
                    <w:vAlign w:val="center"/>
                    <w:hideMark/>
                  </w:tcPr>
                  <w:p w:rsidR="00DE031E" w:rsidRPr="00F040B1" w:rsidRDefault="001C1A59" w:rsidP="00DE031E">
                    <w:pPr>
                      <w:jc w:val="center"/>
                      <w:rPr>
                        <w:rFonts w:ascii="Arial" w:hAnsi="Arial" w:cs="Arial"/>
                        <w:b/>
                        <w:bCs/>
                        <w:sz w:val="18"/>
                        <w:szCs w:val="18"/>
                      </w:rPr>
                    </w:pPr>
                    <w:r w:rsidRPr="00F040B1">
                      <w:rPr>
                        <w:rFonts w:ascii="Arial" w:hAnsi="Arial" w:cs="Arial"/>
                        <w:b/>
                        <w:bCs/>
                        <w:sz w:val="18"/>
                        <w:szCs w:val="18"/>
                      </w:rPr>
                      <w:t>账面余额</w:t>
                    </w:r>
                  </w:p>
                </w:tc>
                <w:tc>
                  <w:tcPr>
                    <w:tcW w:w="34" w:type="pct"/>
                    <w:tcBorders>
                      <w:top w:val="single" w:sz="4" w:space="0" w:color="auto"/>
                    </w:tcBorders>
                    <w:shd w:val="clear" w:color="auto" w:fill="auto"/>
                    <w:tcMar>
                      <w:left w:w="28" w:type="dxa"/>
                      <w:right w:w="28" w:type="dxa"/>
                    </w:tcMar>
                    <w:vAlign w:val="center"/>
                    <w:hideMark/>
                  </w:tcPr>
                  <w:p w:rsidR="00DE031E" w:rsidRPr="00F040B1" w:rsidRDefault="00DE031E" w:rsidP="00DE031E">
                    <w:pPr>
                      <w:jc w:val="center"/>
                      <w:rPr>
                        <w:rFonts w:ascii="Arial" w:hAnsi="Arial" w:cs="Arial"/>
                        <w:b/>
                        <w:bCs/>
                        <w:sz w:val="18"/>
                        <w:szCs w:val="18"/>
                      </w:rPr>
                    </w:pPr>
                  </w:p>
                </w:tc>
                <w:tc>
                  <w:tcPr>
                    <w:tcW w:w="1095" w:type="pct"/>
                    <w:gridSpan w:val="2"/>
                    <w:tcBorders>
                      <w:top w:val="single" w:sz="4" w:space="0" w:color="auto"/>
                    </w:tcBorders>
                    <w:shd w:val="clear" w:color="auto" w:fill="auto"/>
                    <w:vAlign w:val="center"/>
                    <w:hideMark/>
                  </w:tcPr>
                  <w:p w:rsidR="00DE031E" w:rsidRPr="00F040B1" w:rsidRDefault="001C1A59" w:rsidP="00DE031E">
                    <w:pPr>
                      <w:jc w:val="center"/>
                      <w:rPr>
                        <w:rFonts w:ascii="Arial" w:hAnsi="Arial" w:cs="Arial"/>
                        <w:b/>
                        <w:bCs/>
                        <w:sz w:val="18"/>
                        <w:szCs w:val="18"/>
                      </w:rPr>
                    </w:pPr>
                    <w:r w:rsidRPr="00F040B1">
                      <w:rPr>
                        <w:rFonts w:ascii="Arial" w:hAnsi="Arial" w:cs="Arial"/>
                        <w:b/>
                        <w:bCs/>
                        <w:sz w:val="18"/>
                        <w:szCs w:val="18"/>
                      </w:rPr>
                      <w:t>坏账准备</w:t>
                    </w:r>
                  </w:p>
                </w:tc>
              </w:tr>
              <w:tr w:rsidR="00DE031E" w:rsidRPr="00F040B1" w:rsidTr="00DE031E">
                <w:trPr>
                  <w:trHeight w:val="340"/>
                  <w:tblHeader/>
                </w:trPr>
                <w:tc>
                  <w:tcPr>
                    <w:tcW w:w="1236" w:type="pct"/>
                    <w:vMerge/>
                    <w:shd w:val="clear" w:color="auto" w:fill="auto"/>
                    <w:noWrap/>
                    <w:vAlign w:val="center"/>
                    <w:hideMark/>
                  </w:tcPr>
                  <w:p w:rsidR="00DE031E" w:rsidRPr="00F040B1" w:rsidRDefault="00DE031E" w:rsidP="00DE031E">
                    <w:pPr>
                      <w:ind w:rightChars="-32" w:right="-67"/>
                      <w:rPr>
                        <w:rFonts w:ascii="Arial" w:hAnsi="Arial" w:cs="Arial"/>
                        <w:b/>
                        <w:bCs/>
                        <w:sz w:val="18"/>
                        <w:szCs w:val="18"/>
                      </w:rPr>
                    </w:pPr>
                  </w:p>
                </w:tc>
                <w:tc>
                  <w:tcPr>
                    <w:tcW w:w="1058" w:type="pct"/>
                    <w:tcMar>
                      <w:left w:w="28" w:type="dxa"/>
                      <w:right w:w="28" w:type="dxa"/>
                    </w:tcMar>
                    <w:vAlign w:val="center"/>
                  </w:tcPr>
                  <w:p w:rsidR="00DE031E" w:rsidRPr="00F040B1" w:rsidRDefault="00DE031E" w:rsidP="00DE031E">
                    <w:pPr>
                      <w:ind w:leftChars="-50" w:left="-105" w:rightChars="-30" w:right="-63"/>
                      <w:jc w:val="center"/>
                      <w:rPr>
                        <w:rFonts w:ascii="Arial" w:hAnsi="Arial" w:cs="Arial"/>
                        <w:b/>
                        <w:sz w:val="18"/>
                        <w:szCs w:val="18"/>
                      </w:rPr>
                    </w:pPr>
                  </w:p>
                </w:tc>
                <w:tc>
                  <w:tcPr>
                    <w:tcW w:w="979" w:type="pct"/>
                    <w:shd w:val="clear" w:color="auto" w:fill="auto"/>
                    <w:vAlign w:val="center"/>
                    <w:hideMark/>
                  </w:tcPr>
                  <w:p w:rsidR="00DE031E" w:rsidRPr="00F040B1" w:rsidRDefault="001C1A59" w:rsidP="00DE031E">
                    <w:pPr>
                      <w:ind w:leftChars="-50" w:left="-105" w:rightChars="-30" w:right="-63"/>
                      <w:jc w:val="center"/>
                      <w:rPr>
                        <w:rFonts w:ascii="Arial" w:hAnsi="Arial" w:cs="Arial"/>
                        <w:b/>
                        <w:bCs/>
                        <w:sz w:val="18"/>
                        <w:szCs w:val="18"/>
                      </w:rPr>
                    </w:pPr>
                    <w:r w:rsidRPr="00F040B1">
                      <w:rPr>
                        <w:rFonts w:ascii="Arial" w:hAnsi="Arial" w:cs="Arial"/>
                        <w:b/>
                        <w:sz w:val="18"/>
                        <w:szCs w:val="18"/>
                      </w:rPr>
                      <w:t>金额</w:t>
                    </w:r>
                  </w:p>
                </w:tc>
                <w:tc>
                  <w:tcPr>
                    <w:tcW w:w="598" w:type="pct"/>
                    <w:shd w:val="clear" w:color="auto" w:fill="auto"/>
                    <w:vAlign w:val="center"/>
                  </w:tcPr>
                  <w:p w:rsidR="00DE031E" w:rsidRPr="00F040B1" w:rsidRDefault="001C1A59" w:rsidP="00DE031E">
                    <w:pPr>
                      <w:ind w:leftChars="-50" w:left="-105" w:rightChars="-30" w:right="-63"/>
                      <w:jc w:val="center"/>
                      <w:rPr>
                        <w:rFonts w:ascii="Arial" w:hAnsi="Arial" w:cs="Arial"/>
                        <w:b/>
                        <w:bCs/>
                        <w:sz w:val="18"/>
                        <w:szCs w:val="18"/>
                      </w:rPr>
                    </w:pPr>
                    <w:r w:rsidRPr="00F040B1">
                      <w:rPr>
                        <w:rFonts w:ascii="Arial" w:hAnsi="Arial" w:cs="Arial"/>
                        <w:b/>
                        <w:sz w:val="18"/>
                        <w:szCs w:val="18"/>
                      </w:rPr>
                      <w:t>比例</w:t>
                    </w:r>
                  </w:p>
                </w:tc>
                <w:tc>
                  <w:tcPr>
                    <w:tcW w:w="34" w:type="pct"/>
                    <w:shd w:val="clear" w:color="auto" w:fill="auto"/>
                    <w:tcMar>
                      <w:left w:w="28" w:type="dxa"/>
                      <w:right w:w="28" w:type="dxa"/>
                    </w:tcMar>
                    <w:vAlign w:val="center"/>
                    <w:hideMark/>
                  </w:tcPr>
                  <w:p w:rsidR="00DE031E" w:rsidRPr="00F040B1" w:rsidRDefault="00DE031E" w:rsidP="00DE031E">
                    <w:pPr>
                      <w:ind w:leftChars="-50" w:left="-105" w:rightChars="-30" w:right="-63"/>
                      <w:jc w:val="center"/>
                      <w:rPr>
                        <w:rFonts w:ascii="Arial" w:hAnsi="Arial" w:cs="Arial"/>
                        <w:b/>
                        <w:sz w:val="18"/>
                        <w:szCs w:val="18"/>
                      </w:rPr>
                    </w:pPr>
                  </w:p>
                </w:tc>
                <w:tc>
                  <w:tcPr>
                    <w:tcW w:w="559" w:type="pct"/>
                    <w:shd w:val="clear" w:color="auto" w:fill="auto"/>
                    <w:vAlign w:val="center"/>
                    <w:hideMark/>
                  </w:tcPr>
                  <w:p w:rsidR="00DE031E" w:rsidRPr="00F040B1" w:rsidRDefault="001C1A59" w:rsidP="00DE031E">
                    <w:pPr>
                      <w:ind w:leftChars="-50" w:left="-105" w:rightChars="-30" w:right="-63"/>
                      <w:jc w:val="center"/>
                      <w:rPr>
                        <w:rFonts w:ascii="Arial" w:hAnsi="Arial" w:cs="Arial"/>
                        <w:b/>
                        <w:sz w:val="18"/>
                        <w:szCs w:val="18"/>
                      </w:rPr>
                    </w:pPr>
                    <w:r w:rsidRPr="00F040B1">
                      <w:rPr>
                        <w:rFonts w:ascii="Arial" w:hAnsi="Arial" w:cs="Arial"/>
                        <w:b/>
                        <w:sz w:val="18"/>
                        <w:szCs w:val="18"/>
                      </w:rPr>
                      <w:t>金额</w:t>
                    </w:r>
                  </w:p>
                </w:tc>
                <w:tc>
                  <w:tcPr>
                    <w:tcW w:w="536" w:type="pct"/>
                    <w:shd w:val="clear" w:color="auto" w:fill="auto"/>
                    <w:vAlign w:val="center"/>
                  </w:tcPr>
                  <w:p w:rsidR="00DE031E" w:rsidRPr="00F040B1" w:rsidRDefault="001C1A59" w:rsidP="00DE031E">
                    <w:pPr>
                      <w:ind w:leftChars="-50" w:left="-105" w:rightChars="-30" w:right="-63"/>
                      <w:jc w:val="center"/>
                      <w:rPr>
                        <w:rFonts w:ascii="Arial" w:hAnsi="Arial" w:cs="Arial"/>
                        <w:b/>
                        <w:sz w:val="18"/>
                        <w:szCs w:val="18"/>
                      </w:rPr>
                    </w:pPr>
                    <w:r w:rsidRPr="00F040B1">
                      <w:rPr>
                        <w:rFonts w:ascii="Arial" w:hAnsi="Arial" w:cs="Arial"/>
                        <w:b/>
                        <w:sz w:val="18"/>
                        <w:szCs w:val="18"/>
                      </w:rPr>
                      <w:t>比例</w:t>
                    </w:r>
                  </w:p>
                </w:tc>
              </w:tr>
              <w:tr w:rsidR="00DE031E" w:rsidRPr="00F040B1" w:rsidTr="00DE031E">
                <w:trPr>
                  <w:trHeight w:val="340"/>
                </w:trPr>
                <w:tc>
                  <w:tcPr>
                    <w:tcW w:w="1236" w:type="pct"/>
                    <w:shd w:val="clear" w:color="auto" w:fill="auto"/>
                    <w:noWrap/>
                    <w:vAlign w:val="center"/>
                    <w:hideMark/>
                  </w:tcPr>
                  <w:p w:rsidR="00DE031E" w:rsidRPr="00F040B1" w:rsidRDefault="001C1A59" w:rsidP="00DE031E">
                    <w:pPr>
                      <w:spacing w:line="240" w:lineRule="exact"/>
                      <w:ind w:rightChars="-32" w:right="-67"/>
                      <w:rPr>
                        <w:rFonts w:ascii="Arial" w:hAnsi="Arial" w:cs="Arial"/>
                        <w:b/>
                        <w:bCs/>
                        <w:sz w:val="18"/>
                        <w:szCs w:val="18"/>
                      </w:rPr>
                    </w:pPr>
                    <w:r w:rsidRPr="00F040B1">
                      <w:rPr>
                        <w:rFonts w:ascii="Arial" w:hAnsi="Arial" w:cs="Arial"/>
                        <w:b/>
                        <w:bCs/>
                        <w:sz w:val="18"/>
                        <w:szCs w:val="18"/>
                      </w:rPr>
                      <w:t>融资融券业务融出资金</w:t>
                    </w:r>
                  </w:p>
                </w:tc>
                <w:tc>
                  <w:tcPr>
                    <w:tcW w:w="1058" w:type="pct"/>
                    <w:tcMar>
                      <w:left w:w="28" w:type="dxa"/>
                      <w:right w:w="28" w:type="dxa"/>
                    </w:tcMar>
                    <w:vAlign w:val="center"/>
                  </w:tcPr>
                  <w:p w:rsidR="00DE031E" w:rsidRPr="00F040B1" w:rsidRDefault="00DE031E" w:rsidP="00DE031E">
                    <w:pPr>
                      <w:spacing w:line="240" w:lineRule="atLeast"/>
                      <w:ind w:leftChars="-50" w:left="-105"/>
                      <w:jc w:val="right"/>
                      <w:rPr>
                        <w:rFonts w:ascii="Arial" w:hAnsi="Arial" w:cs="Arial"/>
                        <w:b/>
                        <w:sz w:val="18"/>
                        <w:szCs w:val="18"/>
                      </w:rPr>
                    </w:pPr>
                  </w:p>
                </w:tc>
                <w:tc>
                  <w:tcPr>
                    <w:tcW w:w="979" w:type="pct"/>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112,177,470,744.80</w:t>
                    </w:r>
                  </w:p>
                </w:tc>
                <w:tc>
                  <w:tcPr>
                    <w:tcW w:w="598" w:type="pct"/>
                    <w:shd w:val="clear" w:color="auto" w:fill="auto"/>
                    <w:vAlign w:val="center"/>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97.69%</w:t>
                    </w:r>
                  </w:p>
                </w:tc>
                <w:tc>
                  <w:tcPr>
                    <w:tcW w:w="34" w:type="pct"/>
                    <w:shd w:val="clear" w:color="auto" w:fill="auto"/>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559" w:type="pct"/>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shd w:val="clear" w:color="auto" w:fill="auto"/>
                    <w:vAlign w:val="center"/>
                  </w:tcPr>
                  <w:p w:rsidR="00DE031E" w:rsidRPr="00F040B1" w:rsidRDefault="00DE031E" w:rsidP="00DE031E">
                    <w:pPr>
                      <w:jc w:val="right"/>
                      <w:rPr>
                        <w:rFonts w:ascii="Arial" w:hAnsi="Arial" w:cs="Arial"/>
                        <w:b/>
                        <w:bCs/>
                        <w:color w:val="000000"/>
                        <w:sz w:val="18"/>
                        <w:szCs w:val="18"/>
                      </w:rPr>
                    </w:pPr>
                  </w:p>
                </w:tc>
              </w:tr>
              <w:tr w:rsidR="00DE031E" w:rsidRPr="00F040B1" w:rsidTr="00DE031E">
                <w:trPr>
                  <w:trHeight w:val="340"/>
                </w:trPr>
                <w:tc>
                  <w:tcPr>
                    <w:tcW w:w="1236" w:type="pct"/>
                    <w:shd w:val="clear" w:color="auto" w:fill="auto"/>
                    <w:noWrap/>
                    <w:vAlign w:val="center"/>
                    <w:hideMark/>
                  </w:tcPr>
                  <w:p w:rsidR="00DE031E" w:rsidRPr="00F040B1" w:rsidRDefault="001C1A59" w:rsidP="00DE031E">
                    <w:pPr>
                      <w:ind w:rightChars="-42" w:right="-88"/>
                      <w:rPr>
                        <w:rFonts w:ascii="Arial" w:hAnsi="Arial" w:cs="Arial"/>
                        <w:sz w:val="18"/>
                        <w:szCs w:val="18"/>
                      </w:rPr>
                    </w:pPr>
                    <w:r w:rsidRPr="00F040B1">
                      <w:rPr>
                        <w:rFonts w:ascii="Arial" w:hAnsi="Arial" w:cs="Arial"/>
                        <w:sz w:val="18"/>
                        <w:szCs w:val="18"/>
                      </w:rPr>
                      <w:t>1-3</w:t>
                    </w:r>
                    <w:r w:rsidRPr="00F040B1">
                      <w:rPr>
                        <w:rFonts w:ascii="Arial" w:hAnsi="Arial" w:cs="Arial"/>
                        <w:sz w:val="18"/>
                        <w:szCs w:val="18"/>
                      </w:rPr>
                      <w:t>个月（含</w:t>
                    </w:r>
                    <w:r w:rsidRPr="00F040B1">
                      <w:rPr>
                        <w:rFonts w:ascii="Arial" w:hAnsi="Arial" w:cs="Arial"/>
                        <w:sz w:val="18"/>
                        <w:szCs w:val="18"/>
                      </w:rPr>
                      <w:t>3</w:t>
                    </w:r>
                    <w:r w:rsidRPr="00F040B1">
                      <w:rPr>
                        <w:rFonts w:ascii="Arial" w:hAnsi="Arial" w:cs="Arial"/>
                        <w:sz w:val="18"/>
                        <w:szCs w:val="18"/>
                      </w:rPr>
                      <w:t>个月）</w:t>
                    </w:r>
                  </w:p>
                </w:tc>
                <w:tc>
                  <w:tcPr>
                    <w:tcW w:w="1058" w:type="pct"/>
                    <w:tcMar>
                      <w:left w:w="28" w:type="dxa"/>
                      <w:right w:w="28" w:type="dxa"/>
                    </w:tcMar>
                    <w:vAlign w:val="center"/>
                  </w:tcPr>
                  <w:p w:rsidR="00DE031E" w:rsidRPr="00F040B1" w:rsidRDefault="00DE031E" w:rsidP="00DE031E">
                    <w:pPr>
                      <w:spacing w:line="240" w:lineRule="atLeast"/>
                      <w:ind w:leftChars="-50" w:left="-105"/>
                      <w:jc w:val="right"/>
                      <w:rPr>
                        <w:rFonts w:ascii="Arial" w:hAnsi="Arial" w:cs="Arial"/>
                        <w:sz w:val="18"/>
                        <w:szCs w:val="18"/>
                      </w:rPr>
                    </w:pPr>
                  </w:p>
                </w:tc>
                <w:tc>
                  <w:tcPr>
                    <w:tcW w:w="979" w:type="pct"/>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103,868,633,583.66</w:t>
                    </w:r>
                  </w:p>
                </w:tc>
                <w:tc>
                  <w:tcPr>
                    <w:tcW w:w="598" w:type="pct"/>
                    <w:shd w:val="clear" w:color="auto" w:fill="auto"/>
                    <w:vAlign w:val="center"/>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90.46%</w:t>
                    </w:r>
                  </w:p>
                </w:tc>
                <w:tc>
                  <w:tcPr>
                    <w:tcW w:w="34" w:type="pct"/>
                    <w:shd w:val="clear" w:color="auto" w:fill="auto"/>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559" w:type="pct"/>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shd w:val="clear" w:color="auto" w:fill="auto"/>
                    <w:vAlign w:val="center"/>
                  </w:tcPr>
                  <w:p w:rsidR="00DE031E" w:rsidRPr="00F040B1" w:rsidRDefault="00DE031E" w:rsidP="00DE031E">
                    <w:pPr>
                      <w:jc w:val="right"/>
                      <w:rPr>
                        <w:rFonts w:ascii="Arial" w:hAnsi="Arial" w:cs="Arial"/>
                        <w:color w:val="000000"/>
                        <w:sz w:val="18"/>
                        <w:szCs w:val="18"/>
                      </w:rPr>
                    </w:pPr>
                  </w:p>
                </w:tc>
              </w:tr>
              <w:tr w:rsidR="00DE031E" w:rsidRPr="00F040B1" w:rsidTr="00DE031E">
                <w:trPr>
                  <w:trHeight w:val="340"/>
                </w:trPr>
                <w:tc>
                  <w:tcPr>
                    <w:tcW w:w="1236" w:type="pct"/>
                    <w:shd w:val="clear" w:color="auto" w:fill="auto"/>
                    <w:noWrap/>
                    <w:vAlign w:val="center"/>
                    <w:hideMark/>
                  </w:tcPr>
                  <w:p w:rsidR="00DE031E" w:rsidRPr="00F040B1" w:rsidRDefault="001C1A59" w:rsidP="00DE031E">
                    <w:pPr>
                      <w:ind w:rightChars="-42" w:right="-88"/>
                      <w:rPr>
                        <w:rFonts w:ascii="Arial" w:hAnsi="Arial" w:cs="Arial"/>
                        <w:sz w:val="18"/>
                        <w:szCs w:val="18"/>
                      </w:rPr>
                    </w:pPr>
                    <w:r w:rsidRPr="00F040B1">
                      <w:rPr>
                        <w:rFonts w:ascii="Arial" w:hAnsi="Arial" w:cs="Arial"/>
                        <w:sz w:val="18"/>
                        <w:szCs w:val="18"/>
                      </w:rPr>
                      <w:t>3-6</w:t>
                    </w:r>
                    <w:r w:rsidRPr="00F040B1">
                      <w:rPr>
                        <w:rFonts w:ascii="Arial" w:hAnsi="Arial" w:cs="Arial"/>
                        <w:sz w:val="18"/>
                        <w:szCs w:val="18"/>
                      </w:rPr>
                      <w:t>个月（含</w:t>
                    </w:r>
                    <w:r w:rsidRPr="00F040B1">
                      <w:rPr>
                        <w:rFonts w:ascii="Arial" w:hAnsi="Arial" w:cs="Arial"/>
                        <w:sz w:val="18"/>
                        <w:szCs w:val="18"/>
                      </w:rPr>
                      <w:t>6</w:t>
                    </w:r>
                    <w:r w:rsidRPr="00F040B1">
                      <w:rPr>
                        <w:rFonts w:ascii="Arial" w:hAnsi="Arial" w:cs="Arial"/>
                        <w:sz w:val="18"/>
                        <w:szCs w:val="18"/>
                      </w:rPr>
                      <w:t>个月）</w:t>
                    </w:r>
                  </w:p>
                </w:tc>
                <w:tc>
                  <w:tcPr>
                    <w:tcW w:w="1058" w:type="pct"/>
                    <w:tcMar>
                      <w:left w:w="28" w:type="dxa"/>
                      <w:right w:w="28" w:type="dxa"/>
                    </w:tcMar>
                    <w:vAlign w:val="center"/>
                  </w:tcPr>
                  <w:p w:rsidR="00DE031E" w:rsidRPr="00F040B1" w:rsidRDefault="00DE031E" w:rsidP="00DE031E">
                    <w:pPr>
                      <w:spacing w:line="240" w:lineRule="atLeast"/>
                      <w:ind w:leftChars="-50" w:left="-105"/>
                      <w:jc w:val="right"/>
                      <w:rPr>
                        <w:rFonts w:ascii="Arial" w:hAnsi="Arial" w:cs="Arial"/>
                        <w:sz w:val="18"/>
                        <w:szCs w:val="18"/>
                      </w:rPr>
                    </w:pPr>
                  </w:p>
                </w:tc>
                <w:tc>
                  <w:tcPr>
                    <w:tcW w:w="979" w:type="pct"/>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8,244,818,472.71</w:t>
                    </w:r>
                  </w:p>
                </w:tc>
                <w:tc>
                  <w:tcPr>
                    <w:tcW w:w="598" w:type="pct"/>
                    <w:shd w:val="clear" w:color="auto" w:fill="auto"/>
                    <w:vAlign w:val="center"/>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7.18%</w:t>
                    </w:r>
                  </w:p>
                </w:tc>
                <w:tc>
                  <w:tcPr>
                    <w:tcW w:w="34" w:type="pct"/>
                    <w:shd w:val="clear" w:color="auto" w:fill="auto"/>
                    <w:noWrap/>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559" w:type="pct"/>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shd w:val="clear" w:color="auto" w:fill="auto"/>
                    <w:vAlign w:val="center"/>
                  </w:tcPr>
                  <w:p w:rsidR="00DE031E" w:rsidRPr="00F040B1" w:rsidRDefault="00DE031E" w:rsidP="00DE031E">
                    <w:pPr>
                      <w:jc w:val="right"/>
                      <w:rPr>
                        <w:rFonts w:ascii="Arial" w:hAnsi="Arial" w:cs="Arial"/>
                        <w:color w:val="000000"/>
                        <w:sz w:val="18"/>
                        <w:szCs w:val="18"/>
                      </w:rPr>
                    </w:pPr>
                  </w:p>
                </w:tc>
              </w:tr>
              <w:tr w:rsidR="00DE031E" w:rsidRPr="00F040B1" w:rsidTr="00DE031E">
                <w:trPr>
                  <w:trHeight w:val="340"/>
                </w:trPr>
                <w:tc>
                  <w:tcPr>
                    <w:tcW w:w="1236" w:type="pct"/>
                    <w:shd w:val="clear" w:color="auto" w:fill="auto"/>
                    <w:noWrap/>
                    <w:vAlign w:val="center"/>
                    <w:hideMark/>
                  </w:tcPr>
                  <w:p w:rsidR="00DE031E" w:rsidRPr="00F040B1" w:rsidRDefault="001C1A59" w:rsidP="00DE031E">
                    <w:pPr>
                      <w:ind w:rightChars="-42" w:right="-88"/>
                      <w:rPr>
                        <w:rFonts w:ascii="Arial" w:hAnsi="Arial" w:cs="Arial"/>
                        <w:sz w:val="18"/>
                        <w:szCs w:val="18"/>
                      </w:rPr>
                    </w:pPr>
                    <w:r w:rsidRPr="00F040B1">
                      <w:rPr>
                        <w:rFonts w:ascii="Arial" w:hAnsi="Arial" w:cs="Arial"/>
                        <w:sz w:val="18"/>
                        <w:szCs w:val="18"/>
                      </w:rPr>
                      <w:t>6</w:t>
                    </w:r>
                    <w:r w:rsidRPr="00F040B1">
                      <w:rPr>
                        <w:rFonts w:ascii="Arial" w:hAnsi="Arial" w:cs="Arial"/>
                        <w:sz w:val="18"/>
                        <w:szCs w:val="18"/>
                      </w:rPr>
                      <w:t>个月以上</w:t>
                    </w:r>
                  </w:p>
                </w:tc>
                <w:tc>
                  <w:tcPr>
                    <w:tcW w:w="1058" w:type="pct"/>
                    <w:tcMar>
                      <w:left w:w="28" w:type="dxa"/>
                      <w:right w:w="28" w:type="dxa"/>
                    </w:tcMar>
                    <w:vAlign w:val="center"/>
                  </w:tcPr>
                  <w:p w:rsidR="00DE031E" w:rsidRPr="00F040B1" w:rsidRDefault="00DE031E" w:rsidP="00DE031E">
                    <w:pPr>
                      <w:spacing w:line="240" w:lineRule="atLeast"/>
                      <w:ind w:leftChars="-50" w:left="-105"/>
                      <w:jc w:val="right"/>
                      <w:rPr>
                        <w:rFonts w:ascii="Arial" w:hAnsi="Arial" w:cs="Arial"/>
                        <w:sz w:val="18"/>
                        <w:szCs w:val="18"/>
                      </w:rPr>
                    </w:pPr>
                  </w:p>
                </w:tc>
                <w:tc>
                  <w:tcPr>
                    <w:tcW w:w="979" w:type="pct"/>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64,018,688.43</w:t>
                    </w:r>
                  </w:p>
                </w:tc>
                <w:tc>
                  <w:tcPr>
                    <w:tcW w:w="598" w:type="pct"/>
                    <w:shd w:val="clear" w:color="auto" w:fill="auto"/>
                    <w:vAlign w:val="center"/>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0.06%</w:t>
                    </w:r>
                  </w:p>
                </w:tc>
                <w:tc>
                  <w:tcPr>
                    <w:tcW w:w="34" w:type="pct"/>
                    <w:shd w:val="clear" w:color="auto" w:fill="auto"/>
                    <w:noWrap/>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559" w:type="pct"/>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shd w:val="clear" w:color="auto" w:fill="auto"/>
                    <w:vAlign w:val="center"/>
                  </w:tcPr>
                  <w:p w:rsidR="00DE031E" w:rsidRPr="00F040B1" w:rsidRDefault="00DE031E" w:rsidP="00DE031E">
                    <w:pPr>
                      <w:jc w:val="right"/>
                      <w:rPr>
                        <w:rFonts w:ascii="Arial" w:hAnsi="Arial" w:cs="Arial"/>
                        <w:color w:val="000000"/>
                        <w:sz w:val="18"/>
                        <w:szCs w:val="18"/>
                      </w:rPr>
                    </w:pPr>
                  </w:p>
                </w:tc>
              </w:tr>
              <w:tr w:rsidR="00DE031E" w:rsidRPr="00F040B1" w:rsidTr="00DE031E">
                <w:trPr>
                  <w:trHeight w:val="340"/>
                </w:trPr>
                <w:tc>
                  <w:tcPr>
                    <w:tcW w:w="1236" w:type="pct"/>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b/>
                        <w:bCs/>
                        <w:sz w:val="18"/>
                        <w:szCs w:val="18"/>
                      </w:rPr>
                      <w:t>香港孖展融资</w:t>
                    </w:r>
                  </w:p>
                </w:tc>
                <w:tc>
                  <w:tcPr>
                    <w:tcW w:w="1058" w:type="pct"/>
                    <w:tcMar>
                      <w:left w:w="28" w:type="dxa"/>
                      <w:right w:w="28" w:type="dxa"/>
                    </w:tcMar>
                    <w:vAlign w:val="center"/>
                  </w:tcPr>
                  <w:p w:rsidR="00DE031E" w:rsidRPr="00F040B1" w:rsidRDefault="00DE031E" w:rsidP="00DE031E">
                    <w:pPr>
                      <w:spacing w:line="240" w:lineRule="atLeast"/>
                      <w:ind w:leftChars="-50" w:left="-105"/>
                      <w:jc w:val="right"/>
                      <w:rPr>
                        <w:rFonts w:ascii="Arial" w:hAnsi="Arial" w:cs="Arial"/>
                        <w:sz w:val="18"/>
                        <w:szCs w:val="18"/>
                      </w:rPr>
                    </w:pPr>
                  </w:p>
                </w:tc>
                <w:tc>
                  <w:tcPr>
                    <w:tcW w:w="979" w:type="pct"/>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2,647,977,663.54</w:t>
                    </w:r>
                  </w:p>
                </w:tc>
                <w:tc>
                  <w:tcPr>
                    <w:tcW w:w="598" w:type="pct"/>
                    <w:shd w:val="clear" w:color="auto" w:fill="auto"/>
                    <w:vAlign w:val="center"/>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2.31%</w:t>
                    </w:r>
                  </w:p>
                </w:tc>
                <w:tc>
                  <w:tcPr>
                    <w:tcW w:w="34" w:type="pct"/>
                    <w:shd w:val="clear" w:color="auto" w:fill="auto"/>
                    <w:noWrap/>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559" w:type="pct"/>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shd w:val="clear" w:color="auto" w:fill="auto"/>
                    <w:vAlign w:val="center"/>
                  </w:tcPr>
                  <w:p w:rsidR="00DE031E" w:rsidRPr="00F040B1" w:rsidRDefault="00DE031E" w:rsidP="00DE031E">
                    <w:pPr>
                      <w:jc w:val="right"/>
                      <w:rPr>
                        <w:rFonts w:ascii="Arial" w:hAnsi="Arial" w:cs="Arial"/>
                        <w:color w:val="000000"/>
                        <w:sz w:val="18"/>
                        <w:szCs w:val="18"/>
                      </w:rPr>
                    </w:pPr>
                  </w:p>
                </w:tc>
              </w:tr>
              <w:tr w:rsidR="00DE031E" w:rsidRPr="00F040B1" w:rsidTr="00DE031E">
                <w:trPr>
                  <w:trHeight w:val="340"/>
                </w:trPr>
                <w:tc>
                  <w:tcPr>
                    <w:tcW w:w="1236" w:type="pct"/>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合计</w:t>
                    </w:r>
                  </w:p>
                </w:tc>
                <w:tc>
                  <w:tcPr>
                    <w:tcW w:w="1058" w:type="pct"/>
                    <w:tcMar>
                      <w:left w:w="28" w:type="dxa"/>
                      <w:right w:w="28" w:type="dxa"/>
                    </w:tcMar>
                    <w:vAlign w:val="center"/>
                  </w:tcPr>
                  <w:p w:rsidR="00DE031E" w:rsidRPr="00F040B1" w:rsidRDefault="00DE031E" w:rsidP="00DE031E">
                    <w:pPr>
                      <w:spacing w:line="240" w:lineRule="atLeast"/>
                      <w:ind w:leftChars="-50" w:left="-105"/>
                      <w:jc w:val="right"/>
                      <w:rPr>
                        <w:rFonts w:ascii="Arial" w:hAnsi="Arial" w:cs="Arial"/>
                        <w:b/>
                        <w:bCs/>
                        <w:sz w:val="18"/>
                        <w:szCs w:val="18"/>
                      </w:rPr>
                    </w:pPr>
                  </w:p>
                </w:tc>
                <w:tc>
                  <w:tcPr>
                    <w:tcW w:w="979" w:type="pct"/>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114,825,448,408.34</w:t>
                    </w:r>
                  </w:p>
                </w:tc>
                <w:tc>
                  <w:tcPr>
                    <w:tcW w:w="598" w:type="pct"/>
                    <w:shd w:val="clear" w:color="auto" w:fill="auto"/>
                    <w:vAlign w:val="center"/>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100.00%</w:t>
                    </w:r>
                  </w:p>
                </w:tc>
                <w:tc>
                  <w:tcPr>
                    <w:tcW w:w="34" w:type="pct"/>
                    <w:shd w:val="clear" w:color="auto" w:fill="auto"/>
                    <w:noWrap/>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559" w:type="pct"/>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shd w:val="clear" w:color="auto" w:fill="auto"/>
                    <w:vAlign w:val="center"/>
                  </w:tcPr>
                  <w:p w:rsidR="00DE031E" w:rsidRPr="00F040B1" w:rsidRDefault="00DE031E" w:rsidP="00DE031E">
                    <w:pPr>
                      <w:jc w:val="right"/>
                      <w:rPr>
                        <w:rFonts w:ascii="Arial" w:hAnsi="Arial" w:cs="Arial"/>
                        <w:b/>
                        <w:bCs/>
                        <w:color w:val="000000"/>
                        <w:sz w:val="18"/>
                        <w:szCs w:val="18"/>
                      </w:rPr>
                    </w:pPr>
                  </w:p>
                </w:tc>
              </w:tr>
            </w:tbl>
            <w:p w:rsidR="00DE031E" w:rsidRDefault="00DE031E" w:rsidP="00DE031E">
              <w:pPr>
                <w:tabs>
                  <w:tab w:val="left" w:pos="3420"/>
                </w:tabs>
              </w:pPr>
            </w:p>
            <w:p w:rsidR="00DE031E" w:rsidRPr="007B43A9" w:rsidRDefault="001C1A59" w:rsidP="00DE031E">
              <w:pPr>
                <w:widowControl w:val="0"/>
                <w:autoSpaceDE w:val="0"/>
                <w:autoSpaceDN w:val="0"/>
                <w:adjustRightInd w:val="0"/>
                <w:spacing w:line="360" w:lineRule="auto"/>
              </w:pPr>
              <w:r>
                <w:rPr>
                  <w:rFonts w:hint="eastAsia"/>
                </w:rPr>
                <w:t>2）</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日，融出资金较年初增加</w:t>
              </w:r>
              <w:r>
                <w:rPr>
                  <w:rFonts w:ascii="Arial" w:hAnsi="Arial" w:cs="Arial" w:hint="eastAsia"/>
                  <w:sz w:val="22"/>
                  <w:szCs w:val="22"/>
                </w:rPr>
                <w:t>56</w:t>
              </w:r>
              <w:r>
                <w:rPr>
                  <w:rFonts w:ascii="Arial" w:hAnsi="Arial" w:cs="Arial"/>
                  <w:sz w:val="22"/>
                  <w:szCs w:val="22"/>
                </w:rPr>
                <w:t>,</w:t>
              </w:r>
              <w:r>
                <w:rPr>
                  <w:rFonts w:ascii="Arial" w:hAnsi="Arial" w:cs="Arial" w:hint="eastAsia"/>
                  <w:sz w:val="22"/>
                  <w:szCs w:val="22"/>
                </w:rPr>
                <w:t>230</w:t>
              </w:r>
              <w:r>
                <w:rPr>
                  <w:rFonts w:ascii="Arial" w:hAnsi="Arial" w:cs="Arial"/>
                  <w:sz w:val="22"/>
                  <w:szCs w:val="22"/>
                </w:rPr>
                <w:t>,</w:t>
              </w:r>
              <w:r>
                <w:rPr>
                  <w:rFonts w:ascii="Arial" w:hAnsi="Arial" w:cs="Arial" w:hint="eastAsia"/>
                  <w:sz w:val="22"/>
                  <w:szCs w:val="22"/>
                </w:rPr>
                <w:t>283</w:t>
              </w:r>
              <w:r>
                <w:rPr>
                  <w:rFonts w:ascii="Arial" w:hAnsi="Arial" w:cs="Arial"/>
                  <w:sz w:val="22"/>
                  <w:szCs w:val="22"/>
                </w:rPr>
                <w:t>,</w:t>
              </w:r>
              <w:r>
                <w:rPr>
                  <w:rFonts w:ascii="Arial" w:hAnsi="Arial" w:cs="Arial" w:hint="eastAsia"/>
                  <w:sz w:val="22"/>
                  <w:szCs w:val="22"/>
                </w:rPr>
                <w:t>861</w:t>
              </w:r>
              <w:r>
                <w:rPr>
                  <w:rFonts w:ascii="Arial" w:hAnsi="Arial" w:cs="Arial"/>
                  <w:sz w:val="22"/>
                  <w:szCs w:val="22"/>
                </w:rPr>
                <w:t>.</w:t>
              </w:r>
              <w:r>
                <w:rPr>
                  <w:rFonts w:ascii="Arial" w:hAnsi="Arial" w:cs="Arial" w:hint="eastAsia"/>
                  <w:sz w:val="22"/>
                  <w:szCs w:val="22"/>
                </w:rPr>
                <w:t>08</w:t>
              </w:r>
              <w:r>
                <w:rPr>
                  <w:rFonts w:hAnsi="Calibri" w:hint="eastAsia"/>
                  <w:sz w:val="22"/>
                  <w:szCs w:val="22"/>
                </w:rPr>
                <w:t>元，增幅</w:t>
              </w:r>
              <w:r>
                <w:rPr>
                  <w:rFonts w:ascii="Arial" w:hAnsi="Arial" w:cs="Arial" w:hint="eastAsia"/>
                  <w:sz w:val="22"/>
                  <w:szCs w:val="22"/>
                </w:rPr>
                <w:t>95</w:t>
              </w:r>
              <w:r>
                <w:rPr>
                  <w:rFonts w:ascii="Arial" w:hAnsi="Arial" w:cs="Arial"/>
                  <w:sz w:val="22"/>
                  <w:szCs w:val="22"/>
                </w:rPr>
                <w:t>.</w:t>
              </w:r>
              <w:r>
                <w:rPr>
                  <w:rFonts w:ascii="Arial" w:hAnsi="Arial" w:cs="Arial" w:hint="eastAsia"/>
                  <w:sz w:val="22"/>
                  <w:szCs w:val="22"/>
                </w:rPr>
                <w:t>96</w:t>
              </w:r>
              <w:r>
                <w:rPr>
                  <w:rFonts w:ascii="Arial" w:hAnsi="Arial" w:cs="Arial"/>
                  <w:sz w:val="22"/>
                  <w:szCs w:val="22"/>
                </w:rPr>
                <w:t>%</w:t>
              </w:r>
              <w:r>
                <w:rPr>
                  <w:rFonts w:hAnsi="Calibri" w:hint="eastAsia"/>
                  <w:sz w:val="22"/>
                  <w:szCs w:val="22"/>
                </w:rPr>
                <w:t>，主要系本年母公司融资融券业务规模较上年增加所致。</w:t>
              </w:r>
            </w:p>
          </w:sdtContent>
        </w:sdt>
      </w:sdtContent>
    </w:sdt>
    <w:p w:rsidR="00DE031E" w:rsidRPr="00C3578A" w:rsidRDefault="001C1A59" w:rsidP="009950AC">
      <w:pPr>
        <w:pStyle w:val="3"/>
        <w:numPr>
          <w:ilvl w:val="0"/>
          <w:numId w:val="41"/>
        </w:numPr>
      </w:pPr>
      <w:r>
        <w:rPr>
          <w:rFonts w:hint="eastAsia"/>
        </w:rPr>
        <w:t>以公允价值计量且其变动计入当期损益的金融资产</w:t>
      </w:r>
    </w:p>
    <w:sdt>
      <w:sdtPr>
        <w:alias w:val="是否适用：以公允价值计量且其变动计入当期损益的金融资产"/>
        <w:tag w:val="_GBC_9021723403604a4fb6e2b652974cdad9"/>
        <w:id w:val="24723591"/>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tag w:val="_SEC_53051b64f5b74f5a8d360d2bfeda0cb4"/>
        <w:id w:val="24723654"/>
        <w:lock w:val="sdtLocked"/>
        <w:placeholder>
          <w:docPart w:val="GBC22222222222222222222222222222"/>
        </w:placeholder>
      </w:sdtPr>
      <w:sdtContent>
        <w:p w:rsidR="00DE031E" w:rsidRDefault="001C1A59">
          <w:pPr>
            <w:jc w:val="right"/>
          </w:pPr>
          <w:r>
            <w:br w:type="page"/>
          </w:r>
        </w:p>
        <w:p w:rsidR="00DE031E" w:rsidRDefault="00DE031E">
          <w:pPr>
            <w:jc w:val="right"/>
            <w:sectPr w:rsidR="00DE031E" w:rsidSect="000F6CCA">
              <w:headerReference w:type="default" r:id="rId19"/>
              <w:pgSz w:w="11906" w:h="16838"/>
              <w:pgMar w:top="1440" w:right="1797" w:bottom="1525" w:left="1276" w:header="856" w:footer="992" w:gutter="0"/>
              <w:cols w:space="425"/>
              <w:docGrid w:linePitch="312"/>
            </w:sectPr>
          </w:pPr>
        </w:p>
        <w:p w:rsidR="00DE031E" w:rsidRDefault="001C1A59">
          <w:pPr>
            <w:jc w:val="right"/>
          </w:pPr>
          <w:r>
            <w:rPr>
              <w:rFonts w:hint="eastAsia"/>
            </w:rPr>
            <w:lastRenderedPageBreak/>
            <w:t>单位：</w:t>
          </w:r>
          <w:sdt>
            <w:sdtPr>
              <w:rPr>
                <w:rFonts w:hint="eastAsia"/>
              </w:rPr>
              <w:alias w:val="单位：财务附注：以公允价值计量且其变动计入当期损益的金融资产"/>
              <w:tag w:val="_GBC_428e775679a0452eaa9303b30f417a17"/>
              <w:id w:val="247235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以公允价值计量且其变动计入当期损益的金融资产"/>
              <w:tag w:val="_GBC_a61d9a9c131a40138595a75902af2be4"/>
              <w:id w:val="24723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Ind w:w="-4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3"/>
            <w:gridCol w:w="2126"/>
            <w:gridCol w:w="2126"/>
            <w:gridCol w:w="2126"/>
            <w:gridCol w:w="2268"/>
            <w:gridCol w:w="1985"/>
            <w:gridCol w:w="2228"/>
          </w:tblGrid>
          <w:tr w:rsidR="00DE031E" w:rsidTr="00DE031E">
            <w:trPr>
              <w:jc w:val="center"/>
            </w:trPr>
            <w:tc>
              <w:tcPr>
                <w:tcW w:w="13832" w:type="dxa"/>
                <w:gridSpan w:val="7"/>
              </w:tcPr>
              <w:p w:rsidR="00DE031E" w:rsidRDefault="001C1A59" w:rsidP="00DE031E">
                <w:pPr>
                  <w:jc w:val="center"/>
                  <w:rPr>
                    <w:szCs w:val="21"/>
                  </w:rPr>
                </w:pPr>
                <w:r>
                  <w:rPr>
                    <w:rFonts w:hint="eastAsia"/>
                    <w:szCs w:val="21"/>
                  </w:rPr>
                  <w:t>期末余额</w:t>
                </w:r>
              </w:p>
            </w:tc>
          </w:tr>
          <w:tr w:rsidR="00DE031E" w:rsidTr="00DE031E">
            <w:trPr>
              <w:jc w:val="center"/>
            </w:trPr>
            <w:tc>
              <w:tcPr>
                <w:tcW w:w="973" w:type="dxa"/>
              </w:tcPr>
              <w:p w:rsidR="00DE031E" w:rsidRDefault="00DE031E" w:rsidP="00DE031E">
                <w:pPr>
                  <w:rPr>
                    <w:szCs w:val="21"/>
                  </w:rPr>
                </w:pPr>
              </w:p>
            </w:tc>
            <w:tc>
              <w:tcPr>
                <w:tcW w:w="6378" w:type="dxa"/>
                <w:gridSpan w:val="3"/>
              </w:tcPr>
              <w:p w:rsidR="00DE031E" w:rsidRDefault="001C1A59" w:rsidP="00DE031E">
                <w:pPr>
                  <w:jc w:val="center"/>
                  <w:rPr>
                    <w:szCs w:val="21"/>
                  </w:rPr>
                </w:pPr>
                <w:r>
                  <w:rPr>
                    <w:rFonts w:hint="eastAsia"/>
                    <w:szCs w:val="21"/>
                  </w:rPr>
                  <w:t>公允价值</w:t>
                </w:r>
              </w:p>
            </w:tc>
            <w:tc>
              <w:tcPr>
                <w:tcW w:w="6481" w:type="dxa"/>
                <w:gridSpan w:val="3"/>
              </w:tcPr>
              <w:p w:rsidR="00DE031E" w:rsidRDefault="001C1A59" w:rsidP="00DE031E">
                <w:pPr>
                  <w:jc w:val="center"/>
                  <w:rPr>
                    <w:szCs w:val="21"/>
                  </w:rPr>
                </w:pPr>
                <w:r>
                  <w:rPr>
                    <w:rFonts w:hint="eastAsia"/>
                    <w:szCs w:val="21"/>
                  </w:rPr>
                  <w:t>初始投资成本</w:t>
                </w:r>
              </w:p>
            </w:tc>
          </w:tr>
          <w:tr w:rsidR="00DE031E" w:rsidTr="00DE031E">
            <w:trPr>
              <w:jc w:val="center"/>
            </w:trPr>
            <w:tc>
              <w:tcPr>
                <w:tcW w:w="973" w:type="dxa"/>
                <w:vAlign w:val="center"/>
              </w:tcPr>
              <w:p w:rsidR="00DE031E" w:rsidRDefault="001C1A59" w:rsidP="00DE031E">
                <w:pPr>
                  <w:jc w:val="center"/>
                  <w:rPr>
                    <w:szCs w:val="21"/>
                  </w:rPr>
                </w:pPr>
                <w:r>
                  <w:rPr>
                    <w:rFonts w:hint="eastAsia"/>
                    <w:szCs w:val="21"/>
                  </w:rPr>
                  <w:t>项目</w:t>
                </w:r>
              </w:p>
            </w:tc>
            <w:tc>
              <w:tcPr>
                <w:tcW w:w="2126" w:type="dxa"/>
                <w:vAlign w:val="center"/>
              </w:tcPr>
              <w:p w:rsidR="00DE031E" w:rsidRDefault="001C1A59" w:rsidP="00DE031E">
                <w:pPr>
                  <w:jc w:val="center"/>
                  <w:rPr>
                    <w:szCs w:val="21"/>
                  </w:rPr>
                </w:pPr>
                <w:r>
                  <w:rPr>
                    <w:rFonts w:hint="eastAsia"/>
                    <w:szCs w:val="21"/>
                  </w:rPr>
                  <w:t>为交易目的而持有的金融资产</w:t>
                </w:r>
              </w:p>
            </w:tc>
            <w:tc>
              <w:tcPr>
                <w:tcW w:w="2126" w:type="dxa"/>
                <w:vAlign w:val="center"/>
              </w:tcPr>
              <w:p w:rsidR="00DE031E" w:rsidRDefault="001C1A59" w:rsidP="00DE031E">
                <w:pPr>
                  <w:jc w:val="center"/>
                  <w:rPr>
                    <w:szCs w:val="21"/>
                  </w:rPr>
                </w:pPr>
                <w:r>
                  <w:rPr>
                    <w:rFonts w:hint="eastAsia"/>
                    <w:szCs w:val="21"/>
                  </w:rPr>
                  <w:t>指定以公允价值计量且变动计入当期损益的金融资产</w:t>
                </w:r>
              </w:p>
            </w:tc>
            <w:tc>
              <w:tcPr>
                <w:tcW w:w="2126" w:type="dxa"/>
                <w:vAlign w:val="center"/>
              </w:tcPr>
              <w:p w:rsidR="00DE031E" w:rsidRDefault="001C1A59" w:rsidP="00DE031E">
                <w:pPr>
                  <w:jc w:val="center"/>
                  <w:rPr>
                    <w:szCs w:val="21"/>
                  </w:rPr>
                </w:pPr>
                <w:r>
                  <w:rPr>
                    <w:rFonts w:hint="eastAsia"/>
                    <w:szCs w:val="21"/>
                  </w:rPr>
                  <w:t>公允价值合计</w:t>
                </w:r>
              </w:p>
            </w:tc>
            <w:tc>
              <w:tcPr>
                <w:tcW w:w="2268" w:type="dxa"/>
                <w:vAlign w:val="center"/>
              </w:tcPr>
              <w:p w:rsidR="00DE031E" w:rsidRDefault="001C1A59" w:rsidP="00DE031E">
                <w:pPr>
                  <w:jc w:val="center"/>
                  <w:rPr>
                    <w:szCs w:val="21"/>
                  </w:rPr>
                </w:pPr>
                <w:r>
                  <w:rPr>
                    <w:rFonts w:hint="eastAsia"/>
                    <w:szCs w:val="21"/>
                  </w:rPr>
                  <w:t>为交易目的而持有的金融资产</w:t>
                </w:r>
              </w:p>
            </w:tc>
            <w:tc>
              <w:tcPr>
                <w:tcW w:w="1985" w:type="dxa"/>
                <w:vAlign w:val="center"/>
              </w:tcPr>
              <w:p w:rsidR="00DE031E" w:rsidRDefault="001C1A59" w:rsidP="00DE031E">
                <w:pPr>
                  <w:jc w:val="center"/>
                  <w:rPr>
                    <w:szCs w:val="21"/>
                  </w:rPr>
                </w:pPr>
                <w:r>
                  <w:rPr>
                    <w:rFonts w:hint="eastAsia"/>
                    <w:szCs w:val="21"/>
                  </w:rPr>
                  <w:t>指定以公允价值计量且变动计入当期损益的金融资产</w:t>
                </w:r>
              </w:p>
            </w:tc>
            <w:tc>
              <w:tcPr>
                <w:tcW w:w="2228" w:type="dxa"/>
                <w:vAlign w:val="center"/>
              </w:tcPr>
              <w:p w:rsidR="00DE031E" w:rsidRDefault="001C1A59" w:rsidP="00DE031E">
                <w:pPr>
                  <w:jc w:val="center"/>
                  <w:rPr>
                    <w:szCs w:val="21"/>
                  </w:rPr>
                </w:pPr>
                <w:r>
                  <w:rPr>
                    <w:rFonts w:hint="eastAsia"/>
                    <w:szCs w:val="21"/>
                  </w:rPr>
                  <w:t>初始投资成本合计</w:t>
                </w:r>
              </w:p>
            </w:tc>
          </w:tr>
          <w:tr w:rsidR="00DE031E" w:rsidTr="00DE031E">
            <w:trPr>
              <w:jc w:val="center"/>
            </w:trPr>
            <w:tc>
              <w:tcPr>
                <w:tcW w:w="973" w:type="dxa"/>
              </w:tcPr>
              <w:p w:rsidR="00DE031E" w:rsidRDefault="001C1A59" w:rsidP="00DE031E">
                <w:pPr>
                  <w:rPr>
                    <w:szCs w:val="21"/>
                  </w:rPr>
                </w:pPr>
                <w:r>
                  <w:rPr>
                    <w:rFonts w:hint="eastAsia"/>
                    <w:szCs w:val="21"/>
                  </w:rPr>
                  <w:t>债券</w:t>
                </w:r>
              </w:p>
            </w:tc>
            <w:sdt>
              <w:sdtPr>
                <w:rPr>
                  <w:szCs w:val="21"/>
                </w:rPr>
                <w:alias w:val="为交易目的而持有的金融资产公允价值_债券"/>
                <w:tag w:val="_GBC_bf8304814c2e4270a8096aca5e5acd6a"/>
                <w:id w:val="24723594"/>
                <w:lock w:val="sdtLocked"/>
              </w:sdtPr>
              <w:sdtEndPr>
                <w:rPr>
                  <w:rFonts w:hint="eastAsia"/>
                </w:rPr>
              </w:sdtEndPr>
              <w:sdtContent>
                <w:tc>
                  <w:tcPr>
                    <w:tcW w:w="2126" w:type="dxa"/>
                  </w:tcPr>
                  <w:p w:rsidR="00DE031E" w:rsidRDefault="001C1A59" w:rsidP="00DE031E">
                    <w:pPr>
                      <w:jc w:val="right"/>
                      <w:rPr>
                        <w:szCs w:val="21"/>
                      </w:rPr>
                    </w:pPr>
                    <w:r>
                      <w:rPr>
                        <w:szCs w:val="21"/>
                      </w:rPr>
                      <w:t>21,912,283,640.00</w:t>
                    </w:r>
                  </w:p>
                </w:tc>
              </w:sdtContent>
            </w:sdt>
            <w:sdt>
              <w:sdtPr>
                <w:rPr>
                  <w:szCs w:val="21"/>
                </w:rPr>
                <w:alias w:val="指定以公允价值计量且变动计入当期损益的金融资产公允价值_债券"/>
                <w:tag w:val="_GBC_c386ad37b5bf40d2a7b48f5c4f3f075f"/>
                <w:id w:val="24723595"/>
                <w:lock w:val="sdtLocked"/>
                <w:showingPlcHdr/>
              </w:sdtPr>
              <w:sdtEndPr>
                <w:rPr>
                  <w:rFonts w:hint="eastAsia"/>
                </w:rPr>
              </w:sdtEndPr>
              <w:sdtContent>
                <w:tc>
                  <w:tcPr>
                    <w:tcW w:w="2126" w:type="dxa"/>
                  </w:tcPr>
                  <w:p w:rsidR="00DE031E" w:rsidRDefault="00DE031E" w:rsidP="00DE031E">
                    <w:pPr>
                      <w:jc w:val="right"/>
                      <w:rPr>
                        <w:szCs w:val="21"/>
                      </w:rPr>
                    </w:pPr>
                  </w:p>
                </w:tc>
              </w:sdtContent>
            </w:sdt>
            <w:sdt>
              <w:sdtPr>
                <w:rPr>
                  <w:szCs w:val="21"/>
                </w:rPr>
                <w:alias w:val="公允价值合计_债券"/>
                <w:tag w:val="_GBC_083024e9bb194f478eafa8c16b458eed"/>
                <w:id w:val="24723596"/>
                <w:lock w:val="sdtLocked"/>
              </w:sdtPr>
              <w:sdtEndPr>
                <w:rPr>
                  <w:rFonts w:hint="eastAsia"/>
                </w:rPr>
              </w:sdtEndPr>
              <w:sdtContent>
                <w:tc>
                  <w:tcPr>
                    <w:tcW w:w="2126" w:type="dxa"/>
                  </w:tcPr>
                  <w:p w:rsidR="00DE031E" w:rsidRDefault="001C1A59" w:rsidP="00DE031E">
                    <w:pPr>
                      <w:jc w:val="right"/>
                      <w:rPr>
                        <w:szCs w:val="21"/>
                      </w:rPr>
                    </w:pPr>
                    <w:r>
                      <w:rPr>
                        <w:szCs w:val="21"/>
                      </w:rPr>
                      <w:t>21,912,283,640.00</w:t>
                    </w:r>
                  </w:p>
                </w:tc>
              </w:sdtContent>
            </w:sdt>
            <w:sdt>
              <w:sdtPr>
                <w:rPr>
                  <w:szCs w:val="21"/>
                </w:rPr>
                <w:alias w:val="为交易目的而持有的金融资产初始投资成本_债券"/>
                <w:tag w:val="_GBC_3c0149f9830b4df8ba02f3699b982768"/>
                <w:id w:val="24723597"/>
                <w:lock w:val="sdtLocked"/>
              </w:sdtPr>
              <w:sdtEndPr>
                <w:rPr>
                  <w:rFonts w:hint="eastAsia"/>
                </w:rPr>
              </w:sdtEndPr>
              <w:sdtContent>
                <w:tc>
                  <w:tcPr>
                    <w:tcW w:w="2268" w:type="dxa"/>
                  </w:tcPr>
                  <w:p w:rsidR="00DE031E" w:rsidRDefault="001C1A59" w:rsidP="00DE031E">
                    <w:pPr>
                      <w:jc w:val="right"/>
                      <w:rPr>
                        <w:szCs w:val="21"/>
                      </w:rPr>
                    </w:pPr>
                    <w:r>
                      <w:rPr>
                        <w:szCs w:val="21"/>
                      </w:rPr>
                      <w:t>21,430,414,851.76</w:t>
                    </w:r>
                  </w:p>
                </w:tc>
              </w:sdtContent>
            </w:sdt>
            <w:sdt>
              <w:sdtPr>
                <w:rPr>
                  <w:szCs w:val="21"/>
                </w:rPr>
                <w:alias w:val="指定以公允价值计量且变动计入当期损益的金融资产初始投资成本_债券"/>
                <w:tag w:val="_GBC_da190e0a6fa741de99b754fd298bef9e"/>
                <w:id w:val="24723598"/>
                <w:lock w:val="sdtLocked"/>
                <w:showingPlcHdr/>
              </w:sdtPr>
              <w:sdtEndPr>
                <w:rPr>
                  <w:rFonts w:hint="eastAsia"/>
                </w:rPr>
              </w:sdtEndPr>
              <w:sdtContent>
                <w:tc>
                  <w:tcPr>
                    <w:tcW w:w="1985" w:type="dxa"/>
                  </w:tcPr>
                  <w:p w:rsidR="00DE031E" w:rsidRDefault="00DE031E" w:rsidP="00DE031E">
                    <w:pPr>
                      <w:jc w:val="right"/>
                      <w:rPr>
                        <w:szCs w:val="21"/>
                      </w:rPr>
                    </w:pPr>
                  </w:p>
                </w:tc>
              </w:sdtContent>
            </w:sdt>
            <w:sdt>
              <w:sdtPr>
                <w:rPr>
                  <w:szCs w:val="21"/>
                </w:rPr>
                <w:alias w:val="初始投资成本合计_债券"/>
                <w:tag w:val="_GBC_3630d0fce90f4eecbc9d1f8b79db6f31"/>
                <w:id w:val="24723599"/>
                <w:lock w:val="sdtLocked"/>
              </w:sdtPr>
              <w:sdtEndPr>
                <w:rPr>
                  <w:rFonts w:hint="eastAsia"/>
                </w:rPr>
              </w:sdtEndPr>
              <w:sdtContent>
                <w:tc>
                  <w:tcPr>
                    <w:tcW w:w="2228" w:type="dxa"/>
                  </w:tcPr>
                  <w:p w:rsidR="00DE031E" w:rsidRDefault="001C1A59" w:rsidP="00DE031E">
                    <w:pPr>
                      <w:jc w:val="right"/>
                      <w:rPr>
                        <w:szCs w:val="21"/>
                      </w:rPr>
                    </w:pPr>
                    <w:r>
                      <w:rPr>
                        <w:szCs w:val="21"/>
                      </w:rPr>
                      <w:t>21,430,414,851.76</w:t>
                    </w:r>
                  </w:p>
                </w:tc>
              </w:sdtContent>
            </w:sdt>
          </w:tr>
          <w:tr w:rsidR="00DE031E" w:rsidTr="00DE031E">
            <w:trPr>
              <w:jc w:val="center"/>
            </w:trPr>
            <w:tc>
              <w:tcPr>
                <w:tcW w:w="973" w:type="dxa"/>
              </w:tcPr>
              <w:p w:rsidR="00DE031E" w:rsidRDefault="001C1A59" w:rsidP="00DE031E">
                <w:pPr>
                  <w:rPr>
                    <w:szCs w:val="21"/>
                  </w:rPr>
                </w:pPr>
                <w:r>
                  <w:rPr>
                    <w:rFonts w:hint="eastAsia"/>
                    <w:szCs w:val="21"/>
                  </w:rPr>
                  <w:t>股票</w:t>
                </w:r>
              </w:p>
            </w:tc>
            <w:sdt>
              <w:sdtPr>
                <w:rPr>
                  <w:szCs w:val="21"/>
                </w:rPr>
                <w:alias w:val="为交易目的而持有的金融资产公允价值_股票"/>
                <w:tag w:val="_GBC_9c6be3875a2344fd8529e6e31f79c396"/>
                <w:id w:val="24723600"/>
                <w:lock w:val="sdtLocked"/>
              </w:sdtPr>
              <w:sdtEndPr>
                <w:rPr>
                  <w:rFonts w:hint="eastAsia"/>
                </w:rPr>
              </w:sdtEndPr>
              <w:sdtContent>
                <w:tc>
                  <w:tcPr>
                    <w:tcW w:w="2126" w:type="dxa"/>
                  </w:tcPr>
                  <w:p w:rsidR="00DE031E" w:rsidRDefault="001C1A59" w:rsidP="00DE031E">
                    <w:pPr>
                      <w:jc w:val="right"/>
                      <w:rPr>
                        <w:szCs w:val="21"/>
                      </w:rPr>
                    </w:pPr>
                    <w:r>
                      <w:rPr>
                        <w:szCs w:val="21"/>
                      </w:rPr>
                      <w:t>28,210,599,705.70</w:t>
                    </w:r>
                  </w:p>
                </w:tc>
              </w:sdtContent>
            </w:sdt>
            <w:sdt>
              <w:sdtPr>
                <w:rPr>
                  <w:szCs w:val="21"/>
                </w:rPr>
                <w:alias w:val="指定以公允价值计量且变动计入当期损益的金融资产公允价值_股票"/>
                <w:tag w:val="_GBC_a1f2d2f2796b4d168ccdf37727948fbb"/>
                <w:id w:val="24723601"/>
                <w:lock w:val="sdtLocked"/>
                <w:showingPlcHdr/>
              </w:sdtPr>
              <w:sdtEndPr>
                <w:rPr>
                  <w:rFonts w:hint="eastAsia"/>
                </w:rPr>
              </w:sdtEndPr>
              <w:sdtContent>
                <w:tc>
                  <w:tcPr>
                    <w:tcW w:w="2126" w:type="dxa"/>
                  </w:tcPr>
                  <w:p w:rsidR="00DE031E" w:rsidRDefault="00DE031E" w:rsidP="00DE031E">
                    <w:pPr>
                      <w:jc w:val="right"/>
                      <w:rPr>
                        <w:szCs w:val="21"/>
                      </w:rPr>
                    </w:pPr>
                  </w:p>
                </w:tc>
              </w:sdtContent>
            </w:sdt>
            <w:sdt>
              <w:sdtPr>
                <w:rPr>
                  <w:szCs w:val="21"/>
                </w:rPr>
                <w:alias w:val="公允价值合计_股票"/>
                <w:tag w:val="_GBC_1e3cca0bd17b4434b15871f814a5bf8b"/>
                <w:id w:val="24723602"/>
                <w:lock w:val="sdtLocked"/>
              </w:sdtPr>
              <w:sdtEndPr>
                <w:rPr>
                  <w:rFonts w:hint="eastAsia"/>
                </w:rPr>
              </w:sdtEndPr>
              <w:sdtContent>
                <w:tc>
                  <w:tcPr>
                    <w:tcW w:w="2126" w:type="dxa"/>
                  </w:tcPr>
                  <w:p w:rsidR="00DE031E" w:rsidRDefault="001C1A59" w:rsidP="00DE031E">
                    <w:pPr>
                      <w:jc w:val="right"/>
                      <w:rPr>
                        <w:szCs w:val="21"/>
                      </w:rPr>
                    </w:pPr>
                    <w:r>
                      <w:rPr>
                        <w:szCs w:val="21"/>
                      </w:rPr>
                      <w:t>28,210,599,705.70</w:t>
                    </w:r>
                  </w:p>
                </w:tc>
              </w:sdtContent>
            </w:sdt>
            <w:sdt>
              <w:sdtPr>
                <w:rPr>
                  <w:szCs w:val="21"/>
                </w:rPr>
                <w:alias w:val="为交易目的而持有的金融资产初始投资成本_股票"/>
                <w:tag w:val="_GBC_d82ec75343af4662a7b305f2966afe15"/>
                <w:id w:val="24723603"/>
                <w:lock w:val="sdtLocked"/>
              </w:sdtPr>
              <w:sdtEndPr>
                <w:rPr>
                  <w:rFonts w:hint="eastAsia"/>
                </w:rPr>
              </w:sdtEndPr>
              <w:sdtContent>
                <w:tc>
                  <w:tcPr>
                    <w:tcW w:w="2268" w:type="dxa"/>
                  </w:tcPr>
                  <w:p w:rsidR="00DE031E" w:rsidRDefault="001C1A59" w:rsidP="00DE031E">
                    <w:pPr>
                      <w:jc w:val="right"/>
                      <w:rPr>
                        <w:szCs w:val="21"/>
                      </w:rPr>
                    </w:pPr>
                    <w:r>
                      <w:rPr>
                        <w:szCs w:val="21"/>
                      </w:rPr>
                      <w:t>22,735,997,968.79</w:t>
                    </w:r>
                  </w:p>
                </w:tc>
              </w:sdtContent>
            </w:sdt>
            <w:sdt>
              <w:sdtPr>
                <w:rPr>
                  <w:szCs w:val="21"/>
                </w:rPr>
                <w:alias w:val="指定以公允价值计量且变动计入当期损益的金融资产初始投资成本_股票"/>
                <w:tag w:val="_GBC_c75dbfc300b449638c3ec9fde152d0f6"/>
                <w:id w:val="24723604"/>
                <w:lock w:val="sdtLocked"/>
                <w:showingPlcHdr/>
              </w:sdtPr>
              <w:sdtEndPr>
                <w:rPr>
                  <w:rFonts w:hint="eastAsia"/>
                </w:rPr>
              </w:sdtEndPr>
              <w:sdtContent>
                <w:tc>
                  <w:tcPr>
                    <w:tcW w:w="1985" w:type="dxa"/>
                  </w:tcPr>
                  <w:p w:rsidR="00DE031E" w:rsidRDefault="00DE031E" w:rsidP="00DE031E">
                    <w:pPr>
                      <w:jc w:val="right"/>
                      <w:rPr>
                        <w:szCs w:val="21"/>
                      </w:rPr>
                    </w:pPr>
                  </w:p>
                </w:tc>
              </w:sdtContent>
            </w:sdt>
            <w:sdt>
              <w:sdtPr>
                <w:rPr>
                  <w:szCs w:val="21"/>
                </w:rPr>
                <w:alias w:val="初始投资成本合计_股票"/>
                <w:tag w:val="_GBC_73d7688f1cae44dabd50dfacd6db5863"/>
                <w:id w:val="24723605"/>
                <w:lock w:val="sdtLocked"/>
              </w:sdtPr>
              <w:sdtEndPr>
                <w:rPr>
                  <w:rFonts w:hint="eastAsia"/>
                </w:rPr>
              </w:sdtEndPr>
              <w:sdtContent>
                <w:tc>
                  <w:tcPr>
                    <w:tcW w:w="2228" w:type="dxa"/>
                  </w:tcPr>
                  <w:p w:rsidR="00DE031E" w:rsidRDefault="001C1A59" w:rsidP="00DE031E">
                    <w:pPr>
                      <w:jc w:val="right"/>
                      <w:rPr>
                        <w:szCs w:val="21"/>
                      </w:rPr>
                    </w:pPr>
                    <w:r>
                      <w:rPr>
                        <w:szCs w:val="21"/>
                      </w:rPr>
                      <w:t>22,735,997,968.79</w:t>
                    </w:r>
                  </w:p>
                </w:tc>
              </w:sdtContent>
            </w:sdt>
          </w:tr>
          <w:tr w:rsidR="00DE031E" w:rsidTr="00DE031E">
            <w:trPr>
              <w:jc w:val="center"/>
            </w:trPr>
            <w:tc>
              <w:tcPr>
                <w:tcW w:w="973" w:type="dxa"/>
              </w:tcPr>
              <w:p w:rsidR="00DE031E" w:rsidRDefault="001C1A59" w:rsidP="00DE031E">
                <w:pPr>
                  <w:rPr>
                    <w:szCs w:val="21"/>
                  </w:rPr>
                </w:pPr>
                <w:r>
                  <w:rPr>
                    <w:rFonts w:hint="eastAsia"/>
                    <w:szCs w:val="21"/>
                  </w:rPr>
                  <w:t>基金</w:t>
                </w:r>
              </w:p>
            </w:tc>
            <w:sdt>
              <w:sdtPr>
                <w:rPr>
                  <w:szCs w:val="21"/>
                </w:rPr>
                <w:alias w:val="为交易目的而持有的金融资产公允价值_基金"/>
                <w:tag w:val="_GBC_b13d219358244dd2b6906650bc51752e"/>
                <w:id w:val="24723606"/>
                <w:lock w:val="sdtLocked"/>
              </w:sdtPr>
              <w:sdtEndPr>
                <w:rPr>
                  <w:rFonts w:hint="eastAsia"/>
                </w:rPr>
              </w:sdtEndPr>
              <w:sdtContent>
                <w:tc>
                  <w:tcPr>
                    <w:tcW w:w="2126" w:type="dxa"/>
                  </w:tcPr>
                  <w:p w:rsidR="00DE031E" w:rsidRDefault="001C1A59" w:rsidP="00DE031E">
                    <w:pPr>
                      <w:jc w:val="right"/>
                      <w:rPr>
                        <w:szCs w:val="21"/>
                      </w:rPr>
                    </w:pPr>
                    <w:r>
                      <w:rPr>
                        <w:szCs w:val="21"/>
                      </w:rPr>
                      <w:t>2,438,429,438.78</w:t>
                    </w:r>
                  </w:p>
                </w:tc>
              </w:sdtContent>
            </w:sdt>
            <w:sdt>
              <w:sdtPr>
                <w:rPr>
                  <w:szCs w:val="21"/>
                </w:rPr>
                <w:alias w:val="指定以公允价值计量且变动计入当期损益的金融资产公允价值_基金"/>
                <w:tag w:val="_GBC_f977e1226a014761865a83654c5ba4d4"/>
                <w:id w:val="24723607"/>
                <w:lock w:val="sdtLocked"/>
              </w:sdtPr>
              <w:sdtEndPr>
                <w:rPr>
                  <w:rFonts w:hint="eastAsia"/>
                </w:rPr>
              </w:sdtEndPr>
              <w:sdtContent>
                <w:tc>
                  <w:tcPr>
                    <w:tcW w:w="2126" w:type="dxa"/>
                  </w:tcPr>
                  <w:p w:rsidR="00DE031E" w:rsidRDefault="001C1A59" w:rsidP="00DE031E">
                    <w:pPr>
                      <w:jc w:val="right"/>
                      <w:rPr>
                        <w:szCs w:val="21"/>
                      </w:rPr>
                    </w:pPr>
                    <w:r>
                      <w:rPr>
                        <w:szCs w:val="21"/>
                      </w:rPr>
                      <w:t>39,530,502.99</w:t>
                    </w:r>
                  </w:p>
                </w:tc>
              </w:sdtContent>
            </w:sdt>
            <w:sdt>
              <w:sdtPr>
                <w:rPr>
                  <w:szCs w:val="21"/>
                </w:rPr>
                <w:alias w:val="公允价值合计_基金"/>
                <w:tag w:val="_GBC_2365b42d6af949468b1bda88cca94498"/>
                <w:id w:val="24723608"/>
                <w:lock w:val="sdtLocked"/>
              </w:sdtPr>
              <w:sdtEndPr>
                <w:rPr>
                  <w:rFonts w:hint="eastAsia"/>
                </w:rPr>
              </w:sdtEndPr>
              <w:sdtContent>
                <w:tc>
                  <w:tcPr>
                    <w:tcW w:w="2126" w:type="dxa"/>
                  </w:tcPr>
                  <w:p w:rsidR="00DE031E" w:rsidRDefault="001C1A59" w:rsidP="00DE031E">
                    <w:pPr>
                      <w:jc w:val="right"/>
                      <w:rPr>
                        <w:szCs w:val="21"/>
                      </w:rPr>
                    </w:pPr>
                    <w:r>
                      <w:rPr>
                        <w:szCs w:val="21"/>
                      </w:rPr>
                      <w:t>2,477,959,941.77</w:t>
                    </w:r>
                  </w:p>
                </w:tc>
              </w:sdtContent>
            </w:sdt>
            <w:sdt>
              <w:sdtPr>
                <w:rPr>
                  <w:szCs w:val="21"/>
                </w:rPr>
                <w:alias w:val="为交易目的而持有的金融资产初始投资成本_基金"/>
                <w:tag w:val="_GBC_a4654dbf08a04b068339990bf1c8f701"/>
                <w:id w:val="24723609"/>
                <w:lock w:val="sdtLocked"/>
              </w:sdtPr>
              <w:sdtEndPr>
                <w:rPr>
                  <w:rFonts w:hint="eastAsia"/>
                </w:rPr>
              </w:sdtEndPr>
              <w:sdtContent>
                <w:tc>
                  <w:tcPr>
                    <w:tcW w:w="2268" w:type="dxa"/>
                  </w:tcPr>
                  <w:p w:rsidR="00DE031E" w:rsidRDefault="001C1A59" w:rsidP="00DE031E">
                    <w:pPr>
                      <w:jc w:val="right"/>
                      <w:rPr>
                        <w:szCs w:val="21"/>
                      </w:rPr>
                    </w:pPr>
                    <w:r>
                      <w:rPr>
                        <w:szCs w:val="21"/>
                      </w:rPr>
                      <w:t>2,227,051,029.97</w:t>
                    </w:r>
                  </w:p>
                </w:tc>
              </w:sdtContent>
            </w:sdt>
            <w:sdt>
              <w:sdtPr>
                <w:rPr>
                  <w:szCs w:val="21"/>
                </w:rPr>
                <w:alias w:val="指定以公允价值计量且变动计入当期损益的金融资产初始投资成本_基金"/>
                <w:tag w:val="_GBC_4356586dff594441bc75fdb68d9f4343"/>
                <w:id w:val="24723610"/>
                <w:lock w:val="sdtLocked"/>
              </w:sdtPr>
              <w:sdtEndPr>
                <w:rPr>
                  <w:rFonts w:hint="eastAsia"/>
                </w:rPr>
              </w:sdtEndPr>
              <w:sdtContent>
                <w:tc>
                  <w:tcPr>
                    <w:tcW w:w="1985" w:type="dxa"/>
                  </w:tcPr>
                  <w:p w:rsidR="00DE031E" w:rsidRDefault="001C1A59" w:rsidP="00DE031E">
                    <w:pPr>
                      <w:jc w:val="right"/>
                      <w:rPr>
                        <w:szCs w:val="21"/>
                      </w:rPr>
                    </w:pPr>
                    <w:r>
                      <w:rPr>
                        <w:szCs w:val="21"/>
                      </w:rPr>
                      <w:t>46,069,072.42</w:t>
                    </w:r>
                  </w:p>
                </w:tc>
              </w:sdtContent>
            </w:sdt>
            <w:sdt>
              <w:sdtPr>
                <w:rPr>
                  <w:szCs w:val="21"/>
                </w:rPr>
                <w:alias w:val="初始投资成本合计_基金"/>
                <w:tag w:val="_GBC_705bd58db84f4514be23c3022c87f549"/>
                <w:id w:val="24723611"/>
                <w:lock w:val="sdtLocked"/>
              </w:sdtPr>
              <w:sdtEndPr>
                <w:rPr>
                  <w:rFonts w:hint="eastAsia"/>
                </w:rPr>
              </w:sdtEndPr>
              <w:sdtContent>
                <w:tc>
                  <w:tcPr>
                    <w:tcW w:w="2228" w:type="dxa"/>
                  </w:tcPr>
                  <w:p w:rsidR="00DE031E" w:rsidRDefault="001C1A59" w:rsidP="00DE031E">
                    <w:pPr>
                      <w:jc w:val="right"/>
                      <w:rPr>
                        <w:szCs w:val="21"/>
                      </w:rPr>
                    </w:pPr>
                    <w:r>
                      <w:rPr>
                        <w:szCs w:val="21"/>
                      </w:rPr>
                      <w:t>2,273,120,102.39</w:t>
                    </w:r>
                  </w:p>
                </w:tc>
              </w:sdtContent>
            </w:sdt>
          </w:tr>
          <w:tr w:rsidR="00DE031E" w:rsidTr="00DE031E">
            <w:trPr>
              <w:jc w:val="center"/>
            </w:trPr>
            <w:tc>
              <w:tcPr>
                <w:tcW w:w="973" w:type="dxa"/>
              </w:tcPr>
              <w:p w:rsidR="00DE031E" w:rsidRDefault="001C1A59" w:rsidP="00DE031E">
                <w:pPr>
                  <w:rPr>
                    <w:szCs w:val="21"/>
                  </w:rPr>
                </w:pPr>
                <w:r>
                  <w:rPr>
                    <w:rFonts w:hint="eastAsia"/>
                    <w:szCs w:val="21"/>
                  </w:rPr>
                  <w:t>其他</w:t>
                </w:r>
              </w:p>
            </w:tc>
            <w:sdt>
              <w:sdtPr>
                <w:rPr>
                  <w:szCs w:val="21"/>
                </w:rPr>
                <w:alias w:val="为交易目的而持有的金融资产公允价值_其他"/>
                <w:tag w:val="_GBC_3907779f50854e9b8d6e355199adfa02"/>
                <w:id w:val="24723612"/>
                <w:lock w:val="sdtLocked"/>
              </w:sdtPr>
              <w:sdtEndPr>
                <w:rPr>
                  <w:rFonts w:hint="eastAsia"/>
                </w:rPr>
              </w:sdtEndPr>
              <w:sdtContent>
                <w:tc>
                  <w:tcPr>
                    <w:tcW w:w="2126" w:type="dxa"/>
                  </w:tcPr>
                  <w:p w:rsidR="00DE031E" w:rsidRDefault="001C1A59" w:rsidP="00DE031E">
                    <w:pPr>
                      <w:jc w:val="right"/>
                      <w:rPr>
                        <w:szCs w:val="21"/>
                      </w:rPr>
                    </w:pPr>
                    <w:r>
                      <w:rPr>
                        <w:szCs w:val="21"/>
                      </w:rPr>
                      <w:t>1,328,537,819.80</w:t>
                    </w:r>
                  </w:p>
                </w:tc>
              </w:sdtContent>
            </w:sdt>
            <w:sdt>
              <w:sdtPr>
                <w:rPr>
                  <w:szCs w:val="21"/>
                </w:rPr>
                <w:alias w:val="指定以公允价值计量且变动计入当期损益的金融资产公允价值_其他"/>
                <w:tag w:val="_GBC_db0fe2276da64c14940ac5533a31b22f"/>
                <w:id w:val="24723613"/>
                <w:lock w:val="sdtLocked"/>
              </w:sdtPr>
              <w:sdtEndPr>
                <w:rPr>
                  <w:rFonts w:hint="eastAsia"/>
                </w:rPr>
              </w:sdtEndPr>
              <w:sdtContent>
                <w:tc>
                  <w:tcPr>
                    <w:tcW w:w="2126" w:type="dxa"/>
                  </w:tcPr>
                  <w:p w:rsidR="00DE031E" w:rsidRDefault="001C1A59" w:rsidP="00DE031E">
                    <w:pPr>
                      <w:jc w:val="right"/>
                      <w:rPr>
                        <w:szCs w:val="21"/>
                      </w:rPr>
                    </w:pPr>
                    <w:r>
                      <w:rPr>
                        <w:szCs w:val="21"/>
                      </w:rPr>
                      <w:t>1,437,468,389.18</w:t>
                    </w:r>
                  </w:p>
                </w:tc>
              </w:sdtContent>
            </w:sdt>
            <w:sdt>
              <w:sdtPr>
                <w:rPr>
                  <w:szCs w:val="21"/>
                </w:rPr>
                <w:alias w:val="公允价值合计_其他"/>
                <w:tag w:val="_GBC_20b1afb042d540cd9e7be0a4e7067c6e"/>
                <w:id w:val="24723614"/>
                <w:lock w:val="sdtLocked"/>
              </w:sdtPr>
              <w:sdtEndPr>
                <w:rPr>
                  <w:rFonts w:hint="eastAsia"/>
                </w:rPr>
              </w:sdtEndPr>
              <w:sdtContent>
                <w:tc>
                  <w:tcPr>
                    <w:tcW w:w="2126" w:type="dxa"/>
                  </w:tcPr>
                  <w:p w:rsidR="00DE031E" w:rsidRDefault="001C1A59" w:rsidP="00DE031E">
                    <w:pPr>
                      <w:jc w:val="right"/>
                      <w:rPr>
                        <w:szCs w:val="21"/>
                      </w:rPr>
                    </w:pPr>
                    <w:r>
                      <w:rPr>
                        <w:szCs w:val="21"/>
                      </w:rPr>
                      <w:t>2,766,006,208.98</w:t>
                    </w:r>
                  </w:p>
                </w:tc>
              </w:sdtContent>
            </w:sdt>
            <w:sdt>
              <w:sdtPr>
                <w:rPr>
                  <w:szCs w:val="21"/>
                </w:rPr>
                <w:alias w:val="为交易目的而持有的金融资产初始投资成本_其他"/>
                <w:tag w:val="_GBC_25e7aa5dd82c44dab0d2a1250e5891e2"/>
                <w:id w:val="24723615"/>
                <w:lock w:val="sdtLocked"/>
              </w:sdtPr>
              <w:sdtEndPr>
                <w:rPr>
                  <w:rFonts w:hint="eastAsia"/>
                </w:rPr>
              </w:sdtEndPr>
              <w:sdtContent>
                <w:tc>
                  <w:tcPr>
                    <w:tcW w:w="2268" w:type="dxa"/>
                  </w:tcPr>
                  <w:p w:rsidR="00DE031E" w:rsidRDefault="001C1A59" w:rsidP="00DE031E">
                    <w:pPr>
                      <w:jc w:val="right"/>
                      <w:rPr>
                        <w:szCs w:val="21"/>
                      </w:rPr>
                    </w:pPr>
                    <w:r>
                      <w:rPr>
                        <w:szCs w:val="21"/>
                      </w:rPr>
                      <w:t>1,278,017,105.69</w:t>
                    </w:r>
                  </w:p>
                </w:tc>
              </w:sdtContent>
            </w:sdt>
            <w:sdt>
              <w:sdtPr>
                <w:rPr>
                  <w:szCs w:val="21"/>
                </w:rPr>
                <w:alias w:val="指定以公允价值计量且变动计入当期损益的金融资产初始投资成本_其他"/>
                <w:tag w:val="_GBC_fd43d23948184956a4e378f36e185e82"/>
                <w:id w:val="24723616"/>
                <w:lock w:val="sdtLocked"/>
              </w:sdtPr>
              <w:sdtEndPr>
                <w:rPr>
                  <w:rFonts w:hint="eastAsia"/>
                </w:rPr>
              </w:sdtEndPr>
              <w:sdtContent>
                <w:tc>
                  <w:tcPr>
                    <w:tcW w:w="1985" w:type="dxa"/>
                  </w:tcPr>
                  <w:p w:rsidR="00DE031E" w:rsidRDefault="001C1A59" w:rsidP="00DE031E">
                    <w:pPr>
                      <w:jc w:val="right"/>
                      <w:rPr>
                        <w:szCs w:val="21"/>
                      </w:rPr>
                    </w:pPr>
                    <w:r>
                      <w:rPr>
                        <w:szCs w:val="21"/>
                      </w:rPr>
                      <w:t>1,160,276,029.80</w:t>
                    </w:r>
                  </w:p>
                </w:tc>
              </w:sdtContent>
            </w:sdt>
            <w:sdt>
              <w:sdtPr>
                <w:rPr>
                  <w:szCs w:val="21"/>
                </w:rPr>
                <w:alias w:val="初始投资成本合计_其他"/>
                <w:tag w:val="_GBC_87ea101bc4384724b933f450bb0ed0fb"/>
                <w:id w:val="24723617"/>
                <w:lock w:val="sdtLocked"/>
              </w:sdtPr>
              <w:sdtEndPr>
                <w:rPr>
                  <w:rFonts w:hint="eastAsia"/>
                </w:rPr>
              </w:sdtEndPr>
              <w:sdtContent>
                <w:tc>
                  <w:tcPr>
                    <w:tcW w:w="2228" w:type="dxa"/>
                  </w:tcPr>
                  <w:p w:rsidR="00DE031E" w:rsidRDefault="001C1A59" w:rsidP="00DE031E">
                    <w:pPr>
                      <w:jc w:val="right"/>
                      <w:rPr>
                        <w:szCs w:val="21"/>
                      </w:rPr>
                    </w:pPr>
                    <w:r>
                      <w:rPr>
                        <w:szCs w:val="21"/>
                      </w:rPr>
                      <w:t>2,438,293,135.49</w:t>
                    </w:r>
                  </w:p>
                </w:tc>
              </w:sdtContent>
            </w:sdt>
          </w:tr>
          <w:tr w:rsidR="00DE031E" w:rsidTr="00DE031E">
            <w:trPr>
              <w:jc w:val="center"/>
            </w:trPr>
            <w:tc>
              <w:tcPr>
                <w:tcW w:w="973" w:type="dxa"/>
              </w:tcPr>
              <w:p w:rsidR="00DE031E" w:rsidRDefault="001C1A59" w:rsidP="00DE031E">
                <w:pPr>
                  <w:rPr>
                    <w:szCs w:val="21"/>
                  </w:rPr>
                </w:pPr>
                <w:r>
                  <w:rPr>
                    <w:rFonts w:hint="eastAsia"/>
                    <w:szCs w:val="21"/>
                  </w:rPr>
                  <w:t>合计</w:t>
                </w:r>
              </w:p>
            </w:tc>
            <w:sdt>
              <w:sdtPr>
                <w:rPr>
                  <w:szCs w:val="21"/>
                </w:rPr>
                <w:alias w:val="为交易目的而持有的金融资产公允价值合计"/>
                <w:tag w:val="_GBC_96ef719d1c5a4d109236d6ccd4b59b58"/>
                <w:id w:val="24723618"/>
                <w:lock w:val="sdtLocked"/>
              </w:sdtPr>
              <w:sdtEndPr>
                <w:rPr>
                  <w:rFonts w:hint="eastAsia"/>
                </w:rPr>
              </w:sdtEndPr>
              <w:sdtContent>
                <w:tc>
                  <w:tcPr>
                    <w:tcW w:w="2126" w:type="dxa"/>
                  </w:tcPr>
                  <w:p w:rsidR="00DE031E" w:rsidRDefault="001C1A59" w:rsidP="00DE031E">
                    <w:pPr>
                      <w:jc w:val="right"/>
                      <w:rPr>
                        <w:szCs w:val="21"/>
                      </w:rPr>
                    </w:pPr>
                    <w:r>
                      <w:rPr>
                        <w:szCs w:val="21"/>
                      </w:rPr>
                      <w:t>53,889,850,604.28</w:t>
                    </w:r>
                  </w:p>
                </w:tc>
              </w:sdtContent>
            </w:sdt>
            <w:sdt>
              <w:sdtPr>
                <w:rPr>
                  <w:szCs w:val="21"/>
                </w:rPr>
                <w:alias w:val="指定为以公允价值计量且其变动计入当期损益的金融资产"/>
                <w:tag w:val="_GBC_0d3fa214e3094a36974713169577e934"/>
                <w:id w:val="24723619"/>
                <w:lock w:val="sdtLocked"/>
              </w:sdtPr>
              <w:sdtEndPr>
                <w:rPr>
                  <w:rFonts w:hint="eastAsia"/>
                </w:rPr>
              </w:sdtEndPr>
              <w:sdtContent>
                <w:tc>
                  <w:tcPr>
                    <w:tcW w:w="2126" w:type="dxa"/>
                  </w:tcPr>
                  <w:p w:rsidR="00DE031E" w:rsidRDefault="001C1A59" w:rsidP="00DE031E">
                    <w:pPr>
                      <w:jc w:val="right"/>
                      <w:rPr>
                        <w:szCs w:val="21"/>
                      </w:rPr>
                    </w:pPr>
                    <w:r>
                      <w:rPr>
                        <w:szCs w:val="21"/>
                      </w:rPr>
                      <w:t>1,476,998,892.17</w:t>
                    </w:r>
                  </w:p>
                </w:tc>
              </w:sdtContent>
            </w:sdt>
            <w:sdt>
              <w:sdtPr>
                <w:rPr>
                  <w:szCs w:val="21"/>
                </w:rPr>
                <w:alias w:val="以公允价值计量且其变动计入当期损益的金融资产"/>
                <w:tag w:val="_GBC_f8efce21cb844b7cb25f0f5b882378d5"/>
                <w:id w:val="24723620"/>
                <w:lock w:val="sdtLocked"/>
              </w:sdtPr>
              <w:sdtEndPr>
                <w:rPr>
                  <w:rFonts w:hint="eastAsia"/>
                </w:rPr>
              </w:sdtEndPr>
              <w:sdtContent>
                <w:tc>
                  <w:tcPr>
                    <w:tcW w:w="2126" w:type="dxa"/>
                  </w:tcPr>
                  <w:p w:rsidR="00DE031E" w:rsidRDefault="001C1A59" w:rsidP="00DE031E">
                    <w:pPr>
                      <w:jc w:val="right"/>
                      <w:rPr>
                        <w:szCs w:val="21"/>
                      </w:rPr>
                    </w:pPr>
                    <w:r>
                      <w:rPr>
                        <w:szCs w:val="21"/>
                      </w:rPr>
                      <w:t>55,366,849,496.45</w:t>
                    </w:r>
                  </w:p>
                </w:tc>
              </w:sdtContent>
            </w:sdt>
            <w:sdt>
              <w:sdtPr>
                <w:rPr>
                  <w:szCs w:val="21"/>
                </w:rPr>
                <w:alias w:val="为交易目的而持有的金融资产初始投资成本合计"/>
                <w:tag w:val="_GBC_4bf6777118b84e66a083beee03c116da"/>
                <w:id w:val="24723621"/>
                <w:lock w:val="sdtLocked"/>
              </w:sdtPr>
              <w:sdtEndPr>
                <w:rPr>
                  <w:rFonts w:hint="eastAsia"/>
                </w:rPr>
              </w:sdtEndPr>
              <w:sdtContent>
                <w:tc>
                  <w:tcPr>
                    <w:tcW w:w="2268" w:type="dxa"/>
                  </w:tcPr>
                  <w:p w:rsidR="00DE031E" w:rsidRDefault="001C1A59" w:rsidP="00DE031E">
                    <w:pPr>
                      <w:jc w:val="right"/>
                      <w:rPr>
                        <w:szCs w:val="21"/>
                      </w:rPr>
                    </w:pPr>
                    <w:r>
                      <w:rPr>
                        <w:szCs w:val="21"/>
                      </w:rPr>
                      <w:t>47,671,480,956.21</w:t>
                    </w:r>
                  </w:p>
                </w:tc>
              </w:sdtContent>
            </w:sdt>
            <w:sdt>
              <w:sdtPr>
                <w:rPr>
                  <w:szCs w:val="21"/>
                </w:rPr>
                <w:alias w:val="指定以公允价值计量且变动计入当期损益的金融资产初始投资成本_合计"/>
                <w:tag w:val="_GBC_41c71e21b8fc4bd3a462a0f1442cf55a"/>
                <w:id w:val="24723622"/>
                <w:lock w:val="sdtLocked"/>
              </w:sdtPr>
              <w:sdtEndPr>
                <w:rPr>
                  <w:rFonts w:hint="eastAsia"/>
                </w:rPr>
              </w:sdtEndPr>
              <w:sdtContent>
                <w:tc>
                  <w:tcPr>
                    <w:tcW w:w="1985" w:type="dxa"/>
                  </w:tcPr>
                  <w:p w:rsidR="00DE031E" w:rsidRDefault="001C1A59" w:rsidP="00DE031E">
                    <w:pPr>
                      <w:jc w:val="right"/>
                      <w:rPr>
                        <w:szCs w:val="21"/>
                      </w:rPr>
                    </w:pPr>
                    <w:r>
                      <w:rPr>
                        <w:szCs w:val="21"/>
                      </w:rPr>
                      <w:t>1,206,345,102.22</w:t>
                    </w:r>
                  </w:p>
                </w:tc>
              </w:sdtContent>
            </w:sdt>
            <w:sdt>
              <w:sdtPr>
                <w:rPr>
                  <w:szCs w:val="21"/>
                </w:rPr>
                <w:alias w:val="初始投资成本合计"/>
                <w:tag w:val="_GBC_e003f66d6bda44a286dc7e2a802bd1ee"/>
                <w:id w:val="24723623"/>
                <w:lock w:val="sdtLocked"/>
              </w:sdtPr>
              <w:sdtEndPr>
                <w:rPr>
                  <w:rFonts w:hint="eastAsia"/>
                </w:rPr>
              </w:sdtEndPr>
              <w:sdtContent>
                <w:tc>
                  <w:tcPr>
                    <w:tcW w:w="2228" w:type="dxa"/>
                  </w:tcPr>
                  <w:p w:rsidR="00DE031E" w:rsidRDefault="001C1A59" w:rsidP="00DE031E">
                    <w:pPr>
                      <w:jc w:val="right"/>
                      <w:rPr>
                        <w:szCs w:val="21"/>
                      </w:rPr>
                    </w:pPr>
                    <w:r>
                      <w:rPr>
                        <w:szCs w:val="21"/>
                      </w:rPr>
                      <w:t>48,877,826,058.43</w:t>
                    </w:r>
                  </w:p>
                </w:tc>
              </w:sdtContent>
            </w:sdt>
          </w:tr>
          <w:tr w:rsidR="00DE031E" w:rsidTr="00DE031E">
            <w:trPr>
              <w:jc w:val="center"/>
            </w:trPr>
            <w:tc>
              <w:tcPr>
                <w:tcW w:w="13832" w:type="dxa"/>
                <w:gridSpan w:val="7"/>
              </w:tcPr>
              <w:p w:rsidR="00DE031E" w:rsidRDefault="001C1A59" w:rsidP="00DE031E">
                <w:pPr>
                  <w:jc w:val="center"/>
                  <w:rPr>
                    <w:szCs w:val="21"/>
                  </w:rPr>
                </w:pPr>
                <w:r>
                  <w:rPr>
                    <w:rFonts w:hint="eastAsia"/>
                    <w:szCs w:val="21"/>
                  </w:rPr>
                  <w:t>期初余额</w:t>
                </w:r>
              </w:p>
            </w:tc>
          </w:tr>
          <w:tr w:rsidR="00DE031E" w:rsidTr="00DE031E">
            <w:trPr>
              <w:jc w:val="center"/>
            </w:trPr>
            <w:tc>
              <w:tcPr>
                <w:tcW w:w="973" w:type="dxa"/>
              </w:tcPr>
              <w:p w:rsidR="00DE031E" w:rsidRDefault="00DE031E" w:rsidP="00DE031E">
                <w:pPr>
                  <w:rPr>
                    <w:szCs w:val="21"/>
                  </w:rPr>
                </w:pPr>
              </w:p>
            </w:tc>
            <w:tc>
              <w:tcPr>
                <w:tcW w:w="6378" w:type="dxa"/>
                <w:gridSpan w:val="3"/>
              </w:tcPr>
              <w:p w:rsidR="00DE031E" w:rsidRDefault="001C1A59" w:rsidP="00DE031E">
                <w:pPr>
                  <w:jc w:val="center"/>
                  <w:rPr>
                    <w:szCs w:val="21"/>
                  </w:rPr>
                </w:pPr>
                <w:r>
                  <w:rPr>
                    <w:rFonts w:hint="eastAsia"/>
                    <w:szCs w:val="21"/>
                  </w:rPr>
                  <w:t>公允价值</w:t>
                </w:r>
              </w:p>
            </w:tc>
            <w:tc>
              <w:tcPr>
                <w:tcW w:w="6481" w:type="dxa"/>
                <w:gridSpan w:val="3"/>
              </w:tcPr>
              <w:p w:rsidR="00DE031E" w:rsidRDefault="001C1A59" w:rsidP="00DE031E">
                <w:pPr>
                  <w:jc w:val="center"/>
                  <w:rPr>
                    <w:szCs w:val="21"/>
                  </w:rPr>
                </w:pPr>
                <w:r>
                  <w:rPr>
                    <w:rFonts w:hint="eastAsia"/>
                    <w:szCs w:val="21"/>
                  </w:rPr>
                  <w:t>初始投资成本</w:t>
                </w:r>
              </w:p>
            </w:tc>
          </w:tr>
          <w:tr w:rsidR="00DE031E" w:rsidTr="00DE031E">
            <w:trPr>
              <w:jc w:val="center"/>
            </w:trPr>
            <w:tc>
              <w:tcPr>
                <w:tcW w:w="973" w:type="dxa"/>
                <w:vAlign w:val="center"/>
              </w:tcPr>
              <w:p w:rsidR="00DE031E" w:rsidRDefault="001C1A59" w:rsidP="00DE031E">
                <w:pPr>
                  <w:jc w:val="center"/>
                  <w:rPr>
                    <w:szCs w:val="21"/>
                  </w:rPr>
                </w:pPr>
                <w:r>
                  <w:rPr>
                    <w:rFonts w:hint="eastAsia"/>
                    <w:szCs w:val="21"/>
                  </w:rPr>
                  <w:t>项目</w:t>
                </w:r>
              </w:p>
            </w:tc>
            <w:tc>
              <w:tcPr>
                <w:tcW w:w="2126" w:type="dxa"/>
                <w:vAlign w:val="center"/>
              </w:tcPr>
              <w:p w:rsidR="00DE031E" w:rsidRDefault="001C1A59" w:rsidP="00DE031E">
                <w:pPr>
                  <w:jc w:val="center"/>
                  <w:rPr>
                    <w:szCs w:val="21"/>
                  </w:rPr>
                </w:pPr>
                <w:r>
                  <w:rPr>
                    <w:rFonts w:hint="eastAsia"/>
                    <w:szCs w:val="21"/>
                  </w:rPr>
                  <w:t>为交易目的而持有的金融资产</w:t>
                </w:r>
              </w:p>
            </w:tc>
            <w:tc>
              <w:tcPr>
                <w:tcW w:w="2126" w:type="dxa"/>
                <w:vAlign w:val="center"/>
              </w:tcPr>
              <w:p w:rsidR="00DE031E" w:rsidRDefault="001C1A59" w:rsidP="00DE031E">
                <w:pPr>
                  <w:jc w:val="center"/>
                  <w:rPr>
                    <w:szCs w:val="21"/>
                  </w:rPr>
                </w:pPr>
                <w:r>
                  <w:rPr>
                    <w:rFonts w:hint="eastAsia"/>
                    <w:szCs w:val="21"/>
                  </w:rPr>
                  <w:t>指定以公允价值计量且变动计入当期损益的金融资产</w:t>
                </w:r>
              </w:p>
            </w:tc>
            <w:tc>
              <w:tcPr>
                <w:tcW w:w="2126" w:type="dxa"/>
                <w:vAlign w:val="center"/>
              </w:tcPr>
              <w:p w:rsidR="00DE031E" w:rsidRDefault="001C1A59" w:rsidP="00DE031E">
                <w:pPr>
                  <w:jc w:val="center"/>
                  <w:rPr>
                    <w:szCs w:val="21"/>
                  </w:rPr>
                </w:pPr>
                <w:r>
                  <w:rPr>
                    <w:rFonts w:hint="eastAsia"/>
                    <w:szCs w:val="21"/>
                  </w:rPr>
                  <w:t>公允价值合计</w:t>
                </w:r>
              </w:p>
            </w:tc>
            <w:tc>
              <w:tcPr>
                <w:tcW w:w="2268" w:type="dxa"/>
                <w:vAlign w:val="center"/>
              </w:tcPr>
              <w:p w:rsidR="00DE031E" w:rsidRDefault="001C1A59" w:rsidP="00DE031E">
                <w:pPr>
                  <w:jc w:val="center"/>
                  <w:rPr>
                    <w:szCs w:val="21"/>
                  </w:rPr>
                </w:pPr>
                <w:r>
                  <w:rPr>
                    <w:rFonts w:hint="eastAsia"/>
                    <w:szCs w:val="21"/>
                  </w:rPr>
                  <w:t>为交易目的而持有的金融资产</w:t>
                </w:r>
              </w:p>
            </w:tc>
            <w:tc>
              <w:tcPr>
                <w:tcW w:w="1985" w:type="dxa"/>
                <w:vAlign w:val="center"/>
              </w:tcPr>
              <w:p w:rsidR="00DE031E" w:rsidRDefault="001C1A59" w:rsidP="00DE031E">
                <w:pPr>
                  <w:jc w:val="center"/>
                  <w:rPr>
                    <w:szCs w:val="21"/>
                  </w:rPr>
                </w:pPr>
                <w:r>
                  <w:rPr>
                    <w:rFonts w:hint="eastAsia"/>
                    <w:szCs w:val="21"/>
                  </w:rPr>
                  <w:t>指定以公允价值计量且变动计入当期损益的金融资产</w:t>
                </w:r>
              </w:p>
            </w:tc>
            <w:tc>
              <w:tcPr>
                <w:tcW w:w="2228" w:type="dxa"/>
                <w:vAlign w:val="center"/>
              </w:tcPr>
              <w:p w:rsidR="00DE031E" w:rsidRDefault="001C1A59" w:rsidP="00DE031E">
                <w:pPr>
                  <w:jc w:val="center"/>
                  <w:rPr>
                    <w:szCs w:val="21"/>
                  </w:rPr>
                </w:pPr>
                <w:r>
                  <w:rPr>
                    <w:rFonts w:hint="eastAsia"/>
                    <w:szCs w:val="21"/>
                  </w:rPr>
                  <w:t>初始投资成本合计</w:t>
                </w:r>
              </w:p>
            </w:tc>
          </w:tr>
          <w:tr w:rsidR="00DE031E" w:rsidTr="00DE031E">
            <w:trPr>
              <w:jc w:val="center"/>
            </w:trPr>
            <w:tc>
              <w:tcPr>
                <w:tcW w:w="973" w:type="dxa"/>
              </w:tcPr>
              <w:p w:rsidR="00DE031E" w:rsidRDefault="001C1A59" w:rsidP="00DE031E">
                <w:pPr>
                  <w:rPr>
                    <w:szCs w:val="21"/>
                  </w:rPr>
                </w:pPr>
                <w:r>
                  <w:rPr>
                    <w:rFonts w:hint="eastAsia"/>
                    <w:szCs w:val="21"/>
                  </w:rPr>
                  <w:t>债券</w:t>
                </w:r>
              </w:p>
            </w:tc>
            <w:sdt>
              <w:sdtPr>
                <w:rPr>
                  <w:szCs w:val="21"/>
                </w:rPr>
                <w:alias w:val="为交易目的而持有的金融资产公允价值_债券"/>
                <w:tag w:val="_GBC_a42a80043fe8497195adc406fbb806ac"/>
                <w:id w:val="24723624"/>
                <w:lock w:val="sdtLocked"/>
              </w:sdtPr>
              <w:sdtEndPr>
                <w:rPr>
                  <w:rFonts w:hint="eastAsia"/>
                </w:rPr>
              </w:sdtEndPr>
              <w:sdtContent>
                <w:tc>
                  <w:tcPr>
                    <w:tcW w:w="2126" w:type="dxa"/>
                  </w:tcPr>
                  <w:p w:rsidR="00DE031E" w:rsidRDefault="001C1A59" w:rsidP="00DE031E">
                    <w:pPr>
                      <w:jc w:val="right"/>
                      <w:rPr>
                        <w:szCs w:val="21"/>
                      </w:rPr>
                    </w:pPr>
                    <w:r>
                      <w:rPr>
                        <w:szCs w:val="21"/>
                      </w:rPr>
                      <w:t>16,307,164,068.13</w:t>
                    </w:r>
                  </w:p>
                </w:tc>
              </w:sdtContent>
            </w:sdt>
            <w:sdt>
              <w:sdtPr>
                <w:rPr>
                  <w:szCs w:val="21"/>
                </w:rPr>
                <w:alias w:val="指定以公允价值计量且变动计入当期损益的金融资产公允价值_债券"/>
                <w:tag w:val="_GBC_9a1cdf827ae04edaa8617464b0315870"/>
                <w:id w:val="24723625"/>
                <w:lock w:val="sdtLocked"/>
                <w:showingPlcHdr/>
              </w:sdtPr>
              <w:sdtEndPr>
                <w:rPr>
                  <w:rFonts w:hint="eastAsia"/>
                </w:rPr>
              </w:sdtEndPr>
              <w:sdtContent>
                <w:tc>
                  <w:tcPr>
                    <w:tcW w:w="2126" w:type="dxa"/>
                  </w:tcPr>
                  <w:p w:rsidR="00DE031E" w:rsidRDefault="00DE031E" w:rsidP="00DE031E">
                    <w:pPr>
                      <w:jc w:val="right"/>
                      <w:rPr>
                        <w:szCs w:val="21"/>
                      </w:rPr>
                    </w:pPr>
                  </w:p>
                </w:tc>
              </w:sdtContent>
            </w:sdt>
            <w:sdt>
              <w:sdtPr>
                <w:rPr>
                  <w:szCs w:val="21"/>
                </w:rPr>
                <w:alias w:val="公允价值合计_债券"/>
                <w:tag w:val="_GBC_9becff614f4e494684104cc0b979f813"/>
                <w:id w:val="24723626"/>
                <w:lock w:val="sdtLocked"/>
              </w:sdtPr>
              <w:sdtEndPr>
                <w:rPr>
                  <w:rFonts w:hint="eastAsia"/>
                </w:rPr>
              </w:sdtEndPr>
              <w:sdtContent>
                <w:tc>
                  <w:tcPr>
                    <w:tcW w:w="2126" w:type="dxa"/>
                  </w:tcPr>
                  <w:p w:rsidR="00DE031E" w:rsidRDefault="001C1A59" w:rsidP="00DE031E">
                    <w:pPr>
                      <w:jc w:val="right"/>
                      <w:rPr>
                        <w:szCs w:val="21"/>
                      </w:rPr>
                    </w:pPr>
                    <w:r>
                      <w:rPr>
                        <w:szCs w:val="21"/>
                      </w:rPr>
                      <w:t>16,307,164,068.13</w:t>
                    </w:r>
                  </w:p>
                </w:tc>
              </w:sdtContent>
            </w:sdt>
            <w:sdt>
              <w:sdtPr>
                <w:rPr>
                  <w:szCs w:val="21"/>
                </w:rPr>
                <w:alias w:val="为交易目的而持有的金融资产初始投资成本_债券"/>
                <w:tag w:val="_GBC_95a125f6c0e04cd6bd2aff4493abcb47"/>
                <w:id w:val="24723627"/>
                <w:lock w:val="sdtLocked"/>
              </w:sdtPr>
              <w:sdtEndPr>
                <w:rPr>
                  <w:rFonts w:hint="eastAsia"/>
                </w:rPr>
              </w:sdtEndPr>
              <w:sdtContent>
                <w:tc>
                  <w:tcPr>
                    <w:tcW w:w="2268" w:type="dxa"/>
                  </w:tcPr>
                  <w:p w:rsidR="00DE031E" w:rsidRDefault="001C1A59" w:rsidP="00DE031E">
                    <w:pPr>
                      <w:jc w:val="right"/>
                      <w:rPr>
                        <w:szCs w:val="21"/>
                      </w:rPr>
                    </w:pPr>
                    <w:r>
                      <w:rPr>
                        <w:szCs w:val="21"/>
                      </w:rPr>
                      <w:t>15,839,799,308.37</w:t>
                    </w:r>
                  </w:p>
                </w:tc>
              </w:sdtContent>
            </w:sdt>
            <w:sdt>
              <w:sdtPr>
                <w:rPr>
                  <w:szCs w:val="21"/>
                </w:rPr>
                <w:alias w:val="指定以公允价值计量且变动计入当期损益的金融资产初始投资成本_债券"/>
                <w:tag w:val="_GBC_504fc62847664f62a93b116823ee99b1"/>
                <w:id w:val="24723628"/>
                <w:lock w:val="sdtLocked"/>
                <w:showingPlcHdr/>
              </w:sdtPr>
              <w:sdtEndPr>
                <w:rPr>
                  <w:rFonts w:hint="eastAsia"/>
                </w:rPr>
              </w:sdtEndPr>
              <w:sdtContent>
                <w:tc>
                  <w:tcPr>
                    <w:tcW w:w="1985" w:type="dxa"/>
                  </w:tcPr>
                  <w:p w:rsidR="00DE031E" w:rsidRDefault="00DE031E" w:rsidP="00DE031E">
                    <w:pPr>
                      <w:jc w:val="right"/>
                      <w:rPr>
                        <w:szCs w:val="21"/>
                      </w:rPr>
                    </w:pPr>
                  </w:p>
                </w:tc>
              </w:sdtContent>
            </w:sdt>
            <w:sdt>
              <w:sdtPr>
                <w:rPr>
                  <w:szCs w:val="21"/>
                </w:rPr>
                <w:alias w:val="初始投资成本合计_债券"/>
                <w:tag w:val="_GBC_6e288af98a5c4cfe80a41bdf709ec749"/>
                <w:id w:val="24723629"/>
                <w:lock w:val="sdtLocked"/>
              </w:sdtPr>
              <w:sdtEndPr>
                <w:rPr>
                  <w:rFonts w:hint="eastAsia"/>
                </w:rPr>
              </w:sdtEndPr>
              <w:sdtContent>
                <w:tc>
                  <w:tcPr>
                    <w:tcW w:w="2228" w:type="dxa"/>
                  </w:tcPr>
                  <w:p w:rsidR="00DE031E" w:rsidRDefault="001C1A59" w:rsidP="00DE031E">
                    <w:pPr>
                      <w:jc w:val="right"/>
                      <w:rPr>
                        <w:szCs w:val="21"/>
                      </w:rPr>
                    </w:pPr>
                    <w:r>
                      <w:rPr>
                        <w:szCs w:val="21"/>
                      </w:rPr>
                      <w:t>15,839,799,308.37</w:t>
                    </w:r>
                  </w:p>
                </w:tc>
              </w:sdtContent>
            </w:sdt>
          </w:tr>
          <w:tr w:rsidR="00DE031E" w:rsidTr="00DE031E">
            <w:trPr>
              <w:jc w:val="center"/>
            </w:trPr>
            <w:tc>
              <w:tcPr>
                <w:tcW w:w="973" w:type="dxa"/>
              </w:tcPr>
              <w:p w:rsidR="00DE031E" w:rsidRDefault="001C1A59" w:rsidP="00DE031E">
                <w:pPr>
                  <w:rPr>
                    <w:szCs w:val="21"/>
                  </w:rPr>
                </w:pPr>
                <w:r>
                  <w:rPr>
                    <w:rFonts w:hint="eastAsia"/>
                    <w:szCs w:val="21"/>
                  </w:rPr>
                  <w:t>股票</w:t>
                </w:r>
              </w:p>
            </w:tc>
            <w:sdt>
              <w:sdtPr>
                <w:rPr>
                  <w:szCs w:val="21"/>
                </w:rPr>
                <w:alias w:val="为交易目的而持有的金融资产公允价值_股票"/>
                <w:tag w:val="_GBC_801cdaaa7770484b82978d84df7da9ef"/>
                <w:id w:val="24723630"/>
                <w:lock w:val="sdtLocked"/>
              </w:sdtPr>
              <w:sdtEndPr>
                <w:rPr>
                  <w:rFonts w:hint="eastAsia"/>
                </w:rPr>
              </w:sdtEndPr>
              <w:sdtContent>
                <w:tc>
                  <w:tcPr>
                    <w:tcW w:w="2126" w:type="dxa"/>
                  </w:tcPr>
                  <w:p w:rsidR="00DE031E" w:rsidRDefault="001C1A59" w:rsidP="00DE031E">
                    <w:pPr>
                      <w:jc w:val="right"/>
                      <w:rPr>
                        <w:szCs w:val="21"/>
                      </w:rPr>
                    </w:pPr>
                    <w:r>
                      <w:rPr>
                        <w:szCs w:val="21"/>
                      </w:rPr>
                      <w:t>13,862,611,470.33</w:t>
                    </w:r>
                  </w:p>
                </w:tc>
              </w:sdtContent>
            </w:sdt>
            <w:sdt>
              <w:sdtPr>
                <w:rPr>
                  <w:szCs w:val="21"/>
                </w:rPr>
                <w:alias w:val="指定以公允价值计量且变动计入当期损益的金融资产公允价值_股票"/>
                <w:tag w:val="_GBC_cb5e01bc3895481b9c6b0a2f08524835"/>
                <w:id w:val="24723631"/>
                <w:lock w:val="sdtLocked"/>
                <w:showingPlcHdr/>
              </w:sdtPr>
              <w:sdtEndPr>
                <w:rPr>
                  <w:rFonts w:hint="eastAsia"/>
                </w:rPr>
              </w:sdtEndPr>
              <w:sdtContent>
                <w:tc>
                  <w:tcPr>
                    <w:tcW w:w="2126" w:type="dxa"/>
                  </w:tcPr>
                  <w:p w:rsidR="00DE031E" w:rsidRDefault="00DE031E" w:rsidP="00DE031E">
                    <w:pPr>
                      <w:jc w:val="right"/>
                      <w:rPr>
                        <w:szCs w:val="21"/>
                      </w:rPr>
                    </w:pPr>
                  </w:p>
                </w:tc>
              </w:sdtContent>
            </w:sdt>
            <w:sdt>
              <w:sdtPr>
                <w:rPr>
                  <w:szCs w:val="21"/>
                </w:rPr>
                <w:alias w:val="公允价值合计_股票"/>
                <w:tag w:val="_GBC_a13f0ccf682e4d9a8c84125f67561daf"/>
                <w:id w:val="24723632"/>
                <w:lock w:val="sdtLocked"/>
              </w:sdtPr>
              <w:sdtEndPr>
                <w:rPr>
                  <w:rFonts w:hint="eastAsia"/>
                </w:rPr>
              </w:sdtEndPr>
              <w:sdtContent>
                <w:tc>
                  <w:tcPr>
                    <w:tcW w:w="2126" w:type="dxa"/>
                  </w:tcPr>
                  <w:p w:rsidR="00DE031E" w:rsidRDefault="001C1A59" w:rsidP="00DE031E">
                    <w:pPr>
                      <w:jc w:val="right"/>
                      <w:rPr>
                        <w:szCs w:val="21"/>
                      </w:rPr>
                    </w:pPr>
                    <w:r>
                      <w:rPr>
                        <w:szCs w:val="21"/>
                      </w:rPr>
                      <w:t>13,862,611,470.33</w:t>
                    </w:r>
                  </w:p>
                </w:tc>
              </w:sdtContent>
            </w:sdt>
            <w:sdt>
              <w:sdtPr>
                <w:rPr>
                  <w:szCs w:val="21"/>
                </w:rPr>
                <w:alias w:val="为交易目的而持有的金融资产初始投资成本_股票"/>
                <w:tag w:val="_GBC_9c08fbf867ac4a428532dedfad9b75ef"/>
                <w:id w:val="24723633"/>
                <w:lock w:val="sdtLocked"/>
              </w:sdtPr>
              <w:sdtEndPr>
                <w:rPr>
                  <w:rFonts w:hint="eastAsia"/>
                </w:rPr>
              </w:sdtEndPr>
              <w:sdtContent>
                <w:tc>
                  <w:tcPr>
                    <w:tcW w:w="2268" w:type="dxa"/>
                  </w:tcPr>
                  <w:p w:rsidR="00DE031E" w:rsidRDefault="001C1A59" w:rsidP="00DE031E">
                    <w:pPr>
                      <w:jc w:val="right"/>
                      <w:rPr>
                        <w:szCs w:val="21"/>
                      </w:rPr>
                    </w:pPr>
                    <w:r>
                      <w:rPr>
                        <w:szCs w:val="21"/>
                      </w:rPr>
                      <w:t>11,887,955,254.13</w:t>
                    </w:r>
                  </w:p>
                </w:tc>
              </w:sdtContent>
            </w:sdt>
            <w:sdt>
              <w:sdtPr>
                <w:rPr>
                  <w:szCs w:val="21"/>
                </w:rPr>
                <w:alias w:val="指定以公允价值计量且变动计入当期损益的金融资产初始投资成本_股票"/>
                <w:tag w:val="_GBC_8cdd19023e724e60bb93f15834226c6e"/>
                <w:id w:val="24723634"/>
                <w:lock w:val="sdtLocked"/>
                <w:showingPlcHdr/>
              </w:sdtPr>
              <w:sdtEndPr>
                <w:rPr>
                  <w:rFonts w:hint="eastAsia"/>
                </w:rPr>
              </w:sdtEndPr>
              <w:sdtContent>
                <w:tc>
                  <w:tcPr>
                    <w:tcW w:w="1985" w:type="dxa"/>
                  </w:tcPr>
                  <w:p w:rsidR="00DE031E" w:rsidRDefault="00DE031E" w:rsidP="00DE031E">
                    <w:pPr>
                      <w:jc w:val="right"/>
                      <w:rPr>
                        <w:szCs w:val="21"/>
                      </w:rPr>
                    </w:pPr>
                  </w:p>
                </w:tc>
              </w:sdtContent>
            </w:sdt>
            <w:sdt>
              <w:sdtPr>
                <w:rPr>
                  <w:szCs w:val="21"/>
                </w:rPr>
                <w:alias w:val="初始投资成本合计_股票"/>
                <w:tag w:val="_GBC_a8bf2d27c0cd4635ac37c56b3bdc363b"/>
                <w:id w:val="24723635"/>
                <w:lock w:val="sdtLocked"/>
              </w:sdtPr>
              <w:sdtEndPr>
                <w:rPr>
                  <w:rFonts w:hint="eastAsia"/>
                </w:rPr>
              </w:sdtEndPr>
              <w:sdtContent>
                <w:tc>
                  <w:tcPr>
                    <w:tcW w:w="2228" w:type="dxa"/>
                  </w:tcPr>
                  <w:p w:rsidR="00DE031E" w:rsidRDefault="001C1A59" w:rsidP="00DE031E">
                    <w:pPr>
                      <w:jc w:val="right"/>
                      <w:rPr>
                        <w:szCs w:val="21"/>
                      </w:rPr>
                    </w:pPr>
                    <w:r>
                      <w:rPr>
                        <w:szCs w:val="21"/>
                      </w:rPr>
                      <w:t>11,887,955,254.13</w:t>
                    </w:r>
                  </w:p>
                </w:tc>
              </w:sdtContent>
            </w:sdt>
          </w:tr>
          <w:tr w:rsidR="00DE031E" w:rsidTr="00DE031E">
            <w:trPr>
              <w:jc w:val="center"/>
            </w:trPr>
            <w:tc>
              <w:tcPr>
                <w:tcW w:w="973" w:type="dxa"/>
              </w:tcPr>
              <w:p w:rsidR="00DE031E" w:rsidRDefault="001C1A59" w:rsidP="00DE031E">
                <w:pPr>
                  <w:rPr>
                    <w:szCs w:val="21"/>
                  </w:rPr>
                </w:pPr>
                <w:r>
                  <w:rPr>
                    <w:rFonts w:hint="eastAsia"/>
                    <w:szCs w:val="21"/>
                  </w:rPr>
                  <w:t>基金</w:t>
                </w:r>
              </w:p>
            </w:tc>
            <w:sdt>
              <w:sdtPr>
                <w:rPr>
                  <w:szCs w:val="21"/>
                </w:rPr>
                <w:alias w:val="为交易目的而持有的金融资产公允价值_基金"/>
                <w:tag w:val="_GBC_46f06039da494b64ba625a483b7f1d5d"/>
                <w:id w:val="24723636"/>
                <w:lock w:val="sdtLocked"/>
              </w:sdtPr>
              <w:sdtEndPr>
                <w:rPr>
                  <w:rFonts w:hint="eastAsia"/>
                </w:rPr>
              </w:sdtEndPr>
              <w:sdtContent>
                <w:tc>
                  <w:tcPr>
                    <w:tcW w:w="2126" w:type="dxa"/>
                  </w:tcPr>
                  <w:p w:rsidR="00DE031E" w:rsidRDefault="001C1A59" w:rsidP="00DE031E">
                    <w:pPr>
                      <w:jc w:val="right"/>
                      <w:rPr>
                        <w:szCs w:val="21"/>
                      </w:rPr>
                    </w:pPr>
                    <w:r>
                      <w:rPr>
                        <w:szCs w:val="21"/>
                      </w:rPr>
                      <w:t>3,993,257,789.45</w:t>
                    </w:r>
                  </w:p>
                </w:tc>
              </w:sdtContent>
            </w:sdt>
            <w:sdt>
              <w:sdtPr>
                <w:rPr>
                  <w:szCs w:val="21"/>
                </w:rPr>
                <w:alias w:val="指定以公允价值计量且变动计入当期损益的金融资产公允价值_基金"/>
                <w:tag w:val="_GBC_bcabc8fa99674d11a08b60670b34be79"/>
                <w:id w:val="24723637"/>
                <w:lock w:val="sdtLocked"/>
              </w:sdtPr>
              <w:sdtEndPr>
                <w:rPr>
                  <w:rFonts w:hint="eastAsia"/>
                </w:rPr>
              </w:sdtEndPr>
              <w:sdtContent>
                <w:tc>
                  <w:tcPr>
                    <w:tcW w:w="2126" w:type="dxa"/>
                  </w:tcPr>
                  <w:p w:rsidR="00DE031E" w:rsidRDefault="001C1A59" w:rsidP="00DE031E">
                    <w:pPr>
                      <w:jc w:val="right"/>
                      <w:rPr>
                        <w:szCs w:val="21"/>
                      </w:rPr>
                    </w:pPr>
                    <w:r>
                      <w:rPr>
                        <w:szCs w:val="21"/>
                      </w:rPr>
                      <w:t>29,553,075.48</w:t>
                    </w:r>
                  </w:p>
                </w:tc>
              </w:sdtContent>
            </w:sdt>
            <w:sdt>
              <w:sdtPr>
                <w:rPr>
                  <w:szCs w:val="21"/>
                </w:rPr>
                <w:alias w:val="公允价值合计_基金"/>
                <w:tag w:val="_GBC_b36157bba6784e709a18ae2b7b68a665"/>
                <w:id w:val="24723638"/>
                <w:lock w:val="sdtLocked"/>
              </w:sdtPr>
              <w:sdtEndPr>
                <w:rPr>
                  <w:rFonts w:hint="eastAsia"/>
                </w:rPr>
              </w:sdtEndPr>
              <w:sdtContent>
                <w:tc>
                  <w:tcPr>
                    <w:tcW w:w="2126" w:type="dxa"/>
                  </w:tcPr>
                  <w:p w:rsidR="00DE031E" w:rsidRDefault="001C1A59" w:rsidP="00DE031E">
                    <w:pPr>
                      <w:jc w:val="right"/>
                      <w:rPr>
                        <w:szCs w:val="21"/>
                      </w:rPr>
                    </w:pPr>
                    <w:r>
                      <w:rPr>
                        <w:szCs w:val="21"/>
                      </w:rPr>
                      <w:t>4,022,810,864.93</w:t>
                    </w:r>
                  </w:p>
                </w:tc>
              </w:sdtContent>
            </w:sdt>
            <w:sdt>
              <w:sdtPr>
                <w:rPr>
                  <w:szCs w:val="21"/>
                </w:rPr>
                <w:alias w:val="为交易目的而持有的金融资产初始投资成本_基金"/>
                <w:tag w:val="_GBC_af7599010bd748b7bb77659579f8e758"/>
                <w:id w:val="24723639"/>
                <w:lock w:val="sdtLocked"/>
              </w:sdtPr>
              <w:sdtEndPr>
                <w:rPr>
                  <w:rFonts w:hint="eastAsia"/>
                </w:rPr>
              </w:sdtEndPr>
              <w:sdtContent>
                <w:tc>
                  <w:tcPr>
                    <w:tcW w:w="2268" w:type="dxa"/>
                  </w:tcPr>
                  <w:p w:rsidR="00DE031E" w:rsidRDefault="001C1A59" w:rsidP="00DE031E">
                    <w:pPr>
                      <w:jc w:val="right"/>
                      <w:rPr>
                        <w:szCs w:val="21"/>
                      </w:rPr>
                    </w:pPr>
                    <w:r>
                      <w:rPr>
                        <w:szCs w:val="21"/>
                      </w:rPr>
                      <w:t>3,922,281,833.22</w:t>
                    </w:r>
                  </w:p>
                </w:tc>
              </w:sdtContent>
            </w:sdt>
            <w:sdt>
              <w:sdtPr>
                <w:rPr>
                  <w:szCs w:val="21"/>
                </w:rPr>
                <w:alias w:val="指定以公允价值计量且变动计入当期损益的金融资产初始投资成本_基金"/>
                <w:tag w:val="_GBC_8f483771ae32435fb3b8d9f0ba3e6eaf"/>
                <w:id w:val="24723640"/>
                <w:lock w:val="sdtLocked"/>
              </w:sdtPr>
              <w:sdtEndPr>
                <w:rPr>
                  <w:rFonts w:hint="eastAsia"/>
                </w:rPr>
              </w:sdtEndPr>
              <w:sdtContent>
                <w:tc>
                  <w:tcPr>
                    <w:tcW w:w="1985" w:type="dxa"/>
                  </w:tcPr>
                  <w:p w:rsidR="00DE031E" w:rsidRDefault="001C1A59" w:rsidP="00DE031E">
                    <w:pPr>
                      <w:jc w:val="right"/>
                      <w:rPr>
                        <w:szCs w:val="21"/>
                      </w:rPr>
                    </w:pPr>
                    <w:r>
                      <w:rPr>
                        <w:szCs w:val="21"/>
                      </w:rPr>
                      <w:t>28,442,572.02</w:t>
                    </w:r>
                  </w:p>
                </w:tc>
              </w:sdtContent>
            </w:sdt>
            <w:sdt>
              <w:sdtPr>
                <w:rPr>
                  <w:szCs w:val="21"/>
                </w:rPr>
                <w:alias w:val="初始投资成本合计_基金"/>
                <w:tag w:val="_GBC_2d7c62bde0264d58b05a7ea6f7fe094e"/>
                <w:id w:val="24723641"/>
                <w:lock w:val="sdtLocked"/>
              </w:sdtPr>
              <w:sdtEndPr>
                <w:rPr>
                  <w:rFonts w:hint="eastAsia"/>
                </w:rPr>
              </w:sdtEndPr>
              <w:sdtContent>
                <w:tc>
                  <w:tcPr>
                    <w:tcW w:w="2228" w:type="dxa"/>
                  </w:tcPr>
                  <w:p w:rsidR="00DE031E" w:rsidRDefault="001C1A59" w:rsidP="00DE031E">
                    <w:pPr>
                      <w:jc w:val="right"/>
                      <w:rPr>
                        <w:szCs w:val="21"/>
                      </w:rPr>
                    </w:pPr>
                    <w:r>
                      <w:rPr>
                        <w:szCs w:val="21"/>
                      </w:rPr>
                      <w:t>3,950,724,405.24</w:t>
                    </w:r>
                  </w:p>
                </w:tc>
              </w:sdtContent>
            </w:sdt>
          </w:tr>
          <w:tr w:rsidR="00DE031E" w:rsidTr="00DE031E">
            <w:trPr>
              <w:jc w:val="center"/>
            </w:trPr>
            <w:tc>
              <w:tcPr>
                <w:tcW w:w="973" w:type="dxa"/>
              </w:tcPr>
              <w:p w:rsidR="00DE031E" w:rsidRDefault="001C1A59" w:rsidP="00DE031E">
                <w:pPr>
                  <w:rPr>
                    <w:szCs w:val="21"/>
                  </w:rPr>
                </w:pPr>
                <w:r>
                  <w:rPr>
                    <w:rFonts w:hint="eastAsia"/>
                    <w:szCs w:val="21"/>
                  </w:rPr>
                  <w:t>永续债</w:t>
                </w:r>
              </w:p>
            </w:tc>
            <w:tc>
              <w:tcPr>
                <w:tcW w:w="2126" w:type="dxa"/>
              </w:tcPr>
              <w:p w:rsidR="00DE031E" w:rsidRDefault="001C1A59" w:rsidP="00DE031E">
                <w:pPr>
                  <w:jc w:val="right"/>
                  <w:rPr>
                    <w:szCs w:val="21"/>
                  </w:rPr>
                </w:pPr>
                <w:r w:rsidRPr="003D556A">
                  <w:rPr>
                    <w:szCs w:val="21"/>
                  </w:rPr>
                  <w:t>199,320,000.00</w:t>
                </w:r>
              </w:p>
            </w:tc>
            <w:tc>
              <w:tcPr>
                <w:tcW w:w="2126" w:type="dxa"/>
              </w:tcPr>
              <w:p w:rsidR="00DE031E" w:rsidRDefault="00DE031E" w:rsidP="00DE031E">
                <w:pPr>
                  <w:jc w:val="right"/>
                  <w:rPr>
                    <w:szCs w:val="21"/>
                  </w:rPr>
                </w:pPr>
              </w:p>
            </w:tc>
            <w:tc>
              <w:tcPr>
                <w:tcW w:w="2126" w:type="dxa"/>
              </w:tcPr>
              <w:p w:rsidR="00DE031E" w:rsidRDefault="001C1A59" w:rsidP="00DE031E">
                <w:pPr>
                  <w:jc w:val="right"/>
                  <w:rPr>
                    <w:szCs w:val="21"/>
                  </w:rPr>
                </w:pPr>
                <w:r w:rsidRPr="003D556A">
                  <w:rPr>
                    <w:szCs w:val="21"/>
                  </w:rPr>
                  <w:t>199,320,000.00</w:t>
                </w:r>
              </w:p>
            </w:tc>
            <w:tc>
              <w:tcPr>
                <w:tcW w:w="2268" w:type="dxa"/>
              </w:tcPr>
              <w:p w:rsidR="00DE031E" w:rsidRDefault="001C1A59" w:rsidP="00DE031E">
                <w:pPr>
                  <w:jc w:val="right"/>
                  <w:rPr>
                    <w:szCs w:val="21"/>
                  </w:rPr>
                </w:pPr>
                <w:r w:rsidRPr="003D556A">
                  <w:rPr>
                    <w:szCs w:val="21"/>
                  </w:rPr>
                  <w:t>200,051,485.37</w:t>
                </w:r>
              </w:p>
            </w:tc>
            <w:tc>
              <w:tcPr>
                <w:tcW w:w="1985" w:type="dxa"/>
              </w:tcPr>
              <w:p w:rsidR="00DE031E" w:rsidRDefault="00DE031E" w:rsidP="00DE031E">
                <w:pPr>
                  <w:jc w:val="right"/>
                  <w:rPr>
                    <w:szCs w:val="21"/>
                  </w:rPr>
                </w:pPr>
              </w:p>
            </w:tc>
            <w:tc>
              <w:tcPr>
                <w:tcW w:w="2228" w:type="dxa"/>
              </w:tcPr>
              <w:p w:rsidR="00DE031E" w:rsidRDefault="001C1A59" w:rsidP="00DE031E">
                <w:pPr>
                  <w:jc w:val="right"/>
                  <w:rPr>
                    <w:szCs w:val="21"/>
                  </w:rPr>
                </w:pPr>
                <w:r w:rsidRPr="003D556A">
                  <w:rPr>
                    <w:szCs w:val="21"/>
                  </w:rPr>
                  <w:t>200,051,485.37</w:t>
                </w:r>
              </w:p>
            </w:tc>
          </w:tr>
          <w:tr w:rsidR="00DE031E" w:rsidTr="00DE031E">
            <w:trPr>
              <w:jc w:val="center"/>
            </w:trPr>
            <w:tc>
              <w:tcPr>
                <w:tcW w:w="973" w:type="dxa"/>
              </w:tcPr>
              <w:p w:rsidR="00DE031E" w:rsidRDefault="001C1A59" w:rsidP="00DE031E">
                <w:pPr>
                  <w:rPr>
                    <w:szCs w:val="21"/>
                  </w:rPr>
                </w:pPr>
                <w:r>
                  <w:rPr>
                    <w:rFonts w:hint="eastAsia"/>
                    <w:szCs w:val="21"/>
                  </w:rPr>
                  <w:t>其他</w:t>
                </w:r>
              </w:p>
            </w:tc>
            <w:sdt>
              <w:sdtPr>
                <w:rPr>
                  <w:szCs w:val="21"/>
                </w:rPr>
                <w:alias w:val="为交易目的而持有的金融资产公允价值_其他"/>
                <w:tag w:val="_GBC_53264e6c5ede49a2822058f5313a3792"/>
                <w:id w:val="24723642"/>
                <w:lock w:val="sdtLocked"/>
              </w:sdtPr>
              <w:sdtEndPr>
                <w:rPr>
                  <w:rFonts w:hint="eastAsia"/>
                </w:rPr>
              </w:sdtEndPr>
              <w:sdtContent>
                <w:tc>
                  <w:tcPr>
                    <w:tcW w:w="2126" w:type="dxa"/>
                  </w:tcPr>
                  <w:p w:rsidR="00DE031E" w:rsidRDefault="001C1A59" w:rsidP="00DE031E">
                    <w:pPr>
                      <w:jc w:val="right"/>
                      <w:rPr>
                        <w:szCs w:val="21"/>
                      </w:rPr>
                    </w:pPr>
                    <w:r>
                      <w:rPr>
                        <w:szCs w:val="21"/>
                      </w:rPr>
                      <w:t>528,027,056.08</w:t>
                    </w:r>
                  </w:p>
                </w:tc>
              </w:sdtContent>
            </w:sdt>
            <w:sdt>
              <w:sdtPr>
                <w:rPr>
                  <w:szCs w:val="21"/>
                </w:rPr>
                <w:alias w:val="指定以公允价值计量且变动计入当期损益的金融资产公允价值_其他"/>
                <w:tag w:val="_GBC_2599890f58e64e979b635ecf3ed358d3"/>
                <w:id w:val="24723643"/>
                <w:lock w:val="sdtLocked"/>
              </w:sdtPr>
              <w:sdtEndPr>
                <w:rPr>
                  <w:rFonts w:hint="eastAsia"/>
                </w:rPr>
              </w:sdtEndPr>
              <w:sdtContent>
                <w:tc>
                  <w:tcPr>
                    <w:tcW w:w="2126" w:type="dxa"/>
                  </w:tcPr>
                  <w:p w:rsidR="00DE031E" w:rsidRDefault="001C1A59" w:rsidP="00DE031E">
                    <w:pPr>
                      <w:jc w:val="right"/>
                      <w:rPr>
                        <w:szCs w:val="21"/>
                      </w:rPr>
                    </w:pPr>
                    <w:r>
                      <w:rPr>
                        <w:szCs w:val="21"/>
                      </w:rPr>
                      <w:t>1,201,734,591.40</w:t>
                    </w:r>
                  </w:p>
                </w:tc>
              </w:sdtContent>
            </w:sdt>
            <w:sdt>
              <w:sdtPr>
                <w:rPr>
                  <w:szCs w:val="21"/>
                </w:rPr>
                <w:alias w:val="公允价值合计_其他"/>
                <w:tag w:val="_GBC_516bd0e716ad474fbb23a3568ef210e5"/>
                <w:id w:val="24723644"/>
                <w:lock w:val="sdtLocked"/>
              </w:sdtPr>
              <w:sdtEndPr>
                <w:rPr>
                  <w:rFonts w:hint="eastAsia"/>
                </w:rPr>
              </w:sdtEndPr>
              <w:sdtContent>
                <w:tc>
                  <w:tcPr>
                    <w:tcW w:w="2126" w:type="dxa"/>
                  </w:tcPr>
                  <w:p w:rsidR="00DE031E" w:rsidRDefault="001C1A59" w:rsidP="00DE031E">
                    <w:pPr>
                      <w:jc w:val="right"/>
                      <w:rPr>
                        <w:szCs w:val="21"/>
                      </w:rPr>
                    </w:pPr>
                    <w:r>
                      <w:rPr>
                        <w:szCs w:val="21"/>
                      </w:rPr>
                      <w:t>1,729,761,647.48</w:t>
                    </w:r>
                  </w:p>
                </w:tc>
              </w:sdtContent>
            </w:sdt>
            <w:sdt>
              <w:sdtPr>
                <w:rPr>
                  <w:szCs w:val="21"/>
                </w:rPr>
                <w:alias w:val="为交易目的而持有的金融资产初始投资成本_其他"/>
                <w:tag w:val="_GBC_4f5f17a92245442bb2143f43f0ec64db"/>
                <w:id w:val="24723645"/>
                <w:lock w:val="sdtLocked"/>
              </w:sdtPr>
              <w:sdtEndPr>
                <w:rPr>
                  <w:rFonts w:hint="eastAsia"/>
                </w:rPr>
              </w:sdtEndPr>
              <w:sdtContent>
                <w:tc>
                  <w:tcPr>
                    <w:tcW w:w="2268" w:type="dxa"/>
                  </w:tcPr>
                  <w:p w:rsidR="00DE031E" w:rsidRDefault="001C1A59" w:rsidP="00DE031E">
                    <w:pPr>
                      <w:jc w:val="right"/>
                      <w:rPr>
                        <w:szCs w:val="21"/>
                      </w:rPr>
                    </w:pPr>
                    <w:r>
                      <w:rPr>
                        <w:szCs w:val="21"/>
                      </w:rPr>
                      <w:t>523,933,850.87</w:t>
                    </w:r>
                  </w:p>
                </w:tc>
              </w:sdtContent>
            </w:sdt>
            <w:sdt>
              <w:sdtPr>
                <w:rPr>
                  <w:szCs w:val="21"/>
                </w:rPr>
                <w:alias w:val="指定以公允价值计量且变动计入当期损益的金融资产初始投资成本_其他"/>
                <w:tag w:val="_GBC_b50915e8ca554159a280c4fc07922967"/>
                <w:id w:val="24723646"/>
                <w:lock w:val="sdtLocked"/>
              </w:sdtPr>
              <w:sdtEndPr>
                <w:rPr>
                  <w:rFonts w:hint="eastAsia"/>
                </w:rPr>
              </w:sdtEndPr>
              <w:sdtContent>
                <w:tc>
                  <w:tcPr>
                    <w:tcW w:w="1985" w:type="dxa"/>
                  </w:tcPr>
                  <w:p w:rsidR="00DE031E" w:rsidRDefault="001C1A59" w:rsidP="00DE031E">
                    <w:pPr>
                      <w:jc w:val="right"/>
                      <w:rPr>
                        <w:szCs w:val="21"/>
                      </w:rPr>
                    </w:pPr>
                    <w:r>
                      <w:rPr>
                        <w:szCs w:val="21"/>
                      </w:rPr>
                      <w:t>1,043,923,610.91</w:t>
                    </w:r>
                  </w:p>
                </w:tc>
              </w:sdtContent>
            </w:sdt>
            <w:sdt>
              <w:sdtPr>
                <w:rPr>
                  <w:szCs w:val="21"/>
                </w:rPr>
                <w:alias w:val="初始投资成本合计_其他"/>
                <w:tag w:val="_GBC_155ba3bbe8bf48adb9dbcaf1aad6d76c"/>
                <w:id w:val="24723647"/>
                <w:lock w:val="sdtLocked"/>
              </w:sdtPr>
              <w:sdtEndPr>
                <w:rPr>
                  <w:rFonts w:hint="eastAsia"/>
                </w:rPr>
              </w:sdtEndPr>
              <w:sdtContent>
                <w:tc>
                  <w:tcPr>
                    <w:tcW w:w="2228" w:type="dxa"/>
                  </w:tcPr>
                  <w:p w:rsidR="00DE031E" w:rsidRDefault="001C1A59" w:rsidP="00DE031E">
                    <w:pPr>
                      <w:jc w:val="right"/>
                      <w:rPr>
                        <w:szCs w:val="21"/>
                      </w:rPr>
                    </w:pPr>
                    <w:r>
                      <w:rPr>
                        <w:szCs w:val="21"/>
                      </w:rPr>
                      <w:t>1,567,857,461.78</w:t>
                    </w:r>
                  </w:p>
                </w:tc>
              </w:sdtContent>
            </w:sdt>
          </w:tr>
          <w:tr w:rsidR="00DE031E" w:rsidTr="00DE031E">
            <w:trPr>
              <w:jc w:val="center"/>
            </w:trPr>
            <w:tc>
              <w:tcPr>
                <w:tcW w:w="973" w:type="dxa"/>
              </w:tcPr>
              <w:p w:rsidR="00DE031E" w:rsidRDefault="001C1A59" w:rsidP="00DE031E">
                <w:pPr>
                  <w:rPr>
                    <w:szCs w:val="21"/>
                  </w:rPr>
                </w:pPr>
                <w:r>
                  <w:rPr>
                    <w:rFonts w:hint="eastAsia"/>
                    <w:szCs w:val="21"/>
                  </w:rPr>
                  <w:t>合计</w:t>
                </w:r>
              </w:p>
            </w:tc>
            <w:sdt>
              <w:sdtPr>
                <w:rPr>
                  <w:szCs w:val="21"/>
                </w:rPr>
                <w:alias w:val="为交易目的而持有的金融资产公允价值合计"/>
                <w:tag w:val="_GBC_c2333e3f7633458e8a459c2ebb95e0b7"/>
                <w:id w:val="24723648"/>
                <w:lock w:val="sdtLocked"/>
              </w:sdtPr>
              <w:sdtEndPr>
                <w:rPr>
                  <w:rFonts w:hint="eastAsia"/>
                </w:rPr>
              </w:sdtEndPr>
              <w:sdtContent>
                <w:tc>
                  <w:tcPr>
                    <w:tcW w:w="2126" w:type="dxa"/>
                  </w:tcPr>
                  <w:p w:rsidR="00DE031E" w:rsidRDefault="001C1A59" w:rsidP="00DE031E">
                    <w:pPr>
                      <w:jc w:val="right"/>
                      <w:rPr>
                        <w:szCs w:val="21"/>
                      </w:rPr>
                    </w:pPr>
                    <w:r>
                      <w:rPr>
                        <w:szCs w:val="21"/>
                      </w:rPr>
                      <w:t>34,890,380,383.99</w:t>
                    </w:r>
                  </w:p>
                </w:tc>
              </w:sdtContent>
            </w:sdt>
            <w:sdt>
              <w:sdtPr>
                <w:rPr>
                  <w:szCs w:val="21"/>
                </w:rPr>
                <w:alias w:val="指定为以公允价值计量且其变动计入当期损益的金融资产"/>
                <w:tag w:val="_GBC_101054269cfd41848f3847eca6516aff"/>
                <w:id w:val="24723649"/>
                <w:lock w:val="sdtLocked"/>
              </w:sdtPr>
              <w:sdtEndPr>
                <w:rPr>
                  <w:rFonts w:hint="eastAsia"/>
                </w:rPr>
              </w:sdtEndPr>
              <w:sdtContent>
                <w:tc>
                  <w:tcPr>
                    <w:tcW w:w="2126" w:type="dxa"/>
                  </w:tcPr>
                  <w:p w:rsidR="00DE031E" w:rsidRDefault="001C1A59" w:rsidP="00DE031E">
                    <w:pPr>
                      <w:jc w:val="right"/>
                      <w:rPr>
                        <w:szCs w:val="21"/>
                      </w:rPr>
                    </w:pPr>
                    <w:r>
                      <w:rPr>
                        <w:szCs w:val="21"/>
                      </w:rPr>
                      <w:t>1,231,287,666.88</w:t>
                    </w:r>
                  </w:p>
                </w:tc>
              </w:sdtContent>
            </w:sdt>
            <w:sdt>
              <w:sdtPr>
                <w:rPr>
                  <w:szCs w:val="21"/>
                </w:rPr>
                <w:alias w:val="以公允价值计量且其变动计入当期损益的金融资产"/>
                <w:tag w:val="_GBC_21b0714152454aee9681df9aac5139c4"/>
                <w:id w:val="24723650"/>
                <w:lock w:val="sdtLocked"/>
              </w:sdtPr>
              <w:sdtEndPr>
                <w:rPr>
                  <w:rFonts w:hint="eastAsia"/>
                </w:rPr>
              </w:sdtEndPr>
              <w:sdtContent>
                <w:tc>
                  <w:tcPr>
                    <w:tcW w:w="2126" w:type="dxa"/>
                  </w:tcPr>
                  <w:p w:rsidR="00DE031E" w:rsidRDefault="001C1A59" w:rsidP="00DE031E">
                    <w:pPr>
                      <w:jc w:val="right"/>
                      <w:rPr>
                        <w:szCs w:val="21"/>
                      </w:rPr>
                    </w:pPr>
                    <w:r>
                      <w:rPr>
                        <w:szCs w:val="21"/>
                      </w:rPr>
                      <w:t>36,121,668,050.87</w:t>
                    </w:r>
                  </w:p>
                </w:tc>
              </w:sdtContent>
            </w:sdt>
            <w:sdt>
              <w:sdtPr>
                <w:rPr>
                  <w:szCs w:val="21"/>
                </w:rPr>
                <w:alias w:val="为交易目的而持有的金融资产初始投资成本合计"/>
                <w:tag w:val="_GBC_bc38ebb6ca224565bf83f25c51102dcf"/>
                <w:id w:val="24723651"/>
                <w:lock w:val="sdtLocked"/>
              </w:sdtPr>
              <w:sdtEndPr>
                <w:rPr>
                  <w:rFonts w:hint="eastAsia"/>
                </w:rPr>
              </w:sdtEndPr>
              <w:sdtContent>
                <w:tc>
                  <w:tcPr>
                    <w:tcW w:w="2268" w:type="dxa"/>
                  </w:tcPr>
                  <w:p w:rsidR="00DE031E" w:rsidRDefault="001C1A59" w:rsidP="00DE031E">
                    <w:pPr>
                      <w:jc w:val="right"/>
                      <w:rPr>
                        <w:szCs w:val="21"/>
                      </w:rPr>
                    </w:pPr>
                    <w:r>
                      <w:rPr>
                        <w:szCs w:val="21"/>
                      </w:rPr>
                      <w:t>32,374,021,731.96</w:t>
                    </w:r>
                  </w:p>
                </w:tc>
              </w:sdtContent>
            </w:sdt>
            <w:sdt>
              <w:sdtPr>
                <w:rPr>
                  <w:szCs w:val="21"/>
                </w:rPr>
                <w:alias w:val="指定以公允价值计量且变动计入当期损益的金融资产初始投资成本_合计"/>
                <w:tag w:val="_GBC_427940fb27bf42c28b68e62c7429f746"/>
                <w:id w:val="24723652"/>
                <w:lock w:val="sdtLocked"/>
              </w:sdtPr>
              <w:sdtEndPr>
                <w:rPr>
                  <w:rFonts w:hint="eastAsia"/>
                </w:rPr>
              </w:sdtEndPr>
              <w:sdtContent>
                <w:tc>
                  <w:tcPr>
                    <w:tcW w:w="1985" w:type="dxa"/>
                  </w:tcPr>
                  <w:p w:rsidR="00DE031E" w:rsidRDefault="001C1A59" w:rsidP="00DE031E">
                    <w:pPr>
                      <w:jc w:val="right"/>
                      <w:rPr>
                        <w:szCs w:val="21"/>
                      </w:rPr>
                    </w:pPr>
                    <w:r>
                      <w:rPr>
                        <w:szCs w:val="21"/>
                      </w:rPr>
                      <w:t>1,072,366,182.93</w:t>
                    </w:r>
                  </w:p>
                </w:tc>
              </w:sdtContent>
            </w:sdt>
            <w:sdt>
              <w:sdtPr>
                <w:rPr>
                  <w:szCs w:val="21"/>
                </w:rPr>
                <w:alias w:val="初始投资成本合计"/>
                <w:tag w:val="_GBC_dc554056b321435687245c8d87578db3"/>
                <w:id w:val="24723653"/>
                <w:lock w:val="sdtLocked"/>
              </w:sdtPr>
              <w:sdtEndPr>
                <w:rPr>
                  <w:rFonts w:hint="eastAsia"/>
                </w:rPr>
              </w:sdtEndPr>
              <w:sdtContent>
                <w:tc>
                  <w:tcPr>
                    <w:tcW w:w="2228" w:type="dxa"/>
                  </w:tcPr>
                  <w:p w:rsidR="00DE031E" w:rsidRDefault="001C1A59" w:rsidP="00DE031E">
                    <w:pPr>
                      <w:jc w:val="right"/>
                      <w:rPr>
                        <w:szCs w:val="21"/>
                      </w:rPr>
                    </w:pPr>
                    <w:r>
                      <w:rPr>
                        <w:szCs w:val="21"/>
                      </w:rPr>
                      <w:t>33,446,387,914.89</w:t>
                    </w:r>
                  </w:p>
                </w:tc>
              </w:sdtContent>
            </w:sdt>
          </w:tr>
        </w:tbl>
        <w:p w:rsidR="00DE031E" w:rsidRDefault="00422DCA"/>
      </w:sdtContent>
    </w:sdt>
    <w:sdt>
      <w:sdtPr>
        <w:tag w:val="_GBC_a1120b0c502e4a8ca0c78248b99cd010"/>
        <w:id w:val="24723656"/>
        <w:lock w:val="sdtLocked"/>
        <w:placeholder>
          <w:docPart w:val="GBC22222222222222222222222222222"/>
        </w:placeholder>
      </w:sdtPr>
      <w:sdtEndPr>
        <w:rPr>
          <w:rFonts w:hint="eastAsia"/>
        </w:rPr>
      </w:sdtEndPr>
      <w:sdtContent>
        <w:sdt>
          <w:sdtPr>
            <w:rPr>
              <w:color w:val="000000" w:themeColor="text1"/>
            </w:rPr>
            <w:alias w:val="以公允价值计量且其变动计入当期损益的金融资产的说明"/>
            <w:tag w:val="_GBC_5ecd1c2485ce4872a7823943bb0d8d6a"/>
            <w:id w:val="24723655"/>
            <w:lock w:val="sdtLocked"/>
            <w:placeholder>
              <w:docPart w:val="GBC22222222222222222222222222222"/>
            </w:placeholder>
          </w:sdtPr>
          <w:sdtContent>
            <w:p w:rsidR="00DE031E" w:rsidRDefault="001C1A59">
              <w:pPr>
                <w:jc w:val="both"/>
                <w:rPr>
                  <w:color w:val="000000" w:themeColor="text1"/>
                </w:rPr>
              </w:pPr>
              <w:r>
                <w:rPr>
                  <w:rFonts w:hint="eastAsia"/>
                  <w:color w:val="000000" w:themeColor="text1"/>
                </w:rPr>
                <w:t>1）</w:t>
              </w:r>
              <w:r>
                <w:rPr>
                  <w:rFonts w:hAnsi="Calibri" w:hint="eastAsia"/>
                  <w:sz w:val="22"/>
                  <w:szCs w:val="22"/>
                </w:rPr>
                <w:t>变现有限制的以公允价值计量且其变动计入当期损益的金融资产</w:t>
              </w:r>
            </w:p>
            <w:tbl>
              <w:tblPr>
                <w:tblW w:w="5000" w:type="pct"/>
                <w:tblLook w:val="04A0"/>
              </w:tblPr>
              <w:tblGrid>
                <w:gridCol w:w="1933"/>
                <w:gridCol w:w="5630"/>
                <w:gridCol w:w="3263"/>
                <w:gridCol w:w="3263"/>
              </w:tblGrid>
              <w:tr w:rsidR="00DE031E" w:rsidRPr="00FF43EB" w:rsidTr="00DE031E">
                <w:trPr>
                  <w:trHeight w:val="313"/>
                </w:trPr>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31E" w:rsidRPr="00FF43EB" w:rsidRDefault="001C1A59" w:rsidP="00DE031E">
                    <w:pPr>
                      <w:jc w:val="center"/>
                      <w:rPr>
                        <w:rFonts w:asciiTheme="minorEastAsia" w:eastAsiaTheme="minorEastAsia" w:hAnsiTheme="minorEastAsia"/>
                        <w:b/>
                        <w:bCs/>
                        <w:color w:val="000000"/>
                        <w:szCs w:val="21"/>
                      </w:rPr>
                    </w:pPr>
                    <w:r w:rsidRPr="00FF43EB">
                      <w:rPr>
                        <w:rFonts w:asciiTheme="minorEastAsia" w:eastAsiaTheme="minorEastAsia" w:hAnsiTheme="minorEastAsia" w:hint="eastAsia"/>
                        <w:b/>
                        <w:bCs/>
                        <w:color w:val="000000"/>
                        <w:szCs w:val="21"/>
                      </w:rPr>
                      <w:t>项目</w:t>
                    </w:r>
                  </w:p>
                </w:tc>
                <w:tc>
                  <w:tcPr>
                    <w:tcW w:w="19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031E" w:rsidRPr="00FF43EB" w:rsidRDefault="001C1A59" w:rsidP="00DE031E">
                    <w:pPr>
                      <w:jc w:val="center"/>
                      <w:rPr>
                        <w:rFonts w:asciiTheme="minorEastAsia" w:eastAsiaTheme="minorEastAsia" w:hAnsiTheme="minorEastAsia"/>
                        <w:b/>
                        <w:bCs/>
                        <w:color w:val="000000"/>
                        <w:szCs w:val="21"/>
                      </w:rPr>
                    </w:pPr>
                    <w:r w:rsidRPr="00FF43EB">
                      <w:rPr>
                        <w:rFonts w:asciiTheme="minorEastAsia" w:eastAsiaTheme="minorEastAsia" w:hAnsiTheme="minorEastAsia" w:hint="eastAsia"/>
                        <w:b/>
                        <w:bCs/>
                        <w:color w:val="000000"/>
                        <w:szCs w:val="21"/>
                      </w:rPr>
                      <w:t>限售条件或变现方面的其他重大限制</w:t>
                    </w:r>
                  </w:p>
                </w:tc>
                <w:tc>
                  <w:tcPr>
                    <w:tcW w:w="1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b/>
                        <w:bCs/>
                        <w:color w:val="000000"/>
                        <w:szCs w:val="21"/>
                      </w:rPr>
                    </w:pPr>
                    <w:r w:rsidRPr="00FF43EB">
                      <w:rPr>
                        <w:rFonts w:asciiTheme="minorEastAsia" w:eastAsiaTheme="minorEastAsia" w:hAnsiTheme="minorEastAsia" w:cs="Arial"/>
                        <w:b/>
                        <w:bCs/>
                        <w:color w:val="000000"/>
                        <w:szCs w:val="21"/>
                      </w:rPr>
                      <w:t xml:space="preserve"> 2015</w:t>
                    </w:r>
                    <w:r w:rsidRPr="00FF43EB">
                      <w:rPr>
                        <w:rFonts w:asciiTheme="minorEastAsia" w:eastAsiaTheme="minorEastAsia" w:hAnsiTheme="minorEastAsia" w:cs="Arial" w:hint="eastAsia"/>
                        <w:b/>
                        <w:bCs/>
                        <w:color w:val="000000"/>
                        <w:szCs w:val="21"/>
                      </w:rPr>
                      <w:t>年</w:t>
                    </w:r>
                    <w:r w:rsidRPr="00FF43EB">
                      <w:rPr>
                        <w:rFonts w:asciiTheme="minorEastAsia" w:eastAsiaTheme="minorEastAsia" w:hAnsiTheme="minorEastAsia" w:cs="Arial"/>
                        <w:b/>
                        <w:bCs/>
                        <w:color w:val="000000"/>
                        <w:szCs w:val="21"/>
                      </w:rPr>
                      <w:t>6</w:t>
                    </w:r>
                    <w:r w:rsidRPr="00FF43EB">
                      <w:rPr>
                        <w:rFonts w:asciiTheme="minorEastAsia" w:eastAsiaTheme="minorEastAsia" w:hAnsiTheme="minorEastAsia" w:cs="Arial" w:hint="eastAsia"/>
                        <w:b/>
                        <w:bCs/>
                        <w:color w:val="000000"/>
                        <w:szCs w:val="21"/>
                      </w:rPr>
                      <w:t>月</w:t>
                    </w:r>
                    <w:r w:rsidRPr="00FF43EB">
                      <w:rPr>
                        <w:rFonts w:asciiTheme="minorEastAsia" w:eastAsiaTheme="minorEastAsia" w:hAnsiTheme="minorEastAsia" w:cs="Arial"/>
                        <w:b/>
                        <w:bCs/>
                        <w:color w:val="000000"/>
                        <w:szCs w:val="21"/>
                      </w:rPr>
                      <w:t>30</w:t>
                    </w:r>
                    <w:r w:rsidRPr="00FF43EB">
                      <w:rPr>
                        <w:rFonts w:asciiTheme="minorEastAsia" w:eastAsiaTheme="minorEastAsia" w:hAnsiTheme="minorEastAsia" w:cs="Arial" w:hint="eastAsia"/>
                        <w:b/>
                        <w:bCs/>
                        <w:color w:val="000000"/>
                        <w:szCs w:val="21"/>
                      </w:rPr>
                      <w:t>日金额</w:t>
                    </w:r>
                  </w:p>
                </w:tc>
                <w:tc>
                  <w:tcPr>
                    <w:tcW w:w="1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b/>
                        <w:bCs/>
                        <w:color w:val="000000"/>
                        <w:szCs w:val="21"/>
                      </w:rPr>
                    </w:pPr>
                    <w:r w:rsidRPr="00FF43EB">
                      <w:rPr>
                        <w:rFonts w:asciiTheme="minorEastAsia" w:eastAsiaTheme="minorEastAsia" w:hAnsiTheme="minorEastAsia" w:cs="Arial"/>
                        <w:b/>
                        <w:bCs/>
                        <w:color w:val="000000"/>
                        <w:szCs w:val="21"/>
                      </w:rPr>
                      <w:t xml:space="preserve"> 2014</w:t>
                    </w:r>
                    <w:r w:rsidRPr="00FF43EB">
                      <w:rPr>
                        <w:rFonts w:asciiTheme="minorEastAsia" w:eastAsiaTheme="minorEastAsia" w:hAnsiTheme="minorEastAsia" w:cs="Arial" w:hint="eastAsia"/>
                        <w:b/>
                        <w:bCs/>
                        <w:color w:val="000000"/>
                        <w:szCs w:val="21"/>
                      </w:rPr>
                      <w:t>年</w:t>
                    </w:r>
                    <w:r w:rsidRPr="00FF43EB">
                      <w:rPr>
                        <w:rFonts w:asciiTheme="minorEastAsia" w:eastAsiaTheme="minorEastAsia" w:hAnsiTheme="minorEastAsia" w:cs="Arial"/>
                        <w:b/>
                        <w:bCs/>
                        <w:color w:val="000000"/>
                        <w:szCs w:val="21"/>
                      </w:rPr>
                      <w:t>12</w:t>
                    </w:r>
                    <w:r w:rsidRPr="00FF43EB">
                      <w:rPr>
                        <w:rFonts w:asciiTheme="minorEastAsia" w:eastAsiaTheme="minorEastAsia" w:hAnsiTheme="minorEastAsia" w:cs="Arial" w:hint="eastAsia"/>
                        <w:b/>
                        <w:bCs/>
                        <w:color w:val="000000"/>
                        <w:szCs w:val="21"/>
                      </w:rPr>
                      <w:t>月</w:t>
                    </w:r>
                    <w:r w:rsidRPr="00FF43EB">
                      <w:rPr>
                        <w:rFonts w:asciiTheme="minorEastAsia" w:eastAsiaTheme="minorEastAsia" w:hAnsiTheme="minorEastAsia" w:cs="Arial"/>
                        <w:b/>
                        <w:bCs/>
                        <w:color w:val="000000"/>
                        <w:szCs w:val="21"/>
                      </w:rPr>
                      <w:t>31</w:t>
                    </w:r>
                    <w:r w:rsidRPr="00FF43EB">
                      <w:rPr>
                        <w:rFonts w:asciiTheme="minorEastAsia" w:eastAsiaTheme="minorEastAsia" w:hAnsiTheme="minorEastAsia" w:cs="Arial" w:hint="eastAsia"/>
                        <w:b/>
                        <w:bCs/>
                        <w:color w:val="000000"/>
                        <w:szCs w:val="21"/>
                      </w:rPr>
                      <w:t>日金额</w:t>
                    </w:r>
                  </w:p>
                </w:tc>
              </w:tr>
              <w:tr w:rsidR="00DE031E" w:rsidRPr="00FF43EB" w:rsidTr="00DE031E">
                <w:trPr>
                  <w:trHeight w:val="313"/>
                </w:trPr>
                <w:tc>
                  <w:tcPr>
                    <w:tcW w:w="686" w:type="pct"/>
                    <w:vMerge/>
                    <w:tcBorders>
                      <w:top w:val="single" w:sz="4" w:space="0" w:color="auto"/>
                      <w:left w:val="single" w:sz="4" w:space="0" w:color="auto"/>
                      <w:bottom w:val="single" w:sz="4" w:space="0" w:color="auto"/>
                      <w:right w:val="single" w:sz="4" w:space="0" w:color="auto"/>
                    </w:tcBorders>
                    <w:vAlign w:val="center"/>
                    <w:hideMark/>
                  </w:tcPr>
                  <w:p w:rsidR="00DE031E" w:rsidRPr="00FF43EB" w:rsidRDefault="00DE031E" w:rsidP="00DE031E">
                    <w:pPr>
                      <w:rPr>
                        <w:rFonts w:asciiTheme="minorEastAsia" w:eastAsiaTheme="minorEastAsia" w:hAnsiTheme="minorEastAsia"/>
                        <w:b/>
                        <w:bCs/>
                        <w:color w:val="000000"/>
                        <w:szCs w:val="21"/>
                      </w:rPr>
                    </w:pPr>
                  </w:p>
                </w:tc>
                <w:tc>
                  <w:tcPr>
                    <w:tcW w:w="1998" w:type="pct"/>
                    <w:vMerge/>
                    <w:tcBorders>
                      <w:top w:val="single" w:sz="4" w:space="0" w:color="auto"/>
                      <w:left w:val="single" w:sz="4" w:space="0" w:color="auto"/>
                      <w:bottom w:val="single" w:sz="4" w:space="0" w:color="000000"/>
                      <w:right w:val="single" w:sz="4" w:space="0" w:color="auto"/>
                    </w:tcBorders>
                    <w:vAlign w:val="center"/>
                    <w:hideMark/>
                  </w:tcPr>
                  <w:p w:rsidR="00DE031E" w:rsidRPr="00FF43EB" w:rsidRDefault="00DE031E" w:rsidP="00DE031E">
                    <w:pPr>
                      <w:rPr>
                        <w:rFonts w:asciiTheme="minorEastAsia" w:eastAsiaTheme="minorEastAsia" w:hAnsiTheme="minorEastAsia"/>
                        <w:b/>
                        <w:bCs/>
                        <w:color w:val="000000"/>
                        <w:szCs w:val="21"/>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DE031E" w:rsidRPr="00FF43EB" w:rsidRDefault="00DE031E" w:rsidP="00DE031E">
                    <w:pPr>
                      <w:rPr>
                        <w:rFonts w:asciiTheme="minorEastAsia" w:eastAsiaTheme="minorEastAsia" w:hAnsiTheme="minorEastAsia" w:cs="Arial"/>
                        <w:b/>
                        <w:bCs/>
                        <w:color w:val="000000"/>
                        <w:szCs w:val="21"/>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DE031E" w:rsidRPr="00FF43EB" w:rsidRDefault="00DE031E" w:rsidP="00DE031E">
                    <w:pPr>
                      <w:rPr>
                        <w:rFonts w:asciiTheme="minorEastAsia" w:eastAsiaTheme="minorEastAsia" w:hAnsiTheme="minorEastAsia" w:cs="Arial"/>
                        <w:b/>
                        <w:bCs/>
                        <w:color w:val="000000"/>
                        <w:szCs w:val="21"/>
                      </w:rPr>
                    </w:pPr>
                  </w:p>
                </w:tc>
              </w:tr>
              <w:tr w:rsidR="00DE031E" w:rsidRPr="00FF43EB" w:rsidTr="00DE031E">
                <w:trPr>
                  <w:trHeight w:val="27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olor w:val="000000"/>
                        <w:szCs w:val="21"/>
                      </w:rPr>
                    </w:pPr>
                    <w:r w:rsidRPr="00FF43EB">
                      <w:rPr>
                        <w:rFonts w:asciiTheme="minorEastAsia" w:eastAsiaTheme="minorEastAsia" w:hAnsiTheme="minorEastAsia" w:hint="eastAsia"/>
                        <w:color w:val="000000"/>
                        <w:szCs w:val="21"/>
                      </w:rPr>
                      <w:t>股票</w:t>
                    </w:r>
                    <w:r w:rsidRPr="00FF43EB">
                      <w:rPr>
                        <w:rFonts w:asciiTheme="minorEastAsia" w:eastAsiaTheme="minorEastAsia" w:hAnsiTheme="minorEastAsia" w:cs="Arial"/>
                        <w:color w:val="000000"/>
                        <w:szCs w:val="21"/>
                      </w:rPr>
                      <w:t>/</w:t>
                    </w:r>
                    <w:r w:rsidRPr="00FF43EB">
                      <w:rPr>
                        <w:rFonts w:asciiTheme="minorEastAsia" w:eastAsiaTheme="minorEastAsia" w:hAnsiTheme="minorEastAsia" w:hint="eastAsia"/>
                        <w:color w:val="000000"/>
                        <w:szCs w:val="21"/>
                      </w:rPr>
                      <w:t>基金</w:t>
                    </w:r>
                  </w:p>
                </w:tc>
                <w:tc>
                  <w:tcPr>
                    <w:tcW w:w="199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olor w:val="000000"/>
                        <w:szCs w:val="21"/>
                      </w:rPr>
                    </w:pPr>
                    <w:r w:rsidRPr="00FF43EB">
                      <w:rPr>
                        <w:rFonts w:asciiTheme="minorEastAsia" w:eastAsiaTheme="minorEastAsia" w:hAnsiTheme="minorEastAsia" w:hint="eastAsia"/>
                        <w:color w:val="000000"/>
                        <w:szCs w:val="21"/>
                      </w:rPr>
                      <w:t>已融出证券</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color w:val="000000"/>
                        <w:szCs w:val="21"/>
                      </w:rPr>
                    </w:pPr>
                    <w:r w:rsidRPr="00FF43EB">
                      <w:rPr>
                        <w:rFonts w:asciiTheme="minorEastAsia" w:eastAsiaTheme="minorEastAsia" w:hAnsiTheme="minorEastAsia" w:cs="Arial"/>
                        <w:color w:val="000000"/>
                        <w:szCs w:val="21"/>
                      </w:rPr>
                      <w:t>594,040,121.57</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color w:val="000000"/>
                        <w:szCs w:val="21"/>
                      </w:rPr>
                    </w:pPr>
                    <w:r w:rsidRPr="00FF43EB">
                      <w:rPr>
                        <w:rFonts w:asciiTheme="minorEastAsia" w:eastAsiaTheme="minorEastAsia" w:hAnsiTheme="minorEastAsia" w:cs="Arial"/>
                        <w:color w:val="000000"/>
                        <w:szCs w:val="21"/>
                      </w:rPr>
                      <w:t>937,026,451.60</w:t>
                    </w:r>
                  </w:p>
                </w:tc>
              </w:tr>
              <w:tr w:rsidR="00DE031E" w:rsidRPr="00FF43EB" w:rsidTr="00DE031E">
                <w:trPr>
                  <w:trHeight w:val="27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olor w:val="000000"/>
                        <w:szCs w:val="21"/>
                      </w:rPr>
                    </w:pPr>
                    <w:r w:rsidRPr="00FF43EB">
                      <w:rPr>
                        <w:rFonts w:asciiTheme="minorEastAsia" w:eastAsiaTheme="minorEastAsia" w:hAnsiTheme="minorEastAsia" w:hint="eastAsia"/>
                        <w:color w:val="000000"/>
                        <w:szCs w:val="21"/>
                      </w:rPr>
                      <w:t>股票</w:t>
                    </w:r>
                  </w:p>
                </w:tc>
                <w:tc>
                  <w:tcPr>
                    <w:tcW w:w="199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olor w:val="000000"/>
                        <w:szCs w:val="21"/>
                      </w:rPr>
                    </w:pPr>
                    <w:r w:rsidRPr="00FF43EB">
                      <w:rPr>
                        <w:rFonts w:asciiTheme="minorEastAsia" w:eastAsiaTheme="minorEastAsia" w:hAnsiTheme="minorEastAsia" w:hint="eastAsia"/>
                        <w:color w:val="000000"/>
                        <w:szCs w:val="21"/>
                      </w:rPr>
                      <w:t>限售股</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color w:val="000000"/>
                        <w:szCs w:val="21"/>
                      </w:rPr>
                    </w:pPr>
                    <w:r w:rsidRPr="00FF43EB">
                      <w:rPr>
                        <w:rFonts w:asciiTheme="minorEastAsia" w:eastAsiaTheme="minorEastAsia" w:hAnsiTheme="minorEastAsia" w:cs="Arial"/>
                        <w:color w:val="000000"/>
                        <w:szCs w:val="21"/>
                      </w:rPr>
                      <w:t>1,117,584,053.61</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color w:val="000000"/>
                        <w:szCs w:val="21"/>
                      </w:rPr>
                    </w:pPr>
                    <w:r w:rsidRPr="00FF43EB">
                      <w:rPr>
                        <w:rFonts w:asciiTheme="minorEastAsia" w:eastAsiaTheme="minorEastAsia" w:hAnsiTheme="minorEastAsia" w:cs="Arial"/>
                        <w:color w:val="000000"/>
                        <w:szCs w:val="21"/>
                      </w:rPr>
                      <w:t>746,709,339.08</w:t>
                    </w:r>
                  </w:p>
                </w:tc>
              </w:tr>
              <w:tr w:rsidR="00DE031E" w:rsidRPr="00FF43EB" w:rsidTr="00DE031E">
                <w:trPr>
                  <w:trHeight w:val="27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olor w:val="000000"/>
                        <w:szCs w:val="21"/>
                      </w:rPr>
                    </w:pPr>
                    <w:r w:rsidRPr="00FF43EB">
                      <w:rPr>
                        <w:rFonts w:asciiTheme="minorEastAsia" w:eastAsiaTheme="minorEastAsia" w:hAnsiTheme="minorEastAsia" w:hint="eastAsia"/>
                        <w:color w:val="000000"/>
                        <w:szCs w:val="21"/>
                      </w:rPr>
                      <w:t>债券</w:t>
                    </w:r>
                  </w:p>
                </w:tc>
                <w:tc>
                  <w:tcPr>
                    <w:tcW w:w="199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olor w:val="000000"/>
                        <w:szCs w:val="21"/>
                      </w:rPr>
                    </w:pPr>
                    <w:r w:rsidRPr="00FF43EB">
                      <w:rPr>
                        <w:rFonts w:asciiTheme="minorEastAsia" w:eastAsiaTheme="minorEastAsia" w:hAnsiTheme="minorEastAsia" w:hint="eastAsia"/>
                        <w:color w:val="000000"/>
                        <w:szCs w:val="21"/>
                      </w:rPr>
                      <w:t>为回购业务设定质押</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color w:val="000000"/>
                        <w:szCs w:val="21"/>
                      </w:rPr>
                    </w:pPr>
                    <w:r w:rsidRPr="00FF43EB">
                      <w:rPr>
                        <w:rFonts w:asciiTheme="minorEastAsia" w:eastAsiaTheme="minorEastAsia" w:hAnsiTheme="minorEastAsia" w:cs="Arial"/>
                        <w:color w:val="000000"/>
                        <w:szCs w:val="21"/>
                      </w:rPr>
                      <w:t>10,313,819,672.95</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color w:val="000000"/>
                        <w:szCs w:val="21"/>
                      </w:rPr>
                    </w:pPr>
                    <w:r w:rsidRPr="00FF43EB">
                      <w:rPr>
                        <w:rFonts w:asciiTheme="minorEastAsia" w:eastAsiaTheme="minorEastAsia" w:hAnsiTheme="minorEastAsia" w:cs="Arial"/>
                        <w:color w:val="000000"/>
                        <w:szCs w:val="21"/>
                      </w:rPr>
                      <w:t>8,555,366,383.20</w:t>
                    </w:r>
                  </w:p>
                </w:tc>
              </w:tr>
              <w:tr w:rsidR="00DE031E" w:rsidRPr="00FF43EB" w:rsidTr="00DE031E">
                <w:trPr>
                  <w:trHeight w:val="270"/>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olor w:val="000000"/>
                        <w:szCs w:val="21"/>
                      </w:rPr>
                    </w:pPr>
                    <w:r w:rsidRPr="00FF43EB">
                      <w:rPr>
                        <w:rFonts w:asciiTheme="minorEastAsia" w:eastAsiaTheme="minorEastAsia" w:hAnsiTheme="minorEastAsia" w:hint="eastAsia"/>
                        <w:color w:val="000000"/>
                        <w:szCs w:val="21"/>
                      </w:rPr>
                      <w:t>合计</w:t>
                    </w:r>
                  </w:p>
                </w:tc>
                <w:tc>
                  <w:tcPr>
                    <w:tcW w:w="199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rPr>
                        <w:rFonts w:asciiTheme="minorEastAsia" w:eastAsiaTheme="minorEastAsia" w:hAnsiTheme="minorEastAsia" w:cs="Calibri"/>
                        <w:color w:val="000000"/>
                        <w:szCs w:val="21"/>
                      </w:rPr>
                    </w:pPr>
                    <w:r w:rsidRPr="00FF43EB">
                      <w:rPr>
                        <w:rFonts w:asciiTheme="minorEastAsia" w:eastAsiaTheme="minorEastAsia" w:hAnsiTheme="minorEastAsia" w:cs="Calibri"/>
                        <w:color w:val="000000"/>
                        <w:szCs w:val="21"/>
                      </w:rPr>
                      <w:t xml:space="preserve">　</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b/>
                        <w:bCs/>
                        <w:color w:val="000000"/>
                        <w:szCs w:val="21"/>
                      </w:rPr>
                    </w:pPr>
                    <w:r w:rsidRPr="00FF43EB">
                      <w:rPr>
                        <w:rFonts w:asciiTheme="minorEastAsia" w:eastAsiaTheme="minorEastAsia" w:hAnsiTheme="minorEastAsia" w:cs="Arial"/>
                        <w:b/>
                        <w:bCs/>
                        <w:color w:val="000000"/>
                        <w:szCs w:val="21"/>
                      </w:rPr>
                      <w:t>12,</w:t>
                    </w:r>
                    <w:r>
                      <w:rPr>
                        <w:rFonts w:asciiTheme="minorEastAsia" w:eastAsiaTheme="minorEastAsia" w:hAnsiTheme="minorEastAsia" w:cs="Arial" w:hint="eastAsia"/>
                        <w:b/>
                        <w:bCs/>
                        <w:color w:val="000000"/>
                        <w:szCs w:val="21"/>
                      </w:rPr>
                      <w:t>025</w:t>
                    </w:r>
                    <w:r w:rsidRPr="00FF43EB">
                      <w:rPr>
                        <w:rFonts w:asciiTheme="minorEastAsia" w:eastAsiaTheme="minorEastAsia" w:hAnsiTheme="minorEastAsia" w:cs="Arial"/>
                        <w:b/>
                        <w:bCs/>
                        <w:color w:val="000000"/>
                        <w:szCs w:val="21"/>
                      </w:rPr>
                      <w:t>,</w:t>
                    </w:r>
                    <w:r>
                      <w:rPr>
                        <w:rFonts w:asciiTheme="minorEastAsia" w:eastAsiaTheme="minorEastAsia" w:hAnsiTheme="minorEastAsia" w:cs="Arial" w:hint="eastAsia"/>
                        <w:b/>
                        <w:bCs/>
                        <w:color w:val="000000"/>
                        <w:szCs w:val="21"/>
                      </w:rPr>
                      <w:t>443</w:t>
                    </w:r>
                    <w:r w:rsidRPr="00FF43EB">
                      <w:rPr>
                        <w:rFonts w:asciiTheme="minorEastAsia" w:eastAsiaTheme="minorEastAsia" w:hAnsiTheme="minorEastAsia" w:cs="Arial"/>
                        <w:b/>
                        <w:bCs/>
                        <w:color w:val="000000"/>
                        <w:szCs w:val="21"/>
                      </w:rPr>
                      <w:t>,</w:t>
                    </w:r>
                    <w:r>
                      <w:rPr>
                        <w:rFonts w:asciiTheme="minorEastAsia" w:eastAsiaTheme="minorEastAsia" w:hAnsiTheme="minorEastAsia" w:cs="Arial" w:hint="eastAsia"/>
                        <w:b/>
                        <w:bCs/>
                        <w:color w:val="000000"/>
                        <w:szCs w:val="21"/>
                      </w:rPr>
                      <w:t>84</w:t>
                    </w:r>
                    <w:r w:rsidRPr="00FF43EB">
                      <w:rPr>
                        <w:rFonts w:asciiTheme="minorEastAsia" w:eastAsiaTheme="minorEastAsia" w:hAnsiTheme="minorEastAsia" w:cs="Arial"/>
                        <w:b/>
                        <w:bCs/>
                        <w:color w:val="000000"/>
                        <w:szCs w:val="21"/>
                      </w:rPr>
                      <w:t>8.13</w:t>
                    </w:r>
                  </w:p>
                </w:tc>
                <w:tc>
                  <w:tcPr>
                    <w:tcW w:w="1158" w:type="pct"/>
                    <w:tcBorders>
                      <w:top w:val="nil"/>
                      <w:left w:val="nil"/>
                      <w:bottom w:val="single" w:sz="4" w:space="0" w:color="auto"/>
                      <w:right w:val="single" w:sz="4" w:space="0" w:color="auto"/>
                    </w:tcBorders>
                    <w:shd w:val="clear" w:color="auto" w:fill="auto"/>
                    <w:vAlign w:val="center"/>
                    <w:hideMark/>
                  </w:tcPr>
                  <w:p w:rsidR="00DE031E" w:rsidRPr="00FF43EB" w:rsidRDefault="001C1A59" w:rsidP="00DE031E">
                    <w:pPr>
                      <w:jc w:val="right"/>
                      <w:rPr>
                        <w:rFonts w:asciiTheme="minorEastAsia" w:eastAsiaTheme="minorEastAsia" w:hAnsiTheme="minorEastAsia" w:cs="Arial"/>
                        <w:b/>
                        <w:bCs/>
                        <w:color w:val="000000"/>
                        <w:szCs w:val="21"/>
                      </w:rPr>
                    </w:pPr>
                    <w:r w:rsidRPr="00FF43EB">
                      <w:rPr>
                        <w:rFonts w:asciiTheme="minorEastAsia" w:eastAsiaTheme="minorEastAsia" w:hAnsiTheme="minorEastAsia" w:cs="Arial"/>
                        <w:b/>
                        <w:bCs/>
                        <w:color w:val="000000"/>
                        <w:szCs w:val="21"/>
                      </w:rPr>
                      <w:t>10,239,102,173.88</w:t>
                    </w:r>
                  </w:p>
                </w:tc>
              </w:tr>
            </w:tbl>
            <w:p w:rsidR="00DE031E" w:rsidRDefault="00DE031E">
              <w:pPr>
                <w:jc w:val="both"/>
                <w:rPr>
                  <w:color w:val="000000" w:themeColor="text1"/>
                </w:rPr>
              </w:pPr>
            </w:p>
            <w:p w:rsidR="00DE031E" w:rsidRDefault="001C1A59" w:rsidP="00DE031E">
              <w:pPr>
                <w:widowControl w:val="0"/>
                <w:autoSpaceDE w:val="0"/>
                <w:autoSpaceDN w:val="0"/>
                <w:adjustRightInd w:val="0"/>
                <w:spacing w:line="276" w:lineRule="auto"/>
              </w:pPr>
              <w:r>
                <w:rPr>
                  <w:rFonts w:hint="eastAsia"/>
                </w:rPr>
                <w:lastRenderedPageBreak/>
                <w:t>2）</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日，以公允价值计量且其变动计入当期损益的金融资产账面价值较年初增加</w:t>
              </w:r>
              <w:r>
                <w:rPr>
                  <w:rFonts w:ascii="Arial" w:hAnsi="Arial" w:cs="Arial" w:hint="eastAsia"/>
                  <w:sz w:val="22"/>
                  <w:szCs w:val="22"/>
                </w:rPr>
                <w:t>19</w:t>
              </w:r>
              <w:r>
                <w:rPr>
                  <w:rFonts w:ascii="Arial" w:hAnsi="Arial" w:cs="Arial"/>
                  <w:sz w:val="22"/>
                  <w:szCs w:val="22"/>
                </w:rPr>
                <w:t>,</w:t>
              </w:r>
              <w:r>
                <w:rPr>
                  <w:rFonts w:ascii="Arial" w:hAnsi="Arial" w:cs="Arial" w:hint="eastAsia"/>
                  <w:sz w:val="22"/>
                  <w:szCs w:val="22"/>
                </w:rPr>
                <w:t>245</w:t>
              </w:r>
              <w:r>
                <w:rPr>
                  <w:rFonts w:ascii="Arial" w:hAnsi="Arial" w:cs="Arial"/>
                  <w:sz w:val="22"/>
                  <w:szCs w:val="22"/>
                </w:rPr>
                <w:t>,</w:t>
              </w:r>
              <w:r>
                <w:rPr>
                  <w:rFonts w:ascii="Arial" w:hAnsi="Arial" w:cs="Arial" w:hint="eastAsia"/>
                  <w:sz w:val="22"/>
                  <w:szCs w:val="22"/>
                </w:rPr>
                <w:t>181</w:t>
              </w:r>
              <w:r>
                <w:rPr>
                  <w:rFonts w:ascii="Arial" w:hAnsi="Arial" w:cs="Arial"/>
                  <w:sz w:val="22"/>
                  <w:szCs w:val="22"/>
                </w:rPr>
                <w:t>,</w:t>
              </w:r>
              <w:r>
                <w:rPr>
                  <w:rFonts w:ascii="Arial" w:hAnsi="Arial" w:cs="Arial" w:hint="eastAsia"/>
                  <w:sz w:val="22"/>
                  <w:szCs w:val="22"/>
                </w:rPr>
                <w:t>445</w:t>
              </w:r>
              <w:r>
                <w:rPr>
                  <w:rFonts w:ascii="Arial" w:hAnsi="Arial" w:cs="Arial"/>
                  <w:sz w:val="22"/>
                  <w:szCs w:val="22"/>
                </w:rPr>
                <w:t>.</w:t>
              </w:r>
              <w:r>
                <w:rPr>
                  <w:rFonts w:ascii="Arial" w:hAnsi="Arial" w:cs="Arial" w:hint="eastAsia"/>
                  <w:sz w:val="22"/>
                  <w:szCs w:val="22"/>
                </w:rPr>
                <w:t>58</w:t>
              </w:r>
              <w:r>
                <w:rPr>
                  <w:rFonts w:hAnsi="Calibri" w:hint="eastAsia"/>
                  <w:sz w:val="22"/>
                  <w:szCs w:val="22"/>
                </w:rPr>
                <w:t>元，增幅</w:t>
              </w:r>
              <w:r>
                <w:rPr>
                  <w:rFonts w:ascii="Arial" w:hAnsi="Arial" w:cs="Arial" w:hint="eastAsia"/>
                  <w:sz w:val="22"/>
                  <w:szCs w:val="22"/>
                </w:rPr>
                <w:t>53.28</w:t>
              </w:r>
              <w:r>
                <w:rPr>
                  <w:rFonts w:ascii="Arial" w:hAnsi="Arial" w:cs="Arial"/>
                  <w:sz w:val="22"/>
                  <w:szCs w:val="22"/>
                </w:rPr>
                <w:t>%</w:t>
              </w:r>
              <w:r>
                <w:rPr>
                  <w:rFonts w:hAnsi="Calibri" w:hint="eastAsia"/>
                  <w:sz w:val="22"/>
                  <w:szCs w:val="22"/>
                </w:rPr>
                <w:t>，主要系本年债券和股票的投资规模增加所致。</w:t>
              </w:r>
            </w:p>
          </w:sdtContent>
        </w:sdt>
      </w:sdtContent>
    </w:sdt>
    <w:sdt>
      <w:sdtPr>
        <w:rPr>
          <w:rFonts w:ascii="宋体" w:hAnsi="宋体" w:cs="宋体" w:hint="eastAsia"/>
          <w:b w:val="0"/>
          <w:bCs w:val="0"/>
          <w:kern w:val="0"/>
          <w:szCs w:val="24"/>
        </w:rPr>
        <w:tag w:val="_GBC_07062e2a68404b3bb5f590e76998351d"/>
        <w:id w:val="24723676"/>
        <w:lock w:val="sdtLocked"/>
        <w:placeholder>
          <w:docPart w:val="GBC22222222222222222222222222222"/>
        </w:placeholder>
      </w:sdtPr>
      <w:sdtEndPr>
        <w:rPr>
          <w:rFonts w:hint="default"/>
        </w:rPr>
      </w:sdtEndPr>
      <w:sdtContent>
        <w:p w:rsidR="00DE031E" w:rsidRDefault="001C1A59" w:rsidP="009950AC">
          <w:pPr>
            <w:pStyle w:val="3"/>
            <w:numPr>
              <w:ilvl w:val="0"/>
              <w:numId w:val="41"/>
            </w:numPr>
            <w:rPr>
              <w:rFonts w:ascii="宋体" w:hAnsi="宋体"/>
            </w:rPr>
          </w:pPr>
          <w:r>
            <w:rPr>
              <w:rFonts w:ascii="宋体" w:hAnsi="宋体" w:hint="eastAsia"/>
            </w:rPr>
            <w:t xml:space="preserve">融券业务情况 </w:t>
          </w:r>
        </w:p>
        <w:sdt>
          <w:sdtPr>
            <w:alias w:val="是否适用：融券业务情况"/>
            <w:tag w:val="_GBC_feaccfdbdc3f40f695be3cfaa8004e6e"/>
            <w:id w:val="24723657"/>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rPr>
              <w:rFonts w:hint="eastAsia"/>
            </w:rPr>
            <w:t>单位:</w:t>
          </w:r>
          <w:sdt>
            <w:sdtPr>
              <w:rPr>
                <w:rFonts w:hint="eastAsia"/>
              </w:rPr>
              <w:alias w:val="单位：财务附注：融券业务情况"/>
              <w:tag w:val="_GBC_fba7ad0f0ee643faabc1802bb005c195"/>
              <w:id w:val="247236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 xml:space="preserve">元 </w:t>
              </w:r>
            </w:sdtContent>
          </w:sdt>
          <w:r>
            <w:rPr>
              <w:rFonts w:hint="eastAsia"/>
            </w:rPr>
            <w:t xml:space="preserve">  币种:</w:t>
          </w:r>
          <w:sdt>
            <w:sdtPr>
              <w:rPr>
                <w:rFonts w:hint="eastAsia"/>
              </w:rPr>
              <w:alias w:val="币种：财务附注：融券业务情况"/>
              <w:tag w:val="_GBC_452c2b6b92e647ed806d534572b8add1"/>
              <w:id w:val="24723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pPr w:leftFromText="180" w:rightFromText="180" w:vertAnchor="text" w:horzAnchor="margin" w:tblpX="108"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5"/>
            <w:gridCol w:w="4252"/>
            <w:gridCol w:w="3632"/>
          </w:tblGrid>
          <w:tr w:rsidR="00DE031E" w:rsidRPr="000F0C2C" w:rsidTr="00DE031E">
            <w:trPr>
              <w:trHeight w:val="70"/>
            </w:trPr>
            <w:tc>
              <w:tcPr>
                <w:tcW w:w="2202" w:type="pct"/>
                <w:shd w:val="clear" w:color="auto" w:fill="auto"/>
              </w:tcPr>
              <w:p w:rsidR="00DE031E" w:rsidRPr="000F0C2C" w:rsidRDefault="001C1A59">
                <w:pPr>
                  <w:jc w:val="center"/>
                  <w:rPr>
                    <w:rFonts w:asciiTheme="minorEastAsia" w:eastAsiaTheme="minorEastAsia" w:hAnsiTheme="minorEastAsia"/>
                    <w:bCs/>
                    <w:szCs w:val="21"/>
                  </w:rPr>
                </w:pPr>
                <w:r w:rsidRPr="000F0C2C">
                  <w:rPr>
                    <w:rFonts w:asciiTheme="minorEastAsia" w:eastAsiaTheme="minorEastAsia" w:hAnsiTheme="minorEastAsia"/>
                    <w:bCs/>
                    <w:szCs w:val="21"/>
                  </w:rPr>
                  <w:t>项目</w:t>
                </w:r>
              </w:p>
            </w:tc>
            <w:tc>
              <w:tcPr>
                <w:tcW w:w="1509" w:type="pct"/>
                <w:shd w:val="clear" w:color="auto" w:fill="auto"/>
                <w:vAlign w:val="center"/>
              </w:tcPr>
              <w:p w:rsidR="00DE031E" w:rsidRPr="000F0C2C" w:rsidRDefault="001C1A59">
                <w:pPr>
                  <w:jc w:val="center"/>
                  <w:rPr>
                    <w:rFonts w:asciiTheme="minorEastAsia" w:eastAsiaTheme="minorEastAsia" w:hAnsiTheme="minorEastAsia"/>
                    <w:bCs/>
                    <w:szCs w:val="21"/>
                  </w:rPr>
                </w:pPr>
                <w:r w:rsidRPr="000F0C2C">
                  <w:rPr>
                    <w:rFonts w:asciiTheme="minorEastAsia" w:eastAsiaTheme="minorEastAsia" w:hAnsiTheme="minorEastAsia"/>
                    <w:bCs/>
                    <w:szCs w:val="21"/>
                  </w:rPr>
                  <w:t>期末公允价值</w:t>
                </w:r>
              </w:p>
            </w:tc>
            <w:tc>
              <w:tcPr>
                <w:tcW w:w="1289" w:type="pct"/>
                <w:shd w:val="clear" w:color="auto" w:fill="auto"/>
                <w:vAlign w:val="center"/>
              </w:tcPr>
              <w:p w:rsidR="00DE031E" w:rsidRPr="000F0C2C" w:rsidRDefault="001C1A59">
                <w:pPr>
                  <w:ind w:rightChars="-27" w:right="-57"/>
                  <w:jc w:val="center"/>
                  <w:rPr>
                    <w:rFonts w:asciiTheme="minorEastAsia" w:eastAsiaTheme="minorEastAsia" w:hAnsiTheme="minorEastAsia"/>
                    <w:bCs/>
                    <w:szCs w:val="21"/>
                  </w:rPr>
                </w:pPr>
                <w:r w:rsidRPr="000F0C2C">
                  <w:rPr>
                    <w:rFonts w:asciiTheme="minorEastAsia" w:eastAsiaTheme="minorEastAsia" w:hAnsiTheme="minorEastAsia" w:hint="eastAsia"/>
                    <w:bCs/>
                    <w:szCs w:val="21"/>
                  </w:rPr>
                  <w:t>期初</w:t>
                </w:r>
                <w:r w:rsidRPr="000F0C2C">
                  <w:rPr>
                    <w:rFonts w:asciiTheme="minorEastAsia" w:eastAsiaTheme="minorEastAsia" w:hAnsiTheme="minorEastAsia"/>
                    <w:bCs/>
                    <w:szCs w:val="21"/>
                  </w:rPr>
                  <w:t>公允价值</w:t>
                </w:r>
              </w:p>
            </w:tc>
          </w:tr>
          <w:tr w:rsidR="00DE031E" w:rsidRPr="000F0C2C" w:rsidTr="00DE031E">
            <w:tc>
              <w:tcPr>
                <w:tcW w:w="2202" w:type="pct"/>
                <w:shd w:val="clear" w:color="auto" w:fill="auto"/>
                <w:vAlign w:val="center"/>
              </w:tcPr>
              <w:p w:rsidR="00DE031E" w:rsidRPr="000F0C2C" w:rsidRDefault="001C1A59">
                <w:pPr>
                  <w:rPr>
                    <w:rFonts w:asciiTheme="minorEastAsia" w:eastAsiaTheme="minorEastAsia" w:hAnsiTheme="minorEastAsia"/>
                    <w:bCs/>
                    <w:szCs w:val="21"/>
                  </w:rPr>
                </w:pPr>
                <w:r w:rsidRPr="000F0C2C">
                  <w:rPr>
                    <w:rFonts w:asciiTheme="minorEastAsia" w:eastAsiaTheme="minorEastAsia" w:hAnsiTheme="minorEastAsia"/>
                    <w:bCs/>
                    <w:szCs w:val="21"/>
                  </w:rPr>
                  <w:t>融出证券</w:t>
                </w:r>
              </w:p>
            </w:tc>
            <w:sdt>
              <w:sdtPr>
                <w:rPr>
                  <w:rFonts w:asciiTheme="minorEastAsia" w:eastAsiaTheme="minorEastAsia" w:hAnsiTheme="minorEastAsia"/>
                  <w:bCs/>
                  <w:color w:val="000000" w:themeColor="text1"/>
                  <w:szCs w:val="21"/>
                </w:rPr>
                <w:alias w:val="融出证券公允价值"/>
                <w:tag w:val="_GBC_ac0ea1a2ee334b63af1bec9b32ffa70a"/>
                <w:id w:val="24723660"/>
                <w:lock w:val="sdtLocked"/>
                <w:showingPlcHdr/>
              </w:sdtPr>
              <w:sdtContent>
                <w:tc>
                  <w:tcPr>
                    <w:tcW w:w="150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hint="eastAsia"/>
                        <w:color w:val="000000" w:themeColor="text1"/>
                        <w:szCs w:val="21"/>
                      </w:rPr>
                      <w:t xml:space="preserve">　</w:t>
                    </w:r>
                  </w:p>
                </w:tc>
              </w:sdtContent>
            </w:sdt>
            <w:sdt>
              <w:sdtPr>
                <w:rPr>
                  <w:rFonts w:asciiTheme="minorEastAsia" w:eastAsiaTheme="minorEastAsia" w:hAnsiTheme="minorEastAsia"/>
                  <w:bCs/>
                  <w:color w:val="000000" w:themeColor="text1"/>
                  <w:szCs w:val="21"/>
                </w:rPr>
                <w:alias w:val="融出证券公允价值"/>
                <w:tag w:val="_GBC_e90f96b26f4c40819496c662baa8ef93"/>
                <w:id w:val="24723661"/>
                <w:lock w:val="sdtLocked"/>
                <w:showingPlcHdr/>
              </w:sdtPr>
              <w:sdtContent>
                <w:tc>
                  <w:tcPr>
                    <w:tcW w:w="128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hint="eastAsia"/>
                        <w:color w:val="000000" w:themeColor="text1"/>
                        <w:szCs w:val="21"/>
                      </w:rPr>
                      <w:t xml:space="preserve">　</w:t>
                    </w:r>
                  </w:p>
                </w:tc>
              </w:sdtContent>
            </w:sdt>
          </w:tr>
          <w:tr w:rsidR="00DE031E" w:rsidRPr="000F0C2C" w:rsidTr="00DE031E">
            <w:tc>
              <w:tcPr>
                <w:tcW w:w="2202" w:type="pct"/>
                <w:shd w:val="clear" w:color="auto" w:fill="auto"/>
                <w:vAlign w:val="center"/>
              </w:tcPr>
              <w:p w:rsidR="00DE031E" w:rsidRPr="000F0C2C" w:rsidRDefault="001C1A59">
                <w:pPr>
                  <w:rPr>
                    <w:rFonts w:asciiTheme="minorEastAsia" w:eastAsiaTheme="minorEastAsia" w:hAnsiTheme="minorEastAsia"/>
                    <w:bCs/>
                    <w:szCs w:val="21"/>
                  </w:rPr>
                </w:pPr>
                <w:r w:rsidRPr="000F0C2C">
                  <w:rPr>
                    <w:rFonts w:asciiTheme="minorEastAsia" w:eastAsiaTheme="minorEastAsia" w:hAnsiTheme="minorEastAsia" w:hint="eastAsia"/>
                    <w:bCs/>
                    <w:szCs w:val="21"/>
                  </w:rPr>
                  <w:t>—以公允价值计量且其变动计入当期损益的金融资产</w:t>
                </w:r>
              </w:p>
            </w:tc>
            <w:tc>
              <w:tcPr>
                <w:tcW w:w="150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bCs/>
                    <w:color w:val="000000" w:themeColor="text1"/>
                    <w:szCs w:val="21"/>
                  </w:rPr>
                  <w:t>594,040,121.57</w:t>
                </w:r>
              </w:p>
            </w:tc>
            <w:tc>
              <w:tcPr>
                <w:tcW w:w="128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bCs/>
                    <w:color w:val="000000" w:themeColor="text1"/>
                    <w:szCs w:val="21"/>
                  </w:rPr>
                  <w:t>937,026,451.60</w:t>
                </w:r>
              </w:p>
            </w:tc>
          </w:tr>
          <w:tr w:rsidR="00DE031E" w:rsidRPr="000F0C2C" w:rsidTr="00DE031E">
            <w:tc>
              <w:tcPr>
                <w:tcW w:w="2202" w:type="pct"/>
                <w:shd w:val="clear" w:color="auto" w:fill="auto"/>
                <w:vAlign w:val="center"/>
              </w:tcPr>
              <w:p w:rsidR="00DE031E" w:rsidRPr="000F0C2C" w:rsidRDefault="001C1A59">
                <w:pPr>
                  <w:rPr>
                    <w:rFonts w:asciiTheme="minorEastAsia" w:eastAsiaTheme="minorEastAsia" w:hAnsiTheme="minorEastAsia"/>
                    <w:bCs/>
                    <w:szCs w:val="21"/>
                  </w:rPr>
                </w:pPr>
                <w:r w:rsidRPr="000F0C2C">
                  <w:rPr>
                    <w:rFonts w:asciiTheme="minorEastAsia" w:eastAsiaTheme="minorEastAsia" w:hAnsiTheme="minorEastAsia"/>
                    <w:bCs/>
                    <w:szCs w:val="21"/>
                  </w:rPr>
                  <w:t>－可供出售金融资产</w:t>
                </w:r>
              </w:p>
            </w:tc>
            <w:sdt>
              <w:sdtPr>
                <w:rPr>
                  <w:rFonts w:asciiTheme="minorEastAsia" w:eastAsiaTheme="minorEastAsia" w:hAnsiTheme="minorEastAsia"/>
                  <w:bCs/>
                  <w:color w:val="000000" w:themeColor="text1"/>
                  <w:szCs w:val="21"/>
                </w:rPr>
                <w:alias w:val="融出证券中可供出售金融资产的公允价值"/>
                <w:tag w:val="_GBC_63e32a0b3ab44293a7a459cc3cd4a575"/>
                <w:id w:val="24723662"/>
                <w:lock w:val="sdtLocked"/>
              </w:sdtPr>
              <w:sdtContent>
                <w:tc>
                  <w:tcPr>
                    <w:tcW w:w="150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bCs/>
                        <w:color w:val="000000" w:themeColor="text1"/>
                        <w:szCs w:val="21"/>
                      </w:rPr>
                      <w:t>65,484,053.39</w:t>
                    </w:r>
                  </w:p>
                </w:tc>
              </w:sdtContent>
            </w:sdt>
            <w:sdt>
              <w:sdtPr>
                <w:rPr>
                  <w:rFonts w:asciiTheme="minorEastAsia" w:eastAsiaTheme="minorEastAsia" w:hAnsiTheme="minorEastAsia"/>
                  <w:bCs/>
                  <w:color w:val="000000" w:themeColor="text1"/>
                  <w:szCs w:val="21"/>
                </w:rPr>
                <w:alias w:val="融出证券中可供出售金融资产的公允价值"/>
                <w:tag w:val="_GBC_03dc2697de4f4bb08fba01ff612aaf33"/>
                <w:id w:val="24723663"/>
                <w:lock w:val="sdtLocked"/>
              </w:sdtPr>
              <w:sdtContent>
                <w:tc>
                  <w:tcPr>
                    <w:tcW w:w="128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bCs/>
                        <w:color w:val="000000" w:themeColor="text1"/>
                        <w:szCs w:val="21"/>
                      </w:rPr>
                      <w:t>63,398,858.36</w:t>
                    </w:r>
                  </w:p>
                </w:tc>
              </w:sdtContent>
            </w:sdt>
          </w:tr>
          <w:tr w:rsidR="00DE031E" w:rsidRPr="000F0C2C" w:rsidTr="00DE031E">
            <w:tc>
              <w:tcPr>
                <w:tcW w:w="2202" w:type="pct"/>
                <w:shd w:val="clear" w:color="auto" w:fill="auto"/>
                <w:vAlign w:val="center"/>
              </w:tcPr>
              <w:p w:rsidR="00DE031E" w:rsidRPr="000F0C2C" w:rsidRDefault="001C1A59">
                <w:pPr>
                  <w:rPr>
                    <w:rFonts w:asciiTheme="minorEastAsia" w:eastAsiaTheme="minorEastAsia" w:hAnsiTheme="minorEastAsia"/>
                    <w:bCs/>
                    <w:szCs w:val="21"/>
                  </w:rPr>
                </w:pPr>
                <w:r w:rsidRPr="000F0C2C">
                  <w:rPr>
                    <w:rFonts w:asciiTheme="minorEastAsia" w:eastAsiaTheme="minorEastAsia" w:hAnsiTheme="minorEastAsia"/>
                    <w:bCs/>
                    <w:szCs w:val="21"/>
                  </w:rPr>
                  <w:t>－转融通融入证券</w:t>
                </w:r>
              </w:p>
            </w:tc>
            <w:sdt>
              <w:sdtPr>
                <w:rPr>
                  <w:rFonts w:asciiTheme="minorEastAsia" w:eastAsiaTheme="minorEastAsia" w:hAnsiTheme="minorEastAsia"/>
                  <w:bCs/>
                  <w:color w:val="000000" w:themeColor="text1"/>
                  <w:szCs w:val="21"/>
                </w:rPr>
                <w:alias w:val="融出证券中转融通融入证券的公允价值"/>
                <w:tag w:val="_GBC_89ae462a739d4ec5a95b367d9f01fee4"/>
                <w:id w:val="24723664"/>
                <w:lock w:val="sdtLocked"/>
                <w:showingPlcHdr/>
              </w:sdtPr>
              <w:sdtContent>
                <w:tc>
                  <w:tcPr>
                    <w:tcW w:w="150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hint="eastAsia"/>
                        <w:color w:val="000000" w:themeColor="text1"/>
                        <w:szCs w:val="21"/>
                      </w:rPr>
                      <w:t xml:space="preserve">　</w:t>
                    </w:r>
                  </w:p>
                </w:tc>
              </w:sdtContent>
            </w:sdt>
            <w:sdt>
              <w:sdtPr>
                <w:rPr>
                  <w:rFonts w:asciiTheme="minorEastAsia" w:eastAsiaTheme="minorEastAsia" w:hAnsiTheme="minorEastAsia"/>
                  <w:bCs/>
                  <w:color w:val="000000" w:themeColor="text1"/>
                  <w:szCs w:val="21"/>
                </w:rPr>
                <w:alias w:val="融出证券中转融通融入证券的公允价值"/>
                <w:tag w:val="_GBC_0984f29ecf464edab0dd51d02a82f609"/>
                <w:id w:val="24723665"/>
                <w:lock w:val="sdtLocked"/>
                <w:showingPlcHdr/>
              </w:sdtPr>
              <w:sdtContent>
                <w:tc>
                  <w:tcPr>
                    <w:tcW w:w="128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hint="eastAsia"/>
                        <w:color w:val="000000" w:themeColor="text1"/>
                        <w:szCs w:val="21"/>
                      </w:rPr>
                      <w:t xml:space="preserve">　</w:t>
                    </w:r>
                  </w:p>
                </w:tc>
              </w:sdtContent>
            </w:sdt>
          </w:tr>
          <w:tr w:rsidR="00DE031E" w:rsidRPr="000F0C2C" w:rsidTr="00DE031E">
            <w:tc>
              <w:tcPr>
                <w:tcW w:w="2202" w:type="pct"/>
                <w:shd w:val="clear" w:color="auto" w:fill="auto"/>
                <w:vAlign w:val="center"/>
              </w:tcPr>
              <w:p w:rsidR="00DE031E" w:rsidRPr="000F0C2C" w:rsidRDefault="001C1A59" w:rsidP="00DE031E">
                <w:pPr>
                  <w:rPr>
                    <w:rFonts w:asciiTheme="minorEastAsia" w:eastAsiaTheme="minorEastAsia" w:hAnsiTheme="minorEastAsia"/>
                    <w:bCs/>
                    <w:szCs w:val="21"/>
                  </w:rPr>
                </w:pPr>
                <w:r w:rsidRPr="000F0C2C">
                  <w:rPr>
                    <w:rFonts w:asciiTheme="minorEastAsia" w:eastAsiaTheme="minorEastAsia" w:hAnsiTheme="minorEastAsia" w:hint="eastAsia"/>
                    <w:bCs/>
                    <w:szCs w:val="21"/>
                  </w:rPr>
                  <w:t>—向行家借入证券</w:t>
                </w:r>
              </w:p>
            </w:tc>
            <w:tc>
              <w:tcPr>
                <w:tcW w:w="150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cs="Arial"/>
                    <w:color w:val="000000"/>
                    <w:szCs w:val="21"/>
                  </w:rPr>
                  <w:t>8,613,316.71</w:t>
                </w:r>
              </w:p>
            </w:tc>
            <w:tc>
              <w:tcPr>
                <w:tcW w:w="128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cs="Arial"/>
                    <w:color w:val="000000"/>
                    <w:szCs w:val="21"/>
                  </w:rPr>
                  <w:t>15,037,499.11</w:t>
                </w:r>
              </w:p>
            </w:tc>
          </w:tr>
          <w:tr w:rsidR="00DE031E" w:rsidRPr="000F0C2C" w:rsidTr="00DE031E">
            <w:trPr>
              <w:trHeight w:val="272"/>
            </w:trPr>
            <w:tc>
              <w:tcPr>
                <w:tcW w:w="2202" w:type="pct"/>
                <w:shd w:val="clear" w:color="auto" w:fill="auto"/>
              </w:tcPr>
              <w:p w:rsidR="00DE031E" w:rsidRPr="000F0C2C" w:rsidRDefault="001C1A59">
                <w:pPr>
                  <w:jc w:val="both"/>
                  <w:rPr>
                    <w:rFonts w:asciiTheme="minorEastAsia" w:eastAsiaTheme="minorEastAsia" w:hAnsiTheme="minorEastAsia"/>
                    <w:bCs/>
                    <w:szCs w:val="21"/>
                  </w:rPr>
                </w:pPr>
                <w:r w:rsidRPr="000F0C2C">
                  <w:rPr>
                    <w:rFonts w:asciiTheme="minorEastAsia" w:eastAsiaTheme="minorEastAsia" w:hAnsiTheme="minorEastAsia"/>
                    <w:bCs/>
                    <w:szCs w:val="21"/>
                  </w:rPr>
                  <w:t>转融通融入证券总额</w:t>
                </w:r>
              </w:p>
            </w:tc>
            <w:sdt>
              <w:sdtPr>
                <w:rPr>
                  <w:rFonts w:asciiTheme="minorEastAsia" w:eastAsiaTheme="minorEastAsia" w:hAnsiTheme="minorEastAsia"/>
                  <w:bCs/>
                  <w:color w:val="000000" w:themeColor="text1"/>
                  <w:szCs w:val="21"/>
                </w:rPr>
                <w:alias w:val="转融通融入证券总额的公允价值"/>
                <w:tag w:val="_GBC_328b49234a534cfeae15e24f1188a648"/>
                <w:id w:val="24723666"/>
                <w:lock w:val="sdtLocked"/>
                <w:showingPlcHdr/>
              </w:sdtPr>
              <w:sdtContent>
                <w:tc>
                  <w:tcPr>
                    <w:tcW w:w="150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hint="eastAsia"/>
                        <w:color w:val="000000" w:themeColor="text1"/>
                        <w:szCs w:val="21"/>
                      </w:rPr>
                      <w:t xml:space="preserve">　</w:t>
                    </w:r>
                  </w:p>
                </w:tc>
              </w:sdtContent>
            </w:sdt>
            <w:sdt>
              <w:sdtPr>
                <w:rPr>
                  <w:rFonts w:asciiTheme="minorEastAsia" w:eastAsiaTheme="minorEastAsia" w:hAnsiTheme="minorEastAsia"/>
                  <w:bCs/>
                  <w:color w:val="000000" w:themeColor="text1"/>
                  <w:szCs w:val="21"/>
                </w:rPr>
                <w:alias w:val="转融通融入证券总额的公允价值"/>
                <w:tag w:val="_GBC_e62b289bedbc45239c808df5ca7a290a"/>
                <w:id w:val="24723667"/>
                <w:lock w:val="sdtLocked"/>
                <w:showingPlcHdr/>
              </w:sdtPr>
              <w:sdtContent>
                <w:tc>
                  <w:tcPr>
                    <w:tcW w:w="1289" w:type="pct"/>
                    <w:shd w:val="clear" w:color="auto" w:fill="auto"/>
                  </w:tcPr>
                  <w:p w:rsidR="00DE031E" w:rsidRPr="000F0C2C" w:rsidRDefault="001C1A59">
                    <w:pPr>
                      <w:jc w:val="right"/>
                      <w:rPr>
                        <w:rFonts w:asciiTheme="minorEastAsia" w:eastAsiaTheme="minorEastAsia" w:hAnsiTheme="minorEastAsia"/>
                        <w:bCs/>
                        <w:color w:val="000000" w:themeColor="text1"/>
                        <w:szCs w:val="21"/>
                      </w:rPr>
                    </w:pPr>
                    <w:r w:rsidRPr="000F0C2C">
                      <w:rPr>
                        <w:rFonts w:asciiTheme="minorEastAsia" w:eastAsiaTheme="minorEastAsia" w:hAnsiTheme="minorEastAsia" w:hint="eastAsia"/>
                        <w:color w:val="000000" w:themeColor="text1"/>
                        <w:szCs w:val="21"/>
                      </w:rPr>
                      <w:t xml:space="preserve">　</w:t>
                    </w:r>
                  </w:p>
                </w:tc>
              </w:sdtContent>
            </w:sdt>
          </w:tr>
          <w:sdt>
            <w:sdtPr>
              <w:rPr>
                <w:rFonts w:asciiTheme="minorEastAsia" w:eastAsiaTheme="minorEastAsia" w:hAnsiTheme="minorEastAsia"/>
                <w:bCs/>
                <w:szCs w:val="21"/>
              </w:rPr>
              <w:alias w:val="其他融券业务项目明细"/>
              <w:tag w:val="_GBC_6425ab788064491b9484d6add8686441"/>
              <w:id w:val="24723671"/>
              <w:lock w:val="sdtLocked"/>
            </w:sdtPr>
            <w:sdtEndPr>
              <w:rPr>
                <w:color w:val="FF0000"/>
              </w:rPr>
            </w:sdtEndPr>
            <w:sdtContent>
              <w:tr w:rsidR="00DE031E" w:rsidRPr="000F0C2C" w:rsidTr="00DE031E">
                <w:sdt>
                  <w:sdtPr>
                    <w:rPr>
                      <w:rFonts w:asciiTheme="minorEastAsia" w:eastAsiaTheme="minorEastAsia" w:hAnsiTheme="minorEastAsia"/>
                      <w:bCs/>
                      <w:szCs w:val="21"/>
                    </w:rPr>
                    <w:alias w:val="其他融券业务项目明细－项目"/>
                    <w:tag w:val="_GBC_66c28015dcbc4bdbbd01046b7cc56a1a"/>
                    <w:id w:val="24723668"/>
                    <w:lock w:val="sdtLocked"/>
                  </w:sdtPr>
                  <w:sdtContent>
                    <w:tc>
                      <w:tcPr>
                        <w:tcW w:w="2202" w:type="pct"/>
                        <w:shd w:val="clear" w:color="auto" w:fill="auto"/>
                        <w:vAlign w:val="center"/>
                      </w:tcPr>
                      <w:p w:rsidR="00DE031E" w:rsidRPr="000F0C2C" w:rsidRDefault="001C1A59" w:rsidP="00DE031E">
                        <w:pPr>
                          <w:rPr>
                            <w:rFonts w:asciiTheme="minorEastAsia" w:eastAsiaTheme="minorEastAsia" w:hAnsiTheme="minorEastAsia"/>
                            <w:bCs/>
                            <w:szCs w:val="21"/>
                          </w:rPr>
                        </w:pPr>
                        <w:r w:rsidRPr="000F0C2C">
                          <w:rPr>
                            <w:rFonts w:asciiTheme="minorEastAsia" w:eastAsiaTheme="minorEastAsia" w:hAnsiTheme="minorEastAsia" w:hint="eastAsia"/>
                            <w:bCs/>
                            <w:szCs w:val="21"/>
                          </w:rPr>
                          <w:t>—转融通融入证券</w:t>
                        </w:r>
                      </w:p>
                    </w:tc>
                  </w:sdtContent>
                </w:sdt>
                <w:sdt>
                  <w:sdtPr>
                    <w:rPr>
                      <w:rFonts w:asciiTheme="minorEastAsia" w:eastAsiaTheme="minorEastAsia" w:hAnsiTheme="minorEastAsia"/>
                      <w:bCs/>
                      <w:color w:val="FF0000"/>
                      <w:szCs w:val="21"/>
                    </w:rPr>
                    <w:alias w:val="其他融券业务项目明细－公允价值"/>
                    <w:tag w:val="_GBC_3c04d3b9fe984a2aa0e12f53aaa58286"/>
                    <w:id w:val="24723669"/>
                    <w:lock w:val="sdtLocked"/>
                  </w:sdtPr>
                  <w:sdtEndPr>
                    <w:rPr>
                      <w:color w:val="auto"/>
                    </w:rPr>
                  </w:sdtEndPr>
                  <w:sdtContent>
                    <w:tc>
                      <w:tcPr>
                        <w:tcW w:w="1509" w:type="pct"/>
                        <w:shd w:val="clear" w:color="auto" w:fill="auto"/>
                      </w:tcPr>
                      <w:p w:rsidR="00DE031E" w:rsidRPr="000F0C2C" w:rsidRDefault="001C1A59">
                        <w:pPr>
                          <w:jc w:val="right"/>
                          <w:rPr>
                            <w:rFonts w:asciiTheme="minorEastAsia" w:eastAsiaTheme="minorEastAsia" w:hAnsiTheme="minorEastAsia"/>
                            <w:bCs/>
                            <w:color w:val="FF0000"/>
                            <w:szCs w:val="21"/>
                          </w:rPr>
                        </w:pPr>
                        <w:r w:rsidRPr="000F0C2C">
                          <w:rPr>
                            <w:rFonts w:asciiTheme="minorEastAsia" w:eastAsiaTheme="minorEastAsia" w:hAnsiTheme="minorEastAsia" w:cs="Arial"/>
                            <w:color w:val="000000"/>
                            <w:szCs w:val="21"/>
                          </w:rPr>
                          <w:t>41,677,000.00</w:t>
                        </w:r>
                      </w:p>
                    </w:tc>
                  </w:sdtContent>
                </w:sdt>
                <w:sdt>
                  <w:sdtPr>
                    <w:rPr>
                      <w:rFonts w:asciiTheme="minorEastAsia" w:eastAsiaTheme="minorEastAsia" w:hAnsiTheme="minorEastAsia"/>
                      <w:bCs/>
                      <w:color w:val="FF0000"/>
                      <w:szCs w:val="21"/>
                    </w:rPr>
                    <w:alias w:val="其他融券业务项目明细－公允价值"/>
                    <w:tag w:val="_GBC_813886e0a7d148868d15a8e26a173bee"/>
                    <w:id w:val="24723670"/>
                    <w:lock w:val="sdtLocked"/>
                  </w:sdtPr>
                  <w:sdtContent>
                    <w:tc>
                      <w:tcPr>
                        <w:tcW w:w="1289" w:type="pct"/>
                        <w:shd w:val="clear" w:color="auto" w:fill="auto"/>
                      </w:tcPr>
                      <w:p w:rsidR="00DE031E" w:rsidRPr="000F0C2C" w:rsidRDefault="001C1A59">
                        <w:pPr>
                          <w:jc w:val="right"/>
                          <w:rPr>
                            <w:rFonts w:asciiTheme="minorEastAsia" w:eastAsiaTheme="minorEastAsia" w:hAnsiTheme="minorEastAsia"/>
                            <w:bCs/>
                            <w:color w:val="FF0000"/>
                            <w:szCs w:val="21"/>
                          </w:rPr>
                        </w:pPr>
                        <w:r w:rsidRPr="000F0C2C">
                          <w:rPr>
                            <w:rFonts w:asciiTheme="minorEastAsia" w:eastAsiaTheme="minorEastAsia" w:hAnsiTheme="minorEastAsia" w:cs="Arial"/>
                            <w:color w:val="000000"/>
                            <w:szCs w:val="21"/>
                          </w:rPr>
                          <w:t>68,290,448.00</w:t>
                        </w:r>
                      </w:p>
                    </w:tc>
                  </w:sdtContent>
                </w:sdt>
              </w:tr>
            </w:sdtContent>
          </w:sdt>
          <w:sdt>
            <w:sdtPr>
              <w:rPr>
                <w:rFonts w:asciiTheme="minorEastAsia" w:eastAsiaTheme="minorEastAsia" w:hAnsiTheme="minorEastAsia"/>
                <w:bCs/>
                <w:szCs w:val="21"/>
              </w:rPr>
              <w:alias w:val="其他融券业务项目明细"/>
              <w:tag w:val="_GBC_6425ab788064491b9484d6add8686441"/>
              <w:id w:val="24723675"/>
              <w:lock w:val="sdtLocked"/>
            </w:sdtPr>
            <w:sdtEndPr>
              <w:rPr>
                <w:color w:val="FF0000"/>
              </w:rPr>
            </w:sdtEndPr>
            <w:sdtContent>
              <w:tr w:rsidR="00DE031E" w:rsidRPr="000F0C2C" w:rsidTr="00DE031E">
                <w:sdt>
                  <w:sdtPr>
                    <w:rPr>
                      <w:rFonts w:asciiTheme="minorEastAsia" w:eastAsiaTheme="minorEastAsia" w:hAnsiTheme="minorEastAsia"/>
                      <w:bCs/>
                      <w:szCs w:val="21"/>
                    </w:rPr>
                    <w:alias w:val="其他融券业务项目明细－项目"/>
                    <w:tag w:val="_GBC_66c28015dcbc4bdbbd01046b7cc56a1a"/>
                    <w:id w:val="24723672"/>
                    <w:lock w:val="sdtLocked"/>
                  </w:sdtPr>
                  <w:sdtContent>
                    <w:tc>
                      <w:tcPr>
                        <w:tcW w:w="2202" w:type="pct"/>
                        <w:shd w:val="clear" w:color="auto" w:fill="auto"/>
                        <w:vAlign w:val="center"/>
                      </w:tcPr>
                      <w:p w:rsidR="00DE031E" w:rsidRPr="000F0C2C" w:rsidRDefault="001C1A59" w:rsidP="00DE031E">
                        <w:pPr>
                          <w:rPr>
                            <w:rFonts w:asciiTheme="minorEastAsia" w:eastAsiaTheme="minorEastAsia" w:hAnsiTheme="minorEastAsia"/>
                            <w:bCs/>
                            <w:szCs w:val="21"/>
                          </w:rPr>
                        </w:pPr>
                        <w:r w:rsidRPr="000F0C2C">
                          <w:rPr>
                            <w:rFonts w:asciiTheme="minorEastAsia" w:eastAsiaTheme="minorEastAsia" w:hAnsiTheme="minorEastAsia" w:hint="eastAsia"/>
                            <w:bCs/>
                            <w:szCs w:val="21"/>
                          </w:rPr>
                          <w:t>—向行家借入证券</w:t>
                        </w:r>
                      </w:p>
                    </w:tc>
                  </w:sdtContent>
                </w:sdt>
                <w:sdt>
                  <w:sdtPr>
                    <w:rPr>
                      <w:rFonts w:asciiTheme="minorEastAsia" w:eastAsiaTheme="minorEastAsia" w:hAnsiTheme="minorEastAsia"/>
                      <w:bCs/>
                      <w:color w:val="FF0000"/>
                      <w:szCs w:val="21"/>
                    </w:rPr>
                    <w:alias w:val="其他融券业务项目明细－公允价值"/>
                    <w:tag w:val="_GBC_3c04d3b9fe984a2aa0e12f53aaa58286"/>
                    <w:id w:val="24723673"/>
                    <w:lock w:val="sdtLocked"/>
                  </w:sdtPr>
                  <w:sdtEndPr>
                    <w:rPr>
                      <w:color w:val="auto"/>
                    </w:rPr>
                  </w:sdtEndPr>
                  <w:sdtContent>
                    <w:tc>
                      <w:tcPr>
                        <w:tcW w:w="1509" w:type="pct"/>
                        <w:shd w:val="clear" w:color="auto" w:fill="auto"/>
                      </w:tcPr>
                      <w:p w:rsidR="00DE031E" w:rsidRPr="000F0C2C" w:rsidRDefault="001C1A59">
                        <w:pPr>
                          <w:jc w:val="right"/>
                          <w:rPr>
                            <w:rFonts w:asciiTheme="minorEastAsia" w:eastAsiaTheme="minorEastAsia" w:hAnsiTheme="minorEastAsia"/>
                            <w:bCs/>
                            <w:color w:val="FF0000"/>
                            <w:szCs w:val="21"/>
                          </w:rPr>
                        </w:pPr>
                        <w:r w:rsidRPr="000F0C2C">
                          <w:rPr>
                            <w:rFonts w:asciiTheme="minorEastAsia" w:eastAsiaTheme="minorEastAsia" w:hAnsiTheme="minorEastAsia" w:cs="Arial"/>
                            <w:color w:val="000000"/>
                            <w:szCs w:val="21"/>
                          </w:rPr>
                          <w:t>8,613,316.71</w:t>
                        </w:r>
                      </w:p>
                    </w:tc>
                  </w:sdtContent>
                </w:sdt>
                <w:sdt>
                  <w:sdtPr>
                    <w:rPr>
                      <w:rFonts w:asciiTheme="minorEastAsia" w:eastAsiaTheme="minorEastAsia" w:hAnsiTheme="minorEastAsia"/>
                      <w:bCs/>
                      <w:color w:val="FF0000"/>
                      <w:szCs w:val="21"/>
                    </w:rPr>
                    <w:alias w:val="其他融券业务项目明细－公允价值"/>
                    <w:tag w:val="_GBC_813886e0a7d148868d15a8e26a173bee"/>
                    <w:id w:val="24723674"/>
                    <w:lock w:val="sdtLocked"/>
                  </w:sdtPr>
                  <w:sdtContent>
                    <w:tc>
                      <w:tcPr>
                        <w:tcW w:w="1289" w:type="pct"/>
                        <w:shd w:val="clear" w:color="auto" w:fill="auto"/>
                      </w:tcPr>
                      <w:p w:rsidR="00DE031E" w:rsidRPr="000F0C2C" w:rsidRDefault="001C1A59">
                        <w:pPr>
                          <w:jc w:val="right"/>
                          <w:rPr>
                            <w:rFonts w:asciiTheme="minorEastAsia" w:eastAsiaTheme="minorEastAsia" w:hAnsiTheme="minorEastAsia"/>
                            <w:bCs/>
                            <w:color w:val="FF0000"/>
                            <w:szCs w:val="21"/>
                          </w:rPr>
                        </w:pPr>
                        <w:r w:rsidRPr="000F0C2C">
                          <w:rPr>
                            <w:rFonts w:asciiTheme="minorEastAsia" w:eastAsiaTheme="minorEastAsia" w:hAnsiTheme="minorEastAsia" w:cs="Arial"/>
                            <w:color w:val="000000"/>
                            <w:szCs w:val="21"/>
                          </w:rPr>
                          <w:t>15,037,499.11</w:t>
                        </w:r>
                      </w:p>
                    </w:tc>
                  </w:sdtContent>
                </w:sdt>
              </w:tr>
            </w:sdtContent>
          </w:sdt>
        </w:tbl>
        <w:p w:rsidR="00DE031E" w:rsidRDefault="00422DCA"/>
      </w:sdtContent>
    </w:sdt>
    <w:p w:rsidR="00DE031E" w:rsidRDefault="001C1A59" w:rsidP="009950AC">
      <w:pPr>
        <w:pStyle w:val="3"/>
        <w:numPr>
          <w:ilvl w:val="0"/>
          <w:numId w:val="41"/>
        </w:numPr>
        <w:rPr>
          <w:rFonts w:ascii="Arial" w:hAnsi="Arial" w:cs="Arial"/>
          <w:sz w:val="22"/>
          <w:szCs w:val="22"/>
        </w:rPr>
      </w:pPr>
      <w:r>
        <w:rPr>
          <w:kern w:val="0"/>
        </w:rPr>
        <w:t>衍生</w:t>
      </w:r>
      <w:r>
        <w:rPr>
          <w:rFonts w:ascii="宋体" w:hAnsi="宋体"/>
        </w:rPr>
        <w:t>金融</w:t>
      </w:r>
      <w:r w:rsidRPr="00687C1B">
        <w:rPr>
          <w:rFonts w:ascii="Arial" w:hAnsi="Arial" w:cs="Arial"/>
          <w:sz w:val="22"/>
          <w:szCs w:val="22"/>
        </w:rPr>
        <w:t>资产</w:t>
      </w:r>
      <w:r w:rsidRPr="00687C1B">
        <w:rPr>
          <w:rFonts w:ascii="Arial" w:hAnsi="Arial" w:cs="Arial"/>
          <w:sz w:val="22"/>
          <w:szCs w:val="22"/>
        </w:rPr>
        <w:t>/</w:t>
      </w:r>
      <w:r w:rsidRPr="00687C1B">
        <w:rPr>
          <w:rFonts w:ascii="Arial" w:hAnsi="Arial" w:cs="Arial"/>
          <w:sz w:val="22"/>
          <w:szCs w:val="22"/>
        </w:rPr>
        <w:t>负债</w:t>
      </w:r>
    </w:p>
    <w:sdt>
      <w:sdtPr>
        <w:alias w:val="是否适用：衍生金融工具"/>
        <w:tag w:val="_GBC_a8385341e3bf4a9d81872bbb5ce58c65"/>
        <w:id w:val="24723677"/>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b/>
          <w:bCs/>
        </w:rPr>
        <w:tag w:val="_GBC_47eb8545bb8d4fa7a75d263f840e62e9"/>
        <w:id w:val="24723938"/>
        <w:lock w:val="sdtLocked"/>
        <w:placeholder>
          <w:docPart w:val="GBC22222222222222222222222222222"/>
        </w:placeholder>
      </w:sdtPr>
      <w:sdtEndPr>
        <w:rPr>
          <w:b w:val="0"/>
          <w:bCs w:val="0"/>
        </w:rPr>
      </w:sdtEndPr>
      <w:sdtContent>
        <w:p w:rsidR="00DE031E" w:rsidRDefault="001C1A59">
          <w:pPr>
            <w:jc w:val="right"/>
          </w:pPr>
          <w:r>
            <w:t>单位：</w:t>
          </w:r>
          <w:sdt>
            <w:sdtPr>
              <w:alias w:val="单位：财务附注：衍生金融工具"/>
              <w:tag w:val="_GBC_e46a6200564844fda4c84b0fbb2e74dd"/>
              <w:id w:val="247236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衍生金融工具"/>
              <w:tag w:val="_GBC_54fedbbac1b04aa4bde7c78bfee7d6ad"/>
              <w:id w:val="247236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3"/>
            <w:gridCol w:w="430"/>
            <w:gridCol w:w="426"/>
            <w:gridCol w:w="426"/>
            <w:gridCol w:w="1984"/>
            <w:gridCol w:w="1702"/>
            <w:gridCol w:w="1843"/>
            <w:gridCol w:w="426"/>
            <w:gridCol w:w="429"/>
            <w:gridCol w:w="426"/>
            <w:gridCol w:w="1958"/>
            <w:gridCol w:w="1516"/>
            <w:gridCol w:w="1756"/>
          </w:tblGrid>
          <w:tr w:rsidR="00DE031E" w:rsidRPr="00521428" w:rsidTr="00AC0410">
            <w:trPr>
              <w:trHeight w:val="20"/>
              <w:tblHeader/>
              <w:jc w:val="center"/>
            </w:trPr>
            <w:tc>
              <w:tcPr>
                <w:tcW w:w="843" w:type="pct"/>
                <w:vMerge w:val="restart"/>
                <w:vAlign w:val="center"/>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类别</w:t>
                </w:r>
              </w:p>
            </w:tc>
            <w:tc>
              <w:tcPr>
                <w:tcW w:w="2125" w:type="pct"/>
                <w:gridSpan w:val="6"/>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期末</w:t>
                </w:r>
              </w:p>
            </w:tc>
            <w:tc>
              <w:tcPr>
                <w:tcW w:w="2032" w:type="pct"/>
                <w:gridSpan w:val="6"/>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hint="eastAsia"/>
                    <w:sz w:val="20"/>
                    <w:szCs w:val="21"/>
                  </w:rPr>
                  <w:t>期初</w:t>
                </w:r>
              </w:p>
            </w:tc>
          </w:tr>
          <w:tr w:rsidR="00DE031E" w:rsidRPr="00521428" w:rsidTr="00AC0410">
            <w:trPr>
              <w:trHeight w:val="20"/>
              <w:tblHeader/>
              <w:jc w:val="center"/>
            </w:trPr>
            <w:tc>
              <w:tcPr>
                <w:tcW w:w="843" w:type="pct"/>
                <w:vMerge/>
              </w:tcPr>
              <w:p w:rsidR="00DE031E" w:rsidRPr="00521428" w:rsidRDefault="00DE031E" w:rsidP="00DE031E">
                <w:pPr>
                  <w:jc w:val="center"/>
                  <w:rPr>
                    <w:rFonts w:asciiTheme="minorEastAsia" w:hAnsiTheme="minorEastAsia"/>
                    <w:sz w:val="20"/>
                    <w:szCs w:val="21"/>
                  </w:rPr>
                </w:pPr>
              </w:p>
            </w:tc>
            <w:tc>
              <w:tcPr>
                <w:tcW w:w="400" w:type="pct"/>
                <w:gridSpan w:val="3"/>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套期工具</w:t>
                </w:r>
              </w:p>
            </w:tc>
            <w:tc>
              <w:tcPr>
                <w:tcW w:w="1725" w:type="pct"/>
                <w:gridSpan w:val="3"/>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非套期工具</w:t>
                </w:r>
              </w:p>
            </w:tc>
            <w:tc>
              <w:tcPr>
                <w:tcW w:w="400" w:type="pct"/>
                <w:gridSpan w:val="3"/>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套期工具</w:t>
                </w:r>
              </w:p>
            </w:tc>
            <w:tc>
              <w:tcPr>
                <w:tcW w:w="1632" w:type="pct"/>
                <w:gridSpan w:val="3"/>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非套期工具</w:t>
                </w:r>
              </w:p>
            </w:tc>
          </w:tr>
          <w:tr w:rsidR="00DE031E" w:rsidRPr="00521428" w:rsidTr="00AC0410">
            <w:trPr>
              <w:trHeight w:val="20"/>
              <w:tblHeader/>
              <w:jc w:val="center"/>
            </w:trPr>
            <w:tc>
              <w:tcPr>
                <w:tcW w:w="843" w:type="pct"/>
                <w:vMerge/>
              </w:tcPr>
              <w:p w:rsidR="00DE031E" w:rsidRPr="00521428" w:rsidRDefault="00DE031E" w:rsidP="00DE031E">
                <w:pPr>
                  <w:jc w:val="center"/>
                  <w:rPr>
                    <w:rFonts w:asciiTheme="minorEastAsia" w:hAnsiTheme="minorEastAsia"/>
                    <w:sz w:val="20"/>
                    <w:szCs w:val="21"/>
                  </w:rPr>
                </w:pPr>
              </w:p>
            </w:tc>
            <w:tc>
              <w:tcPr>
                <w:tcW w:w="134" w:type="pct"/>
                <w:vMerge w:val="restar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名义金额</w:t>
                </w:r>
              </w:p>
            </w:tc>
            <w:tc>
              <w:tcPr>
                <w:tcW w:w="266" w:type="pct"/>
                <w:gridSpan w:val="2"/>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公允价值</w:t>
                </w:r>
              </w:p>
            </w:tc>
            <w:tc>
              <w:tcPr>
                <w:tcW w:w="619" w:type="pct"/>
                <w:vMerge w:val="restar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名义金额</w:t>
                </w:r>
              </w:p>
            </w:tc>
            <w:tc>
              <w:tcPr>
                <w:tcW w:w="1106" w:type="pct"/>
                <w:gridSpan w:val="2"/>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公允价值</w:t>
                </w:r>
              </w:p>
            </w:tc>
            <w:tc>
              <w:tcPr>
                <w:tcW w:w="133" w:type="pct"/>
                <w:vMerge w:val="restar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名义金额</w:t>
                </w:r>
              </w:p>
            </w:tc>
            <w:tc>
              <w:tcPr>
                <w:tcW w:w="267" w:type="pct"/>
                <w:gridSpan w:val="2"/>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公允价值</w:t>
                </w:r>
              </w:p>
            </w:tc>
            <w:tc>
              <w:tcPr>
                <w:tcW w:w="611" w:type="pct"/>
                <w:vMerge w:val="restar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名义金额</w:t>
                </w:r>
              </w:p>
            </w:tc>
            <w:tc>
              <w:tcPr>
                <w:tcW w:w="1021" w:type="pct"/>
                <w:gridSpan w:val="2"/>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公允价值</w:t>
                </w:r>
              </w:p>
            </w:tc>
          </w:tr>
          <w:tr w:rsidR="00DE031E" w:rsidRPr="00521428" w:rsidTr="00AC0410">
            <w:trPr>
              <w:trHeight w:val="20"/>
              <w:tblHeader/>
              <w:jc w:val="center"/>
            </w:trPr>
            <w:tc>
              <w:tcPr>
                <w:tcW w:w="843" w:type="pct"/>
                <w:vMerge/>
              </w:tcPr>
              <w:p w:rsidR="00DE031E" w:rsidRPr="00521428" w:rsidRDefault="00DE031E" w:rsidP="00DE031E">
                <w:pPr>
                  <w:jc w:val="center"/>
                  <w:rPr>
                    <w:rFonts w:asciiTheme="minorEastAsia" w:hAnsiTheme="minorEastAsia"/>
                    <w:sz w:val="20"/>
                    <w:szCs w:val="21"/>
                  </w:rPr>
                </w:pPr>
              </w:p>
            </w:tc>
            <w:tc>
              <w:tcPr>
                <w:tcW w:w="134" w:type="pct"/>
                <w:vMerge/>
              </w:tcPr>
              <w:p w:rsidR="00DE031E" w:rsidRPr="00521428" w:rsidRDefault="00DE031E" w:rsidP="00DE031E">
                <w:pPr>
                  <w:jc w:val="center"/>
                  <w:rPr>
                    <w:rFonts w:asciiTheme="minorEastAsia" w:hAnsiTheme="minorEastAsia"/>
                    <w:sz w:val="20"/>
                    <w:szCs w:val="21"/>
                  </w:rPr>
                </w:pPr>
              </w:p>
            </w:tc>
            <w:tc>
              <w:tcPr>
                <w:tcW w:w="133"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资产</w:t>
                </w:r>
              </w:p>
            </w:tc>
            <w:tc>
              <w:tcPr>
                <w:tcW w:w="133"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负债</w:t>
                </w:r>
              </w:p>
            </w:tc>
            <w:tc>
              <w:tcPr>
                <w:tcW w:w="619" w:type="pct"/>
                <w:vMerge/>
              </w:tcPr>
              <w:p w:rsidR="00DE031E" w:rsidRPr="00521428" w:rsidRDefault="00DE031E" w:rsidP="00DE031E">
                <w:pPr>
                  <w:jc w:val="center"/>
                  <w:rPr>
                    <w:rFonts w:asciiTheme="minorEastAsia" w:hAnsiTheme="minorEastAsia"/>
                    <w:sz w:val="20"/>
                    <w:szCs w:val="21"/>
                  </w:rPr>
                </w:pPr>
              </w:p>
            </w:tc>
            <w:tc>
              <w:tcPr>
                <w:tcW w:w="531"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资产</w:t>
                </w:r>
              </w:p>
            </w:tc>
            <w:tc>
              <w:tcPr>
                <w:tcW w:w="575"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负债</w:t>
                </w:r>
              </w:p>
            </w:tc>
            <w:tc>
              <w:tcPr>
                <w:tcW w:w="133" w:type="pct"/>
                <w:vMerge/>
              </w:tcPr>
              <w:p w:rsidR="00DE031E" w:rsidRPr="00521428" w:rsidRDefault="00DE031E" w:rsidP="00DE031E">
                <w:pPr>
                  <w:jc w:val="center"/>
                  <w:rPr>
                    <w:rFonts w:asciiTheme="minorEastAsia" w:hAnsiTheme="minorEastAsia"/>
                    <w:sz w:val="20"/>
                    <w:szCs w:val="21"/>
                  </w:rPr>
                </w:pPr>
              </w:p>
            </w:tc>
            <w:tc>
              <w:tcPr>
                <w:tcW w:w="134"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资产</w:t>
                </w:r>
              </w:p>
            </w:tc>
            <w:tc>
              <w:tcPr>
                <w:tcW w:w="133"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负债</w:t>
                </w:r>
              </w:p>
            </w:tc>
            <w:tc>
              <w:tcPr>
                <w:tcW w:w="611" w:type="pct"/>
                <w:vMerge/>
              </w:tcPr>
              <w:p w:rsidR="00DE031E" w:rsidRPr="00521428" w:rsidRDefault="00DE031E" w:rsidP="00DE031E">
                <w:pPr>
                  <w:jc w:val="center"/>
                  <w:rPr>
                    <w:rFonts w:asciiTheme="minorEastAsia" w:hAnsiTheme="minorEastAsia"/>
                    <w:sz w:val="20"/>
                    <w:szCs w:val="21"/>
                  </w:rPr>
                </w:pPr>
              </w:p>
            </w:tc>
            <w:tc>
              <w:tcPr>
                <w:tcW w:w="473"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资产</w:t>
                </w:r>
              </w:p>
            </w:tc>
            <w:tc>
              <w:tcPr>
                <w:tcW w:w="548" w:type="pct"/>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负债</w:t>
                </w:r>
              </w:p>
            </w:tc>
          </w:tr>
          <w:tr w:rsidR="00DE031E" w:rsidRPr="00521428" w:rsidTr="00AC0410">
            <w:trPr>
              <w:trHeight w:val="20"/>
              <w:jc w:val="center"/>
            </w:trPr>
            <w:tc>
              <w:tcPr>
                <w:tcW w:w="843" w:type="pct"/>
              </w:tcPr>
              <w:p w:rsidR="00DE031E" w:rsidRPr="00521428" w:rsidRDefault="001C1A59" w:rsidP="00DE031E">
                <w:pPr>
                  <w:rPr>
                    <w:rFonts w:asciiTheme="minorEastAsia" w:hAnsiTheme="minorEastAsia"/>
                    <w:sz w:val="20"/>
                    <w:szCs w:val="21"/>
                  </w:rPr>
                </w:pPr>
                <w:r w:rsidRPr="00521428">
                  <w:rPr>
                    <w:rFonts w:asciiTheme="minorEastAsia" w:hAnsiTheme="minorEastAsia"/>
                    <w:sz w:val="20"/>
                    <w:szCs w:val="21"/>
                  </w:rPr>
                  <w:t>利率衍生工具</w:t>
                </w:r>
              </w:p>
            </w:tc>
            <w:sdt>
              <w:sdtPr>
                <w:rPr>
                  <w:rFonts w:asciiTheme="minorEastAsia" w:hAnsiTheme="minorEastAsia"/>
                  <w:sz w:val="20"/>
                  <w:szCs w:val="21"/>
                </w:rPr>
                <w:alias w:val="利率衍生套期工具名义金额"/>
                <w:tag w:val="_GBC_7a9d1caf48e441ed8a029687879fdb53"/>
                <w:id w:val="24723680"/>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套期工具资产金额"/>
                <w:tag w:val="_GBC_4031eaab4ad540589bc631e2534b4a17"/>
                <w:id w:val="24723681"/>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套期工具负债金额"/>
                <w:tag w:val="_GBC_2043f1a691da4bb39c9b726881a82feb"/>
                <w:id w:val="24723682"/>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非套期工具名义金额"/>
                <w:tag w:val="_GBC_b55eec9494b346d897a9c6f772dde184"/>
                <w:id w:val="24723683"/>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25,865,000,946.07</w:t>
                    </w:r>
                  </w:p>
                </w:tc>
              </w:sdtContent>
            </w:sdt>
            <w:sdt>
              <w:sdtPr>
                <w:rPr>
                  <w:rFonts w:asciiTheme="minorEastAsia" w:hAnsiTheme="minorEastAsia"/>
                  <w:sz w:val="20"/>
                  <w:szCs w:val="21"/>
                </w:rPr>
                <w:alias w:val="利率衍生非套期工具资产金额"/>
                <w:tag w:val="_GBC_394c883595344f7b9c1e50ebf1a33d4b"/>
                <w:id w:val="24723684"/>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185,954,754.29</w:t>
                    </w:r>
                  </w:p>
                </w:tc>
              </w:sdtContent>
            </w:sdt>
            <w:tc>
              <w:tcPr>
                <w:tcW w:w="575" w:type="pct"/>
                <w:vAlign w:val="center"/>
              </w:tcPr>
              <w:p w:rsidR="00DE031E" w:rsidRPr="00521428" w:rsidRDefault="00422DCA" w:rsidP="00DE031E">
                <w:pPr>
                  <w:jc w:val="right"/>
                  <w:rPr>
                    <w:rFonts w:asciiTheme="minorEastAsia" w:hAnsiTheme="minorEastAsia"/>
                    <w:sz w:val="20"/>
                    <w:szCs w:val="21"/>
                  </w:rPr>
                </w:pPr>
                <w:sdt>
                  <w:sdtPr>
                    <w:rPr>
                      <w:rFonts w:asciiTheme="minorEastAsia" w:hAnsiTheme="minorEastAsia"/>
                      <w:sz w:val="20"/>
                      <w:szCs w:val="21"/>
                    </w:rPr>
                    <w:alias w:val="利率衍生非套期工具负债金额"/>
                    <w:tag w:val="_GBC_40bc99567cc94a64a0f309a03d2d8b76"/>
                    <w:id w:val="24723685"/>
                    <w:lock w:val="sdtLocked"/>
                  </w:sdtPr>
                  <w:sdtContent>
                    <w:r w:rsidR="001C1A59" w:rsidRPr="00521428">
                      <w:rPr>
                        <w:rFonts w:asciiTheme="minorEastAsia" w:hAnsiTheme="minorEastAsia"/>
                        <w:sz w:val="20"/>
                        <w:szCs w:val="21"/>
                      </w:rPr>
                      <w:t>192,577,497.54</w:t>
                    </w:r>
                  </w:sdtContent>
                </w:sdt>
              </w:p>
            </w:tc>
            <w:sdt>
              <w:sdtPr>
                <w:rPr>
                  <w:rFonts w:asciiTheme="minorEastAsia" w:hAnsiTheme="minorEastAsia"/>
                  <w:sz w:val="20"/>
                  <w:szCs w:val="21"/>
                </w:rPr>
                <w:alias w:val="利率衍生套期工具名义金额"/>
                <w:tag w:val="_GBC_cbe1a89becff4f1e838c5b5133659352"/>
                <w:id w:val="24723686"/>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套期工具资产金额"/>
                <w:tag w:val="_GBC_419895d3edb040b2b86f9961590b536a"/>
                <w:id w:val="24723687"/>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套期工具负债金额"/>
                <w:tag w:val="_GBC_9e7aa8da5d2f44e2b5844a638b3bae33"/>
                <w:id w:val="24723688"/>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非套期工具名义金额"/>
                <w:tag w:val="_GBC_7d08f79104444b53b12d662c6fe0e25c"/>
                <w:id w:val="24723689"/>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15,845,634,525.73</w:t>
                    </w:r>
                  </w:p>
                </w:tc>
              </w:sdtContent>
            </w:sdt>
            <w:sdt>
              <w:sdtPr>
                <w:rPr>
                  <w:rFonts w:asciiTheme="minorEastAsia" w:hAnsiTheme="minorEastAsia"/>
                  <w:sz w:val="20"/>
                  <w:szCs w:val="21"/>
                </w:rPr>
                <w:alias w:val="利率衍生非套期工具资产金额"/>
                <w:tag w:val="_GBC_9343e85491974d59a10003ba9447b610"/>
                <w:id w:val="24723690"/>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非套期工具负债金额"/>
                <w:tag w:val="_GBC_4033788036544066a1166959e8168e8c"/>
                <w:id w:val="24723691"/>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6,318,930.43</w:t>
                    </w:r>
                  </w:p>
                </w:tc>
              </w:sdtContent>
            </w:sdt>
          </w:tr>
          <w:sdt>
            <w:sdtPr>
              <w:rPr>
                <w:rFonts w:asciiTheme="minorEastAsia" w:hAnsiTheme="minorEastAsia" w:hint="eastAsia"/>
                <w:bCs/>
                <w:sz w:val="20"/>
                <w:szCs w:val="21"/>
              </w:rPr>
              <w:alias w:val="利率衍生工具明细"/>
              <w:tag w:val="_GBC_c8890b4e3b7e484295c922357f05b30d"/>
              <w:id w:val="24723705"/>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利率衍生工具明细－项目"/>
                      <w:tag w:val="_GBC_fedfee1ee0d6443e99af07f5f67cb45f"/>
                      <w:id w:val="24723692"/>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hint="eastAsia"/>
                            <w:sz w:val="20"/>
                            <w:szCs w:val="21"/>
                          </w:rPr>
                          <w:t>利率互换</w:t>
                        </w:r>
                      </w:p>
                    </w:sdtContent>
                  </w:sdt>
                </w:tc>
                <w:sdt>
                  <w:sdtPr>
                    <w:rPr>
                      <w:rFonts w:asciiTheme="minorEastAsia" w:hAnsiTheme="minorEastAsia"/>
                      <w:sz w:val="20"/>
                      <w:szCs w:val="21"/>
                    </w:rPr>
                    <w:alias w:val="利率衍生工具明细－套期工具名义金额"/>
                    <w:tag w:val="_GBC_17c0140e73104044b141253860602c39"/>
                    <w:id w:val="24723693"/>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资产金额"/>
                    <w:tag w:val="_GBC_6318b553c4364e649c51cba86aa97732"/>
                    <w:id w:val="24723694"/>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负债金额"/>
                    <w:tag w:val="_GBC_9912b3633ef344008561b7fb544a764f"/>
                    <w:id w:val="24723695"/>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非套期工具名义金额"/>
                    <w:tag w:val="_GBC_32f0edf1397e4430a6ba45a8fa3563c4"/>
                    <w:id w:val="24723696"/>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21,940,000,000.00</w:t>
                        </w:r>
                      </w:p>
                    </w:tc>
                  </w:sdtContent>
                </w:sdt>
                <w:sdt>
                  <w:sdtPr>
                    <w:rPr>
                      <w:rFonts w:asciiTheme="minorEastAsia" w:hAnsiTheme="minorEastAsia"/>
                      <w:sz w:val="20"/>
                      <w:szCs w:val="21"/>
                    </w:rPr>
                    <w:alias w:val="利率衍生工具明细－非套期工具资产金额"/>
                    <w:tag w:val="_GBC_478505b33f574e408dfa16dd47277441"/>
                    <w:id w:val="24723697"/>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185,954,754.29</w:t>
                        </w:r>
                      </w:p>
                    </w:tc>
                  </w:sdtContent>
                </w:sdt>
                <w:sdt>
                  <w:sdtPr>
                    <w:rPr>
                      <w:rFonts w:asciiTheme="minorEastAsia" w:hAnsiTheme="minorEastAsia"/>
                      <w:sz w:val="20"/>
                      <w:szCs w:val="21"/>
                    </w:rPr>
                    <w:alias w:val="利率衍生工具明细－非套期工具负债金额"/>
                    <w:tag w:val="_GBC_a3539c9e7e3b4d4f97763d6ba2326d16"/>
                    <w:id w:val="24723698"/>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192,577,497.54</w:t>
                        </w:r>
                      </w:p>
                    </w:tc>
                  </w:sdtContent>
                </w:sdt>
                <w:sdt>
                  <w:sdtPr>
                    <w:rPr>
                      <w:rFonts w:asciiTheme="minorEastAsia" w:hAnsiTheme="minorEastAsia"/>
                      <w:sz w:val="20"/>
                      <w:szCs w:val="21"/>
                    </w:rPr>
                    <w:alias w:val="利率衍生工具明细－套期工具名义金额"/>
                    <w:tag w:val="_GBC_0e6f572f2cb6416d966c6dc13120d55a"/>
                    <w:id w:val="24723699"/>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资产金额"/>
                    <w:tag w:val="_GBC_d03eb8da88494a378f6da865663f6fee"/>
                    <w:id w:val="24723700"/>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负债金额"/>
                    <w:tag w:val="_GBC_82832caf57f54d53a1fe0487e0d733ed"/>
                    <w:id w:val="24723701"/>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非套期工具名义金额"/>
                    <w:tag w:val="_GBC_697b0d8aa57b47979fea641212749afb"/>
                    <w:id w:val="24723702"/>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13,950,000,000.00</w:t>
                        </w:r>
                      </w:p>
                    </w:tc>
                  </w:sdtContent>
                </w:sdt>
                <w:sdt>
                  <w:sdtPr>
                    <w:rPr>
                      <w:rFonts w:asciiTheme="minorEastAsia" w:hAnsiTheme="minorEastAsia"/>
                      <w:sz w:val="20"/>
                      <w:szCs w:val="21"/>
                    </w:rPr>
                    <w:alias w:val="利率衍生工具明细－非套期工具资产金额"/>
                    <w:tag w:val="_GBC_909431baa5734686812fd98596108bbd"/>
                    <w:id w:val="24723703"/>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非套期工具负债金额"/>
                    <w:tag w:val="_GBC_286579bdacec4432a75947590ca5653e"/>
                    <w:id w:val="24723704"/>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6,318,930.43</w:t>
                        </w:r>
                      </w:p>
                    </w:tc>
                  </w:sdtContent>
                </w:sdt>
              </w:tr>
            </w:sdtContent>
          </w:sdt>
          <w:sdt>
            <w:sdtPr>
              <w:rPr>
                <w:rFonts w:asciiTheme="minorEastAsia" w:hAnsiTheme="minorEastAsia" w:hint="eastAsia"/>
                <w:bCs/>
                <w:sz w:val="20"/>
                <w:szCs w:val="21"/>
              </w:rPr>
              <w:alias w:val="利率衍生工具明细"/>
              <w:tag w:val="_GBC_c8890b4e3b7e484295c922357f05b30d"/>
              <w:id w:val="24723719"/>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利率衍生工具明细－项目"/>
                      <w:tag w:val="_GBC_fedfee1ee0d6443e99af07f5f67cb45f"/>
                      <w:id w:val="24723706"/>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hint="eastAsia"/>
                            <w:sz w:val="20"/>
                            <w:szCs w:val="21"/>
                          </w:rPr>
                          <w:t>国债期货</w:t>
                        </w:r>
                      </w:p>
                    </w:sdtContent>
                  </w:sdt>
                </w:tc>
                <w:sdt>
                  <w:sdtPr>
                    <w:rPr>
                      <w:rFonts w:asciiTheme="minorEastAsia" w:hAnsiTheme="minorEastAsia"/>
                      <w:sz w:val="20"/>
                      <w:szCs w:val="21"/>
                    </w:rPr>
                    <w:alias w:val="利率衍生工具明细－套期工具名义金额"/>
                    <w:tag w:val="_GBC_17c0140e73104044b141253860602c39"/>
                    <w:id w:val="24723707"/>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利率衍生工具明细－套期工具资产金额"/>
                    <w:tag w:val="_GBC_6318b553c4364e649c51cba86aa97732"/>
                    <w:id w:val="24723708"/>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利率衍生工具明细－套期工具负债金额"/>
                    <w:tag w:val="_GBC_9912b3633ef344008561b7fb544a764f"/>
                    <w:id w:val="24723709"/>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利率衍生工具明细－非套期工具名义金额"/>
                    <w:tag w:val="_GBC_32f0edf1397e4430a6ba45a8fa3563c4"/>
                    <w:id w:val="24723710"/>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3,925,000,946.07</w:t>
                        </w:r>
                      </w:p>
                    </w:tc>
                  </w:sdtContent>
                </w:sdt>
                <w:sdt>
                  <w:sdtPr>
                    <w:rPr>
                      <w:rFonts w:asciiTheme="minorEastAsia" w:hAnsiTheme="minorEastAsia"/>
                      <w:sz w:val="20"/>
                      <w:szCs w:val="21"/>
                    </w:rPr>
                    <w:alias w:val="利率衍生工具明细－非套期工具资产金额"/>
                    <w:tag w:val="_GBC_478505b33f574e408dfa16dd47277441"/>
                    <w:id w:val="24723711"/>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65,663,484.15</w:t>
                        </w:r>
                      </w:p>
                    </w:tc>
                  </w:sdtContent>
                </w:sdt>
                <w:sdt>
                  <w:sdtPr>
                    <w:rPr>
                      <w:rFonts w:asciiTheme="minorEastAsia" w:hAnsiTheme="minorEastAsia"/>
                      <w:sz w:val="20"/>
                      <w:szCs w:val="21"/>
                    </w:rPr>
                    <w:alias w:val="利率衍生工具明细－非套期工具负债金额"/>
                    <w:tag w:val="_GBC_a3539c9e7e3b4d4f97763d6ba2326d16"/>
                    <w:id w:val="24723712"/>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5,779.52</w:t>
                        </w:r>
                      </w:p>
                    </w:tc>
                  </w:sdtContent>
                </w:sdt>
                <w:sdt>
                  <w:sdtPr>
                    <w:rPr>
                      <w:rFonts w:asciiTheme="minorEastAsia" w:hAnsiTheme="minorEastAsia"/>
                      <w:sz w:val="20"/>
                      <w:szCs w:val="21"/>
                    </w:rPr>
                    <w:alias w:val="利率衍生工具明细－套期工具名义金额"/>
                    <w:tag w:val="_GBC_0e6f572f2cb6416d966c6dc13120d55a"/>
                    <w:id w:val="24723713"/>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利率衍生工具明细－套期工具资产金额"/>
                    <w:tag w:val="_GBC_d03eb8da88494a378f6da865663f6fee"/>
                    <w:id w:val="24723714"/>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利率衍生工具明细－套期工具负债金额"/>
                    <w:tag w:val="_GBC_82832caf57f54d53a1fe0487e0d733ed"/>
                    <w:id w:val="24723715"/>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利率衍生工具明细－非套期工具名义金额"/>
                    <w:tag w:val="_GBC_697b0d8aa57b47979fea641212749afb"/>
                    <w:id w:val="24723716"/>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1,895,634,525.73</w:t>
                        </w:r>
                      </w:p>
                    </w:tc>
                  </w:sdtContent>
                </w:sdt>
                <w:sdt>
                  <w:sdtPr>
                    <w:rPr>
                      <w:rFonts w:asciiTheme="minorEastAsia" w:hAnsiTheme="minorEastAsia"/>
                      <w:sz w:val="20"/>
                      <w:szCs w:val="21"/>
                    </w:rPr>
                    <w:alias w:val="利率衍生工具明细－非套期工具资产金额"/>
                    <w:tag w:val="_GBC_909431baa5734686812fd98596108bbd"/>
                    <w:id w:val="24723717"/>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利率衍生工具明细－非套期工具负债金额"/>
                    <w:tag w:val="_GBC_286579bdacec4432a75947590ca5653e"/>
                    <w:id w:val="24723718"/>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88,304.69</w:t>
                        </w:r>
                      </w:p>
                    </w:tc>
                  </w:sdtContent>
                </w:sdt>
              </w:tr>
            </w:sdtContent>
          </w:sdt>
          <w:sdt>
            <w:sdtPr>
              <w:rPr>
                <w:rFonts w:asciiTheme="minorEastAsia" w:hAnsiTheme="minorEastAsia" w:hint="eastAsia"/>
                <w:bCs/>
                <w:sz w:val="20"/>
                <w:szCs w:val="21"/>
              </w:rPr>
              <w:alias w:val="利率衍生工具明细"/>
              <w:tag w:val="_GBC_c8890b4e3b7e484295c922357f05b30d"/>
              <w:id w:val="24723733"/>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利率衍生工具明细－项目"/>
                      <w:tag w:val="_GBC_fedfee1ee0d6443e99af07f5f67cb45f"/>
                      <w:id w:val="24723720"/>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hint="eastAsia"/>
                            <w:sz w:val="20"/>
                            <w:szCs w:val="21"/>
                          </w:rPr>
                          <w:t>减：可抵销的暂收暂挂款</w:t>
                        </w:r>
                      </w:p>
                    </w:sdtContent>
                  </w:sdt>
                </w:tc>
                <w:sdt>
                  <w:sdtPr>
                    <w:rPr>
                      <w:rFonts w:asciiTheme="minorEastAsia" w:hAnsiTheme="minorEastAsia"/>
                      <w:sz w:val="20"/>
                      <w:szCs w:val="21"/>
                    </w:rPr>
                    <w:alias w:val="利率衍生工具明细－套期工具名义金额"/>
                    <w:tag w:val="_GBC_17c0140e73104044b141253860602c39"/>
                    <w:id w:val="24723721"/>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资产金额"/>
                    <w:tag w:val="_GBC_6318b553c4364e649c51cba86aa97732"/>
                    <w:id w:val="24723722"/>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负债金额"/>
                    <w:tag w:val="_GBC_9912b3633ef344008561b7fb544a764f"/>
                    <w:id w:val="24723723"/>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非套期工具名义金额"/>
                    <w:tag w:val="_GBC_32f0edf1397e4430a6ba45a8fa3563c4"/>
                    <w:id w:val="24723724"/>
                    <w:lock w:val="sdtLocked"/>
                    <w:showingPlcHdr/>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 xml:space="preserve">　</w:t>
                        </w:r>
                      </w:p>
                    </w:tc>
                  </w:sdtContent>
                </w:sdt>
                <w:sdt>
                  <w:sdtPr>
                    <w:rPr>
                      <w:rFonts w:asciiTheme="minorEastAsia" w:hAnsiTheme="minorEastAsia"/>
                      <w:sz w:val="20"/>
                      <w:szCs w:val="21"/>
                    </w:rPr>
                    <w:alias w:val="利率衍生工具明细－非套期工具资产金额"/>
                    <w:tag w:val="_GBC_478505b33f574e408dfa16dd47277441"/>
                    <w:id w:val="24723725"/>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65,663,484.15</w:t>
                        </w:r>
                      </w:p>
                    </w:tc>
                  </w:sdtContent>
                </w:sdt>
                <w:sdt>
                  <w:sdtPr>
                    <w:rPr>
                      <w:rFonts w:asciiTheme="minorEastAsia" w:hAnsiTheme="minorEastAsia"/>
                      <w:sz w:val="20"/>
                      <w:szCs w:val="21"/>
                    </w:rPr>
                    <w:alias w:val="利率衍生工具明细－非套期工具负债金额"/>
                    <w:tag w:val="_GBC_a3539c9e7e3b4d4f97763d6ba2326d16"/>
                    <w:id w:val="24723726"/>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5,779.52</w:t>
                        </w:r>
                      </w:p>
                    </w:tc>
                  </w:sdtContent>
                </w:sdt>
                <w:sdt>
                  <w:sdtPr>
                    <w:rPr>
                      <w:rFonts w:asciiTheme="minorEastAsia" w:hAnsiTheme="minorEastAsia"/>
                      <w:sz w:val="20"/>
                      <w:szCs w:val="21"/>
                    </w:rPr>
                    <w:alias w:val="利率衍生工具明细－套期工具名义金额"/>
                    <w:tag w:val="_GBC_0e6f572f2cb6416d966c6dc13120d55a"/>
                    <w:id w:val="24723727"/>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资产金额"/>
                    <w:tag w:val="_GBC_d03eb8da88494a378f6da865663f6fee"/>
                    <w:id w:val="24723728"/>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套期工具负债金额"/>
                    <w:tag w:val="_GBC_82832caf57f54d53a1fe0487e0d733ed"/>
                    <w:id w:val="24723729"/>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非套期工具名义金额"/>
                    <w:tag w:val="_GBC_697b0d8aa57b47979fea641212749afb"/>
                    <w:id w:val="24723730"/>
                    <w:lock w:val="sdtLocked"/>
                    <w:showingPlcHdr/>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非套期工具资产金额"/>
                    <w:tag w:val="_GBC_909431baa5734686812fd98596108bbd"/>
                    <w:id w:val="24723731"/>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利率衍生工具明细－非套期工具负债金额"/>
                    <w:tag w:val="_GBC_286579bdacec4432a75947590ca5653e"/>
                    <w:id w:val="24723732"/>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88,304.69</w:t>
                        </w:r>
                      </w:p>
                    </w:tc>
                  </w:sdtContent>
                </w:sdt>
              </w:tr>
            </w:sdtContent>
          </w:sdt>
          <w:tr w:rsidR="00DE031E" w:rsidRPr="00521428" w:rsidTr="00AC0410">
            <w:trPr>
              <w:trHeight w:val="20"/>
              <w:jc w:val="center"/>
            </w:trPr>
            <w:tc>
              <w:tcPr>
                <w:tcW w:w="843" w:type="pct"/>
              </w:tcPr>
              <w:p w:rsidR="00DE031E" w:rsidRPr="00521428" w:rsidRDefault="001C1A59" w:rsidP="00DE031E">
                <w:pPr>
                  <w:rPr>
                    <w:rFonts w:asciiTheme="minorEastAsia" w:hAnsiTheme="minorEastAsia"/>
                    <w:sz w:val="20"/>
                    <w:szCs w:val="21"/>
                  </w:rPr>
                </w:pPr>
                <w:r w:rsidRPr="00521428">
                  <w:rPr>
                    <w:rFonts w:asciiTheme="minorEastAsia" w:hAnsiTheme="minorEastAsia"/>
                    <w:sz w:val="20"/>
                    <w:szCs w:val="21"/>
                  </w:rPr>
                  <w:t>权益衍生工具</w:t>
                </w:r>
              </w:p>
            </w:tc>
            <w:sdt>
              <w:sdtPr>
                <w:rPr>
                  <w:rFonts w:asciiTheme="minorEastAsia" w:hAnsiTheme="minorEastAsia"/>
                  <w:sz w:val="20"/>
                  <w:szCs w:val="21"/>
                </w:rPr>
                <w:alias w:val="权益衍生套期工具名义金额"/>
                <w:tag w:val="_GBC_29fdea8c35704e64b844376f60749ef0"/>
                <w:id w:val="24723734"/>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套期工具资产金额"/>
                <w:tag w:val="_GBC_ab10826b2ea048e5a0db38b3dc4d82f0"/>
                <w:id w:val="24723735"/>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套期工具负债金额"/>
                <w:tag w:val="_GBC_cd0d1127f3194b4c88af7f8519c07786"/>
                <w:id w:val="24723736"/>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非套期工具名义金额"/>
                <w:tag w:val="_GBC_a128a3f4532f42efb6c374852b7ff3e7"/>
                <w:id w:val="24723737"/>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22,378,614,299.53</w:t>
                    </w:r>
                  </w:p>
                </w:tc>
              </w:sdtContent>
            </w:sdt>
            <w:sdt>
              <w:sdtPr>
                <w:rPr>
                  <w:rFonts w:asciiTheme="minorEastAsia" w:hAnsiTheme="minorEastAsia"/>
                  <w:sz w:val="20"/>
                  <w:szCs w:val="21"/>
                </w:rPr>
                <w:alias w:val="权益衍生非套期工具资产金额"/>
                <w:tag w:val="_GBC_b1d792f8d2f7462e91bd87bc81bd3dc7"/>
                <w:id w:val="24723738"/>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651,008,806.19</w:t>
                    </w:r>
                  </w:p>
                </w:tc>
              </w:sdtContent>
            </w:sdt>
            <w:sdt>
              <w:sdtPr>
                <w:rPr>
                  <w:rFonts w:asciiTheme="minorEastAsia" w:hAnsiTheme="minorEastAsia"/>
                  <w:sz w:val="20"/>
                  <w:szCs w:val="21"/>
                </w:rPr>
                <w:alias w:val="权益衍生非套期工具负债金额"/>
                <w:tag w:val="_GBC_5f6807b1968b4a32bcdb408ad843754c"/>
                <w:id w:val="24723739"/>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3,277,141,888.85</w:t>
                    </w:r>
                  </w:p>
                </w:tc>
              </w:sdtContent>
            </w:sdt>
            <w:sdt>
              <w:sdtPr>
                <w:rPr>
                  <w:rFonts w:asciiTheme="minorEastAsia" w:hAnsiTheme="minorEastAsia"/>
                  <w:sz w:val="20"/>
                  <w:szCs w:val="21"/>
                </w:rPr>
                <w:alias w:val="权益衍生套期工具名义金额"/>
                <w:tag w:val="_GBC_b00881e30d9746a5987282da74994e04"/>
                <w:id w:val="24723740"/>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套期工具资产金额"/>
                <w:tag w:val="_GBC_0acbbc5b811f4251891379c40fd90396"/>
                <w:id w:val="24723741"/>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套期工具负债金额"/>
                <w:tag w:val="_GBC_63147834b8ee4700bc2abd976095ee85"/>
                <w:id w:val="24723742"/>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非套期工具名义金额"/>
                <w:tag w:val="_GBC_ed03f678fe6e444d87997d2a9d370b1a"/>
                <w:id w:val="24723743"/>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11,791,645,168.14</w:t>
                    </w:r>
                  </w:p>
                </w:tc>
              </w:sdtContent>
            </w:sdt>
            <w:sdt>
              <w:sdtPr>
                <w:rPr>
                  <w:rFonts w:asciiTheme="minorEastAsia" w:hAnsiTheme="minorEastAsia"/>
                  <w:sz w:val="20"/>
                  <w:szCs w:val="21"/>
                </w:rPr>
                <w:alias w:val="权益衍生非套期工具资产金额"/>
                <w:tag w:val="_GBC_9201e04a90b54380862b92667600d6a3"/>
                <w:id w:val="24723744"/>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7,154,939.54</w:t>
                    </w:r>
                  </w:p>
                </w:tc>
              </w:sdtContent>
            </w:sdt>
            <w:sdt>
              <w:sdtPr>
                <w:rPr>
                  <w:rFonts w:asciiTheme="minorEastAsia" w:hAnsiTheme="minorEastAsia"/>
                  <w:sz w:val="20"/>
                  <w:szCs w:val="21"/>
                </w:rPr>
                <w:alias w:val="权益衍生非套期工具负债金额"/>
                <w:tag w:val="_GBC_ae13d71c94a94c9f99b25445e2312253"/>
                <w:id w:val="24723745"/>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842,318,006.81</w:t>
                    </w:r>
                  </w:p>
                </w:tc>
              </w:sdtContent>
            </w:sdt>
          </w:tr>
          <w:sdt>
            <w:sdtPr>
              <w:rPr>
                <w:rFonts w:asciiTheme="minorEastAsia" w:hAnsiTheme="minorEastAsia" w:hint="eastAsia"/>
                <w:bCs/>
                <w:sz w:val="20"/>
                <w:szCs w:val="21"/>
              </w:rPr>
              <w:alias w:val="权益衍生工具明细"/>
              <w:tag w:val="_GBC_c3d98366315044608acb43a2b60b0a0b"/>
              <w:id w:val="24723759"/>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权益衍生工具明细－项目"/>
                      <w:tag w:val="_GBC_072a5574712b4df7be75af0c0f208b92"/>
                      <w:id w:val="24723746"/>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hint="eastAsia"/>
                            <w:sz w:val="20"/>
                            <w:szCs w:val="21"/>
                          </w:rPr>
                          <w:t>权益互换</w:t>
                        </w:r>
                      </w:p>
                    </w:sdtContent>
                  </w:sdt>
                </w:tc>
                <w:sdt>
                  <w:sdtPr>
                    <w:rPr>
                      <w:rFonts w:asciiTheme="minorEastAsia" w:hAnsiTheme="minorEastAsia"/>
                      <w:sz w:val="20"/>
                      <w:szCs w:val="21"/>
                    </w:rPr>
                    <w:alias w:val="权益衍生工具明细－套期工具名义金额"/>
                    <w:tag w:val="_GBC_7139c284f65544b9a4aed25b5afc5a1b"/>
                    <w:id w:val="24723747"/>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资产金额"/>
                    <w:tag w:val="_GBC_9bc90a919eb049a69166b9c2249a464f"/>
                    <w:id w:val="24723748"/>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负债金额"/>
                    <w:tag w:val="_GBC_40f87458f33f4e63b91cb045f2a69ed6"/>
                    <w:id w:val="24723749"/>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非套期工具名义金额"/>
                    <w:tag w:val="_GBC_f28df08598c5465e9a82a2ba81f5012e"/>
                    <w:id w:val="24723750"/>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15,286,938,353.40</w:t>
                        </w:r>
                      </w:p>
                    </w:tc>
                  </w:sdtContent>
                </w:sdt>
                <w:sdt>
                  <w:sdtPr>
                    <w:rPr>
                      <w:rFonts w:asciiTheme="minorEastAsia" w:hAnsiTheme="minorEastAsia"/>
                      <w:sz w:val="20"/>
                      <w:szCs w:val="21"/>
                    </w:rPr>
                    <w:alias w:val="权益衍生工具明细－非套期工具资产金额"/>
                    <w:tag w:val="_GBC_3e8ab1474b844b508c055b387cacb99b"/>
                    <w:id w:val="24723751"/>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651,008,806.19</w:t>
                        </w:r>
                      </w:p>
                    </w:tc>
                  </w:sdtContent>
                </w:sdt>
                <w:sdt>
                  <w:sdtPr>
                    <w:rPr>
                      <w:rFonts w:asciiTheme="minorEastAsia" w:hAnsiTheme="minorEastAsia"/>
                      <w:sz w:val="20"/>
                      <w:szCs w:val="21"/>
                    </w:rPr>
                    <w:alias w:val="权益衍生工具明细－非套期工具负债金额"/>
                    <w:tag w:val="_GBC_cfead449151544bdbaf1acee7c349228"/>
                    <w:id w:val="24723752"/>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3,277,141,888.85</w:t>
                        </w:r>
                      </w:p>
                    </w:tc>
                  </w:sdtContent>
                </w:sdt>
                <w:sdt>
                  <w:sdtPr>
                    <w:rPr>
                      <w:rFonts w:asciiTheme="minorEastAsia" w:hAnsiTheme="minorEastAsia"/>
                      <w:sz w:val="20"/>
                      <w:szCs w:val="21"/>
                    </w:rPr>
                    <w:alias w:val="权益衍生工具明细－套期工具名义金额"/>
                    <w:tag w:val="_GBC_fd0c13cb132847318fb70a06cfaaf755"/>
                    <w:id w:val="24723753"/>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资产金额"/>
                    <w:tag w:val="_GBC_a9dd27e184174f64a5cf20867e9445ce"/>
                    <w:id w:val="24723754"/>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负债金额"/>
                    <w:tag w:val="_GBC_987eb916139b4604a04c59fbe363c4c7"/>
                    <w:id w:val="24723755"/>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非套期工具名义金额"/>
                    <w:tag w:val="_GBC_e050880d49f6457a83b246fd6753921a"/>
                    <w:id w:val="24723756"/>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8,718,566,111.12</w:t>
                        </w:r>
                      </w:p>
                    </w:tc>
                  </w:sdtContent>
                </w:sdt>
                <w:sdt>
                  <w:sdtPr>
                    <w:rPr>
                      <w:rFonts w:asciiTheme="minorEastAsia" w:hAnsiTheme="minorEastAsia"/>
                      <w:sz w:val="20"/>
                      <w:szCs w:val="21"/>
                    </w:rPr>
                    <w:alias w:val="权益衍生工具明细－非套期工具资产金额"/>
                    <w:tag w:val="_GBC_32b35aea141a48198843a342e21789c3"/>
                    <w:id w:val="24723757"/>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7,154,939.54</w:t>
                        </w:r>
                      </w:p>
                    </w:tc>
                  </w:sdtContent>
                </w:sdt>
                <w:sdt>
                  <w:sdtPr>
                    <w:rPr>
                      <w:rFonts w:asciiTheme="minorEastAsia" w:hAnsiTheme="minorEastAsia"/>
                      <w:sz w:val="20"/>
                      <w:szCs w:val="21"/>
                    </w:rPr>
                    <w:alias w:val="权益衍生工具明细－非套期工具负债金额"/>
                    <w:tag w:val="_GBC_2d9ceb61b5884a3eb99029044dbbe2b8"/>
                    <w:id w:val="24723758"/>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842,318,006.81</w:t>
                        </w:r>
                      </w:p>
                    </w:tc>
                  </w:sdtContent>
                </w:sdt>
              </w:tr>
            </w:sdtContent>
          </w:sdt>
          <w:sdt>
            <w:sdtPr>
              <w:rPr>
                <w:rFonts w:asciiTheme="minorEastAsia" w:hAnsiTheme="minorEastAsia" w:hint="eastAsia"/>
                <w:bCs/>
                <w:sz w:val="20"/>
                <w:szCs w:val="21"/>
              </w:rPr>
              <w:alias w:val="权益衍生工具明细"/>
              <w:tag w:val="_GBC_c3d98366315044608acb43a2b60b0a0b"/>
              <w:id w:val="24723773"/>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权益衍生工具明细－项目"/>
                      <w:tag w:val="_GBC_072a5574712b4df7be75af0c0f208b92"/>
                      <w:id w:val="24723760"/>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hint="eastAsia"/>
                            <w:sz w:val="20"/>
                            <w:szCs w:val="21"/>
                          </w:rPr>
                          <w:t>股指期货</w:t>
                        </w:r>
                      </w:p>
                    </w:sdtContent>
                  </w:sdt>
                </w:tc>
                <w:sdt>
                  <w:sdtPr>
                    <w:rPr>
                      <w:rFonts w:asciiTheme="minorEastAsia" w:hAnsiTheme="minorEastAsia"/>
                      <w:sz w:val="20"/>
                      <w:szCs w:val="21"/>
                    </w:rPr>
                    <w:alias w:val="权益衍生工具明细－套期工具名义金额"/>
                    <w:tag w:val="_GBC_7139c284f65544b9a4aed25b5afc5a1b"/>
                    <w:id w:val="24723761"/>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权益衍生工具明细－套期工具资产金额"/>
                    <w:tag w:val="_GBC_9bc90a919eb049a69166b9c2249a464f"/>
                    <w:id w:val="24723762"/>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权益衍生工具明细－套期工具负债金额"/>
                    <w:tag w:val="_GBC_40f87458f33f4e63b91cb045f2a69ed6"/>
                    <w:id w:val="24723763"/>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权益衍生工具明细－非套期工具名义金额"/>
                    <w:tag w:val="_GBC_f28df08598c5465e9a82a2ba81f5012e"/>
                    <w:id w:val="24723764"/>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7,091,675,946.13</w:t>
                        </w:r>
                      </w:p>
                    </w:tc>
                  </w:sdtContent>
                </w:sdt>
                <w:sdt>
                  <w:sdtPr>
                    <w:rPr>
                      <w:rFonts w:asciiTheme="minorEastAsia" w:hAnsiTheme="minorEastAsia"/>
                      <w:sz w:val="20"/>
                      <w:szCs w:val="21"/>
                    </w:rPr>
                    <w:alias w:val="权益衍生工具明细－非套期工具资产金额"/>
                    <w:tag w:val="_GBC_3e8ab1474b844b508c055b387cacb99b"/>
                    <w:id w:val="24723765"/>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1,157,521.76</w:t>
                        </w:r>
                      </w:p>
                    </w:tc>
                  </w:sdtContent>
                </w:sdt>
                <w:sdt>
                  <w:sdtPr>
                    <w:rPr>
                      <w:rFonts w:asciiTheme="minorEastAsia" w:hAnsiTheme="minorEastAsia"/>
                      <w:sz w:val="20"/>
                      <w:szCs w:val="21"/>
                    </w:rPr>
                    <w:alias w:val="权益衍生工具明细－非套期工具负债金额"/>
                    <w:tag w:val="_GBC_cfead449151544bdbaf1acee7c349228"/>
                    <w:id w:val="24723766"/>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206,769,814.99</w:t>
                        </w:r>
                      </w:p>
                    </w:tc>
                  </w:sdtContent>
                </w:sdt>
                <w:sdt>
                  <w:sdtPr>
                    <w:rPr>
                      <w:rFonts w:asciiTheme="minorEastAsia" w:hAnsiTheme="minorEastAsia"/>
                      <w:sz w:val="20"/>
                      <w:szCs w:val="21"/>
                    </w:rPr>
                    <w:alias w:val="权益衍生工具明细－套期工具名义金额"/>
                    <w:tag w:val="_GBC_fd0c13cb132847318fb70a06cfaaf755"/>
                    <w:id w:val="24723767"/>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权益衍生工具明细－套期工具资产金额"/>
                    <w:tag w:val="_GBC_a9dd27e184174f64a5cf20867e9445ce"/>
                    <w:id w:val="24723768"/>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权益衍生工具明细－套期工具负债金额"/>
                    <w:tag w:val="_GBC_987eb916139b4604a04c59fbe363c4c7"/>
                    <w:id w:val="24723769"/>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权益衍生工具明细－非套期工具名义金额"/>
                    <w:tag w:val="_GBC_e050880d49f6457a83b246fd6753921a"/>
                    <w:id w:val="24723770"/>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3,073,079,057.02</w:t>
                        </w:r>
                      </w:p>
                    </w:tc>
                  </w:sdtContent>
                </w:sdt>
                <w:sdt>
                  <w:sdtPr>
                    <w:rPr>
                      <w:rFonts w:asciiTheme="minorEastAsia" w:hAnsiTheme="minorEastAsia"/>
                      <w:sz w:val="20"/>
                      <w:szCs w:val="21"/>
                    </w:rPr>
                    <w:alias w:val="权益衍生工具明细－非套期工具资产金额"/>
                    <w:tag w:val="_GBC_32b35aea141a48198843a342e21789c3"/>
                    <w:id w:val="24723771"/>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权益衍生工具明细－非套期工具负债金额"/>
                    <w:tag w:val="_GBC_2d9ceb61b5884a3eb99029044dbbe2b8"/>
                    <w:id w:val="24723772"/>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692,734,341.41</w:t>
                        </w:r>
                      </w:p>
                    </w:tc>
                  </w:sdtContent>
                </w:sdt>
              </w:tr>
            </w:sdtContent>
          </w:sdt>
          <w:sdt>
            <w:sdtPr>
              <w:rPr>
                <w:rFonts w:asciiTheme="minorEastAsia" w:hAnsiTheme="minorEastAsia" w:hint="eastAsia"/>
                <w:bCs/>
                <w:sz w:val="20"/>
                <w:szCs w:val="21"/>
              </w:rPr>
              <w:alias w:val="权益衍生工具明细"/>
              <w:tag w:val="_GBC_c3d98366315044608acb43a2b60b0a0b"/>
              <w:id w:val="24723787"/>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权益衍生工具明细－项目"/>
                      <w:tag w:val="_GBC_072a5574712b4df7be75af0c0f208b92"/>
                      <w:id w:val="24723774"/>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hint="eastAsia"/>
                            <w:sz w:val="20"/>
                            <w:szCs w:val="21"/>
                          </w:rPr>
                          <w:t>减</w:t>
                        </w:r>
                        <w:r w:rsidRPr="00521428">
                          <w:rPr>
                            <w:rFonts w:asciiTheme="minorEastAsia" w:hAnsiTheme="minorEastAsia"/>
                            <w:sz w:val="20"/>
                            <w:szCs w:val="21"/>
                          </w:rPr>
                          <w:t>:可抵销的暂收暂付款</w:t>
                        </w:r>
                      </w:p>
                    </w:sdtContent>
                  </w:sdt>
                </w:tc>
                <w:sdt>
                  <w:sdtPr>
                    <w:rPr>
                      <w:rFonts w:asciiTheme="minorEastAsia" w:hAnsiTheme="minorEastAsia"/>
                      <w:sz w:val="20"/>
                      <w:szCs w:val="21"/>
                    </w:rPr>
                    <w:alias w:val="权益衍生工具明细－套期工具名义金额"/>
                    <w:tag w:val="_GBC_7139c284f65544b9a4aed25b5afc5a1b"/>
                    <w:id w:val="24723775"/>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资产金额"/>
                    <w:tag w:val="_GBC_9bc90a919eb049a69166b9c2249a464f"/>
                    <w:id w:val="24723776"/>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负债金额"/>
                    <w:tag w:val="_GBC_40f87458f33f4e63b91cb045f2a69ed6"/>
                    <w:id w:val="24723777"/>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非套期工具名义金额"/>
                    <w:tag w:val="_GBC_f28df08598c5465e9a82a2ba81f5012e"/>
                    <w:id w:val="24723778"/>
                    <w:lock w:val="sdtLocked"/>
                    <w:showingPlcHdr/>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非套期工具资产金额"/>
                    <w:tag w:val="_GBC_3e8ab1474b844b508c055b387cacb99b"/>
                    <w:id w:val="24723779"/>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1,157,521.76</w:t>
                        </w:r>
                      </w:p>
                    </w:tc>
                  </w:sdtContent>
                </w:sdt>
                <w:sdt>
                  <w:sdtPr>
                    <w:rPr>
                      <w:rFonts w:asciiTheme="minorEastAsia" w:hAnsiTheme="minorEastAsia"/>
                      <w:sz w:val="20"/>
                      <w:szCs w:val="21"/>
                    </w:rPr>
                    <w:alias w:val="权益衍生工具明细－非套期工具负债金额"/>
                    <w:tag w:val="_GBC_cfead449151544bdbaf1acee7c349228"/>
                    <w:id w:val="24723780"/>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206,769,814.99</w:t>
                        </w:r>
                      </w:p>
                    </w:tc>
                  </w:sdtContent>
                </w:sdt>
                <w:sdt>
                  <w:sdtPr>
                    <w:rPr>
                      <w:rFonts w:asciiTheme="minorEastAsia" w:hAnsiTheme="minorEastAsia"/>
                      <w:sz w:val="20"/>
                      <w:szCs w:val="21"/>
                    </w:rPr>
                    <w:alias w:val="权益衍生工具明细－套期工具名义金额"/>
                    <w:tag w:val="_GBC_fd0c13cb132847318fb70a06cfaaf755"/>
                    <w:id w:val="24723781"/>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资产金额"/>
                    <w:tag w:val="_GBC_a9dd27e184174f64a5cf20867e9445ce"/>
                    <w:id w:val="24723782"/>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套期工具负债金额"/>
                    <w:tag w:val="_GBC_987eb916139b4604a04c59fbe363c4c7"/>
                    <w:id w:val="24723783"/>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非套期工具名义金额"/>
                    <w:tag w:val="_GBC_e050880d49f6457a83b246fd6753921a"/>
                    <w:id w:val="24723784"/>
                    <w:lock w:val="sdtLocked"/>
                    <w:showingPlcHdr/>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非套期工具资产金额"/>
                    <w:tag w:val="_GBC_32b35aea141a48198843a342e21789c3"/>
                    <w:id w:val="24723785"/>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权益衍生工具明细－非套期工具负债金额"/>
                    <w:tag w:val="_GBC_2d9ceb61b5884a3eb99029044dbbe2b8"/>
                    <w:id w:val="24723786"/>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692,734,341.41</w:t>
                        </w:r>
                      </w:p>
                    </w:tc>
                  </w:sdtContent>
                </w:sdt>
              </w:tr>
            </w:sdtContent>
          </w:sdt>
          <w:tr w:rsidR="00DE031E" w:rsidRPr="00521428" w:rsidTr="00AC0410">
            <w:trPr>
              <w:trHeight w:val="20"/>
              <w:jc w:val="center"/>
            </w:trPr>
            <w:tc>
              <w:tcPr>
                <w:tcW w:w="843" w:type="pct"/>
              </w:tcPr>
              <w:p w:rsidR="00DE031E" w:rsidRPr="00521428" w:rsidRDefault="001C1A59" w:rsidP="00DE031E">
                <w:pPr>
                  <w:rPr>
                    <w:rFonts w:asciiTheme="minorEastAsia" w:hAnsiTheme="minorEastAsia"/>
                    <w:sz w:val="20"/>
                    <w:szCs w:val="21"/>
                  </w:rPr>
                </w:pPr>
                <w:r w:rsidRPr="00521428">
                  <w:rPr>
                    <w:rFonts w:asciiTheme="minorEastAsia" w:hAnsiTheme="minorEastAsia"/>
                    <w:sz w:val="20"/>
                    <w:szCs w:val="21"/>
                  </w:rPr>
                  <w:t>其他衍生工具</w:t>
                </w:r>
              </w:p>
            </w:tc>
            <w:sdt>
              <w:sdtPr>
                <w:rPr>
                  <w:rFonts w:asciiTheme="minorEastAsia" w:hAnsiTheme="minorEastAsia"/>
                  <w:sz w:val="20"/>
                  <w:szCs w:val="21"/>
                </w:rPr>
                <w:alias w:val="其他衍生套期工具名义金额"/>
                <w:tag w:val="_GBC_24c6ddac58324ccbbebea40ab8be1e2f"/>
                <w:id w:val="24723788"/>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套期工具资产金额"/>
                <w:tag w:val="_GBC_2a41bf9085a94f6cb1f47fcffb7ce05a"/>
                <w:id w:val="24723789"/>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套期工具负债金额"/>
                <w:tag w:val="_GBC_798443da1bca46b4a369361e4df1bd8a"/>
                <w:id w:val="24723790"/>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非套期工具名义金额"/>
                <w:tag w:val="_GBC_0de4ee7b16ac4b1f98a6133efce5a21e"/>
                <w:id w:val="24723791"/>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3,205,068,290.07</w:t>
                    </w:r>
                  </w:p>
                </w:tc>
              </w:sdtContent>
            </w:sdt>
            <w:sdt>
              <w:sdtPr>
                <w:rPr>
                  <w:rFonts w:asciiTheme="minorEastAsia" w:hAnsiTheme="minorEastAsia"/>
                  <w:sz w:val="20"/>
                  <w:szCs w:val="21"/>
                </w:rPr>
                <w:alias w:val="其他衍生非套期工具资产金额"/>
                <w:tag w:val="_GBC_cf979bde00ff4b98a37e5363fd076879"/>
                <w:id w:val="24723792"/>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18,232,831.28</w:t>
                    </w:r>
                  </w:p>
                </w:tc>
              </w:sdtContent>
            </w:sdt>
            <w:sdt>
              <w:sdtPr>
                <w:rPr>
                  <w:rFonts w:asciiTheme="minorEastAsia" w:hAnsiTheme="minorEastAsia"/>
                  <w:sz w:val="20"/>
                  <w:szCs w:val="21"/>
                </w:rPr>
                <w:alias w:val="其他衍生非套期工具负债金额"/>
                <w:tag w:val="_GBC_61d8d58f55084bd1acb8a4c4f95a6158"/>
                <w:id w:val="24723793"/>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58,976,349.34</w:t>
                    </w:r>
                  </w:p>
                </w:tc>
              </w:sdtContent>
            </w:sdt>
            <w:sdt>
              <w:sdtPr>
                <w:rPr>
                  <w:rFonts w:asciiTheme="minorEastAsia" w:hAnsiTheme="minorEastAsia"/>
                  <w:sz w:val="20"/>
                  <w:szCs w:val="21"/>
                </w:rPr>
                <w:alias w:val="其他衍生套期工具名义金额"/>
                <w:tag w:val="_GBC_08afa6790f1f4208a376a5651f1e26d6"/>
                <w:id w:val="24723794"/>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套期工具资产金额"/>
                <w:tag w:val="_GBC_be90a83291e145adad7f5bacb1ea9d74"/>
                <w:id w:val="24723795"/>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套期工具负债金额"/>
                <w:tag w:val="_GBC_957a5523b838491495e2e05bc049bbe6"/>
                <w:id w:val="24723796"/>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非套期工具名义金额"/>
                <w:tag w:val="_GBC_89e9420cdff84935a405d747e8fd350c"/>
                <w:id w:val="24723797"/>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1,631,123,605.55</w:t>
                    </w:r>
                  </w:p>
                </w:tc>
              </w:sdtContent>
            </w:sdt>
            <w:sdt>
              <w:sdtPr>
                <w:rPr>
                  <w:rFonts w:asciiTheme="minorEastAsia" w:hAnsiTheme="minorEastAsia"/>
                  <w:sz w:val="20"/>
                  <w:szCs w:val="21"/>
                </w:rPr>
                <w:alias w:val="其他衍生非套期工具资产金额"/>
                <w:tag w:val="_GBC_fb4663b29fd14d4291c4c164ce14d7d9"/>
                <w:id w:val="24723798"/>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4,860,096.20</w:t>
                    </w:r>
                  </w:p>
                </w:tc>
              </w:sdtContent>
            </w:sdt>
            <w:sdt>
              <w:sdtPr>
                <w:rPr>
                  <w:rFonts w:asciiTheme="minorEastAsia" w:hAnsiTheme="minorEastAsia"/>
                  <w:sz w:val="20"/>
                  <w:szCs w:val="21"/>
                </w:rPr>
                <w:alias w:val="其他衍生非套期工具负债金额"/>
                <w:tag w:val="_GBC_16962a1980d54b0495d3291f0f2075a8"/>
                <w:id w:val="24723799"/>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1,228,290.13</w:t>
                    </w:r>
                  </w:p>
                </w:tc>
              </w:sdtContent>
            </w:sdt>
          </w:tr>
          <w:sdt>
            <w:sdtPr>
              <w:rPr>
                <w:rFonts w:asciiTheme="minorEastAsia" w:hAnsiTheme="minorEastAsia" w:hint="eastAsia"/>
                <w:bCs/>
                <w:sz w:val="20"/>
                <w:szCs w:val="21"/>
              </w:rPr>
              <w:alias w:val="其他衍生工具明细"/>
              <w:tag w:val="_GBC_eccddef6c3474342bf04843f05ad8992"/>
              <w:id w:val="24723813"/>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00"/>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商品期货</w:t>
                        </w:r>
                      </w:p>
                    </w:sdtContent>
                  </w:sdt>
                </w:tc>
                <w:sdt>
                  <w:sdtPr>
                    <w:rPr>
                      <w:rFonts w:asciiTheme="minorEastAsia" w:hAnsiTheme="minorEastAsia"/>
                      <w:sz w:val="20"/>
                      <w:szCs w:val="21"/>
                    </w:rPr>
                    <w:alias w:val="其他衍生工具明细－套期工具名义金额"/>
                    <w:tag w:val="_GBC_4f43cb10078b40969b7bc40016f3e7d2"/>
                    <w:id w:val="24723801"/>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802"/>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803"/>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804"/>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1,402,423,880.79</w:t>
                        </w:r>
                      </w:p>
                    </w:tc>
                  </w:sdtContent>
                </w:sdt>
                <w:sdt>
                  <w:sdtPr>
                    <w:rPr>
                      <w:rFonts w:asciiTheme="minorEastAsia" w:hAnsiTheme="minorEastAsia"/>
                      <w:sz w:val="20"/>
                      <w:szCs w:val="21"/>
                    </w:rPr>
                    <w:alias w:val="其他衍生工具明细－非套期工具资产金额"/>
                    <w:tag w:val="_GBC_2724aa0438404330ae9c536d817878c5"/>
                    <w:id w:val="24723805"/>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10,720,114.43</w:t>
                        </w:r>
                      </w:p>
                    </w:tc>
                  </w:sdtContent>
                </w:sdt>
                <w:sdt>
                  <w:sdtPr>
                    <w:rPr>
                      <w:rFonts w:asciiTheme="minorEastAsia" w:hAnsiTheme="minorEastAsia"/>
                      <w:sz w:val="20"/>
                      <w:szCs w:val="21"/>
                    </w:rPr>
                    <w:alias w:val="其他衍生工具明细－非套期工具负债金额"/>
                    <w:tag w:val="_GBC_35cff029f76045f98f4386cffce03fb3"/>
                    <w:id w:val="24723806"/>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2,646,058.56</w:t>
                        </w:r>
                      </w:p>
                    </w:tc>
                  </w:sdtContent>
                </w:sdt>
                <w:sdt>
                  <w:sdtPr>
                    <w:rPr>
                      <w:rFonts w:asciiTheme="minorEastAsia" w:hAnsiTheme="minorEastAsia"/>
                      <w:sz w:val="20"/>
                      <w:szCs w:val="21"/>
                    </w:rPr>
                    <w:alias w:val="其他衍生工具明细－套期工具名义金额"/>
                    <w:tag w:val="_GBC_702d9ac296164ba7b16035a89a92530c"/>
                    <w:id w:val="24723807"/>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808"/>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809"/>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810"/>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228,317,242.80</w:t>
                        </w:r>
                      </w:p>
                    </w:tc>
                  </w:sdtContent>
                </w:sdt>
                <w:sdt>
                  <w:sdtPr>
                    <w:rPr>
                      <w:rFonts w:asciiTheme="minorEastAsia" w:hAnsiTheme="minorEastAsia"/>
                      <w:sz w:val="20"/>
                      <w:szCs w:val="21"/>
                    </w:rPr>
                    <w:alias w:val="其他衍生工具明细－非套期工具资产金额"/>
                    <w:tag w:val="_GBC_e770cf4c18ed41b8b1127adf32053d24"/>
                    <w:id w:val="24723811"/>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1,899,010.34</w:t>
                        </w:r>
                      </w:p>
                    </w:tc>
                  </w:sdtContent>
                </w:sdt>
                <w:sdt>
                  <w:sdtPr>
                    <w:rPr>
                      <w:rFonts w:asciiTheme="minorEastAsia" w:hAnsiTheme="minorEastAsia"/>
                      <w:sz w:val="20"/>
                      <w:szCs w:val="21"/>
                    </w:rPr>
                    <w:alias w:val="其他衍生工具明细－非套期工具负债金额"/>
                    <w:tag w:val="_GBC_a2feb676b4244b20a7f661f1a52917f7"/>
                    <w:id w:val="24723812"/>
                    <w:lock w:val="sdtLocked"/>
                    <w:showingPlcHdr/>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tr>
            </w:sdtContent>
          </w:sdt>
          <w:sdt>
            <w:sdtPr>
              <w:rPr>
                <w:rFonts w:asciiTheme="minorEastAsia" w:hAnsiTheme="minorEastAsia" w:hint="eastAsia"/>
                <w:bCs/>
                <w:sz w:val="20"/>
                <w:szCs w:val="21"/>
              </w:rPr>
              <w:alias w:val="其他衍生工具明细"/>
              <w:tag w:val="_GBC_eccddef6c3474342bf04843f05ad8992"/>
              <w:id w:val="24723827"/>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14"/>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减:可抵销的暂收暂付款</w:t>
                        </w:r>
                      </w:p>
                    </w:sdtContent>
                  </w:sdt>
                </w:tc>
                <w:sdt>
                  <w:sdtPr>
                    <w:rPr>
                      <w:rFonts w:asciiTheme="minorEastAsia" w:hAnsiTheme="minorEastAsia"/>
                      <w:sz w:val="20"/>
                      <w:szCs w:val="21"/>
                    </w:rPr>
                    <w:alias w:val="其他衍生工具明细－套期工具名义金额"/>
                    <w:tag w:val="_GBC_4f43cb10078b40969b7bc40016f3e7d2"/>
                    <w:id w:val="24723815"/>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816"/>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817"/>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818"/>
                    <w:lock w:val="sdtLocked"/>
                    <w:showingPlcHdr/>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资产金额"/>
                    <w:tag w:val="_GBC_2724aa0438404330ae9c536d817878c5"/>
                    <w:id w:val="24723819"/>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10,720,114.43</w:t>
                        </w:r>
                      </w:p>
                    </w:tc>
                  </w:sdtContent>
                </w:sdt>
                <w:sdt>
                  <w:sdtPr>
                    <w:rPr>
                      <w:rFonts w:asciiTheme="minorEastAsia" w:hAnsiTheme="minorEastAsia"/>
                      <w:sz w:val="20"/>
                      <w:szCs w:val="21"/>
                    </w:rPr>
                    <w:alias w:val="其他衍生工具明细－非套期工具负债金额"/>
                    <w:tag w:val="_GBC_35cff029f76045f98f4386cffce03fb3"/>
                    <w:id w:val="24723820"/>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2,646,058.56</w:t>
                        </w:r>
                      </w:p>
                    </w:tc>
                  </w:sdtContent>
                </w:sdt>
                <w:sdt>
                  <w:sdtPr>
                    <w:rPr>
                      <w:rFonts w:asciiTheme="minorEastAsia" w:hAnsiTheme="minorEastAsia"/>
                      <w:sz w:val="20"/>
                      <w:szCs w:val="21"/>
                    </w:rPr>
                    <w:alias w:val="其他衍生工具明细－套期工具名义金额"/>
                    <w:tag w:val="_GBC_702d9ac296164ba7b16035a89a92530c"/>
                    <w:id w:val="24723821"/>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822"/>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823"/>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824"/>
                    <w:lock w:val="sdtLocked"/>
                    <w:showingPlcHdr/>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资产金额"/>
                    <w:tag w:val="_GBC_e770cf4c18ed41b8b1127adf32053d24"/>
                    <w:id w:val="24723825"/>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1,899,010.34</w:t>
                        </w:r>
                      </w:p>
                    </w:tc>
                  </w:sdtContent>
                </w:sdt>
                <w:sdt>
                  <w:sdtPr>
                    <w:rPr>
                      <w:rFonts w:asciiTheme="minorEastAsia" w:hAnsiTheme="minorEastAsia"/>
                      <w:sz w:val="20"/>
                      <w:szCs w:val="21"/>
                    </w:rPr>
                    <w:alias w:val="其他衍生工具明细－非套期工具负债金额"/>
                    <w:tag w:val="_GBC_a2feb676b4244b20a7f661f1a52917f7"/>
                    <w:id w:val="24723826"/>
                    <w:lock w:val="sdtLocked"/>
                    <w:showingPlcHdr/>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tr>
            </w:sdtContent>
          </w:sdt>
          <w:sdt>
            <w:sdtPr>
              <w:rPr>
                <w:rFonts w:asciiTheme="minorEastAsia" w:hAnsiTheme="minorEastAsia" w:hint="eastAsia"/>
                <w:bCs/>
                <w:sz w:val="20"/>
                <w:szCs w:val="21"/>
              </w:rPr>
              <w:alias w:val="其他衍生工具明细"/>
              <w:tag w:val="_GBC_eccddef6c3474342bf04843f05ad8992"/>
              <w:id w:val="24723841"/>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28"/>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债券远期合约</w:t>
                        </w:r>
                      </w:p>
                    </w:sdtContent>
                  </w:sdt>
                </w:tc>
                <w:sdt>
                  <w:sdtPr>
                    <w:rPr>
                      <w:rFonts w:asciiTheme="minorEastAsia" w:hAnsiTheme="minorEastAsia"/>
                      <w:sz w:val="20"/>
                      <w:szCs w:val="21"/>
                    </w:rPr>
                    <w:alias w:val="其他衍生工具明细－套期工具名义金额"/>
                    <w:tag w:val="_GBC_4f43cb10078b40969b7bc40016f3e7d2"/>
                    <w:id w:val="24723829"/>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830"/>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831"/>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832"/>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492,410,611.09</w:t>
                        </w:r>
                      </w:p>
                    </w:tc>
                  </w:sdtContent>
                </w:sdt>
                <w:sdt>
                  <w:sdtPr>
                    <w:rPr>
                      <w:rFonts w:asciiTheme="minorEastAsia" w:hAnsiTheme="minorEastAsia"/>
                      <w:sz w:val="20"/>
                      <w:szCs w:val="21"/>
                    </w:rPr>
                    <w:alias w:val="其他衍生工具明细－非套期工具资产金额"/>
                    <w:tag w:val="_GBC_2724aa0438404330ae9c536d817878c5"/>
                    <w:id w:val="24723833"/>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2,173,505.28</w:t>
                        </w:r>
                      </w:p>
                    </w:tc>
                  </w:sdtContent>
                </w:sdt>
                <w:sdt>
                  <w:sdtPr>
                    <w:rPr>
                      <w:rFonts w:asciiTheme="minorEastAsia" w:hAnsiTheme="minorEastAsia"/>
                      <w:sz w:val="20"/>
                      <w:szCs w:val="21"/>
                    </w:rPr>
                    <w:alias w:val="其他衍生工具明细－非套期工具负债金额"/>
                    <w:tag w:val="_GBC_35cff029f76045f98f4386cffce03fb3"/>
                    <w:id w:val="24723834"/>
                    <w:lock w:val="sdtLocked"/>
                    <w:showingPlcHdr/>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名义金额"/>
                    <w:tag w:val="_GBC_702d9ac296164ba7b16035a89a92530c"/>
                    <w:id w:val="24723835"/>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836"/>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837"/>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838"/>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380,000,000.00</w:t>
                        </w:r>
                      </w:p>
                    </w:tc>
                  </w:sdtContent>
                </w:sdt>
                <w:sdt>
                  <w:sdtPr>
                    <w:rPr>
                      <w:rFonts w:asciiTheme="minorEastAsia" w:hAnsiTheme="minorEastAsia"/>
                      <w:sz w:val="20"/>
                      <w:szCs w:val="21"/>
                    </w:rPr>
                    <w:alias w:val="其他衍生工具明细－非套期工具资产金额"/>
                    <w:tag w:val="_GBC_e770cf4c18ed41b8b1127adf32053d24"/>
                    <w:id w:val="24723839"/>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4,860,096.20</w:t>
                        </w:r>
                      </w:p>
                    </w:tc>
                  </w:sdtContent>
                </w:sdt>
                <w:sdt>
                  <w:sdtPr>
                    <w:rPr>
                      <w:rFonts w:asciiTheme="minorEastAsia" w:hAnsiTheme="minorEastAsia"/>
                      <w:sz w:val="20"/>
                      <w:szCs w:val="21"/>
                    </w:rPr>
                    <w:alias w:val="其他衍生工具明细－非套期工具负债金额"/>
                    <w:tag w:val="_GBC_a2feb676b4244b20a7f661f1a52917f7"/>
                    <w:id w:val="24723840"/>
                    <w:lock w:val="sdtLocked"/>
                    <w:showingPlcHdr/>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tr>
            </w:sdtContent>
          </w:sdt>
          <w:sdt>
            <w:sdtPr>
              <w:rPr>
                <w:rFonts w:asciiTheme="minorEastAsia" w:hAnsiTheme="minorEastAsia" w:hint="eastAsia"/>
                <w:bCs/>
                <w:sz w:val="20"/>
                <w:szCs w:val="21"/>
              </w:rPr>
              <w:alias w:val="其他衍生工具明细"/>
              <w:tag w:val="_GBC_eccddef6c3474342bf04843f05ad8992"/>
              <w:id w:val="24723855"/>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42"/>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大宗商品掉期合约</w:t>
                        </w:r>
                      </w:p>
                    </w:sdtContent>
                  </w:sdt>
                </w:tc>
                <w:sdt>
                  <w:sdtPr>
                    <w:rPr>
                      <w:rFonts w:asciiTheme="minorEastAsia" w:hAnsiTheme="minorEastAsia"/>
                      <w:sz w:val="20"/>
                      <w:szCs w:val="21"/>
                    </w:rPr>
                    <w:alias w:val="其他衍生工具明细－套期工具名义金额"/>
                    <w:tag w:val="_GBC_4f43cb10078b40969b7bc40016f3e7d2"/>
                    <w:id w:val="24723843"/>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844"/>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845"/>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846"/>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30,878,052.38</w:t>
                        </w:r>
                      </w:p>
                    </w:tc>
                  </w:sdtContent>
                </w:sdt>
                <w:sdt>
                  <w:sdtPr>
                    <w:rPr>
                      <w:rFonts w:asciiTheme="minorEastAsia" w:hAnsiTheme="minorEastAsia"/>
                      <w:sz w:val="20"/>
                      <w:szCs w:val="21"/>
                    </w:rPr>
                    <w:alias w:val="其他衍生工具明细－非套期工具资产金额"/>
                    <w:tag w:val="_GBC_2724aa0438404330ae9c536d817878c5"/>
                    <w:id w:val="24723847"/>
                    <w:lock w:val="sdtLocked"/>
                    <w:showingPlcHdr/>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负债金额"/>
                    <w:tag w:val="_GBC_35cff029f76045f98f4386cffce03fb3"/>
                    <w:id w:val="24723848"/>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54,145.16</w:t>
                        </w:r>
                      </w:p>
                    </w:tc>
                  </w:sdtContent>
                </w:sdt>
                <w:sdt>
                  <w:sdtPr>
                    <w:rPr>
                      <w:rFonts w:asciiTheme="minorEastAsia" w:hAnsiTheme="minorEastAsia"/>
                      <w:sz w:val="20"/>
                      <w:szCs w:val="21"/>
                    </w:rPr>
                    <w:alias w:val="其他衍生工具明细－套期工具名义金额"/>
                    <w:tag w:val="_GBC_702d9ac296164ba7b16035a89a92530c"/>
                    <w:id w:val="24723849"/>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850"/>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851"/>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852"/>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23,173,431.63</w:t>
                        </w:r>
                      </w:p>
                    </w:tc>
                  </w:sdtContent>
                </w:sdt>
                <w:sdt>
                  <w:sdtPr>
                    <w:rPr>
                      <w:rFonts w:asciiTheme="minorEastAsia" w:hAnsiTheme="minorEastAsia"/>
                      <w:sz w:val="20"/>
                      <w:szCs w:val="21"/>
                    </w:rPr>
                    <w:alias w:val="其他衍生工具明细－非套期工具资产金额"/>
                    <w:tag w:val="_GBC_e770cf4c18ed41b8b1127adf32053d24"/>
                    <w:id w:val="24723853"/>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194,398.85</w:t>
                        </w:r>
                      </w:p>
                    </w:tc>
                  </w:sdtContent>
                </w:sdt>
                <w:sdt>
                  <w:sdtPr>
                    <w:rPr>
                      <w:rFonts w:asciiTheme="minorEastAsia" w:hAnsiTheme="minorEastAsia"/>
                      <w:sz w:val="20"/>
                      <w:szCs w:val="21"/>
                    </w:rPr>
                    <w:alias w:val="其他衍生工具明细－非套期工具负债金额"/>
                    <w:tag w:val="_GBC_a2feb676b4244b20a7f661f1a52917f7"/>
                    <w:id w:val="24723854"/>
                    <w:lock w:val="sdtLocked"/>
                    <w:showingPlcHdr/>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tr>
            </w:sdtContent>
          </w:sdt>
          <w:sdt>
            <w:sdtPr>
              <w:rPr>
                <w:rFonts w:asciiTheme="minorEastAsia" w:hAnsiTheme="minorEastAsia" w:hint="eastAsia"/>
                <w:bCs/>
                <w:sz w:val="20"/>
                <w:szCs w:val="21"/>
              </w:rPr>
              <w:alias w:val="其他衍生工具明细"/>
              <w:tag w:val="_GBC_eccddef6c3474342bf04843f05ad8992"/>
              <w:id w:val="24723869"/>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56"/>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减:可抵销的暂收暂付款</w:t>
                        </w:r>
                      </w:p>
                    </w:sdtContent>
                  </w:sdt>
                </w:tc>
                <w:sdt>
                  <w:sdtPr>
                    <w:rPr>
                      <w:rFonts w:asciiTheme="minorEastAsia" w:hAnsiTheme="minorEastAsia"/>
                      <w:sz w:val="20"/>
                      <w:szCs w:val="21"/>
                    </w:rPr>
                    <w:alias w:val="其他衍生工具明细－套期工具名义金额"/>
                    <w:tag w:val="_GBC_4f43cb10078b40969b7bc40016f3e7d2"/>
                    <w:id w:val="24723857"/>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858"/>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859"/>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860"/>
                    <w:lock w:val="sdtLocked"/>
                    <w:showingPlcHdr/>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资产金额"/>
                    <w:tag w:val="_GBC_2724aa0438404330ae9c536d817878c5"/>
                    <w:id w:val="24723861"/>
                    <w:lock w:val="sdtLocked"/>
                    <w:showingPlcHdr/>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负债金额"/>
                    <w:tag w:val="_GBC_35cff029f76045f98f4386cffce03fb3"/>
                    <w:id w:val="24723862"/>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54,145.16</w:t>
                        </w:r>
                      </w:p>
                    </w:tc>
                  </w:sdtContent>
                </w:sdt>
                <w:sdt>
                  <w:sdtPr>
                    <w:rPr>
                      <w:rFonts w:asciiTheme="minorEastAsia" w:hAnsiTheme="minorEastAsia"/>
                      <w:sz w:val="20"/>
                      <w:szCs w:val="21"/>
                    </w:rPr>
                    <w:alias w:val="其他衍生工具明细－套期工具名义金额"/>
                    <w:tag w:val="_GBC_702d9ac296164ba7b16035a89a92530c"/>
                    <w:id w:val="24723863"/>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864"/>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865"/>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866"/>
                    <w:lock w:val="sdtLocked"/>
                    <w:showingPlcHdr/>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资产金额"/>
                    <w:tag w:val="_GBC_e770cf4c18ed41b8b1127adf32053d24"/>
                    <w:id w:val="24723867"/>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194,398.85</w:t>
                        </w:r>
                      </w:p>
                    </w:tc>
                  </w:sdtContent>
                </w:sdt>
                <w:sdt>
                  <w:sdtPr>
                    <w:rPr>
                      <w:rFonts w:asciiTheme="minorEastAsia" w:hAnsiTheme="minorEastAsia"/>
                      <w:sz w:val="20"/>
                      <w:szCs w:val="21"/>
                    </w:rPr>
                    <w:alias w:val="其他衍生工具明细－非套期工具负债金额"/>
                    <w:tag w:val="_GBC_a2feb676b4244b20a7f661f1a52917f7"/>
                    <w:id w:val="24723868"/>
                    <w:lock w:val="sdtLocked"/>
                    <w:showingPlcHdr/>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tr>
            </w:sdtContent>
          </w:sdt>
          <w:sdt>
            <w:sdtPr>
              <w:rPr>
                <w:rFonts w:asciiTheme="minorEastAsia" w:hAnsiTheme="minorEastAsia" w:hint="eastAsia"/>
                <w:bCs/>
                <w:sz w:val="20"/>
                <w:szCs w:val="21"/>
              </w:rPr>
              <w:alias w:val="其他衍生工具明细"/>
              <w:tag w:val="_GBC_eccddef6c3474342bf04843f05ad8992"/>
              <w:id w:val="24723883"/>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70"/>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大宗商品现货连续交易</w:t>
                        </w:r>
                      </w:p>
                    </w:sdtContent>
                  </w:sdt>
                </w:tc>
                <w:sdt>
                  <w:sdtPr>
                    <w:rPr>
                      <w:rFonts w:asciiTheme="minorEastAsia" w:hAnsiTheme="minorEastAsia"/>
                      <w:sz w:val="20"/>
                      <w:szCs w:val="21"/>
                    </w:rPr>
                    <w:alias w:val="其他衍生工具明细－套期工具名义金额"/>
                    <w:tag w:val="_GBC_4f43cb10078b40969b7bc40016f3e7d2"/>
                    <w:id w:val="24723871"/>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872"/>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873"/>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874"/>
                    <w:lock w:val="sdtLocked"/>
                    <w:showingPlcHdr/>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资产金额"/>
                    <w:tag w:val="_GBC_2724aa0438404330ae9c536d817878c5"/>
                    <w:id w:val="24723875"/>
                    <w:lock w:val="sdtLocked"/>
                    <w:showingPlcHdr/>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负债金额"/>
                    <w:tag w:val="_GBC_35cff029f76045f98f4386cffce03fb3"/>
                    <w:id w:val="24723876"/>
                    <w:lock w:val="sdtLocked"/>
                    <w:showingPlcHdr/>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名义金额"/>
                    <w:tag w:val="_GBC_702d9ac296164ba7b16035a89a92530c"/>
                    <w:id w:val="24723877"/>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878"/>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879"/>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880"/>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999,301,347.31</w:t>
                        </w:r>
                      </w:p>
                    </w:tc>
                  </w:sdtContent>
                </w:sdt>
                <w:sdt>
                  <w:sdtPr>
                    <w:rPr>
                      <w:rFonts w:asciiTheme="minorEastAsia" w:hAnsiTheme="minorEastAsia"/>
                      <w:sz w:val="20"/>
                      <w:szCs w:val="21"/>
                    </w:rPr>
                    <w:alias w:val="其他衍生工具明细－非套期工具资产金额"/>
                    <w:tag w:val="_GBC_e770cf4c18ed41b8b1127adf32053d24"/>
                    <w:id w:val="24723881"/>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负债金额"/>
                    <w:tag w:val="_GBC_a2feb676b4244b20a7f661f1a52917f7"/>
                    <w:id w:val="24723882"/>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2,694,867.07</w:t>
                        </w:r>
                      </w:p>
                    </w:tc>
                  </w:sdtContent>
                </w:sdt>
              </w:tr>
            </w:sdtContent>
          </w:sdt>
          <w:sdt>
            <w:sdtPr>
              <w:rPr>
                <w:rFonts w:asciiTheme="minorEastAsia" w:hAnsiTheme="minorEastAsia" w:hint="eastAsia"/>
                <w:bCs/>
                <w:sz w:val="20"/>
                <w:szCs w:val="21"/>
              </w:rPr>
              <w:alias w:val="其他衍生工具明细"/>
              <w:tag w:val="_GBC_eccddef6c3474342bf04843f05ad8992"/>
              <w:id w:val="24723897"/>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84"/>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减:可抵销的暂收暂付款</w:t>
                        </w:r>
                      </w:p>
                    </w:sdtContent>
                  </w:sdt>
                </w:tc>
                <w:sdt>
                  <w:sdtPr>
                    <w:rPr>
                      <w:rFonts w:asciiTheme="minorEastAsia" w:hAnsiTheme="minorEastAsia"/>
                      <w:sz w:val="20"/>
                      <w:szCs w:val="21"/>
                    </w:rPr>
                    <w:alias w:val="其他衍生工具明细－套期工具名义金额"/>
                    <w:tag w:val="_GBC_4f43cb10078b40969b7bc40016f3e7d2"/>
                    <w:id w:val="24723885"/>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886"/>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887"/>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888"/>
                    <w:lock w:val="sdtLocked"/>
                    <w:showingPlcHdr/>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资产金额"/>
                    <w:tag w:val="_GBC_2724aa0438404330ae9c536d817878c5"/>
                    <w:id w:val="24723889"/>
                    <w:lock w:val="sdtLocked"/>
                    <w:showingPlcHdr/>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负债金额"/>
                    <w:tag w:val="_GBC_35cff029f76045f98f4386cffce03fb3"/>
                    <w:id w:val="24723890"/>
                    <w:lock w:val="sdtLocked"/>
                    <w:showingPlcHdr/>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名义金额"/>
                    <w:tag w:val="_GBC_702d9ac296164ba7b16035a89a92530c"/>
                    <w:id w:val="24723891"/>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892"/>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893"/>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894"/>
                    <w:lock w:val="sdtLocked"/>
                    <w:showingPlcHdr/>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资产金额"/>
                    <w:tag w:val="_GBC_e770cf4c18ed41b8b1127adf32053d24"/>
                    <w:id w:val="24723895"/>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sz w:val="20"/>
                            <w:szCs w:val="21"/>
                          </w:rPr>
                          <w:t xml:space="preserve">　</w:t>
                        </w:r>
                      </w:p>
                    </w:tc>
                  </w:sdtContent>
                </w:sdt>
                <w:sdt>
                  <w:sdtPr>
                    <w:rPr>
                      <w:rFonts w:asciiTheme="minorEastAsia" w:hAnsiTheme="minorEastAsia"/>
                      <w:sz w:val="20"/>
                      <w:szCs w:val="21"/>
                    </w:rPr>
                    <w:alias w:val="其他衍生工具明细－非套期工具负债金额"/>
                    <w:tag w:val="_GBC_a2feb676b4244b20a7f661f1a52917f7"/>
                    <w:id w:val="24723896"/>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2,694,867.07</w:t>
                        </w:r>
                      </w:p>
                    </w:tc>
                  </w:sdtContent>
                </w:sdt>
              </w:tr>
            </w:sdtContent>
          </w:sdt>
          <w:sdt>
            <w:sdtPr>
              <w:rPr>
                <w:rFonts w:asciiTheme="minorEastAsia" w:hAnsiTheme="minorEastAsia" w:hint="eastAsia"/>
                <w:bCs/>
                <w:sz w:val="20"/>
                <w:szCs w:val="21"/>
              </w:rPr>
              <w:alias w:val="其他衍生工具明细"/>
              <w:tag w:val="_GBC_eccddef6c3474342bf04843f05ad8992"/>
              <w:id w:val="24723911"/>
              <w:lock w:val="sdtLocked"/>
            </w:sdtPr>
            <w:sdtEndPr>
              <w:rPr>
                <w:rFonts w:hint="default"/>
                <w:bCs w:val="0"/>
              </w:rPr>
            </w:sdtEndPr>
            <w:sdtContent>
              <w:tr w:rsidR="00DE031E" w:rsidRPr="00521428" w:rsidTr="00AC0410">
                <w:trPr>
                  <w:trHeight w:val="20"/>
                  <w:jc w:val="center"/>
                </w:trPr>
                <w:tc>
                  <w:tcPr>
                    <w:tcW w:w="843" w:type="pct"/>
                  </w:tcPr>
                  <w:sdt>
                    <w:sdtPr>
                      <w:rPr>
                        <w:rFonts w:asciiTheme="minorEastAsia" w:hAnsiTheme="minorEastAsia"/>
                        <w:sz w:val="20"/>
                        <w:szCs w:val="21"/>
                      </w:rPr>
                      <w:alias w:val="其他衍生工具明细－项目"/>
                      <w:tag w:val="_GBC_ee583a5c52994e5fabd871639b5ff452"/>
                      <w:id w:val="24723898"/>
                      <w:lock w:val="sdtLocked"/>
                    </w:sdtPr>
                    <w:sdtContent>
                      <w:p w:rsidR="00DE031E" w:rsidRPr="00521428" w:rsidRDefault="001C1A59" w:rsidP="00DE031E">
                        <w:pPr>
                          <w:rPr>
                            <w:rFonts w:asciiTheme="minorEastAsia" w:hAnsiTheme="minorEastAsia"/>
                            <w:bCs/>
                            <w:sz w:val="20"/>
                            <w:szCs w:val="21"/>
                          </w:rPr>
                        </w:pPr>
                        <w:r w:rsidRPr="00521428">
                          <w:rPr>
                            <w:rFonts w:asciiTheme="minorEastAsia" w:hAnsiTheme="minorEastAsia"/>
                            <w:sz w:val="20"/>
                            <w:szCs w:val="21"/>
                          </w:rPr>
                          <w:t>期权</w:t>
                        </w:r>
                      </w:p>
                    </w:sdtContent>
                  </w:sdt>
                </w:tc>
                <w:sdt>
                  <w:sdtPr>
                    <w:rPr>
                      <w:rFonts w:asciiTheme="minorEastAsia" w:hAnsiTheme="minorEastAsia"/>
                      <w:sz w:val="20"/>
                      <w:szCs w:val="21"/>
                    </w:rPr>
                    <w:alias w:val="其他衍生工具明细－套期工具名义金额"/>
                    <w:tag w:val="_GBC_4f43cb10078b40969b7bc40016f3e7d2"/>
                    <w:id w:val="24723899"/>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资产金额"/>
                    <w:tag w:val="_GBC_fd2fbf5ecc554017b9f51a57080cc1fc"/>
                    <w:id w:val="24723900"/>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负债金额"/>
                    <w:tag w:val="_GBC_83fdddf747b94045bb4a759bff2e4293"/>
                    <w:id w:val="24723901"/>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非套期工具名义金额"/>
                    <w:tag w:val="_GBC_2a267f792c2143deae2e6ae388238fa7"/>
                    <w:id w:val="24723902"/>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1,279,355,745.81</w:t>
                        </w:r>
                      </w:p>
                    </w:tc>
                  </w:sdtContent>
                </w:sdt>
                <w:sdt>
                  <w:sdtPr>
                    <w:rPr>
                      <w:rFonts w:asciiTheme="minorEastAsia" w:hAnsiTheme="minorEastAsia"/>
                      <w:sz w:val="20"/>
                      <w:szCs w:val="21"/>
                    </w:rPr>
                    <w:alias w:val="其他衍生工具明细－非套期工具资产金额"/>
                    <w:tag w:val="_GBC_2724aa0438404330ae9c536d817878c5"/>
                    <w:id w:val="24723903"/>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16,071,992.38</w:t>
                        </w:r>
                      </w:p>
                    </w:tc>
                  </w:sdtContent>
                </w:sdt>
                <w:sdt>
                  <w:sdtPr>
                    <w:rPr>
                      <w:rFonts w:asciiTheme="minorEastAsia" w:hAnsiTheme="minorEastAsia"/>
                      <w:sz w:val="20"/>
                      <w:szCs w:val="21"/>
                    </w:rPr>
                    <w:alias w:val="其他衍生工具明细－非套期工具负债金额"/>
                    <w:tag w:val="_GBC_35cff029f76045f98f4386cffce03fb3"/>
                    <w:id w:val="24723904"/>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58,976,349.34</w:t>
                        </w:r>
                      </w:p>
                    </w:tc>
                  </w:sdtContent>
                </w:sdt>
                <w:sdt>
                  <w:sdtPr>
                    <w:rPr>
                      <w:rFonts w:asciiTheme="minorEastAsia" w:hAnsiTheme="minorEastAsia"/>
                      <w:sz w:val="20"/>
                      <w:szCs w:val="21"/>
                    </w:rPr>
                    <w:alias w:val="其他衍生工具明细－套期工具名义金额"/>
                    <w:tag w:val="_GBC_702d9ac296164ba7b16035a89a92530c"/>
                    <w:id w:val="24723905"/>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资产金额"/>
                    <w:tag w:val="_GBC_3ea9f7b0aeee4a64b231ef7b14fc71a9"/>
                    <w:id w:val="24723906"/>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套期工具负债金额"/>
                    <w:tag w:val="_GBC_10a7ed82cebf4d6ab9bfe40a579121d4"/>
                    <w:id w:val="24723907"/>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工具明细－非套期工具名义金额"/>
                    <w:tag w:val="_GBC_a00ed11cf5984d4ca71ffcf8dea35ac3"/>
                    <w:id w:val="24723908"/>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331,583.81</w:t>
                        </w:r>
                      </w:p>
                    </w:tc>
                  </w:sdtContent>
                </w:sdt>
                <w:sdt>
                  <w:sdtPr>
                    <w:rPr>
                      <w:rFonts w:asciiTheme="minorEastAsia" w:hAnsiTheme="minorEastAsia"/>
                      <w:sz w:val="20"/>
                      <w:szCs w:val="21"/>
                    </w:rPr>
                    <w:alias w:val="其他衍生工具明细－非套期工具资产金额"/>
                    <w:tag w:val="_GBC_e770cf4c18ed41b8b1127adf32053d24"/>
                    <w:id w:val="24723909"/>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9,014.26</w:t>
                        </w:r>
                      </w:p>
                    </w:tc>
                  </w:sdtContent>
                </w:sdt>
                <w:sdt>
                  <w:sdtPr>
                    <w:rPr>
                      <w:rFonts w:asciiTheme="minorEastAsia" w:hAnsiTheme="minorEastAsia"/>
                      <w:sz w:val="20"/>
                      <w:szCs w:val="21"/>
                    </w:rPr>
                    <w:alias w:val="其他衍生工具明细－非套期工具负债金额"/>
                    <w:tag w:val="_GBC_a2feb676b4244b20a7f661f1a52917f7"/>
                    <w:id w:val="24723910"/>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1,228,290.13</w:t>
                        </w:r>
                      </w:p>
                    </w:tc>
                  </w:sdtContent>
                </w:sdt>
              </w:tr>
            </w:sdtContent>
          </w:sdt>
          <w:tr w:rsidR="00DE031E" w:rsidRPr="00521428" w:rsidTr="00AC0410">
            <w:trPr>
              <w:trHeight w:val="20"/>
              <w:jc w:val="center"/>
            </w:trPr>
            <w:tc>
              <w:tcPr>
                <w:tcW w:w="843" w:type="pct"/>
              </w:tcPr>
              <w:p w:rsidR="00DE031E" w:rsidRPr="00521428" w:rsidRDefault="001C1A59" w:rsidP="00DE031E">
                <w:pPr>
                  <w:rPr>
                    <w:rFonts w:asciiTheme="minorEastAsia" w:hAnsiTheme="minorEastAsia"/>
                    <w:sz w:val="20"/>
                    <w:szCs w:val="21"/>
                  </w:rPr>
                </w:pPr>
                <w:r w:rsidRPr="00521428">
                  <w:rPr>
                    <w:rFonts w:asciiTheme="minorEastAsia" w:hAnsiTheme="minorEastAsia" w:hint="eastAsia"/>
                    <w:sz w:val="20"/>
                    <w:szCs w:val="21"/>
                  </w:rPr>
                  <w:t>减:可抵销的暂收暂付款</w:t>
                </w:r>
              </w:p>
            </w:tc>
            <w:tc>
              <w:tcPr>
                <w:tcW w:w="134" w:type="pct"/>
              </w:tcPr>
              <w:p w:rsidR="00DE031E" w:rsidRDefault="00DE031E" w:rsidP="00DE031E">
                <w:pPr>
                  <w:jc w:val="right"/>
                  <w:rPr>
                    <w:rFonts w:asciiTheme="minorEastAsia" w:hAnsiTheme="minorEastAsia"/>
                    <w:sz w:val="20"/>
                    <w:szCs w:val="21"/>
                  </w:rPr>
                </w:pPr>
              </w:p>
            </w:tc>
            <w:tc>
              <w:tcPr>
                <w:tcW w:w="133" w:type="pct"/>
              </w:tcPr>
              <w:p w:rsidR="00DE031E" w:rsidRDefault="00DE031E" w:rsidP="00DE031E">
                <w:pPr>
                  <w:jc w:val="right"/>
                  <w:rPr>
                    <w:rFonts w:asciiTheme="minorEastAsia" w:hAnsiTheme="minorEastAsia"/>
                    <w:sz w:val="20"/>
                    <w:szCs w:val="21"/>
                  </w:rPr>
                </w:pPr>
              </w:p>
            </w:tc>
            <w:tc>
              <w:tcPr>
                <w:tcW w:w="133" w:type="pct"/>
              </w:tcPr>
              <w:p w:rsidR="00DE031E" w:rsidRDefault="00DE031E" w:rsidP="00DE031E">
                <w:pPr>
                  <w:jc w:val="right"/>
                  <w:rPr>
                    <w:rFonts w:asciiTheme="minorEastAsia" w:hAnsiTheme="minorEastAsia"/>
                    <w:sz w:val="20"/>
                    <w:szCs w:val="21"/>
                  </w:rPr>
                </w:pPr>
              </w:p>
            </w:tc>
            <w:tc>
              <w:tcPr>
                <w:tcW w:w="619" w:type="pct"/>
                <w:vAlign w:val="center"/>
              </w:tcPr>
              <w:p w:rsidR="00DE031E" w:rsidRDefault="00DE031E" w:rsidP="00DE031E">
                <w:pPr>
                  <w:jc w:val="right"/>
                  <w:rPr>
                    <w:rFonts w:asciiTheme="minorEastAsia" w:hAnsiTheme="minorEastAsia"/>
                    <w:sz w:val="20"/>
                    <w:szCs w:val="21"/>
                  </w:rPr>
                </w:pPr>
              </w:p>
            </w:tc>
            <w:tc>
              <w:tcPr>
                <w:tcW w:w="531" w:type="pct"/>
                <w:vAlign w:val="center"/>
              </w:tcPr>
              <w:p w:rsidR="00DE031E" w:rsidRDefault="001C1A59" w:rsidP="00DE031E">
                <w:pPr>
                  <w:jc w:val="right"/>
                  <w:rPr>
                    <w:rFonts w:asciiTheme="minorEastAsia" w:hAnsiTheme="minorEastAsia"/>
                    <w:sz w:val="20"/>
                    <w:szCs w:val="21"/>
                  </w:rPr>
                </w:pPr>
                <w:r w:rsidRPr="00521428">
                  <w:rPr>
                    <w:rFonts w:asciiTheme="minorEastAsia" w:hAnsiTheme="minorEastAsia"/>
                    <w:sz w:val="20"/>
                    <w:szCs w:val="21"/>
                  </w:rPr>
                  <w:t>12,666.38</w:t>
                </w:r>
              </w:p>
            </w:tc>
            <w:tc>
              <w:tcPr>
                <w:tcW w:w="575" w:type="pct"/>
                <w:vAlign w:val="center"/>
              </w:tcPr>
              <w:p w:rsidR="00DE031E" w:rsidRDefault="00DE031E" w:rsidP="00DE031E">
                <w:pPr>
                  <w:jc w:val="right"/>
                  <w:rPr>
                    <w:rFonts w:asciiTheme="minorEastAsia" w:hAnsiTheme="minorEastAsia"/>
                    <w:sz w:val="20"/>
                    <w:szCs w:val="21"/>
                  </w:rPr>
                </w:pPr>
              </w:p>
            </w:tc>
            <w:tc>
              <w:tcPr>
                <w:tcW w:w="133" w:type="pct"/>
                <w:vAlign w:val="center"/>
              </w:tcPr>
              <w:p w:rsidR="00DE031E" w:rsidRDefault="00DE031E" w:rsidP="00DE031E">
                <w:pPr>
                  <w:jc w:val="right"/>
                  <w:rPr>
                    <w:rFonts w:asciiTheme="minorEastAsia" w:hAnsiTheme="minorEastAsia"/>
                    <w:sz w:val="20"/>
                    <w:szCs w:val="21"/>
                  </w:rPr>
                </w:pPr>
              </w:p>
            </w:tc>
            <w:tc>
              <w:tcPr>
                <w:tcW w:w="134" w:type="pct"/>
                <w:vAlign w:val="center"/>
              </w:tcPr>
              <w:p w:rsidR="00DE031E" w:rsidRDefault="00DE031E" w:rsidP="00DE031E">
                <w:pPr>
                  <w:jc w:val="right"/>
                  <w:rPr>
                    <w:rFonts w:asciiTheme="minorEastAsia" w:hAnsiTheme="minorEastAsia"/>
                    <w:sz w:val="20"/>
                    <w:szCs w:val="21"/>
                  </w:rPr>
                </w:pPr>
              </w:p>
            </w:tc>
            <w:tc>
              <w:tcPr>
                <w:tcW w:w="133" w:type="pct"/>
                <w:vAlign w:val="center"/>
              </w:tcPr>
              <w:p w:rsidR="00DE031E" w:rsidRDefault="00DE031E" w:rsidP="00DE031E">
                <w:pPr>
                  <w:jc w:val="right"/>
                  <w:rPr>
                    <w:rFonts w:asciiTheme="minorEastAsia" w:hAnsiTheme="minorEastAsia"/>
                    <w:sz w:val="20"/>
                    <w:szCs w:val="21"/>
                  </w:rPr>
                </w:pPr>
              </w:p>
            </w:tc>
            <w:tc>
              <w:tcPr>
                <w:tcW w:w="611" w:type="pct"/>
                <w:vAlign w:val="center"/>
              </w:tcPr>
              <w:p w:rsidR="00DE031E" w:rsidRDefault="00DE031E" w:rsidP="00DE031E">
                <w:pPr>
                  <w:jc w:val="right"/>
                  <w:rPr>
                    <w:rFonts w:asciiTheme="minorEastAsia" w:hAnsiTheme="minorEastAsia"/>
                    <w:sz w:val="20"/>
                    <w:szCs w:val="21"/>
                  </w:rPr>
                </w:pPr>
              </w:p>
            </w:tc>
            <w:tc>
              <w:tcPr>
                <w:tcW w:w="473" w:type="pct"/>
                <w:vAlign w:val="center"/>
              </w:tcPr>
              <w:p w:rsidR="00DE031E" w:rsidRDefault="001C1A59" w:rsidP="00DE031E">
                <w:pPr>
                  <w:jc w:val="right"/>
                  <w:rPr>
                    <w:rFonts w:asciiTheme="minorEastAsia" w:hAnsiTheme="minorEastAsia"/>
                    <w:sz w:val="20"/>
                    <w:szCs w:val="21"/>
                  </w:rPr>
                </w:pPr>
                <w:r w:rsidRPr="00521428">
                  <w:rPr>
                    <w:rFonts w:asciiTheme="minorEastAsia" w:hAnsiTheme="minorEastAsia"/>
                    <w:sz w:val="20"/>
                    <w:szCs w:val="21"/>
                  </w:rPr>
                  <w:t>9,014.26</w:t>
                </w:r>
              </w:p>
            </w:tc>
            <w:tc>
              <w:tcPr>
                <w:tcW w:w="548" w:type="pct"/>
                <w:vAlign w:val="center"/>
              </w:tcPr>
              <w:p w:rsidR="00DE031E" w:rsidRDefault="00DE031E" w:rsidP="00DE031E">
                <w:pPr>
                  <w:jc w:val="right"/>
                  <w:rPr>
                    <w:rFonts w:asciiTheme="minorEastAsia" w:hAnsiTheme="minorEastAsia"/>
                    <w:sz w:val="20"/>
                    <w:szCs w:val="21"/>
                  </w:rPr>
                </w:pPr>
              </w:p>
            </w:tc>
          </w:tr>
          <w:sdt>
            <w:sdtPr>
              <w:rPr>
                <w:rFonts w:asciiTheme="minorEastAsia" w:hAnsiTheme="minorEastAsia" w:hint="eastAsia"/>
                <w:sz w:val="20"/>
                <w:szCs w:val="21"/>
              </w:rPr>
              <w:alias w:val="其他衍生金融工具明细"/>
              <w:tag w:val="_GBC_4ea897a67d69430fa540872db3dae91c"/>
              <w:id w:val="24723925"/>
              <w:lock w:val="sdtLocked"/>
            </w:sdtPr>
            <w:sdtEndPr>
              <w:rPr>
                <w:rFonts w:hint="default"/>
              </w:rPr>
            </w:sdtEndPr>
            <w:sdtContent>
              <w:tr w:rsidR="00DE031E" w:rsidRPr="00521428" w:rsidTr="00AC0410">
                <w:trPr>
                  <w:trHeight w:val="20"/>
                  <w:jc w:val="center"/>
                </w:trPr>
                <w:sdt>
                  <w:sdtPr>
                    <w:rPr>
                      <w:rFonts w:asciiTheme="minorEastAsia" w:hAnsiTheme="minorEastAsia" w:hint="eastAsia"/>
                      <w:sz w:val="20"/>
                      <w:szCs w:val="21"/>
                    </w:rPr>
                    <w:alias w:val="其他衍生金融工具明细－项目"/>
                    <w:tag w:val="_GBC_ed00c448ffff4acfa88201bcd05c39b5"/>
                    <w:id w:val="24723912"/>
                    <w:lock w:val="sdtLocked"/>
                  </w:sdtPr>
                  <w:sdtContent>
                    <w:tc>
                      <w:tcPr>
                        <w:tcW w:w="843" w:type="pct"/>
                      </w:tcPr>
                      <w:p w:rsidR="00DE031E" w:rsidRPr="00521428" w:rsidRDefault="001C1A59" w:rsidP="00DE031E">
                        <w:pPr>
                          <w:rPr>
                            <w:rFonts w:asciiTheme="minorEastAsia" w:hAnsiTheme="minorEastAsia"/>
                            <w:bCs/>
                            <w:sz w:val="20"/>
                            <w:szCs w:val="21"/>
                          </w:rPr>
                        </w:pPr>
                        <w:r w:rsidRPr="00521428">
                          <w:rPr>
                            <w:rFonts w:asciiTheme="minorEastAsia" w:hAnsiTheme="minorEastAsia" w:hint="eastAsia"/>
                            <w:sz w:val="20"/>
                            <w:szCs w:val="21"/>
                          </w:rPr>
                          <w:t>其他</w:t>
                        </w:r>
                      </w:p>
                    </w:tc>
                  </w:sdtContent>
                </w:sdt>
                <w:sdt>
                  <w:sdtPr>
                    <w:rPr>
                      <w:rFonts w:asciiTheme="minorEastAsia" w:hAnsiTheme="minorEastAsia"/>
                      <w:sz w:val="20"/>
                      <w:szCs w:val="21"/>
                    </w:rPr>
                    <w:alias w:val="其他衍生金融工具明细－套期工具名义金额"/>
                    <w:tag w:val="_GBC_fdb3866f51e0470f8b95a94a7ad70e36"/>
                    <w:id w:val="24723913"/>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套期工具资产金额"/>
                    <w:tag w:val="_GBC_ccd88e6252c54df7bd1e2115115de9a3"/>
                    <w:id w:val="24723914"/>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套期工具负债金额"/>
                    <w:tag w:val="_GBC_3dadf2ecb98b4cf4a050a1250a44e317"/>
                    <w:id w:val="24723915"/>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非套期工具名义金额"/>
                    <w:tag w:val="_GBC_0c00d853e8b242aeab248a94510895eb"/>
                    <w:id w:val="24723916"/>
                    <w:lock w:val="sdtLocked"/>
                    <w:showingPlcHdr/>
                  </w:sdtPr>
                  <w:sdtContent>
                    <w:tc>
                      <w:tcPr>
                        <w:tcW w:w="619"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 xml:space="preserve">　</w:t>
                        </w:r>
                      </w:p>
                    </w:tc>
                  </w:sdtContent>
                </w:sdt>
                <w:sdt>
                  <w:sdtPr>
                    <w:rPr>
                      <w:rFonts w:asciiTheme="minorEastAsia" w:hAnsiTheme="minorEastAsia"/>
                      <w:sz w:val="20"/>
                      <w:szCs w:val="21"/>
                    </w:rPr>
                    <w:alias w:val="其他衍生金融工具明细－非套期工具资产金额"/>
                    <w:tag w:val="_GBC_9879140f9a1140678cc59b5ef195247f"/>
                    <w:id w:val="24723917"/>
                    <w:lock w:val="sdtLocked"/>
                    <w:showingPlcHdr/>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非套期工具负债金额"/>
                    <w:tag w:val="_GBC_16dd93b0cb514a46a6a9bad3682596b3"/>
                    <w:id w:val="24723918"/>
                    <w:lock w:val="sdtLocked"/>
                    <w:showingPlcHdr/>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 xml:space="preserve">　</w:t>
                        </w:r>
                      </w:p>
                    </w:tc>
                  </w:sdtContent>
                </w:sdt>
                <w:sdt>
                  <w:sdtPr>
                    <w:rPr>
                      <w:rFonts w:asciiTheme="minorEastAsia" w:hAnsiTheme="minorEastAsia"/>
                      <w:sz w:val="20"/>
                      <w:szCs w:val="21"/>
                    </w:rPr>
                    <w:alias w:val="其他衍生金融工具明细－套期工具名义金额"/>
                    <w:tag w:val="_GBC_c89f1e1b3ee74e13b3b8e66d10c42c4b"/>
                    <w:id w:val="24723919"/>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套期工具资产金额"/>
                    <w:tag w:val="_GBC_5a3733abd3ff45d0af4b50c9a06e4089"/>
                    <w:id w:val="24723920"/>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套期工具负债金额"/>
                    <w:tag w:val="_GBC_341de1c254b745aba4bbc046b746eef8"/>
                    <w:id w:val="24723921"/>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非套期工具名义金额"/>
                    <w:tag w:val="_GBC_42213b21dbc6451ab265724396729c5a"/>
                    <w:id w:val="24723922"/>
                    <w:lock w:val="sdtLocked"/>
                    <w:showingPlcHdr/>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非套期工具资产金额"/>
                    <w:tag w:val="_GBC_974622600e624c288e1ab778547c3aa4"/>
                    <w:id w:val="24723923"/>
                    <w:lock w:val="sdtLocked"/>
                    <w:showingPlcHdr/>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其他衍生金融工具明细－非套期工具负债金额"/>
                    <w:tag w:val="_GBC_750a665d64a541569d524db4ca60793f"/>
                    <w:id w:val="24723924"/>
                    <w:lock w:val="sdtLocked"/>
                    <w:showingPlcHdr/>
                  </w:sdtPr>
                  <w:sdtContent>
                    <w:tc>
                      <w:tcPr>
                        <w:tcW w:w="548" w:type="pct"/>
                        <w:vAlign w:val="center"/>
                      </w:tcPr>
                      <w:p w:rsidR="00DE031E" w:rsidRPr="00521428" w:rsidRDefault="00DE031E" w:rsidP="00DE031E">
                        <w:pPr>
                          <w:jc w:val="right"/>
                          <w:rPr>
                            <w:rFonts w:asciiTheme="minorEastAsia" w:hAnsiTheme="minorEastAsia"/>
                            <w:sz w:val="20"/>
                            <w:szCs w:val="21"/>
                          </w:rPr>
                        </w:pPr>
                      </w:p>
                    </w:tc>
                  </w:sdtContent>
                </w:sdt>
              </w:tr>
            </w:sdtContent>
          </w:sdt>
          <w:tr w:rsidR="00DE031E" w:rsidRPr="00521428" w:rsidTr="00AC0410">
            <w:trPr>
              <w:trHeight w:val="20"/>
              <w:jc w:val="center"/>
            </w:trPr>
            <w:tc>
              <w:tcPr>
                <w:tcW w:w="843" w:type="pct"/>
                <w:vAlign w:val="center"/>
              </w:tcPr>
              <w:p w:rsidR="00DE031E" w:rsidRPr="00521428" w:rsidRDefault="001C1A59" w:rsidP="00DE031E">
                <w:pPr>
                  <w:jc w:val="center"/>
                  <w:rPr>
                    <w:rFonts w:asciiTheme="minorEastAsia" w:hAnsiTheme="minorEastAsia"/>
                    <w:sz w:val="20"/>
                    <w:szCs w:val="21"/>
                  </w:rPr>
                </w:pPr>
                <w:r w:rsidRPr="00521428">
                  <w:rPr>
                    <w:rFonts w:asciiTheme="minorEastAsia" w:hAnsiTheme="minorEastAsia"/>
                    <w:sz w:val="20"/>
                    <w:szCs w:val="21"/>
                  </w:rPr>
                  <w:t>合计</w:t>
                </w:r>
              </w:p>
            </w:tc>
            <w:sdt>
              <w:sdtPr>
                <w:rPr>
                  <w:rFonts w:asciiTheme="minorEastAsia" w:hAnsiTheme="minorEastAsia"/>
                  <w:sz w:val="20"/>
                  <w:szCs w:val="21"/>
                </w:rPr>
                <w:alias w:val="衍生金融套期工具名义金额"/>
                <w:tag w:val="_GBC_2abcaf4985364077b26930fdf6914c60"/>
                <w:id w:val="24723926"/>
                <w:lock w:val="sdtLocked"/>
                <w:showingPlcHdr/>
              </w:sdtPr>
              <w:sdtContent>
                <w:tc>
                  <w:tcPr>
                    <w:tcW w:w="134"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衍生金融套期工具资产金额"/>
                <w:tag w:val="_GBC_fbd85a10ca3d44319e551b9b5f5d82e3"/>
                <w:id w:val="24723927"/>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衍生金融套期工具负债金额"/>
                <w:tag w:val="_GBC_bbf516ca2cfb495589c8f98449049b88"/>
                <w:id w:val="24723928"/>
                <w:lock w:val="sdtLocked"/>
                <w:showingPlcHdr/>
              </w:sdtPr>
              <w:sdtContent>
                <w:tc>
                  <w:tcPr>
                    <w:tcW w:w="133" w:type="pct"/>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衍生金融非套期工具名义金额"/>
                <w:tag w:val="_GBC_27b6082cdeb04de4ba5b38dfe06c131b"/>
                <w:id w:val="24723929"/>
                <w:lock w:val="sdtLocked"/>
              </w:sdtPr>
              <w:sdtContent>
                <w:tc>
                  <w:tcPr>
                    <w:tcW w:w="619" w:type="pct"/>
                    <w:vAlign w:val="center"/>
                  </w:tcPr>
                  <w:p w:rsidR="00DE031E" w:rsidRPr="00521428" w:rsidRDefault="001C1A59" w:rsidP="00DE031E">
                    <w:pPr>
                      <w:jc w:val="right"/>
                      <w:rPr>
                        <w:rFonts w:asciiTheme="minorEastAsia" w:hAnsiTheme="minorEastAsia"/>
                        <w:sz w:val="20"/>
                        <w:szCs w:val="21"/>
                      </w:rPr>
                    </w:pPr>
                    <w:r w:rsidRPr="00323F07">
                      <w:rPr>
                        <w:rFonts w:asciiTheme="minorEastAsia" w:hAnsiTheme="minorEastAsia"/>
                        <w:sz w:val="20"/>
                        <w:szCs w:val="21"/>
                      </w:rPr>
                      <w:t>51,448,683,535.67</w:t>
                    </w:r>
                  </w:p>
                </w:tc>
              </w:sdtContent>
            </w:sdt>
            <w:sdt>
              <w:sdtPr>
                <w:rPr>
                  <w:rFonts w:asciiTheme="minorEastAsia" w:hAnsiTheme="minorEastAsia"/>
                  <w:sz w:val="20"/>
                  <w:szCs w:val="21"/>
                </w:rPr>
                <w:alias w:val="衍生金融非套期工具资产金额"/>
                <w:tag w:val="_GBC_cd5e425878574ce98f29917945f73137"/>
                <w:id w:val="24723930"/>
                <w:lock w:val="sdtLocked"/>
              </w:sdtPr>
              <w:sdtContent>
                <w:tc>
                  <w:tcPr>
                    <w:tcW w:w="53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855,196,391.76</w:t>
                    </w:r>
                  </w:p>
                </w:tc>
              </w:sdtContent>
            </w:sdt>
            <w:sdt>
              <w:sdtPr>
                <w:rPr>
                  <w:rFonts w:asciiTheme="minorEastAsia" w:hAnsiTheme="minorEastAsia"/>
                  <w:sz w:val="20"/>
                  <w:szCs w:val="21"/>
                </w:rPr>
                <w:alias w:val="衍生金融非套期工具负债金额"/>
                <w:tag w:val="_GBC_be7fffa5695548c2b546be89aab62301"/>
                <w:id w:val="24723931"/>
                <w:lock w:val="sdtLocked"/>
              </w:sdtPr>
              <w:sdtContent>
                <w:tc>
                  <w:tcPr>
                    <w:tcW w:w="575"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3,528,695,735.73</w:t>
                    </w:r>
                  </w:p>
                </w:tc>
              </w:sdtContent>
            </w:sdt>
            <w:sdt>
              <w:sdtPr>
                <w:rPr>
                  <w:rFonts w:asciiTheme="minorEastAsia" w:hAnsiTheme="minorEastAsia"/>
                  <w:sz w:val="20"/>
                  <w:szCs w:val="21"/>
                </w:rPr>
                <w:alias w:val="衍生金融套期工具名义金额"/>
                <w:tag w:val="_GBC_804de87005c648469625992b8c814b7e"/>
                <w:id w:val="24723932"/>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衍生金融套期工具资产金额"/>
                <w:tag w:val="_GBC_ee72a9f46a674cb2949bc61c2ead9f9a"/>
                <w:id w:val="24723933"/>
                <w:lock w:val="sdtLocked"/>
                <w:showingPlcHdr/>
              </w:sdtPr>
              <w:sdtContent>
                <w:tc>
                  <w:tcPr>
                    <w:tcW w:w="134"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衍生金融套期工具负债金额"/>
                <w:tag w:val="_GBC_34809d3306f84151aefb55dac35aae22"/>
                <w:id w:val="24723934"/>
                <w:lock w:val="sdtLocked"/>
                <w:showingPlcHdr/>
              </w:sdtPr>
              <w:sdtContent>
                <w:tc>
                  <w:tcPr>
                    <w:tcW w:w="13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hint="eastAsia"/>
                        <w:color w:val="333399"/>
                        <w:sz w:val="20"/>
                        <w:szCs w:val="21"/>
                      </w:rPr>
                      <w:t xml:space="preserve">　</w:t>
                    </w:r>
                  </w:p>
                </w:tc>
              </w:sdtContent>
            </w:sdt>
            <w:sdt>
              <w:sdtPr>
                <w:rPr>
                  <w:rFonts w:asciiTheme="minorEastAsia" w:hAnsiTheme="minorEastAsia"/>
                  <w:sz w:val="20"/>
                  <w:szCs w:val="21"/>
                </w:rPr>
                <w:alias w:val="衍生金融非套期工具名义金额"/>
                <w:tag w:val="_GBC_8c90cf14093540888b1963bac3fbe626"/>
                <w:id w:val="24723935"/>
                <w:lock w:val="sdtLocked"/>
              </w:sdtPr>
              <w:sdtContent>
                <w:tc>
                  <w:tcPr>
                    <w:tcW w:w="611"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29,268,403,299.42</w:t>
                    </w:r>
                  </w:p>
                </w:tc>
              </w:sdtContent>
            </w:sdt>
            <w:sdt>
              <w:sdtPr>
                <w:rPr>
                  <w:rFonts w:asciiTheme="minorEastAsia" w:hAnsiTheme="minorEastAsia"/>
                  <w:sz w:val="20"/>
                  <w:szCs w:val="21"/>
                </w:rPr>
                <w:alias w:val="衍生金融非套期工具资产金额"/>
                <w:tag w:val="_GBC_382b6dc16612421897bcf7cde6df0bd2"/>
                <w:id w:val="24723936"/>
                <w:lock w:val="sdtLocked"/>
              </w:sdtPr>
              <w:sdtContent>
                <w:tc>
                  <w:tcPr>
                    <w:tcW w:w="473"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12,015,035.74</w:t>
                    </w:r>
                  </w:p>
                </w:tc>
              </w:sdtContent>
            </w:sdt>
            <w:sdt>
              <w:sdtPr>
                <w:rPr>
                  <w:rFonts w:asciiTheme="minorEastAsia" w:hAnsiTheme="minorEastAsia"/>
                  <w:sz w:val="20"/>
                  <w:szCs w:val="21"/>
                </w:rPr>
                <w:alias w:val="衍生金融非套期工具负债金额"/>
                <w:tag w:val="_GBC_519a3e969d8844fa848e4b228ee2eeda"/>
                <w:id w:val="24723937"/>
                <w:lock w:val="sdtLocked"/>
              </w:sdtPr>
              <w:sdtContent>
                <w:tc>
                  <w:tcPr>
                    <w:tcW w:w="548" w:type="pct"/>
                    <w:vAlign w:val="center"/>
                  </w:tcPr>
                  <w:p w:rsidR="00DE031E" w:rsidRPr="00521428" w:rsidRDefault="001C1A59" w:rsidP="00DE031E">
                    <w:pPr>
                      <w:jc w:val="right"/>
                      <w:rPr>
                        <w:rFonts w:asciiTheme="minorEastAsia" w:hAnsiTheme="minorEastAsia"/>
                        <w:sz w:val="20"/>
                        <w:szCs w:val="21"/>
                      </w:rPr>
                    </w:pPr>
                    <w:r w:rsidRPr="00521428">
                      <w:rPr>
                        <w:rFonts w:asciiTheme="minorEastAsia" w:hAnsiTheme="minorEastAsia"/>
                        <w:sz w:val="20"/>
                        <w:szCs w:val="21"/>
                      </w:rPr>
                      <w:t>849,865,227.37</w:t>
                    </w:r>
                  </w:p>
                </w:tc>
              </w:sdtContent>
            </w:sdt>
          </w:tr>
        </w:tbl>
        <w:p w:rsidR="00DE031E" w:rsidRPr="007B04A8" w:rsidRDefault="00422DCA" w:rsidP="00DE031E"/>
      </w:sdtContent>
    </w:sdt>
    <w:sdt>
      <w:sdtPr>
        <w:rPr>
          <w:rFonts w:hint="eastAsia"/>
        </w:rPr>
        <w:tag w:val="_GBC_ad66654bdb2241fc96cbbc0d3d61ce00"/>
        <w:id w:val="24723940"/>
        <w:lock w:val="sdtLocked"/>
        <w:placeholder>
          <w:docPart w:val="GBC22222222222222222222222222222"/>
        </w:placeholder>
      </w:sdtPr>
      <w:sdtContent>
        <w:sdt>
          <w:sdtPr>
            <w:rPr>
              <w:rFonts w:hint="eastAsia"/>
            </w:rPr>
            <w:alias w:val="衍生金融工具的说明"/>
            <w:tag w:val="_GBC_f093bf4d8f0243818619976bf7cdd71f"/>
            <w:id w:val="24723939"/>
            <w:lock w:val="sdtLocked"/>
            <w:placeholder>
              <w:docPart w:val="GBC22222222222222222222222222222"/>
            </w:placeholder>
          </w:sdtPr>
          <w:sdtContent>
            <w:p w:rsidR="00DE031E" w:rsidRDefault="001C1A59" w:rsidP="00DE031E">
              <w:pPr>
                <w:widowControl w:val="0"/>
                <w:autoSpaceDE w:val="0"/>
                <w:autoSpaceDN w:val="0"/>
                <w:adjustRightInd w:val="0"/>
                <w:spacing w:line="360" w:lineRule="auto"/>
                <w:rPr>
                  <w:rFonts w:hAnsi="Calibri"/>
                  <w:sz w:val="22"/>
                  <w:szCs w:val="22"/>
                </w:rPr>
              </w:pPr>
              <w:r>
                <w:rPr>
                  <w:rFonts w:hint="eastAsia"/>
                </w:rPr>
                <w:t>1）</w:t>
              </w:r>
              <w:r>
                <w:rPr>
                  <w:rFonts w:hAnsi="Calibri" w:hint="eastAsia"/>
                  <w:sz w:val="22"/>
                  <w:szCs w:val="22"/>
                </w:rPr>
                <w:t>按照每日无负债结算的结算规则及《企业会计准则</w:t>
              </w:r>
              <w:r>
                <w:rPr>
                  <w:rFonts w:ascii="ArialMT" w:eastAsia="ArialMT" w:hAnsi="Calibri" w:cs="ArialMT" w:hint="eastAsia"/>
                  <w:sz w:val="22"/>
                  <w:szCs w:val="22"/>
                </w:rPr>
                <w:t>—</w:t>
              </w:r>
              <w:r>
                <w:rPr>
                  <w:rFonts w:hAnsi="Calibri" w:hint="eastAsia"/>
                  <w:sz w:val="22"/>
                  <w:szCs w:val="22"/>
                </w:rPr>
                <w:t>金融工具列报》的相关规定，衍生金融资产</w:t>
              </w:r>
              <w:r>
                <w:rPr>
                  <w:rFonts w:ascii="Arial" w:hAnsi="Arial" w:cs="Arial"/>
                  <w:sz w:val="22"/>
                  <w:szCs w:val="22"/>
                </w:rPr>
                <w:t>/</w:t>
              </w:r>
              <w:r>
                <w:rPr>
                  <w:rFonts w:hAnsi="Calibri" w:hint="eastAsia"/>
                  <w:sz w:val="22"/>
                  <w:szCs w:val="22"/>
                </w:rPr>
                <w:t>负债项下的期货投资、期权等衍生工具与相关的暂收暂付款（结算所得的持仓损益）之间按抵销后的净额列示，为</w:t>
              </w:r>
              <w:r>
                <w:rPr>
                  <w:rFonts w:ascii="Arial" w:hAnsi="Arial" w:cs="Arial"/>
                  <w:sz w:val="22"/>
                  <w:szCs w:val="22"/>
                </w:rPr>
                <w:t>0</w:t>
              </w:r>
              <w:r>
                <w:rPr>
                  <w:rFonts w:hAnsi="Calibri" w:hint="eastAsia"/>
                  <w:sz w:val="22"/>
                  <w:szCs w:val="22"/>
                </w:rPr>
                <w:t>元。</w:t>
              </w:r>
            </w:p>
            <w:p w:rsidR="00DE031E" w:rsidRDefault="001C1A59" w:rsidP="00DE031E">
              <w:pPr>
                <w:widowControl w:val="0"/>
                <w:autoSpaceDE w:val="0"/>
                <w:autoSpaceDN w:val="0"/>
                <w:adjustRightInd w:val="0"/>
                <w:spacing w:line="360" w:lineRule="auto"/>
              </w:pPr>
              <w:r>
                <w:rPr>
                  <w:rFonts w:hAnsi="Calibri" w:hint="eastAsia"/>
                  <w:sz w:val="22"/>
                  <w:szCs w:val="22"/>
                </w:rPr>
                <w:t>2）截至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日，衍生金融资产账面价值较年初增加</w:t>
              </w:r>
              <w:r>
                <w:rPr>
                  <w:rFonts w:ascii="Arial" w:hAnsi="Arial" w:cs="Arial" w:hint="eastAsia"/>
                  <w:sz w:val="22"/>
                  <w:szCs w:val="22"/>
                </w:rPr>
                <w:t>843</w:t>
              </w:r>
              <w:r>
                <w:rPr>
                  <w:rFonts w:ascii="Arial" w:hAnsi="Arial" w:cs="Arial"/>
                  <w:sz w:val="22"/>
                  <w:szCs w:val="22"/>
                </w:rPr>
                <w:t>,</w:t>
              </w:r>
              <w:r>
                <w:rPr>
                  <w:rFonts w:ascii="Arial" w:hAnsi="Arial" w:cs="Arial" w:hint="eastAsia"/>
                  <w:sz w:val="22"/>
                  <w:szCs w:val="22"/>
                </w:rPr>
                <w:t>181</w:t>
              </w:r>
              <w:r>
                <w:rPr>
                  <w:rFonts w:ascii="Arial" w:hAnsi="Arial" w:cs="Arial"/>
                  <w:sz w:val="22"/>
                  <w:szCs w:val="22"/>
                </w:rPr>
                <w:t>,</w:t>
              </w:r>
              <w:r>
                <w:rPr>
                  <w:rFonts w:ascii="Arial" w:hAnsi="Arial" w:cs="Arial" w:hint="eastAsia"/>
                  <w:sz w:val="22"/>
                  <w:szCs w:val="22"/>
                </w:rPr>
                <w:t>356.02</w:t>
              </w:r>
              <w:r>
                <w:rPr>
                  <w:rFonts w:hAnsi="Calibri" w:hint="eastAsia"/>
                  <w:sz w:val="22"/>
                  <w:szCs w:val="22"/>
                </w:rPr>
                <w:t>元，衍生金融负债账面价值较年初增加</w:t>
              </w:r>
              <w:r>
                <w:rPr>
                  <w:rFonts w:ascii="Arial" w:hAnsi="Arial" w:cs="Arial" w:hint="eastAsia"/>
                  <w:sz w:val="22"/>
                  <w:szCs w:val="22"/>
                </w:rPr>
                <w:t>2,678,830</w:t>
              </w:r>
              <w:r>
                <w:rPr>
                  <w:rFonts w:ascii="Arial" w:hAnsi="Arial" w:cs="Arial"/>
                  <w:sz w:val="22"/>
                  <w:szCs w:val="22"/>
                </w:rPr>
                <w:t>,</w:t>
              </w:r>
              <w:r>
                <w:rPr>
                  <w:rFonts w:ascii="Arial" w:hAnsi="Arial" w:cs="Arial" w:hint="eastAsia"/>
                  <w:sz w:val="22"/>
                  <w:szCs w:val="22"/>
                </w:rPr>
                <w:t>508.36</w:t>
              </w:r>
              <w:r>
                <w:rPr>
                  <w:rFonts w:hAnsi="Calibri" w:hint="eastAsia"/>
                  <w:sz w:val="22"/>
                  <w:szCs w:val="22"/>
                </w:rPr>
                <w:t>元，主要系公司本年增加了权益互换业务规模所致。</w:t>
              </w:r>
            </w:p>
          </w:sdtContent>
        </w:sdt>
      </w:sdtContent>
    </w:sdt>
    <w:p w:rsidR="00DE031E" w:rsidRDefault="001C1A59">
      <w:r>
        <w:br w:type="page"/>
      </w:r>
    </w:p>
    <w:p w:rsidR="00DE031E" w:rsidRPr="0049033E" w:rsidRDefault="00DE031E">
      <w:pPr>
        <w:sectPr w:rsidR="00DE031E" w:rsidRPr="0049033E" w:rsidSect="00DE031E">
          <w:headerReference w:type="default" r:id="rId20"/>
          <w:pgSz w:w="16838" w:h="11906" w:orient="landscape"/>
          <w:pgMar w:top="1276" w:right="1440" w:bottom="1797" w:left="1525" w:header="856" w:footer="992" w:gutter="0"/>
          <w:cols w:space="425"/>
          <w:docGrid w:linePitch="312"/>
        </w:sectPr>
      </w:pPr>
    </w:p>
    <w:p w:rsidR="00DE031E" w:rsidRDefault="001C1A59" w:rsidP="009950AC">
      <w:pPr>
        <w:pStyle w:val="3"/>
        <w:numPr>
          <w:ilvl w:val="0"/>
          <w:numId w:val="41"/>
        </w:numPr>
      </w:pPr>
      <w:r>
        <w:lastRenderedPageBreak/>
        <w:t>买入返售金融资产</w:t>
      </w:r>
    </w:p>
    <w:sdt>
      <w:sdtPr>
        <w:alias w:val="是否适用：买入返售金融资产"/>
        <w:tag w:val="_GBC_c759945ed846460b9f2d4f45cdefb1dc"/>
        <w:id w:val="24723941"/>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Times New Roman" w:hAnsi="Times New Roman" w:cs="宋体" w:hint="eastAsia"/>
          <w:b w:val="0"/>
          <w:bCs w:val="0"/>
          <w:kern w:val="0"/>
          <w:szCs w:val="21"/>
        </w:rPr>
        <w:tag w:val="_GBC_752017f7bcb149df972815d941404c55"/>
        <w:id w:val="24723954"/>
        <w:lock w:val="sdtLocked"/>
        <w:placeholder>
          <w:docPart w:val="GBC22222222222222222222222222222"/>
        </w:placeholder>
      </w:sdtPr>
      <w:sdtEndPr>
        <w:rPr>
          <w:rFonts w:ascii="宋体" w:hAnsi="宋体" w:hint="default"/>
          <w:szCs w:val="24"/>
        </w:rPr>
      </w:sdtEndPr>
      <w:sdtContent>
        <w:p w:rsidR="00DE031E" w:rsidRDefault="001C1A59" w:rsidP="009950AC">
          <w:pPr>
            <w:pStyle w:val="4"/>
            <w:numPr>
              <w:ilvl w:val="0"/>
              <w:numId w:val="43"/>
            </w:numPr>
          </w:pPr>
          <w:r>
            <w:t>按</w:t>
          </w:r>
          <w:r>
            <w:rPr>
              <w:rFonts w:hint="eastAsia"/>
            </w:rPr>
            <w:t>金融资产种类</w:t>
          </w:r>
        </w:p>
        <w:p w:rsidR="00DE031E" w:rsidRDefault="001C1A59">
          <w:pPr>
            <w:jc w:val="right"/>
          </w:pPr>
          <w:r>
            <w:t>单位：</w:t>
          </w:r>
          <w:sdt>
            <w:sdtPr>
              <w:rPr>
                <w:rFonts w:hint="eastAsia"/>
              </w:rPr>
              <w:alias w:val="单位：财务附注：买入返售金融资产"/>
              <w:tag w:val="_GBC_07e159294ab742928bc03e7a8ac29d51"/>
              <w:id w:val="247239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买入返售金融资产"/>
              <w:tag w:val="_GBC_640ea183e92d4f339aa25b9179932c28"/>
              <w:id w:val="24723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015"/>
            <w:gridCol w:w="3017"/>
            <w:gridCol w:w="3017"/>
          </w:tblGrid>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szCs w:val="21"/>
                  </w:rPr>
                  <w:t>项目</w:t>
                </w:r>
              </w:p>
            </w:tc>
            <w:tc>
              <w:tcPr>
                <w:tcW w:w="1667" w:type="pct"/>
              </w:tcPr>
              <w:p w:rsidR="00DE031E" w:rsidRPr="00AE272C" w:rsidRDefault="001C1A59" w:rsidP="00DE031E">
                <w:pPr>
                  <w:jc w:val="center"/>
                  <w:rPr>
                    <w:rFonts w:asciiTheme="minorEastAsia" w:eastAsiaTheme="minorEastAsia" w:hAnsiTheme="minorEastAsia"/>
                    <w:szCs w:val="21"/>
                  </w:rPr>
                </w:pPr>
                <w:r w:rsidRPr="00AE272C">
                  <w:rPr>
                    <w:rFonts w:asciiTheme="minorEastAsia" w:eastAsiaTheme="minorEastAsia" w:hAnsiTheme="minorEastAsia"/>
                    <w:szCs w:val="21"/>
                  </w:rPr>
                  <w:t>期末账面余额</w:t>
                </w:r>
              </w:p>
            </w:tc>
            <w:tc>
              <w:tcPr>
                <w:tcW w:w="1667" w:type="pct"/>
              </w:tcPr>
              <w:p w:rsidR="00DE031E" w:rsidRPr="00AE272C" w:rsidRDefault="001C1A59" w:rsidP="00DE031E">
                <w:pPr>
                  <w:jc w:val="center"/>
                  <w:rPr>
                    <w:rFonts w:asciiTheme="minorEastAsia" w:eastAsiaTheme="minorEastAsia" w:hAnsiTheme="minorEastAsia"/>
                    <w:szCs w:val="21"/>
                  </w:rPr>
                </w:pPr>
                <w:r w:rsidRPr="00AE272C">
                  <w:rPr>
                    <w:rFonts w:asciiTheme="minorEastAsia" w:eastAsiaTheme="minorEastAsia" w:hAnsiTheme="minorEastAsia" w:hint="eastAsia"/>
                    <w:szCs w:val="21"/>
                  </w:rPr>
                  <w:t>期初</w:t>
                </w:r>
                <w:r w:rsidRPr="00AE272C">
                  <w:rPr>
                    <w:rFonts w:asciiTheme="minorEastAsia" w:eastAsiaTheme="minorEastAsia" w:hAnsiTheme="minorEastAsia"/>
                    <w:szCs w:val="21"/>
                  </w:rPr>
                  <w:t>账面余额</w:t>
                </w:r>
              </w:p>
            </w:tc>
          </w:tr>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hint="eastAsia"/>
                    <w:szCs w:val="21"/>
                  </w:rPr>
                  <w:t>股票</w:t>
                </w:r>
              </w:p>
            </w:tc>
            <w:sdt>
              <w:sdtPr>
                <w:rPr>
                  <w:rFonts w:asciiTheme="minorEastAsia" w:eastAsiaTheme="minorEastAsia" w:hAnsiTheme="minorEastAsia"/>
                  <w:szCs w:val="21"/>
                </w:rPr>
                <w:alias w:val="买入返售金融资产中股票账面余额"/>
                <w:tag w:val="_GBC_d4e9ee2e91ab485e9fa4e376839eb00f"/>
                <w:id w:val="24723944"/>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szCs w:val="21"/>
                      </w:rPr>
                      <w:t>8,968,853,129.33</w:t>
                    </w:r>
                  </w:p>
                </w:tc>
              </w:sdtContent>
            </w:sdt>
            <w:sdt>
              <w:sdtPr>
                <w:rPr>
                  <w:rFonts w:asciiTheme="minorEastAsia" w:eastAsiaTheme="minorEastAsia" w:hAnsiTheme="minorEastAsia"/>
                  <w:szCs w:val="21"/>
                </w:rPr>
                <w:alias w:val="买入返售金融资产中股票账面余额"/>
                <w:tag w:val="_GBC_bb80e631c72342ecaea6880156d188fd"/>
                <w:id w:val="24723945"/>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szCs w:val="21"/>
                      </w:rPr>
                      <w:t>6,801,791,475.24</w:t>
                    </w:r>
                  </w:p>
                </w:tc>
              </w:sdtContent>
            </w:sdt>
          </w:tr>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hint="eastAsia"/>
                    <w:szCs w:val="21"/>
                  </w:rPr>
                  <w:t>债券</w:t>
                </w:r>
              </w:p>
            </w:tc>
            <w:sdt>
              <w:sdtPr>
                <w:rPr>
                  <w:rFonts w:asciiTheme="minorEastAsia" w:eastAsiaTheme="minorEastAsia" w:hAnsiTheme="minorEastAsia"/>
                  <w:szCs w:val="21"/>
                </w:rPr>
                <w:alias w:val="买入返售金融资产中债券账面余额"/>
                <w:tag w:val="_GBC_c67820eb0efe45628ca55dbb5d3c4dd1"/>
                <w:id w:val="24723946"/>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szCs w:val="21"/>
                      </w:rPr>
                      <w:t>3,676,687,095.85</w:t>
                    </w:r>
                  </w:p>
                </w:tc>
              </w:sdtContent>
            </w:sdt>
            <w:sdt>
              <w:sdtPr>
                <w:rPr>
                  <w:rFonts w:asciiTheme="minorEastAsia" w:eastAsiaTheme="minorEastAsia" w:hAnsiTheme="minorEastAsia"/>
                  <w:szCs w:val="21"/>
                </w:rPr>
                <w:alias w:val="买入返售金融资产中债券账面余额"/>
                <w:tag w:val="_GBC_0b4acc58c6544c9f8b6abbf44b236350"/>
                <w:id w:val="24723947"/>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szCs w:val="21"/>
                      </w:rPr>
                      <w:t>348,261,466.72</w:t>
                    </w:r>
                  </w:p>
                </w:tc>
              </w:sdtContent>
            </w:sdt>
          </w:tr>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hint="eastAsia"/>
                    <w:szCs w:val="21"/>
                  </w:rPr>
                  <w:t>—国债</w:t>
                </w:r>
              </w:p>
            </w:tc>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szCs w:val="21"/>
                  </w:rPr>
                  <w:t>3,000,000,000.00</w:t>
                </w:r>
              </w:p>
            </w:tc>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hint="eastAsia"/>
                    <w:szCs w:val="21"/>
                  </w:rPr>
                  <w:t> </w:t>
                </w:r>
              </w:p>
            </w:tc>
          </w:tr>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hint="eastAsia"/>
                    <w:szCs w:val="21"/>
                  </w:rPr>
                  <w:t>—企业债</w:t>
                </w:r>
              </w:p>
            </w:tc>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cs="Arial"/>
                    <w:color w:val="000000"/>
                    <w:szCs w:val="21"/>
                  </w:rPr>
                  <w:t>676,687,095.85</w:t>
                </w:r>
              </w:p>
            </w:tc>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cs="Arial"/>
                    <w:color w:val="000000"/>
                    <w:szCs w:val="21"/>
                  </w:rPr>
                  <w:t>348,261,466.72</w:t>
                </w:r>
              </w:p>
            </w:tc>
          </w:tr>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hint="eastAsia"/>
                    <w:szCs w:val="21"/>
                  </w:rPr>
                  <w:t>其他</w:t>
                </w:r>
              </w:p>
            </w:tc>
            <w:sdt>
              <w:sdtPr>
                <w:rPr>
                  <w:rFonts w:asciiTheme="minorEastAsia" w:eastAsiaTheme="minorEastAsia" w:hAnsiTheme="minorEastAsia"/>
                  <w:szCs w:val="21"/>
                </w:rPr>
                <w:alias w:val="买入返售金融资产中其他账面余额"/>
                <w:tag w:val="_GBC_0c940573ae7a443f833df7e7227e21c5"/>
                <w:id w:val="24723948"/>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szCs w:val="21"/>
                      </w:rPr>
                      <w:t>386,948,025.52</w:t>
                    </w:r>
                  </w:p>
                </w:tc>
              </w:sdtContent>
            </w:sdt>
            <w:sdt>
              <w:sdtPr>
                <w:rPr>
                  <w:rFonts w:asciiTheme="minorEastAsia" w:eastAsiaTheme="minorEastAsia" w:hAnsiTheme="minorEastAsia"/>
                  <w:szCs w:val="21"/>
                </w:rPr>
                <w:alias w:val="买入返售金融资产中其他账面余额"/>
                <w:tag w:val="_GBC_f02a76bc79814bcdb0729101ec913e5a"/>
                <w:id w:val="24723949"/>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szCs w:val="21"/>
                      </w:rPr>
                      <w:t>394,645,583.57</w:t>
                    </w:r>
                  </w:p>
                </w:tc>
              </w:sdtContent>
            </w:sdt>
          </w:tr>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szCs w:val="21"/>
                  </w:rPr>
                  <w:t>减：</w:t>
                </w:r>
                <w:r w:rsidRPr="00AE272C">
                  <w:rPr>
                    <w:rFonts w:asciiTheme="minorEastAsia" w:eastAsiaTheme="minorEastAsia" w:hAnsiTheme="minorEastAsia" w:hint="eastAsia"/>
                    <w:szCs w:val="21"/>
                  </w:rPr>
                  <w:t>减值准备</w:t>
                </w:r>
              </w:p>
            </w:tc>
            <w:sdt>
              <w:sdtPr>
                <w:rPr>
                  <w:rFonts w:asciiTheme="minorEastAsia" w:eastAsiaTheme="minorEastAsia" w:hAnsiTheme="minorEastAsia"/>
                  <w:szCs w:val="21"/>
                </w:rPr>
                <w:alias w:val="买入返售金融资产中坏账准备账面余额"/>
                <w:tag w:val="_GBC_fff84de2079c45539abbebd166dc7d1d"/>
                <w:id w:val="24723950"/>
                <w:lock w:val="sdtLocked"/>
                <w:showingPlcHdr/>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买入返售金融资产中坏账准备账面余额"/>
                <w:tag w:val="_GBC_0ee66c64c5a841dcb8010e80320e3e9c"/>
                <w:id w:val="24723951"/>
                <w:lock w:val="sdtLocked"/>
                <w:showingPlcHdr/>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hint="eastAsia"/>
                        <w:color w:val="333399"/>
                        <w:szCs w:val="21"/>
                      </w:rPr>
                      <w:t xml:space="preserve">　</w:t>
                    </w:r>
                  </w:p>
                </w:tc>
              </w:sdtContent>
            </w:sdt>
          </w:tr>
          <w:tr w:rsidR="00DE031E" w:rsidRPr="00AE272C" w:rsidTr="00DE031E">
            <w:tc>
              <w:tcPr>
                <w:tcW w:w="1666" w:type="pct"/>
              </w:tcPr>
              <w:p w:rsidR="00DE031E" w:rsidRPr="00AE272C" w:rsidRDefault="001C1A59" w:rsidP="00DE031E">
                <w:pPr>
                  <w:rPr>
                    <w:rFonts w:asciiTheme="minorEastAsia" w:eastAsiaTheme="minorEastAsia" w:hAnsiTheme="minorEastAsia"/>
                    <w:szCs w:val="21"/>
                  </w:rPr>
                </w:pPr>
                <w:r w:rsidRPr="00AE272C">
                  <w:rPr>
                    <w:rFonts w:asciiTheme="minorEastAsia" w:eastAsiaTheme="minorEastAsia" w:hAnsiTheme="minorEastAsia"/>
                    <w:szCs w:val="21"/>
                  </w:rPr>
                  <w:t>买入返售金融资产账面价值</w:t>
                </w:r>
              </w:p>
            </w:tc>
            <w:sdt>
              <w:sdtPr>
                <w:rPr>
                  <w:rFonts w:asciiTheme="minorEastAsia" w:eastAsiaTheme="minorEastAsia" w:hAnsiTheme="minorEastAsia"/>
                  <w:szCs w:val="21"/>
                </w:rPr>
                <w:alias w:val="买入返售金融资产"/>
                <w:tag w:val="_GBC_ad1cc158a3dc4581a7715dbea5b30f17"/>
                <w:id w:val="24723952"/>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cs="Arial"/>
                        <w:bCs/>
                        <w:color w:val="000000"/>
                        <w:szCs w:val="21"/>
                      </w:rPr>
                      <w:t>13,032,488,250.70</w:t>
                    </w:r>
                  </w:p>
                </w:tc>
              </w:sdtContent>
            </w:sdt>
            <w:sdt>
              <w:sdtPr>
                <w:rPr>
                  <w:rFonts w:asciiTheme="minorEastAsia" w:eastAsiaTheme="minorEastAsia" w:hAnsiTheme="minorEastAsia"/>
                  <w:szCs w:val="21"/>
                </w:rPr>
                <w:alias w:val="买入返售金融资产"/>
                <w:tag w:val="_GBC_51b14e53c0f14c5984595f6f7bf76e60"/>
                <w:id w:val="24723953"/>
                <w:lock w:val="sdtLocked"/>
              </w:sdtPr>
              <w:sdtContent>
                <w:tc>
                  <w:tcPr>
                    <w:tcW w:w="1667" w:type="pct"/>
                  </w:tcPr>
                  <w:p w:rsidR="00DE031E" w:rsidRPr="00AE272C" w:rsidRDefault="001C1A59" w:rsidP="00DE031E">
                    <w:pPr>
                      <w:jc w:val="right"/>
                      <w:rPr>
                        <w:rFonts w:asciiTheme="minorEastAsia" w:eastAsiaTheme="minorEastAsia" w:hAnsiTheme="minorEastAsia"/>
                        <w:szCs w:val="21"/>
                      </w:rPr>
                    </w:pPr>
                    <w:r w:rsidRPr="00AE272C">
                      <w:rPr>
                        <w:rFonts w:asciiTheme="minorEastAsia" w:eastAsiaTheme="minorEastAsia" w:hAnsiTheme="minorEastAsia" w:cs="Arial"/>
                        <w:bCs/>
                        <w:color w:val="000000"/>
                        <w:szCs w:val="21"/>
                      </w:rPr>
                      <w:t>7,544,698,525.53</w:t>
                    </w:r>
                  </w:p>
                </w:tc>
              </w:sdtContent>
            </w:sdt>
          </w:tr>
        </w:tbl>
        <w:p w:rsidR="00DE031E" w:rsidRPr="00B3283F" w:rsidRDefault="00422DCA" w:rsidP="00DE031E"/>
      </w:sdtContent>
    </w:sdt>
    <w:sdt>
      <w:sdtPr>
        <w:rPr>
          <w:rFonts w:ascii="Times New Roman" w:hAnsi="Times New Roman" w:cs="宋体" w:hint="eastAsia"/>
          <w:b w:val="0"/>
          <w:bCs w:val="0"/>
          <w:kern w:val="0"/>
          <w:szCs w:val="21"/>
        </w:rPr>
        <w:tag w:val="_GBC_d3a31d3bb0614b42ab59ab2e0e99673e"/>
        <w:id w:val="24723967"/>
        <w:lock w:val="sdtLocked"/>
        <w:placeholder>
          <w:docPart w:val="GBC22222222222222222222222222222"/>
        </w:placeholder>
      </w:sdtPr>
      <w:sdtEndPr>
        <w:rPr>
          <w:rFonts w:ascii="宋体" w:hAnsi="宋体" w:hint="default"/>
          <w:color w:val="000000" w:themeColor="text1"/>
        </w:rPr>
      </w:sdtEndPr>
      <w:sdtContent>
        <w:p w:rsidR="00DE031E" w:rsidRDefault="001C1A59" w:rsidP="009950AC">
          <w:pPr>
            <w:pStyle w:val="4"/>
            <w:numPr>
              <w:ilvl w:val="0"/>
              <w:numId w:val="43"/>
            </w:numPr>
          </w:pPr>
          <w:r>
            <w:rPr>
              <w:rFonts w:hint="eastAsia"/>
            </w:rPr>
            <w:t>约定购回、质押回购融出资金按剩余期限分类披露</w:t>
          </w:r>
        </w:p>
        <w:p w:rsidR="00DE031E" w:rsidRDefault="001C1A59">
          <w:pPr>
            <w:jc w:val="right"/>
          </w:pPr>
          <w:r>
            <w:rPr>
              <w:rFonts w:hint="eastAsia"/>
            </w:rPr>
            <w:t>单位：</w:t>
          </w:r>
          <w:sdt>
            <w:sdtPr>
              <w:rPr>
                <w:rFonts w:hint="eastAsia"/>
              </w:rPr>
              <w:alias w:val="单位：财务附注：约定购回、质押回购融出资金按剩余期限分类披露"/>
              <w:tag w:val="_GBC_4d5d02fbb505429a805b45510251424c"/>
              <w:id w:val="247239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 xml:space="preserve">元 </w:t>
              </w:r>
            </w:sdtContent>
          </w:sdt>
          <w:r>
            <w:rPr>
              <w:rFonts w:hint="eastAsia"/>
            </w:rPr>
            <w:t xml:space="preserve">  币种：</w:t>
          </w:r>
          <w:sdt>
            <w:sdtPr>
              <w:rPr>
                <w:rFonts w:hint="eastAsia"/>
              </w:rPr>
              <w:alias w:val="币种：财务附注：约定购回、质押回购融出资金按剩余期限分类披露"/>
              <w:tag w:val="_GBC_e2864dab72c34970a9adb8a4a745c50f"/>
              <w:id w:val="247239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68"/>
            <w:gridCol w:w="3406"/>
            <w:gridCol w:w="3375"/>
          </w:tblGrid>
          <w:tr w:rsidR="00DE031E" w:rsidTr="00345FAC">
            <w:trPr>
              <w:trHeight w:val="317"/>
            </w:trPr>
            <w:tc>
              <w:tcPr>
                <w:tcW w:w="1253" w:type="pct"/>
                <w:shd w:val="clear" w:color="auto" w:fill="auto"/>
                <w:vAlign w:val="bottom"/>
              </w:tcPr>
              <w:p w:rsidR="00DE031E" w:rsidRDefault="001C1A59">
                <w:pPr>
                  <w:autoSpaceDN w:val="0"/>
                  <w:jc w:val="center"/>
                  <w:textAlignment w:val="bottom"/>
                  <w:rPr>
                    <w:bCs/>
                  </w:rPr>
                </w:pPr>
                <w:r>
                  <w:rPr>
                    <w:bCs/>
                  </w:rPr>
                  <w:t>期限</w:t>
                </w:r>
              </w:p>
            </w:tc>
            <w:tc>
              <w:tcPr>
                <w:tcW w:w="1882" w:type="pct"/>
                <w:shd w:val="clear" w:color="auto" w:fill="auto"/>
                <w:vAlign w:val="bottom"/>
              </w:tcPr>
              <w:p w:rsidR="00DE031E" w:rsidRDefault="001C1A59">
                <w:pPr>
                  <w:autoSpaceDN w:val="0"/>
                  <w:jc w:val="center"/>
                  <w:textAlignment w:val="bottom"/>
                  <w:rPr>
                    <w:bCs/>
                  </w:rPr>
                </w:pPr>
                <w:r>
                  <w:rPr>
                    <w:bCs/>
                  </w:rPr>
                  <w:t>期末账面余额</w:t>
                </w:r>
              </w:p>
            </w:tc>
            <w:tc>
              <w:tcPr>
                <w:tcW w:w="1865" w:type="pct"/>
                <w:shd w:val="clear" w:color="auto" w:fill="auto"/>
                <w:vAlign w:val="bottom"/>
              </w:tcPr>
              <w:p w:rsidR="00DE031E" w:rsidRDefault="001C1A59">
                <w:pPr>
                  <w:autoSpaceDN w:val="0"/>
                  <w:jc w:val="center"/>
                  <w:textAlignment w:val="bottom"/>
                  <w:rPr>
                    <w:bCs/>
                  </w:rPr>
                </w:pPr>
                <w:r>
                  <w:rPr>
                    <w:rFonts w:hint="eastAsia"/>
                    <w:bCs/>
                  </w:rPr>
                  <w:t>期初</w:t>
                </w:r>
                <w:r>
                  <w:rPr>
                    <w:bCs/>
                  </w:rPr>
                  <w:t>账面余额</w:t>
                </w:r>
              </w:p>
            </w:tc>
          </w:tr>
          <w:tr w:rsidR="00DE031E" w:rsidTr="00EE211D">
            <w:trPr>
              <w:trHeight w:val="317"/>
            </w:trPr>
            <w:tc>
              <w:tcPr>
                <w:tcW w:w="1253" w:type="pct"/>
                <w:shd w:val="clear" w:color="auto" w:fill="auto"/>
                <w:vAlign w:val="center"/>
              </w:tcPr>
              <w:p w:rsidR="00DE031E" w:rsidRDefault="001C1A59">
                <w:pPr>
                  <w:autoSpaceDN w:val="0"/>
                  <w:textAlignment w:val="bottom"/>
                  <w:rPr>
                    <w:bCs/>
                  </w:rPr>
                </w:pPr>
                <w:r>
                  <w:rPr>
                    <w:bCs/>
                  </w:rPr>
                  <w:t>一个月内</w:t>
                </w:r>
              </w:p>
            </w:tc>
            <w:sdt>
              <w:sdtPr>
                <w:rPr>
                  <w:bCs/>
                  <w:color w:val="000000" w:themeColor="text1"/>
                </w:rPr>
                <w:alias w:val="约定购回、质押回购融出资金剩余期限一个月以内账面余额"/>
                <w:tag w:val="_GBC_ea4f2ca9a3f0426b8a34e528cdeb45d0"/>
                <w:id w:val="24723957"/>
                <w:lock w:val="sdtLocked"/>
              </w:sdtPr>
              <w:sdtContent>
                <w:tc>
                  <w:tcPr>
                    <w:tcW w:w="1882" w:type="pct"/>
                    <w:shd w:val="clear" w:color="auto" w:fill="auto"/>
                  </w:tcPr>
                  <w:p w:rsidR="00DE031E" w:rsidRDefault="001C1A59">
                    <w:pPr>
                      <w:autoSpaceDN w:val="0"/>
                      <w:jc w:val="right"/>
                      <w:textAlignment w:val="center"/>
                      <w:rPr>
                        <w:bCs/>
                        <w:color w:val="000000" w:themeColor="text1"/>
                      </w:rPr>
                    </w:pPr>
                    <w:r>
                      <w:rPr>
                        <w:bCs/>
                        <w:color w:val="000000" w:themeColor="text1"/>
                      </w:rPr>
                      <w:t>293,260,000.00</w:t>
                    </w:r>
                  </w:p>
                </w:tc>
              </w:sdtContent>
            </w:sdt>
            <w:sdt>
              <w:sdtPr>
                <w:rPr>
                  <w:bCs/>
                  <w:color w:val="000000" w:themeColor="text1"/>
                </w:rPr>
                <w:alias w:val="约定购回、质押回购融出资金剩余期限一个月以内账面余额"/>
                <w:tag w:val="_GBC_728cd3705ffd48059f4067427863e0b0"/>
                <w:id w:val="24723958"/>
                <w:lock w:val="sdtLocked"/>
              </w:sdtPr>
              <w:sdtContent>
                <w:tc>
                  <w:tcPr>
                    <w:tcW w:w="1865" w:type="pct"/>
                    <w:shd w:val="clear" w:color="auto" w:fill="auto"/>
                  </w:tcPr>
                  <w:p w:rsidR="00DE031E" w:rsidRDefault="001C1A59">
                    <w:pPr>
                      <w:autoSpaceDN w:val="0"/>
                      <w:jc w:val="right"/>
                      <w:textAlignment w:val="center"/>
                      <w:rPr>
                        <w:bCs/>
                        <w:color w:val="000000" w:themeColor="text1"/>
                      </w:rPr>
                    </w:pPr>
                    <w:r>
                      <w:rPr>
                        <w:bCs/>
                        <w:color w:val="000000" w:themeColor="text1"/>
                      </w:rPr>
                      <w:t>248,098,915.50</w:t>
                    </w:r>
                  </w:p>
                </w:tc>
              </w:sdtContent>
            </w:sdt>
          </w:tr>
          <w:tr w:rsidR="00DE031E" w:rsidTr="00EE211D">
            <w:trPr>
              <w:trHeight w:val="317"/>
            </w:trPr>
            <w:tc>
              <w:tcPr>
                <w:tcW w:w="1253" w:type="pct"/>
                <w:shd w:val="clear" w:color="auto" w:fill="auto"/>
                <w:vAlign w:val="center"/>
              </w:tcPr>
              <w:p w:rsidR="00DE031E" w:rsidRDefault="001C1A59">
                <w:pPr>
                  <w:autoSpaceDN w:val="0"/>
                  <w:textAlignment w:val="bottom"/>
                  <w:rPr>
                    <w:bCs/>
                  </w:rPr>
                </w:pPr>
                <w:r>
                  <w:rPr>
                    <w:bCs/>
                  </w:rPr>
                  <w:t>一个月至三个月内</w:t>
                </w:r>
              </w:p>
            </w:tc>
            <w:sdt>
              <w:sdtPr>
                <w:rPr>
                  <w:bCs/>
                  <w:color w:val="000000" w:themeColor="text1"/>
                </w:rPr>
                <w:alias w:val="约定购回、质押回购融出资金剩余期限一个月至三个月内账面余额"/>
                <w:tag w:val="_GBC_6aec3fb1a6804774aa4822d885b4fcf8"/>
                <w:id w:val="24723959"/>
                <w:lock w:val="sdtLocked"/>
              </w:sdtPr>
              <w:sdtContent>
                <w:tc>
                  <w:tcPr>
                    <w:tcW w:w="1882" w:type="pct"/>
                    <w:shd w:val="clear" w:color="auto" w:fill="auto"/>
                  </w:tcPr>
                  <w:p w:rsidR="00DE031E" w:rsidRDefault="001C1A59">
                    <w:pPr>
                      <w:autoSpaceDN w:val="0"/>
                      <w:jc w:val="right"/>
                      <w:textAlignment w:val="center"/>
                      <w:rPr>
                        <w:bCs/>
                        <w:color w:val="000000" w:themeColor="text1"/>
                      </w:rPr>
                    </w:pPr>
                    <w:r>
                      <w:rPr>
                        <w:bCs/>
                        <w:color w:val="000000" w:themeColor="text1"/>
                      </w:rPr>
                      <w:t>1,088,061,806.00</w:t>
                    </w:r>
                  </w:p>
                </w:tc>
              </w:sdtContent>
            </w:sdt>
            <w:sdt>
              <w:sdtPr>
                <w:rPr>
                  <w:bCs/>
                  <w:color w:val="000000" w:themeColor="text1"/>
                </w:rPr>
                <w:alias w:val="约定购回、质押回购融出资金剩余期限一个月至三个月内账面余额"/>
                <w:tag w:val="_GBC_69dd57193d844bfaaf0b935fdfd82384"/>
                <w:id w:val="24723960"/>
                <w:lock w:val="sdtLocked"/>
              </w:sdtPr>
              <w:sdtContent>
                <w:tc>
                  <w:tcPr>
                    <w:tcW w:w="1865" w:type="pct"/>
                    <w:shd w:val="clear" w:color="auto" w:fill="auto"/>
                  </w:tcPr>
                  <w:p w:rsidR="00DE031E" w:rsidRDefault="001C1A59">
                    <w:pPr>
                      <w:autoSpaceDN w:val="0"/>
                      <w:jc w:val="right"/>
                      <w:textAlignment w:val="center"/>
                      <w:rPr>
                        <w:bCs/>
                        <w:color w:val="000000" w:themeColor="text1"/>
                      </w:rPr>
                    </w:pPr>
                    <w:r>
                      <w:rPr>
                        <w:bCs/>
                        <w:color w:val="000000" w:themeColor="text1"/>
                      </w:rPr>
                      <w:t>471,190,000.00</w:t>
                    </w:r>
                  </w:p>
                </w:tc>
              </w:sdtContent>
            </w:sdt>
          </w:tr>
          <w:tr w:rsidR="00DE031E" w:rsidTr="00EE211D">
            <w:trPr>
              <w:trHeight w:val="317"/>
            </w:trPr>
            <w:tc>
              <w:tcPr>
                <w:tcW w:w="1253" w:type="pct"/>
                <w:shd w:val="clear" w:color="auto" w:fill="auto"/>
                <w:vAlign w:val="center"/>
              </w:tcPr>
              <w:p w:rsidR="00DE031E" w:rsidRDefault="001C1A59">
                <w:pPr>
                  <w:autoSpaceDN w:val="0"/>
                  <w:textAlignment w:val="bottom"/>
                  <w:rPr>
                    <w:bCs/>
                  </w:rPr>
                </w:pPr>
                <w:r>
                  <w:rPr>
                    <w:bCs/>
                  </w:rPr>
                  <w:t>三个月至一年内</w:t>
                </w:r>
              </w:p>
            </w:tc>
            <w:sdt>
              <w:sdtPr>
                <w:rPr>
                  <w:bCs/>
                  <w:color w:val="000000" w:themeColor="text1"/>
                </w:rPr>
                <w:alias w:val="约定购回、质押回购融出资金剩余期限三个月至一年内账面余额"/>
                <w:tag w:val="_GBC_88404f699ffa4164a305a6c3f6937b3d"/>
                <w:id w:val="24723961"/>
                <w:lock w:val="sdtLocked"/>
              </w:sdtPr>
              <w:sdtContent>
                <w:tc>
                  <w:tcPr>
                    <w:tcW w:w="1882" w:type="pct"/>
                    <w:shd w:val="clear" w:color="auto" w:fill="auto"/>
                  </w:tcPr>
                  <w:p w:rsidR="00DE031E" w:rsidRDefault="001C1A59">
                    <w:pPr>
                      <w:autoSpaceDN w:val="0"/>
                      <w:jc w:val="right"/>
                      <w:textAlignment w:val="center"/>
                      <w:rPr>
                        <w:bCs/>
                        <w:color w:val="000000" w:themeColor="text1"/>
                      </w:rPr>
                    </w:pPr>
                    <w:r>
                      <w:rPr>
                        <w:bCs/>
                        <w:color w:val="000000" w:themeColor="text1"/>
                      </w:rPr>
                      <w:t>4,410,577,432.33</w:t>
                    </w:r>
                  </w:p>
                </w:tc>
              </w:sdtContent>
            </w:sdt>
            <w:sdt>
              <w:sdtPr>
                <w:rPr>
                  <w:bCs/>
                  <w:color w:val="000000" w:themeColor="text1"/>
                </w:rPr>
                <w:alias w:val="约定购回、质押回购融出资金剩余期限三个月至一年内账面余额"/>
                <w:tag w:val="_GBC_11ce1a6ecdac43749e660dee32d1e6f9"/>
                <w:id w:val="24723962"/>
                <w:lock w:val="sdtLocked"/>
              </w:sdtPr>
              <w:sdtContent>
                <w:tc>
                  <w:tcPr>
                    <w:tcW w:w="1865" w:type="pct"/>
                    <w:shd w:val="clear" w:color="auto" w:fill="auto"/>
                  </w:tcPr>
                  <w:p w:rsidR="00DE031E" w:rsidRDefault="001C1A59">
                    <w:pPr>
                      <w:autoSpaceDN w:val="0"/>
                      <w:jc w:val="right"/>
                      <w:textAlignment w:val="center"/>
                      <w:rPr>
                        <w:bCs/>
                        <w:color w:val="000000" w:themeColor="text1"/>
                      </w:rPr>
                    </w:pPr>
                    <w:r>
                      <w:rPr>
                        <w:bCs/>
                        <w:color w:val="000000" w:themeColor="text1"/>
                      </w:rPr>
                      <w:t>4,342,070,639.74</w:t>
                    </w:r>
                  </w:p>
                </w:tc>
              </w:sdtContent>
            </w:sdt>
          </w:tr>
          <w:tr w:rsidR="00DE031E" w:rsidTr="00EE211D">
            <w:trPr>
              <w:trHeight w:val="317"/>
            </w:trPr>
            <w:tc>
              <w:tcPr>
                <w:tcW w:w="1253" w:type="pct"/>
                <w:shd w:val="clear" w:color="auto" w:fill="auto"/>
                <w:vAlign w:val="center"/>
              </w:tcPr>
              <w:p w:rsidR="00DE031E" w:rsidRDefault="001C1A59">
                <w:pPr>
                  <w:autoSpaceDN w:val="0"/>
                  <w:textAlignment w:val="top"/>
                  <w:rPr>
                    <w:bCs/>
                  </w:rPr>
                </w:pPr>
                <w:r>
                  <w:rPr>
                    <w:bCs/>
                  </w:rPr>
                  <w:t>一年以上</w:t>
                </w:r>
              </w:p>
            </w:tc>
            <w:sdt>
              <w:sdtPr>
                <w:rPr>
                  <w:bCs/>
                  <w:color w:val="000000" w:themeColor="text1"/>
                </w:rPr>
                <w:alias w:val="约定购回、质押回购融出资金剩余期限一年以上账面余额"/>
                <w:tag w:val="_GBC_9eee2572ab28433e80a6bac5c519abb3"/>
                <w:id w:val="24723963"/>
                <w:lock w:val="sdtLocked"/>
              </w:sdtPr>
              <w:sdtContent>
                <w:tc>
                  <w:tcPr>
                    <w:tcW w:w="1882" w:type="pct"/>
                    <w:shd w:val="clear" w:color="auto" w:fill="auto"/>
                  </w:tcPr>
                  <w:p w:rsidR="00DE031E" w:rsidRDefault="001C1A59">
                    <w:pPr>
                      <w:autoSpaceDN w:val="0"/>
                      <w:jc w:val="right"/>
                      <w:textAlignment w:val="center"/>
                      <w:rPr>
                        <w:bCs/>
                        <w:color w:val="000000" w:themeColor="text1"/>
                      </w:rPr>
                    </w:pPr>
                    <w:r>
                      <w:rPr>
                        <w:bCs/>
                        <w:color w:val="000000" w:themeColor="text1"/>
                      </w:rPr>
                      <w:t>3,176,953,891.00</w:t>
                    </w:r>
                  </w:p>
                </w:tc>
              </w:sdtContent>
            </w:sdt>
            <w:sdt>
              <w:sdtPr>
                <w:rPr>
                  <w:bCs/>
                  <w:color w:val="000000" w:themeColor="text1"/>
                </w:rPr>
                <w:alias w:val="约定购回、质押回购融出资金剩余期限一年以上账面余额"/>
                <w:tag w:val="_GBC_3ab9eebdc26048f088ba287dd2616cbc"/>
                <w:id w:val="24723964"/>
                <w:lock w:val="sdtLocked"/>
              </w:sdtPr>
              <w:sdtContent>
                <w:tc>
                  <w:tcPr>
                    <w:tcW w:w="1865" w:type="pct"/>
                    <w:shd w:val="clear" w:color="auto" w:fill="auto"/>
                  </w:tcPr>
                  <w:p w:rsidR="00DE031E" w:rsidRDefault="001C1A59">
                    <w:pPr>
                      <w:autoSpaceDN w:val="0"/>
                      <w:jc w:val="right"/>
                      <w:textAlignment w:val="center"/>
                      <w:rPr>
                        <w:bCs/>
                        <w:color w:val="000000" w:themeColor="text1"/>
                      </w:rPr>
                    </w:pPr>
                    <w:r>
                      <w:rPr>
                        <w:bCs/>
                        <w:color w:val="000000" w:themeColor="text1"/>
                      </w:rPr>
                      <w:t>1,740,431,920.00</w:t>
                    </w:r>
                  </w:p>
                </w:tc>
              </w:sdtContent>
            </w:sdt>
          </w:tr>
          <w:tr w:rsidR="00DE031E" w:rsidTr="00345FAC">
            <w:trPr>
              <w:trHeight w:val="317"/>
            </w:trPr>
            <w:tc>
              <w:tcPr>
                <w:tcW w:w="1253" w:type="pct"/>
                <w:shd w:val="clear" w:color="auto" w:fill="auto"/>
              </w:tcPr>
              <w:p w:rsidR="00DE031E" w:rsidRDefault="001C1A59">
                <w:pPr>
                  <w:autoSpaceDN w:val="0"/>
                  <w:jc w:val="center"/>
                  <w:textAlignment w:val="top"/>
                  <w:rPr>
                    <w:bCs/>
                  </w:rPr>
                </w:pPr>
                <w:r>
                  <w:rPr>
                    <w:bCs/>
                  </w:rPr>
                  <w:t>合计</w:t>
                </w:r>
              </w:p>
            </w:tc>
            <w:sdt>
              <w:sdtPr>
                <w:rPr>
                  <w:bCs/>
                  <w:color w:val="000000" w:themeColor="text1"/>
                </w:rPr>
                <w:alias w:val="约定购回、质押回购融出资金账面余额合计"/>
                <w:tag w:val="_GBC_6dcb1f3afe7a490d9779ae8f2f063f33"/>
                <w:id w:val="24723965"/>
                <w:lock w:val="sdtLocked"/>
              </w:sdtPr>
              <w:sdtContent>
                <w:tc>
                  <w:tcPr>
                    <w:tcW w:w="1882" w:type="pct"/>
                    <w:shd w:val="clear" w:color="auto" w:fill="auto"/>
                  </w:tcPr>
                  <w:p w:rsidR="00DE031E" w:rsidRDefault="001C1A59">
                    <w:pPr>
                      <w:autoSpaceDN w:val="0"/>
                      <w:jc w:val="right"/>
                      <w:textAlignment w:val="center"/>
                      <w:rPr>
                        <w:bCs/>
                        <w:color w:val="000000" w:themeColor="text1"/>
                      </w:rPr>
                    </w:pPr>
                    <w:r>
                      <w:rPr>
                        <w:bCs/>
                        <w:color w:val="000000" w:themeColor="text1"/>
                      </w:rPr>
                      <w:t>8,968,853,129.33</w:t>
                    </w:r>
                  </w:p>
                </w:tc>
              </w:sdtContent>
            </w:sdt>
            <w:sdt>
              <w:sdtPr>
                <w:rPr>
                  <w:bCs/>
                  <w:color w:val="000000" w:themeColor="text1"/>
                </w:rPr>
                <w:alias w:val="约定购回、质押回购融出资金账面余额合计"/>
                <w:tag w:val="_GBC_3f61c25572604d97a6b9c4e2754e1bdf"/>
                <w:id w:val="24723966"/>
                <w:lock w:val="sdtLocked"/>
              </w:sdtPr>
              <w:sdtContent>
                <w:tc>
                  <w:tcPr>
                    <w:tcW w:w="1865" w:type="pct"/>
                    <w:shd w:val="clear" w:color="auto" w:fill="auto"/>
                  </w:tcPr>
                  <w:p w:rsidR="00DE031E" w:rsidRDefault="001C1A59">
                    <w:pPr>
                      <w:autoSpaceDN w:val="0"/>
                      <w:jc w:val="right"/>
                      <w:textAlignment w:val="center"/>
                      <w:rPr>
                        <w:bCs/>
                        <w:color w:val="000000" w:themeColor="text1"/>
                      </w:rPr>
                    </w:pPr>
                    <w:r>
                      <w:rPr>
                        <w:bCs/>
                        <w:color w:val="000000" w:themeColor="text1"/>
                      </w:rPr>
                      <w:t>6,801,791,475.24</w:t>
                    </w:r>
                  </w:p>
                </w:tc>
              </w:sdtContent>
            </w:sdt>
          </w:tr>
        </w:tbl>
      </w:sdtContent>
    </w:sdt>
    <w:sdt>
      <w:sdtPr>
        <w:tag w:val="_GBC_a2f83d1e636540ee8e898d0fd7873456"/>
        <w:id w:val="24723969"/>
        <w:lock w:val="sdtLocked"/>
        <w:placeholder>
          <w:docPart w:val="GBC22222222222222222222222222222"/>
        </w:placeholder>
      </w:sdtPr>
      <w:sdtEndPr>
        <w:rPr>
          <w:color w:val="000000" w:themeColor="text1"/>
        </w:rPr>
      </w:sdtEndPr>
      <w:sdtContent>
        <w:sdt>
          <w:sdtPr>
            <w:rPr>
              <w:color w:val="000000" w:themeColor="text1"/>
            </w:rPr>
            <w:alias w:val="买入返售金融资产的说明"/>
            <w:tag w:val="_GBC_33e8f20eba1e4ba58ec7f24fe36ed970"/>
            <w:id w:val="24723968"/>
            <w:lock w:val="sdtLocked"/>
            <w:placeholder>
              <w:docPart w:val="GBC22222222222222222222222222222"/>
            </w:placeholder>
          </w:sdtPr>
          <w:sdtContent>
            <w:p w:rsidR="00DE031E" w:rsidRPr="004135C0" w:rsidRDefault="001C1A59" w:rsidP="00DE031E">
              <w:pPr>
                <w:spacing w:line="360" w:lineRule="auto"/>
                <w:rPr>
                  <w:rFonts w:ascii="Arial" w:eastAsiaTheme="majorEastAsia" w:hAnsi="Arial" w:cs="Arial"/>
                  <w:b/>
                  <w:kern w:val="2"/>
                  <w:sz w:val="22"/>
                  <w:szCs w:val="22"/>
                </w:rPr>
              </w:pPr>
              <w:r w:rsidRPr="004135C0">
                <w:rPr>
                  <w:rFonts w:hint="eastAsia"/>
                  <w:b/>
                  <w:color w:val="000000" w:themeColor="text1"/>
                </w:rPr>
                <w:t>（3）</w:t>
              </w:r>
              <w:r w:rsidRPr="004135C0">
                <w:rPr>
                  <w:rFonts w:ascii="Arial" w:eastAsiaTheme="majorEastAsia" w:hAnsi="Arial" w:cs="Arial"/>
                  <w:b/>
                  <w:kern w:val="2"/>
                  <w:sz w:val="22"/>
                  <w:szCs w:val="22"/>
                </w:rPr>
                <w:t>按业务类别列示</w:t>
              </w:r>
            </w:p>
            <w:tbl>
              <w:tblPr>
                <w:tblW w:w="5000" w:type="pct"/>
                <w:tblLook w:val="04A0"/>
              </w:tblPr>
              <w:tblGrid>
                <w:gridCol w:w="2661"/>
                <w:gridCol w:w="3402"/>
                <w:gridCol w:w="2986"/>
              </w:tblGrid>
              <w:tr w:rsidR="00DE031E" w:rsidRPr="004135C0" w:rsidTr="00DE031E">
                <w:trPr>
                  <w:trHeight w:val="270"/>
                </w:trPr>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jc w:val="center"/>
                      <w:rPr>
                        <w:rFonts w:asciiTheme="minorEastAsia" w:eastAsiaTheme="minorEastAsia" w:hAnsiTheme="minorEastAsia"/>
                        <w:b/>
                        <w:bCs/>
                        <w:color w:val="000000"/>
                        <w:szCs w:val="21"/>
                      </w:rPr>
                    </w:pPr>
                    <w:r w:rsidRPr="004135C0">
                      <w:rPr>
                        <w:rFonts w:asciiTheme="minorEastAsia" w:eastAsiaTheme="minorEastAsia" w:hAnsiTheme="minorEastAsia" w:hint="eastAsia"/>
                        <w:b/>
                        <w:bCs/>
                        <w:color w:val="000000"/>
                        <w:szCs w:val="21"/>
                      </w:rPr>
                      <w:t>项目</w:t>
                    </w:r>
                  </w:p>
                </w:tc>
                <w:tc>
                  <w:tcPr>
                    <w:tcW w:w="1880" w:type="pct"/>
                    <w:tcBorders>
                      <w:top w:val="single" w:sz="4" w:space="0" w:color="auto"/>
                      <w:left w:val="nil"/>
                      <w:bottom w:val="single" w:sz="4" w:space="0" w:color="auto"/>
                      <w:right w:val="single" w:sz="4" w:space="0" w:color="auto"/>
                    </w:tcBorders>
                    <w:shd w:val="clear" w:color="auto" w:fill="auto"/>
                    <w:vAlign w:val="center"/>
                    <w:hideMark/>
                  </w:tcPr>
                  <w:p w:rsidR="00DE031E" w:rsidRPr="004135C0" w:rsidRDefault="001C1A59" w:rsidP="00DE031E">
                    <w:pPr>
                      <w:jc w:val="center"/>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2015年6月30日</w:t>
                    </w:r>
                  </w:p>
                </w:tc>
                <w:tc>
                  <w:tcPr>
                    <w:tcW w:w="1650" w:type="pct"/>
                    <w:tcBorders>
                      <w:top w:val="single" w:sz="4" w:space="0" w:color="auto"/>
                      <w:left w:val="nil"/>
                      <w:bottom w:val="single" w:sz="4" w:space="0" w:color="auto"/>
                      <w:right w:val="single" w:sz="4" w:space="0" w:color="auto"/>
                    </w:tcBorders>
                    <w:shd w:val="clear" w:color="auto" w:fill="auto"/>
                    <w:vAlign w:val="center"/>
                    <w:hideMark/>
                  </w:tcPr>
                  <w:p w:rsidR="00DE031E" w:rsidRPr="004135C0" w:rsidRDefault="001C1A59" w:rsidP="00DE031E">
                    <w:pPr>
                      <w:jc w:val="center"/>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2014年12月31日</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olor w:val="000000"/>
                        <w:szCs w:val="21"/>
                      </w:rPr>
                    </w:pPr>
                    <w:r w:rsidRPr="004135C0">
                      <w:rPr>
                        <w:rFonts w:asciiTheme="minorEastAsia" w:eastAsiaTheme="minorEastAsia" w:hAnsiTheme="minorEastAsia" w:hint="eastAsia"/>
                        <w:color w:val="000000"/>
                        <w:szCs w:val="21"/>
                      </w:rPr>
                      <w:t>质押式</w:t>
                    </w:r>
                  </w:p>
                </w:tc>
                <w:tc>
                  <w:tcPr>
                    <w:tcW w:w="188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3,000,000,000.00</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75,000,000.00</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olor w:val="000000"/>
                        <w:szCs w:val="21"/>
                      </w:rPr>
                    </w:pPr>
                    <w:r w:rsidRPr="004135C0">
                      <w:rPr>
                        <w:rFonts w:asciiTheme="minorEastAsia" w:eastAsiaTheme="minorEastAsia" w:hAnsiTheme="minorEastAsia" w:hint="eastAsia"/>
                        <w:color w:val="000000"/>
                        <w:szCs w:val="21"/>
                      </w:rPr>
                      <w:t>买断式</w:t>
                    </w:r>
                  </w:p>
                </w:tc>
                <w:tc>
                  <w:tcPr>
                    <w:tcW w:w="188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1,063,635,121.37</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667,907,050.29</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olor w:val="000000"/>
                        <w:szCs w:val="21"/>
                      </w:rPr>
                    </w:pPr>
                    <w:r w:rsidRPr="004135C0">
                      <w:rPr>
                        <w:rFonts w:asciiTheme="minorEastAsia" w:eastAsiaTheme="minorEastAsia" w:hAnsiTheme="minorEastAsia" w:hint="eastAsia"/>
                        <w:color w:val="000000"/>
                        <w:szCs w:val="21"/>
                      </w:rPr>
                      <w:t>约定购回式</w:t>
                    </w:r>
                  </w:p>
                </w:tc>
                <w:tc>
                  <w:tcPr>
                    <w:tcW w:w="188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 xml:space="preserve">　</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2,190,000.00</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olor w:val="000000"/>
                        <w:szCs w:val="21"/>
                      </w:rPr>
                    </w:pPr>
                    <w:r w:rsidRPr="004135C0">
                      <w:rPr>
                        <w:rFonts w:asciiTheme="minorEastAsia" w:eastAsiaTheme="minorEastAsia" w:hAnsiTheme="minorEastAsia" w:hint="eastAsia"/>
                        <w:color w:val="000000"/>
                        <w:szCs w:val="21"/>
                      </w:rPr>
                      <w:t>股票质押式</w:t>
                    </w:r>
                  </w:p>
                </w:tc>
                <w:tc>
                  <w:tcPr>
                    <w:tcW w:w="188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8,968,853,129.33</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6,799,601,475.24</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b/>
                        <w:bCs/>
                        <w:color w:val="000000"/>
                        <w:szCs w:val="21"/>
                      </w:rPr>
                    </w:pPr>
                    <w:r w:rsidRPr="004135C0">
                      <w:rPr>
                        <w:rFonts w:asciiTheme="minorEastAsia" w:eastAsiaTheme="minorEastAsia" w:hAnsiTheme="minorEastAsia" w:hint="eastAsia"/>
                        <w:b/>
                        <w:bCs/>
                        <w:color w:val="000000"/>
                        <w:szCs w:val="21"/>
                      </w:rPr>
                      <w:t>合计</w:t>
                    </w:r>
                  </w:p>
                </w:tc>
                <w:tc>
                  <w:tcPr>
                    <w:tcW w:w="188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13,032,488,250.70</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7,544,698,525.53</w:t>
                    </w:r>
                  </w:p>
                </w:tc>
              </w:tr>
            </w:tbl>
            <w:p w:rsidR="00DE031E" w:rsidRDefault="00DE031E"/>
            <w:p w:rsidR="00DE031E" w:rsidRPr="004135C0" w:rsidRDefault="001C1A59" w:rsidP="003A0284">
              <w:pPr>
                <w:pStyle w:val="Default"/>
                <w:spacing w:beforeLines="50" w:afterLines="50" w:line="360" w:lineRule="auto"/>
                <w:ind w:rightChars="20" w:right="42"/>
                <w:jc w:val="both"/>
                <w:rPr>
                  <w:rFonts w:ascii="Arial" w:eastAsiaTheme="majorEastAsia" w:hAnsi="Arial" w:cs="Arial"/>
                  <w:b/>
                  <w:color w:val="auto"/>
                  <w:kern w:val="2"/>
                  <w:sz w:val="22"/>
                  <w:szCs w:val="22"/>
                </w:rPr>
              </w:pPr>
              <w:r w:rsidRPr="004135C0">
                <w:rPr>
                  <w:rFonts w:ascii="Arial" w:eastAsiaTheme="majorEastAsia" w:hAnsi="Arial" w:cs="Arial" w:hint="eastAsia"/>
                  <w:b/>
                  <w:color w:val="auto"/>
                  <w:kern w:val="2"/>
                  <w:sz w:val="22"/>
                  <w:szCs w:val="22"/>
                </w:rPr>
                <w:t>（</w:t>
              </w:r>
              <w:r w:rsidRPr="004135C0">
                <w:rPr>
                  <w:rFonts w:ascii="Arial" w:eastAsiaTheme="majorEastAsia" w:hAnsi="Arial" w:cs="Arial" w:hint="eastAsia"/>
                  <w:b/>
                  <w:color w:val="auto"/>
                  <w:kern w:val="2"/>
                  <w:sz w:val="22"/>
                  <w:szCs w:val="22"/>
                </w:rPr>
                <w:t>4</w:t>
              </w:r>
              <w:r w:rsidRPr="004135C0">
                <w:rPr>
                  <w:rFonts w:ascii="Arial" w:eastAsiaTheme="majorEastAsia" w:hAnsi="Arial" w:cs="Arial" w:hint="eastAsia"/>
                  <w:b/>
                  <w:color w:val="auto"/>
                  <w:kern w:val="2"/>
                  <w:sz w:val="22"/>
                  <w:szCs w:val="22"/>
                </w:rPr>
                <w:t>）</w:t>
              </w:r>
              <w:r w:rsidRPr="004135C0">
                <w:rPr>
                  <w:rFonts w:ascii="Arial" w:eastAsiaTheme="majorEastAsia" w:hAnsi="Arial" w:cs="Arial"/>
                  <w:b/>
                  <w:color w:val="auto"/>
                  <w:kern w:val="2"/>
                  <w:sz w:val="22"/>
                  <w:szCs w:val="22"/>
                </w:rPr>
                <w:t>买入返售金融资产的担保物信息</w:t>
              </w:r>
            </w:p>
            <w:tbl>
              <w:tblPr>
                <w:tblW w:w="5000" w:type="pct"/>
                <w:tblLook w:val="04A0"/>
              </w:tblPr>
              <w:tblGrid>
                <w:gridCol w:w="2661"/>
                <w:gridCol w:w="3402"/>
                <w:gridCol w:w="2986"/>
              </w:tblGrid>
              <w:tr w:rsidR="00DE031E" w:rsidRPr="004135C0" w:rsidTr="00DE031E">
                <w:trPr>
                  <w:trHeight w:val="270"/>
                </w:trPr>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jc w:val="center"/>
                      <w:rPr>
                        <w:rFonts w:asciiTheme="minorEastAsia" w:eastAsiaTheme="minorEastAsia" w:hAnsiTheme="minorEastAsia"/>
                        <w:b/>
                        <w:bCs/>
                        <w:color w:val="000000"/>
                        <w:szCs w:val="21"/>
                      </w:rPr>
                    </w:pPr>
                    <w:r w:rsidRPr="004135C0">
                      <w:rPr>
                        <w:rFonts w:asciiTheme="minorEastAsia" w:eastAsiaTheme="minorEastAsia" w:hAnsiTheme="minorEastAsia" w:hint="eastAsia"/>
                        <w:b/>
                        <w:bCs/>
                        <w:color w:val="000000"/>
                        <w:szCs w:val="21"/>
                      </w:rPr>
                      <w:t>项目</w:t>
                    </w:r>
                  </w:p>
                </w:tc>
                <w:tc>
                  <w:tcPr>
                    <w:tcW w:w="1880" w:type="pct"/>
                    <w:tcBorders>
                      <w:top w:val="single" w:sz="4" w:space="0" w:color="auto"/>
                      <w:left w:val="nil"/>
                      <w:bottom w:val="single" w:sz="4" w:space="0" w:color="auto"/>
                      <w:right w:val="single" w:sz="4" w:space="0" w:color="auto"/>
                    </w:tcBorders>
                    <w:shd w:val="clear" w:color="auto" w:fill="auto"/>
                    <w:noWrap/>
                    <w:vAlign w:val="center"/>
                    <w:hideMark/>
                  </w:tcPr>
                  <w:p w:rsidR="00DE031E" w:rsidRPr="004135C0" w:rsidRDefault="001C1A59" w:rsidP="00DE031E">
                    <w:pPr>
                      <w:jc w:val="center"/>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2015年6月30日</w:t>
                    </w:r>
                  </w:p>
                </w:tc>
                <w:tc>
                  <w:tcPr>
                    <w:tcW w:w="1650" w:type="pct"/>
                    <w:tcBorders>
                      <w:top w:val="single" w:sz="4" w:space="0" w:color="auto"/>
                      <w:left w:val="nil"/>
                      <w:bottom w:val="single" w:sz="4" w:space="0" w:color="auto"/>
                      <w:right w:val="single" w:sz="4" w:space="0" w:color="auto"/>
                    </w:tcBorders>
                    <w:shd w:val="clear" w:color="auto" w:fill="auto"/>
                    <w:vAlign w:val="center"/>
                    <w:hideMark/>
                  </w:tcPr>
                  <w:p w:rsidR="00DE031E" w:rsidRPr="004135C0" w:rsidRDefault="001C1A59" w:rsidP="00DE031E">
                    <w:pPr>
                      <w:jc w:val="center"/>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2014年12月31日</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olor w:val="000000"/>
                        <w:szCs w:val="21"/>
                      </w:rPr>
                    </w:pPr>
                    <w:r w:rsidRPr="004135C0">
                      <w:rPr>
                        <w:rFonts w:asciiTheme="minorEastAsia" w:eastAsiaTheme="minorEastAsia" w:hAnsiTheme="minorEastAsia" w:hint="eastAsia"/>
                        <w:color w:val="000000"/>
                        <w:szCs w:val="21"/>
                      </w:rPr>
                      <w:t>买断式</w:t>
                    </w:r>
                  </w:p>
                </w:tc>
                <w:tc>
                  <w:tcPr>
                    <w:tcW w:w="1880" w:type="pct"/>
                    <w:tcBorders>
                      <w:top w:val="nil"/>
                      <w:left w:val="nil"/>
                      <w:bottom w:val="single" w:sz="4" w:space="0" w:color="auto"/>
                      <w:right w:val="single" w:sz="4" w:space="0" w:color="auto"/>
                    </w:tcBorders>
                    <w:shd w:val="clear" w:color="auto" w:fill="auto"/>
                    <w:noWrap/>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1,067,214,750.00</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677,128,070.00</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olor w:val="000000"/>
                        <w:szCs w:val="21"/>
                      </w:rPr>
                    </w:pPr>
                    <w:r w:rsidRPr="004135C0">
                      <w:rPr>
                        <w:rFonts w:asciiTheme="minorEastAsia" w:eastAsiaTheme="minorEastAsia" w:hAnsiTheme="minorEastAsia" w:hint="eastAsia"/>
                        <w:color w:val="000000"/>
                        <w:szCs w:val="21"/>
                      </w:rPr>
                      <w:t>约定购回式</w:t>
                    </w:r>
                  </w:p>
                </w:tc>
                <w:tc>
                  <w:tcPr>
                    <w:tcW w:w="1880" w:type="pct"/>
                    <w:tcBorders>
                      <w:top w:val="nil"/>
                      <w:left w:val="nil"/>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s="Calibri"/>
                        <w:color w:val="000000"/>
                        <w:szCs w:val="21"/>
                      </w:rPr>
                    </w:pPr>
                    <w:r w:rsidRPr="004135C0">
                      <w:rPr>
                        <w:rFonts w:asciiTheme="minorEastAsia" w:eastAsiaTheme="minorEastAsia" w:hAnsiTheme="minorEastAsia" w:cs="Calibri"/>
                        <w:color w:val="000000"/>
                        <w:szCs w:val="21"/>
                      </w:rPr>
                      <w:t xml:space="preserve">　</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7,429,752.66</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color w:val="000000"/>
                        <w:szCs w:val="21"/>
                      </w:rPr>
                    </w:pPr>
                    <w:r w:rsidRPr="004135C0">
                      <w:rPr>
                        <w:rFonts w:asciiTheme="minorEastAsia" w:eastAsiaTheme="minorEastAsia" w:hAnsiTheme="minorEastAsia" w:hint="eastAsia"/>
                        <w:color w:val="000000"/>
                        <w:szCs w:val="21"/>
                      </w:rPr>
                      <w:t>股票质押式</w:t>
                    </w:r>
                  </w:p>
                </w:tc>
                <w:tc>
                  <w:tcPr>
                    <w:tcW w:w="1880" w:type="pct"/>
                    <w:tcBorders>
                      <w:top w:val="nil"/>
                      <w:left w:val="nil"/>
                      <w:bottom w:val="single" w:sz="4" w:space="0" w:color="auto"/>
                      <w:right w:val="single" w:sz="4" w:space="0" w:color="auto"/>
                    </w:tcBorders>
                    <w:shd w:val="clear" w:color="auto" w:fill="auto"/>
                    <w:noWrap/>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40,080,188,938.97</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color w:val="000000"/>
                        <w:szCs w:val="21"/>
                      </w:rPr>
                    </w:pPr>
                    <w:r w:rsidRPr="004135C0">
                      <w:rPr>
                        <w:rFonts w:asciiTheme="minorEastAsia" w:eastAsiaTheme="minorEastAsia" w:hAnsiTheme="minorEastAsia" w:cs="Arial"/>
                        <w:color w:val="000000"/>
                        <w:szCs w:val="21"/>
                      </w:rPr>
                      <w:t>19,202,152,545.62</w:t>
                    </w:r>
                  </w:p>
                </w:tc>
              </w:tr>
              <w:tr w:rsidR="00DE031E" w:rsidRPr="004135C0" w:rsidTr="00DE031E">
                <w:trPr>
                  <w:trHeight w:val="270"/>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DE031E" w:rsidRPr="004135C0" w:rsidRDefault="001C1A59" w:rsidP="00DE031E">
                    <w:pPr>
                      <w:rPr>
                        <w:rFonts w:asciiTheme="minorEastAsia" w:eastAsiaTheme="minorEastAsia" w:hAnsiTheme="minorEastAsia"/>
                        <w:b/>
                        <w:bCs/>
                        <w:color w:val="000000"/>
                        <w:szCs w:val="21"/>
                      </w:rPr>
                    </w:pPr>
                    <w:r w:rsidRPr="004135C0">
                      <w:rPr>
                        <w:rFonts w:asciiTheme="minorEastAsia" w:eastAsiaTheme="minorEastAsia" w:hAnsiTheme="minorEastAsia" w:hint="eastAsia"/>
                        <w:b/>
                        <w:bCs/>
                        <w:color w:val="000000"/>
                        <w:szCs w:val="21"/>
                      </w:rPr>
                      <w:t>合计</w:t>
                    </w:r>
                  </w:p>
                </w:tc>
                <w:tc>
                  <w:tcPr>
                    <w:tcW w:w="1880" w:type="pct"/>
                    <w:tcBorders>
                      <w:top w:val="nil"/>
                      <w:left w:val="nil"/>
                      <w:bottom w:val="single" w:sz="4" w:space="0" w:color="auto"/>
                      <w:right w:val="single" w:sz="4" w:space="0" w:color="auto"/>
                    </w:tcBorders>
                    <w:shd w:val="clear" w:color="auto" w:fill="auto"/>
                    <w:noWrap/>
                    <w:vAlign w:val="center"/>
                    <w:hideMark/>
                  </w:tcPr>
                  <w:p w:rsidR="00DE031E" w:rsidRPr="004135C0" w:rsidRDefault="001C1A59" w:rsidP="00DE031E">
                    <w:pPr>
                      <w:jc w:val="right"/>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41,147,403,688.97</w:t>
                    </w:r>
                  </w:p>
                </w:tc>
                <w:tc>
                  <w:tcPr>
                    <w:tcW w:w="1650" w:type="pct"/>
                    <w:tcBorders>
                      <w:top w:val="nil"/>
                      <w:left w:val="nil"/>
                      <w:bottom w:val="single" w:sz="4" w:space="0" w:color="auto"/>
                      <w:right w:val="single" w:sz="4" w:space="0" w:color="auto"/>
                    </w:tcBorders>
                    <w:shd w:val="clear" w:color="auto" w:fill="auto"/>
                    <w:vAlign w:val="center"/>
                    <w:hideMark/>
                  </w:tcPr>
                  <w:p w:rsidR="00DE031E" w:rsidRPr="004135C0" w:rsidRDefault="001C1A59" w:rsidP="00DE031E">
                    <w:pPr>
                      <w:jc w:val="right"/>
                      <w:rPr>
                        <w:rFonts w:asciiTheme="minorEastAsia" w:eastAsiaTheme="minorEastAsia" w:hAnsiTheme="minorEastAsia" w:cs="Arial"/>
                        <w:b/>
                        <w:bCs/>
                        <w:color w:val="000000"/>
                        <w:szCs w:val="21"/>
                      </w:rPr>
                    </w:pPr>
                    <w:r w:rsidRPr="004135C0">
                      <w:rPr>
                        <w:rFonts w:asciiTheme="minorEastAsia" w:eastAsiaTheme="minorEastAsia" w:hAnsiTheme="minorEastAsia" w:cs="Arial"/>
                        <w:b/>
                        <w:bCs/>
                        <w:color w:val="000000"/>
                        <w:szCs w:val="21"/>
                      </w:rPr>
                      <w:t>19,886,710,368.28</w:t>
                    </w:r>
                  </w:p>
                </w:tc>
              </w:tr>
            </w:tbl>
            <w:p w:rsidR="00DE031E" w:rsidRDefault="00DE031E"/>
            <w:p w:rsidR="00DE031E" w:rsidRDefault="001C1A59" w:rsidP="00DE031E">
              <w:pPr>
                <w:widowControl w:val="0"/>
                <w:autoSpaceDE w:val="0"/>
                <w:autoSpaceDN w:val="0"/>
                <w:adjustRightInd w:val="0"/>
                <w:spacing w:line="360" w:lineRule="auto"/>
                <w:ind w:firstLineChars="200" w:firstLine="440"/>
                <w:rPr>
                  <w:color w:val="000000" w:themeColor="text1"/>
                </w:rPr>
              </w:pP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日，买入返售金融资产账面价值较年初增加</w:t>
              </w:r>
              <w:r>
                <w:rPr>
                  <w:rFonts w:ascii="Arial" w:hAnsi="Arial" w:cs="Arial" w:hint="eastAsia"/>
                  <w:sz w:val="22"/>
                  <w:szCs w:val="22"/>
                </w:rPr>
                <w:t>5</w:t>
              </w:r>
              <w:r>
                <w:rPr>
                  <w:rFonts w:ascii="Arial" w:hAnsi="Arial" w:cs="Arial"/>
                  <w:sz w:val="22"/>
                  <w:szCs w:val="22"/>
                </w:rPr>
                <w:t>,</w:t>
              </w:r>
              <w:r>
                <w:rPr>
                  <w:rFonts w:ascii="Arial" w:hAnsi="Arial" w:cs="Arial" w:hint="eastAsia"/>
                  <w:sz w:val="22"/>
                  <w:szCs w:val="22"/>
                </w:rPr>
                <w:t>487</w:t>
              </w:r>
              <w:r>
                <w:rPr>
                  <w:rFonts w:ascii="Arial" w:hAnsi="Arial" w:cs="Arial"/>
                  <w:sz w:val="22"/>
                  <w:szCs w:val="22"/>
                </w:rPr>
                <w:t>,</w:t>
              </w:r>
              <w:r>
                <w:rPr>
                  <w:rFonts w:ascii="Arial" w:hAnsi="Arial" w:cs="Arial" w:hint="eastAsia"/>
                  <w:sz w:val="22"/>
                  <w:szCs w:val="22"/>
                </w:rPr>
                <w:t>789</w:t>
              </w:r>
              <w:r>
                <w:rPr>
                  <w:rFonts w:ascii="Arial" w:hAnsi="Arial" w:cs="Arial"/>
                  <w:sz w:val="22"/>
                  <w:szCs w:val="22"/>
                </w:rPr>
                <w:t>,</w:t>
              </w:r>
              <w:r>
                <w:rPr>
                  <w:rFonts w:ascii="Arial" w:hAnsi="Arial" w:cs="Arial" w:hint="eastAsia"/>
                  <w:sz w:val="22"/>
                  <w:szCs w:val="22"/>
                </w:rPr>
                <w:t>725</w:t>
              </w:r>
              <w:r>
                <w:rPr>
                  <w:rFonts w:ascii="Arial" w:hAnsi="Arial" w:cs="Arial"/>
                  <w:sz w:val="22"/>
                  <w:szCs w:val="22"/>
                </w:rPr>
                <w:t>.</w:t>
              </w:r>
              <w:r>
                <w:rPr>
                  <w:rFonts w:ascii="Arial" w:hAnsi="Arial" w:cs="Arial" w:hint="eastAsia"/>
                  <w:sz w:val="22"/>
                  <w:szCs w:val="22"/>
                </w:rPr>
                <w:t>17</w:t>
              </w:r>
              <w:r>
                <w:rPr>
                  <w:rFonts w:hAnsi="Calibri" w:hint="eastAsia"/>
                  <w:sz w:val="22"/>
                  <w:szCs w:val="22"/>
                </w:rPr>
                <w:t>元，增幅</w:t>
              </w:r>
              <w:r>
                <w:rPr>
                  <w:rFonts w:ascii="Arial" w:hAnsi="Arial" w:cs="Arial" w:hint="eastAsia"/>
                  <w:sz w:val="22"/>
                  <w:szCs w:val="22"/>
                </w:rPr>
                <w:t>72.74</w:t>
              </w:r>
              <w:r>
                <w:rPr>
                  <w:rFonts w:ascii="Arial" w:hAnsi="Arial" w:cs="Arial"/>
                  <w:sz w:val="22"/>
                  <w:szCs w:val="22"/>
                </w:rPr>
                <w:t>%</w:t>
              </w:r>
              <w:r>
                <w:rPr>
                  <w:rFonts w:hAnsi="Calibri" w:hint="eastAsia"/>
                  <w:sz w:val="22"/>
                  <w:szCs w:val="22"/>
                </w:rPr>
                <w:t>，主要系公司增加了</w:t>
              </w:r>
              <w:r w:rsidRPr="00355E65">
                <w:rPr>
                  <w:rFonts w:hAnsi="Calibri" w:hint="eastAsia"/>
                  <w:sz w:val="22"/>
                  <w:szCs w:val="22"/>
                </w:rPr>
                <w:t>质押式及股票质押式逆回购业务规模</w:t>
              </w:r>
              <w:r>
                <w:rPr>
                  <w:rFonts w:hAnsi="Calibri" w:hint="eastAsia"/>
                  <w:sz w:val="22"/>
                  <w:szCs w:val="22"/>
                </w:rPr>
                <w:t>。</w:t>
              </w:r>
            </w:p>
          </w:sdtContent>
        </w:sdt>
      </w:sdtContent>
    </w:sdt>
    <w:p w:rsidR="00DE031E" w:rsidRDefault="00DE031E">
      <w:pPr>
        <w:rPr>
          <w:szCs w:val="21"/>
        </w:rPr>
      </w:pPr>
    </w:p>
    <w:p w:rsidR="00DE031E" w:rsidRPr="00E6332A" w:rsidRDefault="00DE031E">
      <w:pPr>
        <w:rPr>
          <w:szCs w:val="21"/>
        </w:rPr>
      </w:pPr>
    </w:p>
    <w:p w:rsidR="00DE031E" w:rsidRDefault="00DE031E">
      <w:pPr>
        <w:rPr>
          <w:szCs w:val="21"/>
        </w:rPr>
      </w:pPr>
    </w:p>
    <w:p w:rsidR="00DE031E" w:rsidRPr="004135C0" w:rsidRDefault="00DE031E">
      <w:pPr>
        <w:rPr>
          <w:szCs w:val="21"/>
        </w:rPr>
      </w:pPr>
    </w:p>
    <w:p w:rsidR="00DE031E" w:rsidRDefault="001C1A59" w:rsidP="009950AC">
      <w:pPr>
        <w:pStyle w:val="3"/>
        <w:numPr>
          <w:ilvl w:val="0"/>
          <w:numId w:val="41"/>
        </w:numPr>
        <w:rPr>
          <w:szCs w:val="21"/>
        </w:rPr>
      </w:pPr>
      <w:r>
        <w:rPr>
          <w:szCs w:val="21"/>
        </w:rPr>
        <w:lastRenderedPageBreak/>
        <w:t>应收款项</w:t>
      </w:r>
    </w:p>
    <w:sdt>
      <w:sdtPr>
        <w:rPr>
          <w:rFonts w:ascii="宋体" w:hAnsi="宋体" w:cs="宋体"/>
          <w:b w:val="0"/>
          <w:bCs w:val="0"/>
          <w:kern w:val="0"/>
          <w:szCs w:val="21"/>
        </w:rPr>
        <w:tag w:val="_GBC_96072442cf8145ff9f4c0572ab32dacb"/>
        <w:id w:val="24724003"/>
        <w:lock w:val="sdtLocked"/>
        <w:placeholder>
          <w:docPart w:val="GBC22222222222222222222222222222"/>
        </w:placeholder>
      </w:sdtPr>
      <w:sdtContent>
        <w:p w:rsidR="00DE031E" w:rsidRDefault="001C1A59" w:rsidP="009950AC">
          <w:pPr>
            <w:pStyle w:val="4"/>
            <w:numPr>
              <w:ilvl w:val="0"/>
              <w:numId w:val="44"/>
            </w:numPr>
          </w:pPr>
          <w:r>
            <w:t>按明细列示</w:t>
          </w:r>
        </w:p>
        <w:sdt>
          <w:sdtPr>
            <w:alias w:val="是否适用：应收款项_按明细列示"/>
            <w:tag w:val="_GBC_915f60ebb9864f61963ec4e79a43a913"/>
            <w:id w:val="24723970"/>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shd w:val="clear" w:color="auto" w:fill="FFFFFF"/>
              </w:rPr>
              <w:alias w:val="单位：财务附注：应收款项按明细列示"/>
              <w:tag w:val="_GBC_12c5a01e38af4e5bb907d112b22e6720"/>
              <w:id w:val="247239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Pr>
                  <w:rFonts w:hint="eastAsia"/>
                  <w:szCs w:val="21"/>
                  <w:shd w:val="clear" w:color="auto" w:fill="FFFFFF"/>
                </w:rPr>
                <w:t>元</w:t>
              </w:r>
            </w:sdtContent>
          </w:sdt>
          <w:r>
            <w:rPr>
              <w:rFonts w:hint="eastAsia"/>
              <w:szCs w:val="21"/>
            </w:rPr>
            <w:t xml:space="preserve">  币种：</w:t>
          </w:r>
          <w:sdt>
            <w:sdtPr>
              <w:rPr>
                <w:rFonts w:hint="eastAsia"/>
                <w:szCs w:val="21"/>
              </w:rPr>
              <w:alias w:val="币种：财务附注：应收款项按明细列示"/>
              <w:tag w:val="_GBC_d2e17c3687f7409caf7645c161ff0786"/>
              <w:id w:val="24723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shd w:val="clear" w:color="auto" w:fill="FFFFFF"/>
              </w:rPr>
            </w:sdtEndPr>
            <w:sdtContent>
              <w:r>
                <w:rPr>
                  <w:rFonts w:hint="eastAsia"/>
                  <w:szCs w:val="21"/>
                </w:rPr>
                <w:t>人民币</w:t>
              </w:r>
            </w:sdtContent>
          </w:sdt>
        </w:p>
        <w:tbl>
          <w:tblPr>
            <w:tblW w:w="8797" w:type="dxa"/>
            <w:tblInd w:w="100" w:type="dxa"/>
            <w:tblBorders>
              <w:top w:val="single" w:sz="4" w:space="0" w:color="auto"/>
              <w:left w:val="single" w:sz="4" w:space="0" w:color="auto"/>
              <w:bottom w:val="single" w:sz="4" w:space="0" w:color="auto"/>
              <w:right w:val="single" w:sz="4" w:space="0" w:color="auto"/>
            </w:tblBorders>
            <w:shd w:val="clear" w:color="auto" w:fill="FFFFFF"/>
            <w:tblLayout w:type="fixed"/>
            <w:tblLook w:val="0000"/>
          </w:tblPr>
          <w:tblGrid>
            <w:gridCol w:w="3412"/>
            <w:gridCol w:w="2551"/>
            <w:gridCol w:w="2834"/>
          </w:tblGrid>
          <w:tr w:rsidR="00DE031E" w:rsidTr="00DE031E">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center"/>
                  <w:rPr>
                    <w:szCs w:val="21"/>
                    <w:shd w:val="clear" w:color="auto" w:fill="FFFFFF"/>
                  </w:rPr>
                </w:pPr>
                <w:r>
                  <w:rPr>
                    <w:rFonts w:hint="eastAsia"/>
                    <w:szCs w:val="21"/>
                    <w:shd w:val="clear" w:color="auto" w:fill="FFFFFF"/>
                  </w:rPr>
                  <w:t>项目</w:t>
                </w:r>
              </w:p>
            </w:tc>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center"/>
                  <w:rPr>
                    <w:szCs w:val="21"/>
                    <w:shd w:val="clear" w:color="auto" w:fill="FFFFFF"/>
                  </w:rPr>
                </w:pPr>
                <w:r>
                  <w:rPr>
                    <w:rFonts w:hint="eastAsia"/>
                    <w:szCs w:val="21"/>
                    <w:shd w:val="clear" w:color="auto" w:fill="FFFFFF"/>
                  </w:rPr>
                  <w:t>期末余额</w:t>
                </w:r>
              </w:p>
            </w:tc>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center"/>
                  <w:rPr>
                    <w:szCs w:val="21"/>
                    <w:shd w:val="clear" w:color="auto" w:fill="FFFFFF"/>
                  </w:rPr>
                </w:pPr>
                <w:r>
                  <w:rPr>
                    <w:rFonts w:hint="eastAsia"/>
                    <w:szCs w:val="21"/>
                    <w:shd w:val="clear" w:color="auto" w:fill="FFFFFF"/>
                  </w:rPr>
                  <w:t>期初余额</w:t>
                </w:r>
              </w:p>
            </w:tc>
          </w:tr>
          <w:tr w:rsidR="00DE031E" w:rsidTr="00DE031E">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应收行家及清算机构清算款</w:t>
                </w:r>
              </w:p>
            </w:tc>
            <w:sdt>
              <w:sdtPr>
                <w:rPr>
                  <w:szCs w:val="21"/>
                  <w:shd w:val="clear" w:color="auto" w:fill="FFFFFF"/>
                </w:rPr>
                <w:alias w:val="应收清算款"/>
                <w:tag w:val="_GBC_954cd63c2ede4735952ee64f2bdc0352"/>
                <w:id w:val="24723973"/>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2,446,758,902.20</w:t>
                    </w:r>
                  </w:p>
                </w:tc>
              </w:sdtContent>
            </w:sdt>
            <w:sdt>
              <w:sdtPr>
                <w:rPr>
                  <w:szCs w:val="21"/>
                  <w:shd w:val="clear" w:color="auto" w:fill="FFFFFF"/>
                </w:rPr>
                <w:alias w:val="应收清算款"/>
                <w:tag w:val="_GBC_af483d3c9b8f456ebc4a958a470cd73a"/>
                <w:id w:val="24723974"/>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1,142,009,281.29</w:t>
                    </w:r>
                  </w:p>
                </w:tc>
              </w:sdtContent>
            </w:sdt>
          </w:tr>
          <w:sdt>
            <w:sdtPr>
              <w:rPr>
                <w:szCs w:val="21"/>
                <w:shd w:val="clear" w:color="auto" w:fill="FFFFFF"/>
              </w:rPr>
              <w:alias w:val="应收款项按明细列示"/>
              <w:tag w:val="_GBC_41bcef2ddeee4569b23add41242737f0"/>
              <w:id w:val="24723978"/>
              <w:lock w:val="sdtLocked"/>
            </w:sdtPr>
            <w:sdtContent>
              <w:tr w:rsidR="00DE031E" w:rsidTr="00DE031E">
                <w:sdt>
                  <w:sdtPr>
                    <w:rPr>
                      <w:szCs w:val="21"/>
                      <w:shd w:val="clear" w:color="auto" w:fill="FFFFFF"/>
                    </w:rPr>
                    <w:alias w:val="应收款项按明细列示-项目名称"/>
                    <w:tag w:val="_GBC_256c84208b884873a592ea6787b814d4"/>
                    <w:id w:val="24723975"/>
                    <w:lock w:val="sdtLocked"/>
                  </w:sdtPr>
                  <w:sdtContent>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应收融资融券客户款</w:t>
                        </w:r>
                      </w:p>
                    </w:tc>
                  </w:sdtContent>
                </w:sdt>
                <w:sdt>
                  <w:sdtPr>
                    <w:rPr>
                      <w:szCs w:val="21"/>
                      <w:shd w:val="clear" w:color="auto" w:fill="FFFFFF"/>
                    </w:rPr>
                    <w:alias w:val="应收款项按明细列示-金额"/>
                    <w:tag w:val="_GBC_ae51b8ce4be74af59b2f50735d370f5b"/>
                    <w:id w:val="24723976"/>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9,282,221.90</w:t>
                        </w:r>
                      </w:p>
                    </w:tc>
                  </w:sdtContent>
                </w:sdt>
                <w:sdt>
                  <w:sdtPr>
                    <w:rPr>
                      <w:szCs w:val="21"/>
                      <w:shd w:val="clear" w:color="auto" w:fill="FFFFFF"/>
                    </w:rPr>
                    <w:alias w:val="应收款项按明细列示-金额"/>
                    <w:tag w:val="_GBC_a7df9de47e264182aaab567254a59afc"/>
                    <w:id w:val="24723977"/>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9,382,392.68</w:t>
                        </w:r>
                      </w:p>
                    </w:tc>
                  </w:sdtContent>
                </w:sdt>
              </w:tr>
            </w:sdtContent>
          </w:sdt>
          <w:sdt>
            <w:sdtPr>
              <w:rPr>
                <w:szCs w:val="21"/>
                <w:shd w:val="clear" w:color="auto" w:fill="FFFFFF"/>
              </w:rPr>
              <w:alias w:val="应收款项按明细列示"/>
              <w:tag w:val="_GBC_41bcef2ddeee4569b23add41242737f0"/>
              <w:id w:val="24723982"/>
              <w:lock w:val="sdtLocked"/>
            </w:sdtPr>
            <w:sdtContent>
              <w:tr w:rsidR="00DE031E" w:rsidTr="00DE031E">
                <w:sdt>
                  <w:sdtPr>
                    <w:rPr>
                      <w:szCs w:val="21"/>
                      <w:shd w:val="clear" w:color="auto" w:fill="FFFFFF"/>
                    </w:rPr>
                    <w:alias w:val="应收款项按明细列示-项目名称"/>
                    <w:tag w:val="_GBC_256c84208b884873a592ea6787b814d4"/>
                    <w:id w:val="24723979"/>
                    <w:lock w:val="sdtLocked"/>
                  </w:sdtPr>
                  <w:sdtContent>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应收手续费及佣金</w:t>
                        </w:r>
                      </w:p>
                    </w:tc>
                  </w:sdtContent>
                </w:sdt>
                <w:sdt>
                  <w:sdtPr>
                    <w:rPr>
                      <w:szCs w:val="21"/>
                      <w:shd w:val="clear" w:color="auto" w:fill="FFFFFF"/>
                    </w:rPr>
                    <w:alias w:val="应收款项按明细列示-金额"/>
                    <w:tag w:val="_GBC_ae51b8ce4be74af59b2f50735d370f5b"/>
                    <w:id w:val="24723980"/>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661,336,027.96</w:t>
                        </w:r>
                      </w:p>
                    </w:tc>
                  </w:sdtContent>
                </w:sdt>
                <w:sdt>
                  <w:sdtPr>
                    <w:rPr>
                      <w:szCs w:val="21"/>
                      <w:shd w:val="clear" w:color="auto" w:fill="FFFFFF"/>
                    </w:rPr>
                    <w:alias w:val="应收款项按明细列示-金额"/>
                    <w:tag w:val="_GBC_a7df9de47e264182aaab567254a59afc"/>
                    <w:id w:val="24723981"/>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274,202,054.11</w:t>
                        </w:r>
                      </w:p>
                    </w:tc>
                  </w:sdtContent>
                </w:sdt>
              </w:tr>
            </w:sdtContent>
          </w:sdt>
          <w:sdt>
            <w:sdtPr>
              <w:rPr>
                <w:szCs w:val="21"/>
                <w:shd w:val="clear" w:color="auto" w:fill="FFFFFF"/>
              </w:rPr>
              <w:alias w:val="应收款项按明细列示"/>
              <w:tag w:val="_GBC_41bcef2ddeee4569b23add41242737f0"/>
              <w:id w:val="24723986"/>
              <w:lock w:val="sdtLocked"/>
            </w:sdtPr>
            <w:sdtContent>
              <w:tr w:rsidR="00DE031E" w:rsidTr="00DE031E">
                <w:sdt>
                  <w:sdtPr>
                    <w:rPr>
                      <w:szCs w:val="21"/>
                      <w:shd w:val="clear" w:color="auto" w:fill="FFFFFF"/>
                    </w:rPr>
                    <w:alias w:val="应收款项按明细列示-项目名称"/>
                    <w:tag w:val="_GBC_256c84208b884873a592ea6787b814d4"/>
                    <w:id w:val="24723983"/>
                    <w:lock w:val="sdtLocked"/>
                  </w:sdtPr>
                  <w:sdtContent>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应收客户借款</w:t>
                        </w:r>
                      </w:p>
                    </w:tc>
                  </w:sdtContent>
                </w:sdt>
                <w:sdt>
                  <w:sdtPr>
                    <w:rPr>
                      <w:szCs w:val="21"/>
                      <w:shd w:val="clear" w:color="auto" w:fill="FFFFFF"/>
                    </w:rPr>
                    <w:alias w:val="应收款项按明细列示-金额"/>
                    <w:tag w:val="_GBC_ae51b8ce4be74af59b2f50735d370f5b"/>
                    <w:id w:val="24723984"/>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486,042,325.58</w:t>
                        </w:r>
                      </w:p>
                    </w:tc>
                  </w:sdtContent>
                </w:sdt>
                <w:sdt>
                  <w:sdtPr>
                    <w:rPr>
                      <w:szCs w:val="21"/>
                      <w:shd w:val="clear" w:color="auto" w:fill="FFFFFF"/>
                    </w:rPr>
                    <w:alias w:val="应收款项按明细列示-金额"/>
                    <w:tag w:val="_GBC_a7df9de47e264182aaab567254a59afc"/>
                    <w:id w:val="24723985"/>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654,907,836.63</w:t>
                        </w:r>
                      </w:p>
                    </w:tc>
                  </w:sdtContent>
                </w:sdt>
              </w:tr>
            </w:sdtContent>
          </w:sdt>
          <w:sdt>
            <w:sdtPr>
              <w:rPr>
                <w:szCs w:val="21"/>
                <w:shd w:val="clear" w:color="auto" w:fill="FFFFFF"/>
              </w:rPr>
              <w:alias w:val="应收款项按明细列示"/>
              <w:tag w:val="_GBC_41bcef2ddeee4569b23add41242737f0"/>
              <w:id w:val="24723990"/>
              <w:lock w:val="sdtLocked"/>
            </w:sdtPr>
            <w:sdtContent>
              <w:tr w:rsidR="00DE031E" w:rsidTr="00DE031E">
                <w:sdt>
                  <w:sdtPr>
                    <w:rPr>
                      <w:szCs w:val="21"/>
                      <w:shd w:val="clear" w:color="auto" w:fill="FFFFFF"/>
                    </w:rPr>
                    <w:alias w:val="应收款项按明细列示-项目名称"/>
                    <w:tag w:val="_GBC_256c84208b884873a592ea6787b814d4"/>
                    <w:id w:val="24723987"/>
                    <w:lock w:val="sdtLocked"/>
                  </w:sdtPr>
                  <w:sdtContent>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权益互换保证金</w:t>
                        </w:r>
                      </w:p>
                    </w:tc>
                  </w:sdtContent>
                </w:sdt>
                <w:sdt>
                  <w:sdtPr>
                    <w:rPr>
                      <w:szCs w:val="21"/>
                      <w:shd w:val="clear" w:color="auto" w:fill="FFFFFF"/>
                    </w:rPr>
                    <w:alias w:val="应收款项按明细列示-金额"/>
                    <w:tag w:val="_GBC_ae51b8ce4be74af59b2f50735d370f5b"/>
                    <w:id w:val="24723988"/>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143,055,437.86</w:t>
                        </w:r>
                      </w:p>
                    </w:tc>
                  </w:sdtContent>
                </w:sdt>
                <w:sdt>
                  <w:sdtPr>
                    <w:rPr>
                      <w:szCs w:val="21"/>
                      <w:shd w:val="clear" w:color="auto" w:fill="FFFFFF"/>
                    </w:rPr>
                    <w:alias w:val="应收款项按明细列示-金额"/>
                    <w:tag w:val="_GBC_a7df9de47e264182aaab567254a59afc"/>
                    <w:id w:val="24723989"/>
                    <w:lock w:val="sdtLocked"/>
                    <w:showingPlcHdr/>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DE031E" w:rsidP="00DE031E">
                        <w:pPr>
                          <w:jc w:val="right"/>
                          <w:rPr>
                            <w:szCs w:val="21"/>
                            <w:shd w:val="clear" w:color="auto" w:fill="FFFFFF"/>
                          </w:rPr>
                        </w:pPr>
                      </w:p>
                    </w:tc>
                  </w:sdtContent>
                </w:sdt>
              </w:tr>
            </w:sdtContent>
          </w:sdt>
          <w:sdt>
            <w:sdtPr>
              <w:rPr>
                <w:szCs w:val="21"/>
                <w:shd w:val="clear" w:color="auto" w:fill="FFFFFF"/>
              </w:rPr>
              <w:alias w:val="应收款项按明细列示"/>
              <w:tag w:val="_GBC_41bcef2ddeee4569b23add41242737f0"/>
              <w:id w:val="24723994"/>
              <w:lock w:val="sdtLocked"/>
            </w:sdtPr>
            <w:sdtContent>
              <w:tr w:rsidR="00DE031E" w:rsidTr="00DE031E">
                <w:sdt>
                  <w:sdtPr>
                    <w:rPr>
                      <w:szCs w:val="21"/>
                      <w:shd w:val="clear" w:color="auto" w:fill="FFFFFF"/>
                    </w:rPr>
                    <w:alias w:val="应收款项按明细列示-项目名称"/>
                    <w:tag w:val="_GBC_256c84208b884873a592ea6787b814d4"/>
                    <w:id w:val="24723991"/>
                    <w:lock w:val="sdtLocked"/>
                  </w:sdtPr>
                  <w:sdtContent>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应收自营清算款</w:t>
                        </w:r>
                      </w:p>
                    </w:tc>
                  </w:sdtContent>
                </w:sdt>
                <w:sdt>
                  <w:sdtPr>
                    <w:rPr>
                      <w:szCs w:val="21"/>
                      <w:shd w:val="clear" w:color="auto" w:fill="FFFFFF"/>
                    </w:rPr>
                    <w:alias w:val="应收款项按明细列示-金额"/>
                    <w:tag w:val="_GBC_ae51b8ce4be74af59b2f50735d370f5b"/>
                    <w:id w:val="24723992"/>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52,128,966.53</w:t>
                        </w:r>
                      </w:p>
                    </w:tc>
                  </w:sdtContent>
                </w:sdt>
                <w:sdt>
                  <w:sdtPr>
                    <w:rPr>
                      <w:szCs w:val="21"/>
                      <w:shd w:val="clear" w:color="auto" w:fill="FFFFFF"/>
                    </w:rPr>
                    <w:alias w:val="应收款项按明细列示-金额"/>
                    <w:tag w:val="_GBC_a7df9de47e264182aaab567254a59afc"/>
                    <w:id w:val="24723993"/>
                    <w:lock w:val="sdtLocked"/>
                    <w:showingPlcHdr/>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DE031E" w:rsidP="00DE031E">
                        <w:pPr>
                          <w:jc w:val="right"/>
                          <w:rPr>
                            <w:szCs w:val="21"/>
                            <w:shd w:val="clear" w:color="auto" w:fill="FFFFFF"/>
                          </w:rPr>
                        </w:pPr>
                      </w:p>
                    </w:tc>
                  </w:sdtContent>
                </w:sdt>
              </w:tr>
            </w:sdtContent>
          </w:sdt>
          <w:tr w:rsidR="00DE031E" w:rsidTr="00DE031E">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其他</w:t>
                </w:r>
              </w:p>
            </w:tc>
            <w:sdt>
              <w:sdtPr>
                <w:rPr>
                  <w:szCs w:val="21"/>
                  <w:shd w:val="clear" w:color="auto" w:fill="FFFFFF"/>
                </w:rPr>
                <w:alias w:val="应收款项-其他"/>
                <w:tag w:val="_GBC_27b5e8fb4df14b8da992f2df62df31b2"/>
                <w:id w:val="24723995"/>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11,842,040.14</w:t>
                    </w:r>
                  </w:p>
                </w:tc>
              </w:sdtContent>
            </w:sdt>
            <w:sdt>
              <w:sdtPr>
                <w:rPr>
                  <w:szCs w:val="21"/>
                  <w:shd w:val="clear" w:color="auto" w:fill="FFFFFF"/>
                </w:rPr>
                <w:alias w:val="应收款项-其他"/>
                <w:tag w:val="_GBC_06daab922880457c84aef01bb7a19b27"/>
                <w:id w:val="24723996"/>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2,142,465.55</w:t>
                    </w:r>
                  </w:p>
                </w:tc>
              </w:sdtContent>
            </w:sdt>
          </w:tr>
          <w:tr w:rsidR="00DE031E" w:rsidTr="00DE031E">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合计</w:t>
                </w:r>
              </w:p>
            </w:tc>
            <w:sdt>
              <w:sdtPr>
                <w:rPr>
                  <w:szCs w:val="21"/>
                  <w:shd w:val="clear" w:color="auto" w:fill="FFFFFF"/>
                </w:rPr>
                <w:alias w:val="应收款项账面余额"/>
                <w:tag w:val="_GBC_289b7d01505a4c4194937cfc5f99cbb2"/>
                <w:id w:val="24723997"/>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3,810,445,922.17</w:t>
                    </w:r>
                  </w:p>
                </w:tc>
              </w:sdtContent>
            </w:sdt>
            <w:sdt>
              <w:sdtPr>
                <w:rPr>
                  <w:szCs w:val="21"/>
                  <w:shd w:val="clear" w:color="auto" w:fill="FFFFFF"/>
                </w:rPr>
                <w:alias w:val="应收款项账面余额"/>
                <w:tag w:val="_GBC_501ce8fe1ed64b37926a561df489d984"/>
                <w:id w:val="24723998"/>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2,082,644,030.26</w:t>
                    </w:r>
                  </w:p>
                </w:tc>
              </w:sdtContent>
            </w:sdt>
          </w:tr>
          <w:tr w:rsidR="00DE031E" w:rsidTr="00DE031E">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zCs w:val="21"/>
                    <w:shd w:val="clear" w:color="auto" w:fill="FFFFFF"/>
                  </w:rPr>
                  <w:t>减：减值准备</w:t>
                </w:r>
              </w:p>
            </w:tc>
            <w:sdt>
              <w:sdtPr>
                <w:rPr>
                  <w:szCs w:val="21"/>
                  <w:shd w:val="clear" w:color="auto" w:fill="FFFFFF"/>
                </w:rPr>
                <w:alias w:val="应收款项减值准备"/>
                <w:tag w:val="_GBC_caa0a18da9e64893b0f659069b5482ae"/>
                <w:id w:val="24723999"/>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11,288,990.66</w:t>
                    </w:r>
                  </w:p>
                </w:tc>
              </w:sdtContent>
            </w:sdt>
            <w:sdt>
              <w:sdtPr>
                <w:rPr>
                  <w:szCs w:val="21"/>
                  <w:shd w:val="clear" w:color="auto" w:fill="FFFFFF"/>
                </w:rPr>
                <w:alias w:val="应收款项减值准备"/>
                <w:tag w:val="_GBC_66ea0ce9bff74d08bdf40a68dfae20c7"/>
                <w:id w:val="24724000"/>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15,700,807.73</w:t>
                    </w:r>
                  </w:p>
                </w:tc>
              </w:sdtContent>
            </w:sdt>
          </w:tr>
          <w:tr w:rsidR="00DE031E" w:rsidTr="00DE031E">
            <w:tc>
              <w:tcPr>
                <w:tcW w:w="1939"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rPr>
                    <w:szCs w:val="21"/>
                    <w:shd w:val="clear" w:color="auto" w:fill="FFFFFF"/>
                  </w:rPr>
                </w:pPr>
                <w:r>
                  <w:rPr>
                    <w:rFonts w:hint="eastAsia"/>
                    <w:shd w:val="clear" w:color="auto" w:fill="FFFFFF"/>
                  </w:rPr>
                  <w:t>应收款项</w:t>
                </w:r>
                <w:r>
                  <w:rPr>
                    <w:shd w:val="clear" w:color="auto" w:fill="FFFFFF"/>
                  </w:rPr>
                  <w:t>账面价值</w:t>
                </w:r>
              </w:p>
            </w:tc>
            <w:sdt>
              <w:sdtPr>
                <w:rPr>
                  <w:szCs w:val="21"/>
                  <w:shd w:val="clear" w:color="auto" w:fill="FFFFFF"/>
                </w:rPr>
                <w:alias w:val="应收款项账面价值"/>
                <w:tag w:val="_GBC_4443ca4042c84597997c8e6c73cecd13"/>
                <w:id w:val="24724001"/>
                <w:lock w:val="sdtLocked"/>
              </w:sdtPr>
              <w:sdtContent>
                <w:tc>
                  <w:tcPr>
                    <w:tcW w:w="14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3,799,156,931.51</w:t>
                    </w:r>
                  </w:p>
                </w:tc>
              </w:sdtContent>
            </w:sdt>
            <w:sdt>
              <w:sdtPr>
                <w:rPr>
                  <w:szCs w:val="21"/>
                  <w:shd w:val="clear" w:color="auto" w:fill="FFFFFF"/>
                </w:rPr>
                <w:alias w:val="应收款项账面价值"/>
                <w:tag w:val="_GBC_6981cce6e1914a5baf489532f4da8fb4"/>
                <w:id w:val="24724002"/>
                <w:lock w:val="sdtLocked"/>
              </w:sdtPr>
              <w:sdtContent>
                <w:tc>
                  <w:tcPr>
                    <w:tcW w:w="1611"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szCs w:val="21"/>
                        <w:shd w:val="clear" w:color="auto" w:fill="FFFFFF"/>
                      </w:rPr>
                      <w:t>2,066,943,222.53</w:t>
                    </w:r>
                  </w:p>
                </w:tc>
              </w:sdtContent>
            </w:sdt>
          </w:tr>
        </w:tbl>
      </w:sdtContent>
    </w:sdt>
    <w:sdt>
      <w:sdtPr>
        <w:rPr>
          <w:rFonts w:ascii="宋体" w:hAnsi="宋体" w:cs="宋体" w:hint="eastAsia"/>
          <w:b w:val="0"/>
          <w:bCs w:val="0"/>
          <w:kern w:val="0"/>
          <w:szCs w:val="24"/>
          <w:shd w:val="clear" w:color="auto" w:fill="FFFFFF"/>
        </w:rPr>
        <w:tag w:val="_GBC_9d590e5f74df4a6495419b6b760d6a05"/>
        <w:id w:val="24724047"/>
        <w:lock w:val="sdtLocked"/>
        <w:placeholder>
          <w:docPart w:val="GBC22222222222222222222222222222"/>
        </w:placeholder>
      </w:sdtPr>
      <w:sdtEndPr>
        <w:rPr>
          <w:szCs w:val="21"/>
        </w:rPr>
      </w:sdtEndPr>
      <w:sdtContent>
        <w:p w:rsidR="00DE031E" w:rsidRDefault="001C1A59" w:rsidP="009950AC">
          <w:pPr>
            <w:pStyle w:val="4"/>
            <w:numPr>
              <w:ilvl w:val="0"/>
              <w:numId w:val="44"/>
            </w:numPr>
            <w:rPr>
              <w:shd w:val="clear" w:color="auto" w:fill="FFFFFF"/>
            </w:rPr>
          </w:pPr>
          <w:r w:rsidRPr="00AD2368">
            <w:rPr>
              <w:rFonts w:hint="eastAsia"/>
              <w:shd w:val="clear" w:color="auto" w:fill="FFFFFF"/>
            </w:rPr>
            <w:t>按账龄分析</w:t>
          </w:r>
        </w:p>
        <w:sdt>
          <w:sdtPr>
            <w:alias w:val="是否适用：应收款项_按账龄分析"/>
            <w:tag w:val="_GBC_9fc79ea0dc054f06a00b86eb94ac3959"/>
            <w:id w:val="24724004"/>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shd w:val="clear" w:color="auto" w:fill="FFFFFF"/>
            </w:rPr>
          </w:pPr>
          <w:r>
            <w:rPr>
              <w:rFonts w:hint="eastAsia"/>
              <w:szCs w:val="21"/>
              <w:shd w:val="clear" w:color="auto" w:fill="FFFFFF"/>
            </w:rPr>
            <w:t>单位:</w:t>
          </w:r>
          <w:sdt>
            <w:sdtPr>
              <w:rPr>
                <w:rFonts w:hint="eastAsia"/>
                <w:szCs w:val="21"/>
                <w:shd w:val="clear" w:color="auto" w:fill="FFFFFF"/>
              </w:rPr>
              <w:alias w:val="单位：财务附注：应收款项按账龄分析"/>
              <w:tag w:val="_GBC_e11d8faf215f4a448ee386ec2e121b14"/>
              <w:id w:val="247240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Pr>
                  <w:rFonts w:hint="eastAsia"/>
                  <w:szCs w:val="21"/>
                  <w:shd w:val="clear" w:color="auto" w:fill="FFFFFF"/>
                </w:rPr>
                <w:t>元</w:t>
              </w:r>
            </w:sdtContent>
          </w:sdt>
          <w:r>
            <w:rPr>
              <w:rFonts w:hint="eastAsia"/>
              <w:szCs w:val="21"/>
              <w:shd w:val="clear" w:color="auto" w:fill="FFFFFF"/>
            </w:rPr>
            <w:t xml:space="preserve">  币种:</w:t>
          </w:r>
          <w:sdt>
            <w:sdtPr>
              <w:rPr>
                <w:rFonts w:hint="eastAsia"/>
                <w:szCs w:val="21"/>
                <w:shd w:val="clear" w:color="auto" w:fill="FFFFFF"/>
              </w:rPr>
              <w:alias w:val="币种：财务附注：应收款项按账龄分析"/>
              <w:tag w:val="_GBC_b2db0db1dba84f0ea8849764cfe3c262"/>
              <w:id w:val="247240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shd w:val="clear" w:color="auto" w:fill="FFFFFF"/>
                </w:rPr>
                <w:t>人民币</w:t>
              </w:r>
            </w:sdtContent>
          </w:sdt>
        </w:p>
        <w:tbl>
          <w:tblPr>
            <w:tblW w:w="5532" w:type="pct"/>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44"/>
            <w:gridCol w:w="1742"/>
            <w:gridCol w:w="692"/>
            <w:gridCol w:w="1427"/>
            <w:gridCol w:w="587"/>
            <w:gridCol w:w="1742"/>
            <w:gridCol w:w="693"/>
            <w:gridCol w:w="1427"/>
            <w:gridCol w:w="587"/>
          </w:tblGrid>
          <w:tr w:rsidR="00C84DD8" w:rsidTr="00DE031E">
            <w:trPr>
              <w:cantSplit/>
              <w:jc w:val="center"/>
            </w:trPr>
            <w:tc>
              <w:tcPr>
                <w:tcW w:w="480" w:type="pct"/>
                <w:vMerge w:val="restar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账龄</w:t>
                </w:r>
              </w:p>
            </w:tc>
            <w:tc>
              <w:tcPr>
                <w:tcW w:w="2260" w:type="pct"/>
                <w:gridSpan w:val="4"/>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期末余额</w:t>
                </w:r>
              </w:p>
            </w:tc>
            <w:tc>
              <w:tcPr>
                <w:tcW w:w="2260" w:type="pct"/>
                <w:gridSpan w:val="4"/>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期初余额</w:t>
                </w:r>
              </w:p>
            </w:tc>
          </w:tr>
          <w:tr w:rsidR="00C84DD8" w:rsidTr="00DE031E">
            <w:trPr>
              <w:cantSplit/>
              <w:jc w:val="center"/>
            </w:trPr>
            <w:tc>
              <w:tcPr>
                <w:tcW w:w="480" w:type="pct"/>
                <w:vMerge/>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p>
            </w:tc>
            <w:tc>
              <w:tcPr>
                <w:tcW w:w="1237" w:type="pct"/>
                <w:gridSpan w:val="2"/>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账面余额</w:t>
                </w:r>
              </w:p>
            </w:tc>
            <w:tc>
              <w:tcPr>
                <w:tcW w:w="1023" w:type="pct"/>
                <w:gridSpan w:val="2"/>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坏账准备</w:t>
                </w:r>
              </w:p>
            </w:tc>
            <w:tc>
              <w:tcPr>
                <w:tcW w:w="1237" w:type="pct"/>
                <w:gridSpan w:val="2"/>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账面余额</w:t>
                </w:r>
              </w:p>
            </w:tc>
            <w:tc>
              <w:tcPr>
                <w:tcW w:w="1023" w:type="pct"/>
                <w:gridSpan w:val="2"/>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坏账准备</w:t>
                </w:r>
              </w:p>
            </w:tc>
          </w:tr>
          <w:tr w:rsidR="00C84DD8" w:rsidTr="00DE031E">
            <w:trPr>
              <w:cantSplit/>
              <w:jc w:val="center"/>
            </w:trPr>
            <w:tc>
              <w:tcPr>
                <w:tcW w:w="480" w:type="pct"/>
                <w:vMerge/>
                <w:tcBorders>
                  <w:top w:val="single" w:sz="4" w:space="0" w:color="auto"/>
                  <w:left w:val="single" w:sz="4" w:space="0" w:color="auto"/>
                  <w:bottom w:val="single" w:sz="4" w:space="0" w:color="auto"/>
                  <w:right w:val="single" w:sz="4" w:space="0" w:color="auto"/>
                </w:tcBorders>
                <w:vAlign w:val="center"/>
              </w:tcPr>
              <w:p w:rsidR="00C84DD8" w:rsidRDefault="00C84DD8" w:rsidP="00DE031E">
                <w:pPr>
                  <w:rPr>
                    <w:szCs w:val="21"/>
                    <w:shd w:val="clear" w:color="auto" w:fill="FFFFFF"/>
                  </w:rPr>
                </w:pPr>
              </w:p>
            </w:tc>
            <w:tc>
              <w:tcPr>
                <w:tcW w:w="885"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金额</w:t>
                </w:r>
              </w:p>
            </w:tc>
            <w:tc>
              <w:tcPr>
                <w:tcW w:w="352"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比例（%）</w:t>
                </w:r>
              </w:p>
            </w:tc>
            <w:tc>
              <w:tcPr>
                <w:tcW w:w="725"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金额</w:t>
                </w:r>
              </w:p>
            </w:tc>
            <w:tc>
              <w:tcPr>
                <w:tcW w:w="298"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比例（%）</w:t>
                </w:r>
              </w:p>
            </w:tc>
            <w:tc>
              <w:tcPr>
                <w:tcW w:w="885"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金额</w:t>
                </w:r>
              </w:p>
            </w:tc>
            <w:tc>
              <w:tcPr>
                <w:tcW w:w="352"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比例（%）</w:t>
                </w:r>
              </w:p>
            </w:tc>
            <w:tc>
              <w:tcPr>
                <w:tcW w:w="725"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金额</w:t>
                </w:r>
              </w:p>
            </w:tc>
            <w:tc>
              <w:tcPr>
                <w:tcW w:w="298"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比例（%）</w:t>
                </w:r>
              </w:p>
            </w:tc>
          </w:tr>
          <w:tr w:rsidR="00C84DD8" w:rsidTr="00DE031E">
            <w:trPr>
              <w:cantSplit/>
              <w:jc w:val="center"/>
            </w:trPr>
            <w:tc>
              <w:tcPr>
                <w:tcW w:w="480" w:type="pct"/>
                <w:tcBorders>
                  <w:top w:val="single" w:sz="4" w:space="0" w:color="auto"/>
                  <w:left w:val="single" w:sz="4" w:space="0" w:color="auto"/>
                  <w:bottom w:val="single" w:sz="4" w:space="0" w:color="auto"/>
                  <w:right w:val="single" w:sz="4" w:space="0" w:color="auto"/>
                </w:tcBorders>
              </w:tcPr>
              <w:p w:rsidR="00C84DD8" w:rsidRDefault="00C84DD8" w:rsidP="00DE031E">
                <w:pPr>
                  <w:rPr>
                    <w:szCs w:val="21"/>
                    <w:shd w:val="clear" w:color="auto" w:fill="FFFFFF"/>
                  </w:rPr>
                </w:pPr>
                <w:r>
                  <w:rPr>
                    <w:rFonts w:hint="eastAsia"/>
                    <w:szCs w:val="21"/>
                    <w:shd w:val="clear" w:color="auto" w:fill="FFFFFF"/>
                  </w:rPr>
                  <w:t>1年以内</w:t>
                </w:r>
              </w:p>
            </w:tc>
            <w:sdt>
              <w:sdtPr>
                <w:rPr>
                  <w:szCs w:val="21"/>
                  <w:shd w:val="clear" w:color="auto" w:fill="FFFFFF"/>
                </w:rPr>
                <w:alias w:val="应收账款一年以内合计"/>
                <w:tag w:val="_GBC_23f8dd5753ad4ca885bd2a56fe91ba5f"/>
                <w:id w:val="-1961562540"/>
                <w:lock w:val="sdtLocked"/>
              </w:sdt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3,302,068,062.13</w:t>
                    </w:r>
                  </w:p>
                </w:tc>
              </w:sdtContent>
            </w:sdt>
            <w:sdt>
              <w:sdtPr>
                <w:rPr>
                  <w:szCs w:val="21"/>
                  <w:shd w:val="clear" w:color="auto" w:fill="FFFFFF"/>
                </w:rPr>
                <w:alias w:val="应收账款一年以内比例"/>
                <w:tag w:val="_GBC_ca31f3d5f9b148488e35e07c6eade20a"/>
                <w:id w:val="2015336888"/>
                <w:lock w:val="sdtLocked"/>
              </w:sdt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86.66</w:t>
                    </w:r>
                  </w:p>
                </w:tc>
              </w:sdtContent>
            </w:sdt>
            <w:sdt>
              <w:sdtPr>
                <w:rPr>
                  <w:szCs w:val="21"/>
                  <w:shd w:val="clear" w:color="auto" w:fill="FFFFFF"/>
                </w:rPr>
                <w:alias w:val="应收账款一年以内坏账准备合计"/>
                <w:tag w:val="_GBC_10d9c0707abd4b669a604afdd01a259b"/>
                <w:id w:val="-1887249444"/>
                <w:lock w:val="sdtLocked"/>
              </w:sdt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5,642,078.93</w:t>
                    </w:r>
                  </w:p>
                </w:tc>
              </w:sdtContent>
            </w:sdt>
            <w:sdt>
              <w:sdtPr>
                <w:rPr>
                  <w:szCs w:val="21"/>
                  <w:shd w:val="clear" w:color="auto" w:fill="FFFFFF"/>
                </w:rPr>
                <w:alias w:val="应收账款一年以内坏账准备比例"/>
                <w:tag w:val="_GBC_943eb67b8fe8409999293e58bad0160d"/>
                <w:id w:val="-127019596"/>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0.17</w:t>
                    </w:r>
                  </w:p>
                </w:tc>
              </w:sdtContent>
            </w:sdt>
            <w:sdt>
              <w:sdtPr>
                <w:rPr>
                  <w:szCs w:val="21"/>
                  <w:shd w:val="clear" w:color="auto" w:fill="FFFFFF"/>
                </w:rPr>
                <w:alias w:val="应收账款一年以内合计"/>
                <w:tag w:val="_GBC_50cfe80a81734a9e8536432ec092694b"/>
                <w:id w:val="-895736650"/>
                <w:lock w:val="sdtLocked"/>
              </w:sdt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1,399,107,269.32</w:t>
                    </w:r>
                  </w:p>
                </w:tc>
              </w:sdtContent>
            </w:sdt>
            <w:sdt>
              <w:sdtPr>
                <w:rPr>
                  <w:szCs w:val="21"/>
                  <w:shd w:val="clear" w:color="auto" w:fill="FFFFFF"/>
                </w:rPr>
                <w:alias w:val="应收账款一年以内比例"/>
                <w:tag w:val="_GBC_d0d20e25e23f4f1eab9df3b39148dedb"/>
                <w:id w:val="-1301911020"/>
                <w:lock w:val="sdtLocked"/>
              </w:sdt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67.17</w:t>
                    </w:r>
                  </w:p>
                </w:tc>
              </w:sdtContent>
            </w:sdt>
            <w:sdt>
              <w:sdtPr>
                <w:rPr>
                  <w:szCs w:val="21"/>
                  <w:shd w:val="clear" w:color="auto" w:fill="FFFFFF"/>
                </w:rPr>
                <w:alias w:val="应收账款一年以内坏账准备合计"/>
                <w:tag w:val="_GBC_c8a0042f1b09411db944a0b63d241edf"/>
                <w:id w:val="-513451378"/>
                <w:lock w:val="sdtLocked"/>
              </w:sdt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498,872.84</w:t>
                    </w:r>
                  </w:p>
                </w:tc>
              </w:sdtContent>
            </w:sdt>
            <w:sdt>
              <w:sdtPr>
                <w:rPr>
                  <w:szCs w:val="21"/>
                  <w:shd w:val="clear" w:color="auto" w:fill="FFFFFF"/>
                </w:rPr>
                <w:alias w:val="应收账款一年以内坏账准备比例"/>
                <w:tag w:val="_GBC_1bd19fc1c3f741f2a4a36a33f25e792e"/>
                <w:id w:val="1378277249"/>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0.04</w:t>
                    </w:r>
                  </w:p>
                </w:tc>
              </w:sdtContent>
            </w:sdt>
          </w:tr>
          <w:tr w:rsidR="00C84DD8" w:rsidTr="00DE031E">
            <w:trPr>
              <w:cantSplit/>
              <w:jc w:val="center"/>
            </w:trPr>
            <w:tc>
              <w:tcPr>
                <w:tcW w:w="480" w:type="pct"/>
                <w:tcBorders>
                  <w:top w:val="single" w:sz="4" w:space="0" w:color="auto"/>
                  <w:left w:val="single" w:sz="4" w:space="0" w:color="auto"/>
                  <w:bottom w:val="single" w:sz="4" w:space="0" w:color="auto"/>
                  <w:right w:val="single" w:sz="4" w:space="0" w:color="auto"/>
                </w:tcBorders>
              </w:tcPr>
              <w:p w:rsidR="00C84DD8" w:rsidRDefault="00C84DD8" w:rsidP="00DE031E">
                <w:pPr>
                  <w:rPr>
                    <w:szCs w:val="21"/>
                    <w:shd w:val="clear" w:color="auto" w:fill="FFFFFF"/>
                  </w:rPr>
                </w:pPr>
                <w:r>
                  <w:rPr>
                    <w:rFonts w:hint="eastAsia"/>
                    <w:szCs w:val="21"/>
                    <w:shd w:val="clear" w:color="auto" w:fill="FFFFFF"/>
                  </w:rPr>
                  <w:t>1-2年</w:t>
                </w:r>
              </w:p>
            </w:tc>
            <w:sdt>
              <w:sdtPr>
                <w:rPr>
                  <w:rStyle w:val="af5"/>
                  <w:szCs w:val="21"/>
                  <w:shd w:val="clear" w:color="auto" w:fill="FFFFFF"/>
                </w:rPr>
                <w:alias w:val="应收账款一至二年合计"/>
                <w:tag w:val="_GBC_0b0a5391daa947fa8e3eb9de87c05baf"/>
                <w:id w:val="-350022800"/>
                <w:lock w:val="sdtLocked"/>
              </w:sdtPr>
              <w:sdtEndPr>
                <w:rPr>
                  <w:rStyle w:val="af5"/>
                  <w:rFonts w:hint="eastAsia"/>
                </w:rPr>
              </w:sdtEnd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382,682,309.18</w:t>
                    </w:r>
                  </w:p>
                </w:tc>
              </w:sdtContent>
            </w:sdt>
            <w:sdt>
              <w:sdtPr>
                <w:rPr>
                  <w:rStyle w:val="af5"/>
                  <w:szCs w:val="21"/>
                  <w:shd w:val="clear" w:color="auto" w:fill="FFFFFF"/>
                </w:rPr>
                <w:alias w:val="应收账款一至二年比例"/>
                <w:tag w:val="_GBC_6c17feb5ef9a41aabb10ef73ee7f0902"/>
                <w:id w:val="164451083"/>
                <w:lock w:val="sdtLocked"/>
              </w:sdtPr>
              <w:sdtEndPr>
                <w:rPr>
                  <w:rStyle w:val="af5"/>
                  <w:rFonts w:hint="eastAsia"/>
                </w:rPr>
              </w:sdtEnd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10.04</w:t>
                    </w:r>
                  </w:p>
                </w:tc>
              </w:sdtContent>
            </w:sdt>
            <w:sdt>
              <w:sdtPr>
                <w:rPr>
                  <w:rStyle w:val="af5"/>
                  <w:szCs w:val="21"/>
                  <w:shd w:val="clear" w:color="auto" w:fill="FFFFFF"/>
                </w:rPr>
                <w:alias w:val="应收账款一至二年坏账准备合计"/>
                <w:tag w:val="_GBC_a40e67835d98466fb8791ee8d14b9162"/>
                <w:id w:val="283086185"/>
                <w:lock w:val="sdtLocked"/>
              </w:sdtPr>
              <w:sdtEndPr>
                <w:rPr>
                  <w:rStyle w:val="af5"/>
                  <w:rFonts w:hint="eastAsia"/>
                </w:rPr>
              </w:sdtEnd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3,386,858.82</w:t>
                    </w:r>
                  </w:p>
                </w:tc>
              </w:sdtContent>
            </w:sdt>
            <w:sdt>
              <w:sdtPr>
                <w:rPr>
                  <w:szCs w:val="21"/>
                  <w:shd w:val="clear" w:color="auto" w:fill="FFFFFF"/>
                </w:rPr>
                <w:alias w:val="应收账款一至二年坏账准备比例"/>
                <w:tag w:val="_GBC_a399922939fd46659411da2e8abd0f5c"/>
                <w:id w:val="1429071828"/>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0.89</w:t>
                    </w:r>
                  </w:p>
                </w:tc>
              </w:sdtContent>
            </w:sdt>
            <w:sdt>
              <w:sdtPr>
                <w:rPr>
                  <w:szCs w:val="21"/>
                  <w:shd w:val="clear" w:color="auto" w:fill="FFFFFF"/>
                </w:rPr>
                <w:alias w:val="应收账款一至二年合计"/>
                <w:tag w:val="_GBC_63ee9a74d0e042e5ac893184ca66b7e9"/>
                <w:id w:val="251242803"/>
                <w:lock w:val="sdtLocked"/>
              </w:sdt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669,705,731.54</w:t>
                    </w:r>
                  </w:p>
                </w:tc>
              </w:sdtContent>
            </w:sdt>
            <w:sdt>
              <w:sdtPr>
                <w:rPr>
                  <w:szCs w:val="21"/>
                  <w:shd w:val="clear" w:color="auto" w:fill="FFFFFF"/>
                </w:rPr>
                <w:alias w:val="应收账款一至二年比例"/>
                <w:tag w:val="_GBC_8d2a4a0fd37646c28a4dd5a72578b0d8"/>
                <w:id w:val="2015114389"/>
                <w:lock w:val="sdtLocked"/>
              </w:sdt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32.16</w:t>
                    </w:r>
                  </w:p>
                </w:tc>
              </w:sdtContent>
            </w:sdt>
            <w:sdt>
              <w:sdtPr>
                <w:rPr>
                  <w:szCs w:val="21"/>
                  <w:shd w:val="clear" w:color="auto" w:fill="FFFFFF"/>
                </w:rPr>
                <w:alias w:val="应收账款一至二年坏账准备合计"/>
                <w:tag w:val="_GBC_72e81abed1a84218bcf35f231f36d701"/>
                <w:id w:val="-1830360968"/>
                <w:lock w:val="sdtLocked"/>
              </w:sdt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A72484">
                    <w:pPr>
                      <w:jc w:val="right"/>
                      <w:rPr>
                        <w:szCs w:val="21"/>
                        <w:shd w:val="clear" w:color="auto" w:fill="FFFFFF"/>
                      </w:rPr>
                    </w:pPr>
                    <w:r>
                      <w:rPr>
                        <w:szCs w:val="21"/>
                        <w:shd w:val="clear" w:color="auto" w:fill="FFFFFF"/>
                      </w:rPr>
                      <w:t>9,217,067.</w:t>
                    </w:r>
                    <w:r w:rsidR="00A72484">
                      <w:rPr>
                        <w:rFonts w:hint="eastAsia"/>
                        <w:szCs w:val="21"/>
                        <w:shd w:val="clear" w:color="auto" w:fill="FFFFFF"/>
                      </w:rPr>
                      <w:t>81</w:t>
                    </w:r>
                  </w:p>
                </w:tc>
              </w:sdtContent>
            </w:sdt>
            <w:sdt>
              <w:sdtPr>
                <w:rPr>
                  <w:szCs w:val="21"/>
                  <w:shd w:val="clear" w:color="auto" w:fill="FFFFFF"/>
                </w:rPr>
                <w:alias w:val="应收账款一至二年坏账准备比例"/>
                <w:tag w:val="_GBC_9f741c2636df4d54bcbf6ef7a2d86578"/>
                <w:id w:val="2015333405"/>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1.38</w:t>
                    </w:r>
                  </w:p>
                </w:tc>
              </w:sdtContent>
            </w:sdt>
          </w:tr>
          <w:tr w:rsidR="00C84DD8" w:rsidTr="00DE031E">
            <w:trPr>
              <w:cantSplit/>
              <w:jc w:val="center"/>
            </w:trPr>
            <w:tc>
              <w:tcPr>
                <w:tcW w:w="480" w:type="pct"/>
                <w:tcBorders>
                  <w:top w:val="single" w:sz="4" w:space="0" w:color="auto"/>
                  <w:left w:val="single" w:sz="4" w:space="0" w:color="auto"/>
                  <w:bottom w:val="single" w:sz="4" w:space="0" w:color="auto"/>
                  <w:right w:val="single" w:sz="4" w:space="0" w:color="auto"/>
                </w:tcBorders>
              </w:tcPr>
              <w:p w:rsidR="00C84DD8" w:rsidRDefault="00C84DD8" w:rsidP="00DE031E">
                <w:pPr>
                  <w:rPr>
                    <w:szCs w:val="21"/>
                    <w:shd w:val="clear" w:color="auto" w:fill="FFFFFF"/>
                  </w:rPr>
                </w:pPr>
                <w:r>
                  <w:rPr>
                    <w:rFonts w:hint="eastAsia"/>
                    <w:szCs w:val="21"/>
                    <w:shd w:val="clear" w:color="auto" w:fill="FFFFFF"/>
                  </w:rPr>
                  <w:t>2-3年</w:t>
                </w:r>
              </w:p>
            </w:tc>
            <w:sdt>
              <w:sdtPr>
                <w:rPr>
                  <w:rStyle w:val="af5"/>
                  <w:szCs w:val="21"/>
                  <w:shd w:val="clear" w:color="auto" w:fill="FFFFFF"/>
                </w:rPr>
                <w:alias w:val="应收账款二至三年合计"/>
                <w:tag w:val="_GBC_ca7e9de21fe3474793ad025e609b9448"/>
                <w:id w:val="-2007198008"/>
                <w:lock w:val="sdtLocked"/>
              </w:sdtPr>
              <w:sdtEndPr>
                <w:rPr>
                  <w:rStyle w:val="af5"/>
                  <w:rFonts w:hint="eastAsia"/>
                </w:rPr>
              </w:sdtEnd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125,065,847.16</w:t>
                    </w:r>
                  </w:p>
                </w:tc>
              </w:sdtContent>
            </w:sdt>
            <w:sdt>
              <w:sdtPr>
                <w:rPr>
                  <w:rStyle w:val="af5"/>
                  <w:szCs w:val="21"/>
                  <w:shd w:val="clear" w:color="auto" w:fill="FFFFFF"/>
                </w:rPr>
                <w:alias w:val="应收账款二至三年合计比例"/>
                <w:tag w:val="_GBC_ab4d7e4e8d2445c6bf82fb5009c77b35"/>
                <w:id w:val="-430515976"/>
                <w:lock w:val="sdtLocked"/>
              </w:sdtPr>
              <w:sdtEndPr>
                <w:rPr>
                  <w:rStyle w:val="af5"/>
                  <w:rFonts w:hint="eastAsia"/>
                </w:rPr>
              </w:sdtEnd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3.28</w:t>
                    </w:r>
                  </w:p>
                </w:tc>
              </w:sdtContent>
            </w:sdt>
            <w:sdt>
              <w:sdtPr>
                <w:rPr>
                  <w:rStyle w:val="af5"/>
                  <w:szCs w:val="21"/>
                  <w:shd w:val="clear" w:color="auto" w:fill="FFFFFF"/>
                </w:rPr>
                <w:alias w:val="应收账款二至三年坏账准备合计"/>
                <w:tag w:val="_GBC_9b1053ca81234a8ba49c31144c116eaf"/>
                <w:id w:val="504787736"/>
                <w:lock w:val="sdtLocked"/>
              </w:sdtPr>
              <w:sdtEndPr>
                <w:rPr>
                  <w:rStyle w:val="af5"/>
                  <w:rFonts w:hint="eastAsia"/>
                </w:rPr>
              </w:sdtEnd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1,989,266.21</w:t>
                    </w:r>
                  </w:p>
                </w:tc>
              </w:sdtContent>
            </w:sdt>
            <w:sdt>
              <w:sdtPr>
                <w:rPr>
                  <w:szCs w:val="21"/>
                  <w:shd w:val="clear" w:color="auto" w:fill="FFFFFF"/>
                </w:rPr>
                <w:alias w:val="应收账款二至三年坏账准备比例"/>
                <w:tag w:val="_GBC_7d92a1752f0044289a0b324a7cff4d9e"/>
                <w:id w:val="-1316021688"/>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1.59</w:t>
                    </w:r>
                  </w:p>
                </w:tc>
              </w:sdtContent>
            </w:sdt>
            <w:sdt>
              <w:sdtPr>
                <w:rPr>
                  <w:szCs w:val="21"/>
                  <w:shd w:val="clear" w:color="auto" w:fill="FFFFFF"/>
                </w:rPr>
                <w:alias w:val="应收账款二至三年合计"/>
                <w:tag w:val="_GBC_898b2eab389d4262aad85a59f88a1f17"/>
                <w:id w:val="-1845166925"/>
                <w:lock w:val="sdtLocked"/>
              </w:sdt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2,847,573.27</w:t>
                    </w:r>
                  </w:p>
                </w:tc>
              </w:sdtContent>
            </w:sdt>
            <w:sdt>
              <w:sdtPr>
                <w:rPr>
                  <w:szCs w:val="21"/>
                  <w:shd w:val="clear" w:color="auto" w:fill="FFFFFF"/>
                </w:rPr>
                <w:alias w:val="应收账款二至三年合计比例"/>
                <w:tag w:val="_GBC_10ab3258cff147b2b647f29c385218dc"/>
                <w:id w:val="-793900571"/>
                <w:lock w:val="sdtLocked"/>
              </w:sdt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0.14</w:t>
                    </w:r>
                  </w:p>
                </w:tc>
              </w:sdtContent>
            </w:sdt>
            <w:sdt>
              <w:sdtPr>
                <w:rPr>
                  <w:szCs w:val="21"/>
                  <w:shd w:val="clear" w:color="auto" w:fill="FFFFFF"/>
                </w:rPr>
                <w:alias w:val="应收账款二至三年坏账准备合计"/>
                <w:tag w:val="_GBC_e76f65a9a2d74b3aac17a12aba6982d0"/>
                <w:id w:val="-229542446"/>
                <w:lock w:val="sdtLocked"/>
              </w:sdt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558,061.70</w:t>
                    </w:r>
                  </w:p>
                </w:tc>
              </w:sdtContent>
            </w:sdt>
            <w:sdt>
              <w:sdtPr>
                <w:rPr>
                  <w:szCs w:val="21"/>
                  <w:shd w:val="clear" w:color="auto" w:fill="FFFFFF"/>
                </w:rPr>
                <w:alias w:val="应收账款二至三年坏账准备比例"/>
                <w:tag w:val="_GBC_dc9d808ea6d943ec847117744949a3de"/>
                <w:id w:val="1679626062"/>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19.6</w:t>
                    </w:r>
                    <w:r w:rsidR="00313E71">
                      <w:rPr>
                        <w:rFonts w:hint="eastAsia"/>
                        <w:szCs w:val="21"/>
                        <w:shd w:val="clear" w:color="auto" w:fill="FFFFFF"/>
                      </w:rPr>
                      <w:t>0</w:t>
                    </w:r>
                  </w:p>
                </w:tc>
              </w:sdtContent>
            </w:sdt>
          </w:tr>
          <w:tr w:rsidR="00C84DD8" w:rsidTr="00DE031E">
            <w:trPr>
              <w:cantSplit/>
              <w:jc w:val="center"/>
            </w:trPr>
            <w:tc>
              <w:tcPr>
                <w:tcW w:w="480" w:type="pct"/>
                <w:tcBorders>
                  <w:top w:val="single" w:sz="4" w:space="0" w:color="auto"/>
                  <w:left w:val="single" w:sz="4" w:space="0" w:color="auto"/>
                  <w:bottom w:val="single" w:sz="4" w:space="0" w:color="auto"/>
                  <w:right w:val="single" w:sz="4" w:space="0" w:color="auto"/>
                </w:tcBorders>
              </w:tcPr>
              <w:p w:rsidR="00C84DD8" w:rsidRDefault="00C84DD8" w:rsidP="00DE031E">
                <w:pPr>
                  <w:rPr>
                    <w:szCs w:val="21"/>
                    <w:shd w:val="clear" w:color="auto" w:fill="FFFFFF"/>
                  </w:rPr>
                </w:pPr>
                <w:r>
                  <w:rPr>
                    <w:rFonts w:hint="eastAsia"/>
                    <w:szCs w:val="21"/>
                    <w:shd w:val="clear" w:color="auto" w:fill="FFFFFF"/>
                  </w:rPr>
                  <w:t>3年以上</w:t>
                </w:r>
              </w:p>
            </w:tc>
            <w:sdt>
              <w:sdtPr>
                <w:rPr>
                  <w:rStyle w:val="af5"/>
                  <w:szCs w:val="21"/>
                  <w:shd w:val="clear" w:color="auto" w:fill="FFFFFF"/>
                </w:rPr>
                <w:alias w:val="应收账款三年以上合计"/>
                <w:tag w:val="_GBC_4606a15d979c48aa81dfc93356f3a846"/>
                <w:id w:val="2116554852"/>
                <w:lock w:val="sdtLocked"/>
              </w:sdtPr>
              <w:sdtEndPr>
                <w:rPr>
                  <w:rStyle w:val="af5"/>
                  <w:rFonts w:hint="eastAsia"/>
                </w:rPr>
              </w:sdtEnd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629,703.70</w:t>
                    </w:r>
                  </w:p>
                </w:tc>
              </w:sdtContent>
            </w:sdt>
            <w:sdt>
              <w:sdtPr>
                <w:rPr>
                  <w:rStyle w:val="af5"/>
                  <w:szCs w:val="21"/>
                  <w:shd w:val="clear" w:color="auto" w:fill="FFFFFF"/>
                </w:rPr>
                <w:alias w:val="应收账款三年以上合计比例"/>
                <w:tag w:val="_GBC_5c91ddb0d6ff4aba9b88685994a77bb6"/>
                <w:id w:val="614097814"/>
                <w:lock w:val="sdtLocked"/>
              </w:sdtPr>
              <w:sdtEndPr>
                <w:rPr>
                  <w:rStyle w:val="af5"/>
                  <w:rFonts w:hint="eastAsia"/>
                </w:rPr>
              </w:sdtEnd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0.02</w:t>
                    </w:r>
                  </w:p>
                </w:tc>
              </w:sdtContent>
            </w:sdt>
            <w:sdt>
              <w:sdtPr>
                <w:rPr>
                  <w:rStyle w:val="af5"/>
                  <w:szCs w:val="21"/>
                  <w:shd w:val="clear" w:color="auto" w:fill="FFFFFF"/>
                </w:rPr>
                <w:alias w:val="应收账款三年以上坏账准备合计"/>
                <w:tag w:val="_GBC_5f10eceaf694486fb4541133448279d8"/>
                <w:id w:val="-1181115890"/>
                <w:lock w:val="sdtLocked"/>
              </w:sdtPr>
              <w:sdtEndPr>
                <w:rPr>
                  <w:rStyle w:val="af5"/>
                  <w:rFonts w:hint="eastAsia"/>
                </w:rPr>
              </w:sdtEnd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270,786.70</w:t>
                    </w:r>
                  </w:p>
                </w:tc>
              </w:sdtContent>
            </w:sdt>
            <w:sdt>
              <w:sdtPr>
                <w:rPr>
                  <w:szCs w:val="21"/>
                  <w:shd w:val="clear" w:color="auto" w:fill="FFFFFF"/>
                </w:rPr>
                <w:alias w:val="应收账款三年以上坏账准备比例"/>
                <w:tag w:val="_GBC_c870bd99a3e1421984b76755517bdbf4"/>
                <w:id w:val="1847984446"/>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43.00</w:t>
                    </w:r>
                  </w:p>
                </w:tc>
              </w:sdtContent>
            </w:sdt>
            <w:sdt>
              <w:sdtPr>
                <w:rPr>
                  <w:szCs w:val="21"/>
                  <w:shd w:val="clear" w:color="auto" w:fill="FFFFFF"/>
                </w:rPr>
                <w:alias w:val="应收账款三年以上合计"/>
                <w:tag w:val="_GBC_bd77a03e4eac402aa1c82d3d647e556a"/>
                <w:id w:val="21745923"/>
                <w:lock w:val="sdtLocked"/>
              </w:sdt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10,983,456.13</w:t>
                    </w:r>
                  </w:p>
                </w:tc>
              </w:sdtContent>
            </w:sdt>
            <w:sdt>
              <w:sdtPr>
                <w:rPr>
                  <w:szCs w:val="21"/>
                  <w:shd w:val="clear" w:color="auto" w:fill="FFFFFF"/>
                </w:rPr>
                <w:alias w:val="应收账款三年以上合计比例"/>
                <w:tag w:val="_GBC_4e650874ad3f4fedbba1cdcd07931b20"/>
                <w:id w:val="-1046296661"/>
                <w:lock w:val="sdtLocked"/>
              </w:sdt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0.53</w:t>
                    </w:r>
                  </w:p>
                </w:tc>
              </w:sdtContent>
            </w:sdt>
            <w:sdt>
              <w:sdtPr>
                <w:rPr>
                  <w:szCs w:val="21"/>
                  <w:shd w:val="clear" w:color="auto" w:fill="FFFFFF"/>
                </w:rPr>
                <w:alias w:val="应收账款三年以上坏账准备合计"/>
                <w:tag w:val="_GBC_5b98243e971242f2a8f2ed1e1e104467"/>
                <w:id w:val="1407195539"/>
                <w:lock w:val="sdtLocked"/>
              </w:sdt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5,426,805.38</w:t>
                    </w:r>
                  </w:p>
                </w:tc>
              </w:sdtContent>
            </w:sdt>
            <w:sdt>
              <w:sdtPr>
                <w:rPr>
                  <w:szCs w:val="21"/>
                  <w:shd w:val="clear" w:color="auto" w:fill="FFFFFF"/>
                </w:rPr>
                <w:alias w:val="应收账款三年以上坏账准备比例"/>
                <w:tag w:val="_GBC_95d1af32db54465b9d980c3df3c9c1c6"/>
                <w:id w:val="2063435036"/>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49.41</w:t>
                    </w:r>
                  </w:p>
                </w:tc>
              </w:sdtContent>
            </w:sdt>
          </w:tr>
          <w:tr w:rsidR="00C84DD8" w:rsidTr="00DE031E">
            <w:trPr>
              <w:cantSplit/>
              <w:jc w:val="center"/>
            </w:trPr>
            <w:tc>
              <w:tcPr>
                <w:tcW w:w="480" w:type="pct"/>
                <w:tcBorders>
                  <w:top w:val="single" w:sz="4" w:space="0" w:color="auto"/>
                  <w:left w:val="single" w:sz="4" w:space="0" w:color="auto"/>
                  <w:bottom w:val="single" w:sz="4" w:space="0" w:color="auto"/>
                  <w:right w:val="single" w:sz="4" w:space="0" w:color="auto"/>
                </w:tcBorders>
                <w:vAlign w:val="center"/>
              </w:tcPr>
              <w:p w:rsidR="00C84DD8" w:rsidRDefault="00C84DD8" w:rsidP="00DE031E">
                <w:pPr>
                  <w:jc w:val="center"/>
                  <w:rPr>
                    <w:szCs w:val="21"/>
                    <w:shd w:val="clear" w:color="auto" w:fill="FFFFFF"/>
                  </w:rPr>
                </w:pPr>
                <w:r>
                  <w:rPr>
                    <w:rFonts w:hint="eastAsia"/>
                    <w:szCs w:val="21"/>
                    <w:shd w:val="clear" w:color="auto" w:fill="FFFFFF"/>
                  </w:rPr>
                  <w:t>合计</w:t>
                </w:r>
              </w:p>
            </w:tc>
            <w:sdt>
              <w:sdtPr>
                <w:rPr>
                  <w:rStyle w:val="af5"/>
                  <w:szCs w:val="21"/>
                  <w:shd w:val="clear" w:color="auto" w:fill="FFFFFF"/>
                </w:rPr>
                <w:alias w:val="单项金额不重大但按信用风险特征组合后该组合的风险较大的应收账款合计"/>
                <w:tag w:val="_GBC_967acd715d5049c784846cb43274783d"/>
                <w:id w:val="-285040804"/>
                <w:lock w:val="sdtLocked"/>
              </w:sdtPr>
              <w:sdtEndPr>
                <w:rPr>
                  <w:rStyle w:val="af5"/>
                  <w:rFonts w:hint="eastAsia"/>
                </w:rPr>
              </w:sdtEnd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3,810,445,922.17</w:t>
                    </w:r>
                  </w:p>
                </w:tc>
              </w:sdtContent>
            </w:sdt>
            <w:sdt>
              <w:sdtPr>
                <w:rPr>
                  <w:rStyle w:val="af5"/>
                  <w:szCs w:val="21"/>
                  <w:shd w:val="clear" w:color="auto" w:fill="FFFFFF"/>
                </w:rPr>
                <w:alias w:val="应收账款合计比例"/>
                <w:tag w:val="_GBC_ccecda21b1d34205b9b547f8d189e5b1"/>
                <w:id w:val="-467745391"/>
                <w:lock w:val="sdtLocked"/>
              </w:sdtPr>
              <w:sdtEndPr>
                <w:rPr>
                  <w:rStyle w:val="af5"/>
                  <w:rFonts w:hint="eastAsia"/>
                </w:rPr>
              </w:sdtEnd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100.00</w:t>
                    </w:r>
                  </w:p>
                </w:tc>
              </w:sdtContent>
            </w:sdt>
            <w:sdt>
              <w:sdtPr>
                <w:rPr>
                  <w:rStyle w:val="af5"/>
                  <w:szCs w:val="21"/>
                  <w:shd w:val="clear" w:color="auto" w:fill="FFFFFF"/>
                </w:rPr>
                <w:alias w:val="单项金额不重大但按信用风险特征组合后该组合的风险较大的应收账款计提的坏账准备合计"/>
                <w:tag w:val="_GBC_c4448d70e8074ffeaac7c28e1a0dac94"/>
                <w:id w:val="-1512062013"/>
                <w:lock w:val="sdtLocked"/>
              </w:sdtPr>
              <w:sdtEndPr>
                <w:rPr>
                  <w:rStyle w:val="af5"/>
                  <w:rFonts w:hint="eastAsia"/>
                </w:rPr>
              </w:sdtEnd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rStyle w:val="af5"/>
                        <w:szCs w:val="21"/>
                        <w:shd w:val="clear" w:color="auto" w:fill="FFFFFF"/>
                      </w:rPr>
                      <w:t>11,288,990.66</w:t>
                    </w:r>
                  </w:p>
                </w:tc>
              </w:sdtContent>
            </w:sdt>
            <w:sdt>
              <w:sdtPr>
                <w:rPr>
                  <w:szCs w:val="21"/>
                  <w:shd w:val="clear" w:color="auto" w:fill="FFFFFF"/>
                </w:rPr>
                <w:alias w:val="应收账款坏账准备合计比例"/>
                <w:tag w:val="_GBC_3493bd4ef9224d9588d6627c2e9a8ff3"/>
                <w:id w:val="2006939716"/>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0.30</w:t>
                    </w:r>
                  </w:p>
                </w:tc>
              </w:sdtContent>
            </w:sdt>
            <w:sdt>
              <w:sdtPr>
                <w:rPr>
                  <w:szCs w:val="21"/>
                  <w:shd w:val="clear" w:color="auto" w:fill="FFFFFF"/>
                </w:rPr>
                <w:alias w:val="单项金额不重大但按信用风险特征组合后该组合的风险较大的应收账款合计"/>
                <w:tag w:val="_GBC_d118869abecf418cb42ea38431a321c7"/>
                <w:id w:val="433412228"/>
                <w:lock w:val="sdtLocked"/>
              </w:sdtPr>
              <w:sdtContent>
                <w:tc>
                  <w:tcPr>
                    <w:tcW w:w="88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2,082,644,030.26</w:t>
                    </w:r>
                  </w:p>
                </w:tc>
              </w:sdtContent>
            </w:sdt>
            <w:sdt>
              <w:sdtPr>
                <w:rPr>
                  <w:szCs w:val="21"/>
                  <w:shd w:val="clear" w:color="auto" w:fill="FFFFFF"/>
                </w:rPr>
                <w:alias w:val="应收账款合计比例"/>
                <w:tag w:val="_GBC_9212c8d14b4f40f0986ce35cb7b42344"/>
                <w:id w:val="497851507"/>
                <w:lock w:val="sdtLocked"/>
              </w:sdtPr>
              <w:sdtContent>
                <w:tc>
                  <w:tcPr>
                    <w:tcW w:w="352"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100</w:t>
                    </w:r>
                    <w:r w:rsidR="00313E71">
                      <w:rPr>
                        <w:rFonts w:hint="eastAsia"/>
                        <w:szCs w:val="21"/>
                        <w:shd w:val="clear" w:color="auto" w:fill="FFFFFF"/>
                      </w:rPr>
                      <w:t>.00</w:t>
                    </w:r>
                  </w:p>
                </w:tc>
              </w:sdtContent>
            </w:sdt>
            <w:sdt>
              <w:sdtPr>
                <w:rPr>
                  <w:szCs w:val="21"/>
                  <w:shd w:val="clear" w:color="auto" w:fill="FFFFFF"/>
                </w:rPr>
                <w:alias w:val="单项金额不重大但按信用风险特征组合后该组合的风险较大的应收账款计提的坏账准备合计"/>
                <w:tag w:val="_GBC_56df95270cc24f9294deb2829940676b"/>
                <w:id w:val="1242993538"/>
                <w:lock w:val="sdtLocked"/>
              </w:sdtPr>
              <w:sdtContent>
                <w:tc>
                  <w:tcPr>
                    <w:tcW w:w="725"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15,700,807.73</w:t>
                    </w:r>
                  </w:p>
                </w:tc>
              </w:sdtContent>
            </w:sdt>
            <w:sdt>
              <w:sdtPr>
                <w:rPr>
                  <w:szCs w:val="21"/>
                  <w:shd w:val="clear" w:color="auto" w:fill="FFFFFF"/>
                </w:rPr>
                <w:alias w:val="应收账款坏账准备合计比例"/>
                <w:tag w:val="_GBC_5cdcd843f05b4e0d91b76701f9163ea5"/>
                <w:id w:val="1375668656"/>
                <w:lock w:val="sdtLocked"/>
              </w:sdtPr>
              <w:sdtContent>
                <w:tc>
                  <w:tcPr>
                    <w:tcW w:w="298" w:type="pct"/>
                    <w:tcBorders>
                      <w:top w:val="single" w:sz="4" w:space="0" w:color="auto"/>
                      <w:left w:val="single" w:sz="4" w:space="0" w:color="auto"/>
                      <w:bottom w:val="single" w:sz="4" w:space="0" w:color="auto"/>
                      <w:right w:val="single" w:sz="4" w:space="0" w:color="auto"/>
                    </w:tcBorders>
                  </w:tcPr>
                  <w:p w:rsidR="00C84DD8" w:rsidRDefault="00C84DD8" w:rsidP="00DE031E">
                    <w:pPr>
                      <w:jc w:val="right"/>
                      <w:rPr>
                        <w:szCs w:val="21"/>
                        <w:shd w:val="clear" w:color="auto" w:fill="FFFFFF"/>
                      </w:rPr>
                    </w:pPr>
                    <w:r>
                      <w:rPr>
                        <w:szCs w:val="21"/>
                        <w:shd w:val="clear" w:color="auto" w:fill="FFFFFF"/>
                      </w:rPr>
                      <w:t>0.75</w:t>
                    </w:r>
                  </w:p>
                </w:tc>
              </w:sdtContent>
            </w:sdt>
          </w:tr>
        </w:tbl>
        <w:p w:rsidR="00DE031E" w:rsidRDefault="001C1A59" w:rsidP="003A0284">
          <w:pPr>
            <w:spacing w:beforeLines="50" w:line="360" w:lineRule="auto"/>
            <w:ind w:rightChars="-759" w:right="-1594"/>
            <w:rPr>
              <w:rFonts w:ascii="Arial" w:hAnsi="Arial" w:cs="Arial"/>
              <w:sz w:val="22"/>
              <w:szCs w:val="22"/>
            </w:rPr>
          </w:pPr>
          <w:r w:rsidRPr="00687C1B">
            <w:rPr>
              <w:rFonts w:ascii="Arial" w:hAnsi="Arial" w:cs="Arial"/>
              <w:sz w:val="22"/>
              <w:szCs w:val="22"/>
            </w:rPr>
            <w:t>其中：逾期应收款项账龄列示如下：</w:t>
          </w:r>
        </w:p>
        <w:tbl>
          <w:tblPr>
            <w:tblW w:w="5000" w:type="pct"/>
            <w:tblLook w:val="04A0"/>
          </w:tblPr>
          <w:tblGrid>
            <w:gridCol w:w="2252"/>
            <w:gridCol w:w="997"/>
            <w:gridCol w:w="1641"/>
            <w:gridCol w:w="1305"/>
            <w:gridCol w:w="1714"/>
            <w:gridCol w:w="1140"/>
          </w:tblGrid>
          <w:tr w:rsidR="00DE031E" w:rsidRPr="00F040B1" w:rsidTr="00DE031E">
            <w:trPr>
              <w:trHeight w:val="340"/>
            </w:trPr>
            <w:tc>
              <w:tcPr>
                <w:tcW w:w="1244" w:type="pct"/>
                <w:vMerge w:val="restart"/>
                <w:tcBorders>
                  <w:top w:val="nil"/>
                  <w:left w:val="nil"/>
                  <w:right w:val="nil"/>
                </w:tcBorders>
                <w:shd w:val="clear" w:color="auto" w:fill="auto"/>
                <w:noWrap/>
                <w:vAlign w:val="center"/>
                <w:hideMark/>
              </w:tcPr>
              <w:p w:rsidR="00DE031E" w:rsidRPr="00F040B1" w:rsidRDefault="001C1A59" w:rsidP="00DE031E">
                <w:pPr>
                  <w:ind w:rightChars="-50" w:right="-105"/>
                  <w:rPr>
                    <w:rFonts w:asciiTheme="minorEastAsia" w:eastAsiaTheme="minorEastAsia" w:hAnsiTheme="minorEastAsia" w:cs="Arial"/>
                    <w:b/>
                    <w:bCs/>
                    <w:szCs w:val="21"/>
                  </w:rPr>
                </w:pPr>
                <w:r w:rsidRPr="00F040B1">
                  <w:rPr>
                    <w:rFonts w:asciiTheme="minorEastAsia" w:eastAsiaTheme="minorEastAsia" w:hAnsiTheme="minorEastAsia" w:cs="Arial"/>
                    <w:b/>
                    <w:bCs/>
                    <w:szCs w:val="21"/>
                  </w:rPr>
                  <w:t>账龄</w:t>
                </w:r>
              </w:p>
            </w:tc>
            <w:tc>
              <w:tcPr>
                <w:tcW w:w="551" w:type="pct"/>
                <w:tcBorders>
                  <w:top w:val="nil"/>
                  <w:left w:val="nil"/>
                  <w:right w:val="nil"/>
                </w:tcBorders>
                <w:shd w:val="clear" w:color="auto" w:fill="auto"/>
                <w:noWrap/>
                <w:tcMar>
                  <w:left w:w="28" w:type="dxa"/>
                  <w:right w:w="28" w:type="dxa"/>
                </w:tcMar>
                <w:vAlign w:val="center"/>
                <w:hideMark/>
              </w:tcPr>
              <w:p w:rsidR="00DE031E" w:rsidRPr="00F040B1" w:rsidRDefault="00DE031E" w:rsidP="00DE031E">
                <w:pPr>
                  <w:ind w:leftChars="-50" w:left="-105" w:rightChars="-50" w:right="-105"/>
                  <w:rPr>
                    <w:rFonts w:asciiTheme="minorEastAsia" w:eastAsiaTheme="minorEastAsia" w:hAnsiTheme="minorEastAsia" w:cs="Arial"/>
                    <w:b/>
                    <w:bCs/>
                    <w:szCs w:val="21"/>
                  </w:rPr>
                </w:pPr>
              </w:p>
            </w:tc>
            <w:tc>
              <w:tcPr>
                <w:tcW w:w="3205" w:type="pct"/>
                <w:gridSpan w:val="4"/>
                <w:tcBorders>
                  <w:top w:val="nil"/>
                  <w:left w:val="nil"/>
                  <w:bottom w:val="single" w:sz="4" w:space="0" w:color="auto"/>
                  <w:right w:val="nil"/>
                </w:tcBorders>
                <w:shd w:val="clear" w:color="auto" w:fill="auto"/>
                <w:vAlign w:val="center"/>
                <w:hideMark/>
              </w:tcPr>
              <w:p w:rsidR="00DE031E" w:rsidRPr="00F040B1" w:rsidRDefault="001C1A59" w:rsidP="00DE031E">
                <w:pPr>
                  <w:ind w:leftChars="-50" w:left="-105" w:rightChars="-50" w:right="-105"/>
                  <w:jc w:val="center"/>
                  <w:rPr>
                    <w:rFonts w:asciiTheme="minorEastAsia" w:eastAsiaTheme="minorEastAsia" w:hAnsiTheme="minorEastAsia" w:cs="Arial"/>
                    <w:b/>
                    <w:bCs/>
                    <w:szCs w:val="21"/>
                  </w:rPr>
                </w:pPr>
                <w:r w:rsidRPr="00F040B1">
                  <w:rPr>
                    <w:rFonts w:asciiTheme="minorEastAsia" w:eastAsiaTheme="minorEastAsia" w:hAnsiTheme="minorEastAsia" w:cs="Arial" w:hint="eastAsia"/>
                    <w:b/>
                    <w:bCs/>
                    <w:szCs w:val="21"/>
                  </w:rPr>
                  <w:t>2015年6月30日</w:t>
                </w:r>
              </w:p>
            </w:tc>
          </w:tr>
          <w:tr w:rsidR="00DE031E" w:rsidRPr="00F040B1" w:rsidTr="00DE031E">
            <w:trPr>
              <w:trHeight w:val="340"/>
            </w:trPr>
            <w:tc>
              <w:tcPr>
                <w:tcW w:w="1244" w:type="pct"/>
                <w:vMerge/>
                <w:tcBorders>
                  <w:left w:val="nil"/>
                  <w:right w:val="nil"/>
                </w:tcBorders>
                <w:vAlign w:val="center"/>
                <w:hideMark/>
              </w:tcPr>
              <w:p w:rsidR="00DE031E" w:rsidRPr="00F040B1" w:rsidRDefault="00DE031E" w:rsidP="00DE031E">
                <w:pPr>
                  <w:ind w:rightChars="-50" w:right="-105"/>
                  <w:rPr>
                    <w:rFonts w:asciiTheme="minorEastAsia" w:eastAsiaTheme="minorEastAsia" w:hAnsiTheme="minorEastAsia" w:cs="Arial"/>
                    <w:b/>
                    <w:bCs/>
                    <w:szCs w:val="21"/>
                  </w:rPr>
                </w:pPr>
              </w:p>
            </w:tc>
            <w:tc>
              <w:tcPr>
                <w:tcW w:w="551" w:type="pct"/>
                <w:tcBorders>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jc w:val="center"/>
                  <w:rPr>
                    <w:rFonts w:asciiTheme="minorEastAsia" w:eastAsiaTheme="minorEastAsia" w:hAnsiTheme="minorEastAsia" w:cs="Arial"/>
                    <w:b/>
                    <w:bCs/>
                    <w:szCs w:val="21"/>
                  </w:rPr>
                </w:pPr>
              </w:p>
            </w:tc>
            <w:tc>
              <w:tcPr>
                <w:tcW w:w="1628" w:type="pct"/>
                <w:gridSpan w:val="2"/>
                <w:tcBorders>
                  <w:top w:val="single" w:sz="4" w:space="0" w:color="auto"/>
                  <w:left w:val="nil"/>
                  <w:right w:val="nil"/>
                </w:tcBorders>
                <w:shd w:val="clear" w:color="auto" w:fill="auto"/>
                <w:vAlign w:val="center"/>
                <w:hideMark/>
              </w:tcPr>
              <w:p w:rsidR="00DE031E" w:rsidRPr="00F040B1" w:rsidRDefault="001C1A59" w:rsidP="00DE031E">
                <w:pPr>
                  <w:ind w:leftChars="-50" w:left="-105"/>
                  <w:jc w:val="center"/>
                  <w:rPr>
                    <w:rFonts w:asciiTheme="minorEastAsia" w:eastAsiaTheme="minorEastAsia" w:hAnsiTheme="minorEastAsia" w:cs="Arial"/>
                    <w:b/>
                    <w:bCs/>
                    <w:szCs w:val="21"/>
                  </w:rPr>
                </w:pPr>
                <w:r w:rsidRPr="00F040B1">
                  <w:rPr>
                    <w:rFonts w:asciiTheme="minorEastAsia" w:eastAsiaTheme="minorEastAsia" w:hAnsiTheme="minorEastAsia" w:cs="Arial"/>
                    <w:b/>
                    <w:bCs/>
                    <w:szCs w:val="21"/>
                  </w:rPr>
                  <w:t>账面余额</w:t>
                </w:r>
              </w:p>
            </w:tc>
            <w:tc>
              <w:tcPr>
                <w:tcW w:w="1577" w:type="pct"/>
                <w:gridSpan w:val="2"/>
                <w:tcBorders>
                  <w:top w:val="single" w:sz="4" w:space="0" w:color="auto"/>
                  <w:left w:val="nil"/>
                  <w:right w:val="nil"/>
                </w:tcBorders>
                <w:shd w:val="clear" w:color="auto" w:fill="auto"/>
                <w:vAlign w:val="center"/>
                <w:hideMark/>
              </w:tcPr>
              <w:p w:rsidR="00DE031E" w:rsidRPr="00F040B1" w:rsidRDefault="001C1A59" w:rsidP="00DE031E">
                <w:pPr>
                  <w:ind w:leftChars="-50" w:left="-105"/>
                  <w:jc w:val="center"/>
                  <w:rPr>
                    <w:rFonts w:asciiTheme="minorEastAsia" w:eastAsiaTheme="minorEastAsia" w:hAnsiTheme="minorEastAsia" w:cs="Arial"/>
                    <w:b/>
                    <w:bCs/>
                    <w:szCs w:val="21"/>
                  </w:rPr>
                </w:pPr>
                <w:r w:rsidRPr="00F040B1">
                  <w:rPr>
                    <w:rFonts w:asciiTheme="minorEastAsia" w:eastAsiaTheme="minorEastAsia" w:hAnsiTheme="minorEastAsia" w:cs="Arial"/>
                    <w:b/>
                    <w:bCs/>
                    <w:szCs w:val="21"/>
                  </w:rPr>
                  <w:t>坏账准备</w:t>
                </w:r>
              </w:p>
            </w:tc>
          </w:tr>
          <w:tr w:rsidR="00DE031E" w:rsidRPr="00F040B1" w:rsidTr="00DE031E">
            <w:trPr>
              <w:trHeight w:val="340"/>
            </w:trPr>
            <w:tc>
              <w:tcPr>
                <w:tcW w:w="1244" w:type="pct"/>
                <w:vMerge/>
                <w:tcBorders>
                  <w:left w:val="nil"/>
                  <w:bottom w:val="nil"/>
                  <w:right w:val="nil"/>
                </w:tcBorders>
                <w:vAlign w:val="center"/>
                <w:hideMark/>
              </w:tcPr>
              <w:p w:rsidR="00DE031E" w:rsidRPr="00F040B1" w:rsidRDefault="00DE031E" w:rsidP="00DE031E">
                <w:pPr>
                  <w:ind w:rightChars="-50" w:right="-105"/>
                  <w:rPr>
                    <w:rFonts w:asciiTheme="minorEastAsia" w:eastAsiaTheme="minorEastAsia" w:hAnsiTheme="minorEastAsia" w:cs="Arial"/>
                    <w:b/>
                    <w:bCs/>
                    <w:szCs w:val="21"/>
                  </w:rPr>
                </w:pPr>
              </w:p>
            </w:tc>
            <w:tc>
              <w:tcPr>
                <w:tcW w:w="551"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jc w:val="center"/>
                  <w:rPr>
                    <w:rFonts w:asciiTheme="minorEastAsia" w:eastAsiaTheme="minorEastAsia" w:hAnsiTheme="minorEastAsia" w:cs="Arial"/>
                    <w:b/>
                    <w:bCs/>
                    <w:szCs w:val="21"/>
                  </w:rPr>
                </w:pPr>
              </w:p>
            </w:tc>
            <w:tc>
              <w:tcPr>
                <w:tcW w:w="907" w:type="pct"/>
                <w:tcBorders>
                  <w:left w:val="nil"/>
                  <w:bottom w:val="nil"/>
                </w:tcBorders>
                <w:shd w:val="clear" w:color="auto" w:fill="auto"/>
                <w:vAlign w:val="center"/>
                <w:hideMark/>
              </w:tcPr>
              <w:p w:rsidR="00DE031E" w:rsidRPr="00F040B1" w:rsidRDefault="001C1A59" w:rsidP="00DE031E">
                <w:pPr>
                  <w:ind w:leftChars="-50" w:left="-105"/>
                  <w:jc w:val="center"/>
                  <w:rPr>
                    <w:rFonts w:asciiTheme="minorEastAsia" w:eastAsiaTheme="minorEastAsia" w:hAnsiTheme="minorEastAsia" w:cs="Arial"/>
                    <w:b/>
                    <w:bCs/>
                    <w:szCs w:val="21"/>
                  </w:rPr>
                </w:pPr>
                <w:r w:rsidRPr="00F040B1">
                  <w:rPr>
                    <w:rFonts w:asciiTheme="minorEastAsia" w:eastAsiaTheme="minorEastAsia" w:hAnsiTheme="minorEastAsia" w:cs="Arial"/>
                    <w:b/>
                    <w:bCs/>
                    <w:szCs w:val="21"/>
                  </w:rPr>
                  <w:t>金额</w:t>
                </w:r>
              </w:p>
            </w:tc>
            <w:tc>
              <w:tcPr>
                <w:tcW w:w="721" w:type="pct"/>
                <w:tcBorders>
                  <w:bottom w:val="nil"/>
                </w:tcBorders>
                <w:shd w:val="clear" w:color="auto" w:fill="auto"/>
                <w:vAlign w:val="center"/>
                <w:hideMark/>
              </w:tcPr>
              <w:p w:rsidR="00DE031E" w:rsidRPr="00F040B1" w:rsidRDefault="001C1A59" w:rsidP="00DE031E">
                <w:pPr>
                  <w:ind w:leftChars="-50" w:left="-105" w:rightChars="-50" w:right="-105"/>
                  <w:jc w:val="center"/>
                  <w:rPr>
                    <w:rFonts w:asciiTheme="minorEastAsia" w:eastAsiaTheme="minorEastAsia" w:hAnsiTheme="minorEastAsia" w:cs="Arial"/>
                    <w:b/>
                    <w:bCs/>
                    <w:szCs w:val="21"/>
                  </w:rPr>
                </w:pPr>
                <w:r w:rsidRPr="00F040B1">
                  <w:rPr>
                    <w:rFonts w:asciiTheme="minorEastAsia" w:eastAsiaTheme="minorEastAsia" w:hAnsiTheme="minorEastAsia" w:cs="Arial"/>
                    <w:b/>
                    <w:bCs/>
                    <w:szCs w:val="21"/>
                  </w:rPr>
                  <w:t>比例%</w:t>
                </w:r>
              </w:p>
            </w:tc>
            <w:tc>
              <w:tcPr>
                <w:tcW w:w="947" w:type="pct"/>
                <w:tcBorders>
                  <w:bottom w:val="nil"/>
                </w:tcBorders>
                <w:shd w:val="clear" w:color="auto" w:fill="auto"/>
                <w:vAlign w:val="center"/>
                <w:hideMark/>
              </w:tcPr>
              <w:p w:rsidR="00DE031E" w:rsidRPr="00F040B1" w:rsidRDefault="001C1A59" w:rsidP="00DE031E">
                <w:pPr>
                  <w:ind w:leftChars="-50" w:left="-105"/>
                  <w:jc w:val="center"/>
                  <w:rPr>
                    <w:rFonts w:asciiTheme="minorEastAsia" w:eastAsiaTheme="minorEastAsia" w:hAnsiTheme="minorEastAsia" w:cs="Arial"/>
                    <w:b/>
                    <w:bCs/>
                    <w:szCs w:val="21"/>
                  </w:rPr>
                </w:pPr>
                <w:r w:rsidRPr="00F040B1">
                  <w:rPr>
                    <w:rFonts w:asciiTheme="minorEastAsia" w:eastAsiaTheme="minorEastAsia" w:hAnsiTheme="minorEastAsia" w:cs="Arial"/>
                    <w:b/>
                    <w:bCs/>
                    <w:szCs w:val="21"/>
                  </w:rPr>
                  <w:t>金额</w:t>
                </w:r>
              </w:p>
            </w:tc>
            <w:tc>
              <w:tcPr>
                <w:tcW w:w="630" w:type="pct"/>
                <w:tcBorders>
                  <w:bottom w:val="nil"/>
                  <w:right w:val="nil"/>
                </w:tcBorders>
                <w:shd w:val="clear" w:color="auto" w:fill="auto"/>
                <w:vAlign w:val="center"/>
              </w:tcPr>
              <w:p w:rsidR="00DE031E" w:rsidRPr="00F040B1" w:rsidRDefault="001C1A59" w:rsidP="00DE031E">
                <w:pPr>
                  <w:ind w:leftChars="-50" w:left="-105" w:rightChars="-20" w:right="-42"/>
                  <w:jc w:val="center"/>
                  <w:rPr>
                    <w:rFonts w:asciiTheme="minorEastAsia" w:eastAsiaTheme="minorEastAsia" w:hAnsiTheme="minorEastAsia" w:cs="Arial"/>
                    <w:b/>
                    <w:bCs/>
                    <w:szCs w:val="21"/>
                  </w:rPr>
                </w:pPr>
                <w:r w:rsidRPr="00F040B1">
                  <w:rPr>
                    <w:rFonts w:asciiTheme="minorEastAsia" w:eastAsiaTheme="minorEastAsia" w:hAnsiTheme="minorEastAsia" w:cs="Arial"/>
                    <w:b/>
                    <w:bCs/>
                    <w:szCs w:val="21"/>
                  </w:rPr>
                  <w:t>比例%</w:t>
                </w:r>
              </w:p>
            </w:tc>
          </w:tr>
          <w:tr w:rsidR="00DE031E" w:rsidRPr="00F040B1" w:rsidTr="00DE031E">
            <w:trPr>
              <w:trHeight w:val="340"/>
            </w:trPr>
            <w:tc>
              <w:tcPr>
                <w:tcW w:w="1244" w:type="pct"/>
                <w:tcBorders>
                  <w:top w:val="nil"/>
                  <w:left w:val="nil"/>
                  <w:bottom w:val="nil"/>
                  <w:right w:val="nil"/>
                </w:tcBorders>
                <w:shd w:val="clear" w:color="auto" w:fill="auto"/>
                <w:noWrap/>
                <w:vAlign w:val="center"/>
                <w:hideMark/>
              </w:tcPr>
              <w:p w:rsidR="00DE031E" w:rsidRPr="00F040B1" w:rsidRDefault="001C1A59" w:rsidP="00DE031E">
                <w:pPr>
                  <w:ind w:rightChars="-50" w:right="-105"/>
                  <w:rPr>
                    <w:rFonts w:asciiTheme="minorEastAsia" w:eastAsiaTheme="minorEastAsia" w:hAnsiTheme="minorEastAsia" w:cs="Arial"/>
                    <w:szCs w:val="21"/>
                  </w:rPr>
                </w:pPr>
                <w:r w:rsidRPr="00F040B1">
                  <w:rPr>
                    <w:rFonts w:asciiTheme="minorEastAsia" w:eastAsiaTheme="minorEastAsia" w:hAnsiTheme="minorEastAsia" w:cs="Arial"/>
                    <w:szCs w:val="21"/>
                  </w:rPr>
                  <w:t>1年以内（含1年）</w:t>
                </w:r>
              </w:p>
            </w:tc>
            <w:tc>
              <w:tcPr>
                <w:tcW w:w="551"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rightChars="-20" w:right="-42"/>
                  <w:jc w:val="right"/>
                  <w:rPr>
                    <w:rFonts w:asciiTheme="minorEastAsia" w:eastAsiaTheme="minorEastAsia" w:hAnsiTheme="minorEastAsia" w:cs="Arial"/>
                    <w:szCs w:val="21"/>
                  </w:rPr>
                </w:pPr>
              </w:p>
            </w:tc>
            <w:tc>
              <w:tcPr>
                <w:tcW w:w="907" w:type="pct"/>
                <w:tcBorders>
                  <w:top w:val="nil"/>
                  <w:left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54,631,877.67</w:t>
                </w:r>
              </w:p>
            </w:tc>
            <w:tc>
              <w:tcPr>
                <w:tcW w:w="721"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78.94</w:t>
                </w:r>
              </w:p>
            </w:tc>
            <w:tc>
              <w:tcPr>
                <w:tcW w:w="947"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273,159.39</w:t>
                </w:r>
              </w:p>
            </w:tc>
            <w:tc>
              <w:tcPr>
                <w:tcW w:w="630" w:type="pct"/>
                <w:tcBorders>
                  <w:top w:val="nil"/>
                  <w:bottom w:val="nil"/>
                  <w:right w:val="nil"/>
                </w:tcBorders>
                <w:shd w:val="clear" w:color="auto" w:fill="auto"/>
                <w:vAlign w:val="center"/>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0.50</w:t>
                </w:r>
              </w:p>
            </w:tc>
          </w:tr>
          <w:tr w:rsidR="00DE031E" w:rsidRPr="00F040B1" w:rsidTr="00DE031E">
            <w:trPr>
              <w:trHeight w:val="340"/>
            </w:trPr>
            <w:tc>
              <w:tcPr>
                <w:tcW w:w="1244" w:type="pct"/>
                <w:tcBorders>
                  <w:top w:val="nil"/>
                  <w:left w:val="nil"/>
                  <w:bottom w:val="nil"/>
                  <w:right w:val="nil"/>
                </w:tcBorders>
                <w:shd w:val="clear" w:color="auto" w:fill="auto"/>
                <w:noWrap/>
                <w:vAlign w:val="center"/>
                <w:hideMark/>
              </w:tcPr>
              <w:p w:rsidR="00DE031E" w:rsidRPr="00F040B1" w:rsidRDefault="001C1A59" w:rsidP="00DE031E">
                <w:pPr>
                  <w:ind w:rightChars="-50" w:right="-105"/>
                  <w:rPr>
                    <w:rFonts w:asciiTheme="minorEastAsia" w:eastAsiaTheme="minorEastAsia" w:hAnsiTheme="minorEastAsia" w:cs="Arial"/>
                    <w:szCs w:val="21"/>
                  </w:rPr>
                </w:pPr>
                <w:r w:rsidRPr="00F040B1">
                  <w:rPr>
                    <w:rFonts w:asciiTheme="minorEastAsia" w:eastAsiaTheme="minorEastAsia" w:hAnsiTheme="minorEastAsia" w:cs="Arial"/>
                    <w:szCs w:val="21"/>
                  </w:rPr>
                  <w:t>1-2年（含2年）</w:t>
                </w:r>
              </w:p>
            </w:tc>
            <w:tc>
              <w:tcPr>
                <w:tcW w:w="551"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rightChars="-20" w:right="-42"/>
                  <w:jc w:val="right"/>
                  <w:rPr>
                    <w:rFonts w:asciiTheme="minorEastAsia" w:eastAsiaTheme="minorEastAsia" w:hAnsiTheme="minorEastAsia" w:cs="Arial"/>
                    <w:szCs w:val="21"/>
                  </w:rPr>
                </w:pPr>
              </w:p>
            </w:tc>
            <w:tc>
              <w:tcPr>
                <w:tcW w:w="907" w:type="pct"/>
                <w:tcBorders>
                  <w:top w:val="nil"/>
                  <w:left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13,440,071.10</w:t>
                </w:r>
              </w:p>
            </w:tc>
            <w:tc>
              <w:tcPr>
                <w:tcW w:w="721"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19.42</w:t>
                </w:r>
              </w:p>
            </w:tc>
            <w:tc>
              <w:tcPr>
                <w:tcW w:w="947"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1,344,007.11</w:t>
                </w:r>
              </w:p>
            </w:tc>
            <w:tc>
              <w:tcPr>
                <w:tcW w:w="630" w:type="pct"/>
                <w:tcBorders>
                  <w:top w:val="nil"/>
                  <w:bottom w:val="nil"/>
                  <w:right w:val="nil"/>
                </w:tcBorders>
                <w:shd w:val="clear" w:color="auto" w:fill="auto"/>
                <w:vAlign w:val="center"/>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10.00</w:t>
                </w:r>
              </w:p>
            </w:tc>
          </w:tr>
          <w:tr w:rsidR="00DE031E" w:rsidRPr="00F040B1" w:rsidTr="00DE031E">
            <w:trPr>
              <w:trHeight w:val="340"/>
            </w:trPr>
            <w:tc>
              <w:tcPr>
                <w:tcW w:w="1244" w:type="pct"/>
                <w:tcBorders>
                  <w:top w:val="nil"/>
                  <w:left w:val="nil"/>
                  <w:bottom w:val="nil"/>
                  <w:right w:val="nil"/>
                </w:tcBorders>
                <w:shd w:val="clear" w:color="auto" w:fill="auto"/>
                <w:noWrap/>
                <w:vAlign w:val="center"/>
                <w:hideMark/>
              </w:tcPr>
              <w:p w:rsidR="00DE031E" w:rsidRPr="00F040B1" w:rsidRDefault="001C1A59" w:rsidP="00DE031E">
                <w:pPr>
                  <w:ind w:rightChars="-50" w:right="-105"/>
                  <w:rPr>
                    <w:rFonts w:asciiTheme="minorEastAsia" w:eastAsiaTheme="minorEastAsia" w:hAnsiTheme="minorEastAsia" w:cs="Arial"/>
                    <w:szCs w:val="21"/>
                  </w:rPr>
                </w:pPr>
                <w:r w:rsidRPr="00F040B1">
                  <w:rPr>
                    <w:rFonts w:asciiTheme="minorEastAsia" w:eastAsiaTheme="minorEastAsia" w:hAnsiTheme="minorEastAsia" w:cs="Arial"/>
                    <w:szCs w:val="21"/>
                  </w:rPr>
                  <w:t>2-3年（含3年）</w:t>
                </w:r>
              </w:p>
            </w:tc>
            <w:tc>
              <w:tcPr>
                <w:tcW w:w="551"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rightChars="-20" w:right="-42"/>
                  <w:jc w:val="right"/>
                  <w:rPr>
                    <w:rFonts w:asciiTheme="minorEastAsia" w:eastAsiaTheme="minorEastAsia" w:hAnsiTheme="minorEastAsia" w:cs="Arial"/>
                    <w:szCs w:val="21"/>
                  </w:rPr>
                </w:pPr>
              </w:p>
            </w:tc>
            <w:tc>
              <w:tcPr>
                <w:tcW w:w="907" w:type="pct"/>
                <w:tcBorders>
                  <w:top w:val="nil"/>
                  <w:left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594,077.80</w:t>
                </w:r>
              </w:p>
            </w:tc>
            <w:tc>
              <w:tcPr>
                <w:tcW w:w="721"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0.86</w:t>
                </w:r>
              </w:p>
            </w:tc>
            <w:tc>
              <w:tcPr>
                <w:tcW w:w="947"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118,815.56</w:t>
                </w:r>
              </w:p>
            </w:tc>
            <w:tc>
              <w:tcPr>
                <w:tcW w:w="630" w:type="pct"/>
                <w:tcBorders>
                  <w:top w:val="nil"/>
                  <w:bottom w:val="nil"/>
                  <w:right w:val="nil"/>
                </w:tcBorders>
                <w:shd w:val="clear" w:color="auto" w:fill="auto"/>
                <w:vAlign w:val="center"/>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20.00</w:t>
                </w:r>
              </w:p>
            </w:tc>
          </w:tr>
          <w:tr w:rsidR="00DE031E" w:rsidRPr="00F040B1" w:rsidTr="00DE031E">
            <w:trPr>
              <w:trHeight w:val="340"/>
            </w:trPr>
            <w:tc>
              <w:tcPr>
                <w:tcW w:w="1244" w:type="pct"/>
                <w:tcBorders>
                  <w:top w:val="nil"/>
                  <w:left w:val="nil"/>
                  <w:bottom w:val="nil"/>
                  <w:right w:val="nil"/>
                </w:tcBorders>
                <w:shd w:val="clear" w:color="auto" w:fill="auto"/>
                <w:noWrap/>
                <w:vAlign w:val="center"/>
                <w:hideMark/>
              </w:tcPr>
              <w:p w:rsidR="00DE031E" w:rsidRPr="00F040B1" w:rsidRDefault="001C1A59" w:rsidP="00DE031E">
                <w:pPr>
                  <w:ind w:rightChars="-50" w:right="-105"/>
                  <w:rPr>
                    <w:rFonts w:asciiTheme="minorEastAsia" w:eastAsiaTheme="minorEastAsia" w:hAnsiTheme="minorEastAsia" w:cs="Arial"/>
                    <w:szCs w:val="21"/>
                  </w:rPr>
                </w:pPr>
                <w:r w:rsidRPr="00F040B1">
                  <w:rPr>
                    <w:rFonts w:asciiTheme="minorEastAsia" w:eastAsiaTheme="minorEastAsia" w:hAnsiTheme="minorEastAsia" w:cs="Arial"/>
                    <w:szCs w:val="21"/>
                  </w:rPr>
                  <w:t>3年以上</w:t>
                </w:r>
              </w:p>
            </w:tc>
            <w:tc>
              <w:tcPr>
                <w:tcW w:w="551"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rightChars="-20" w:right="-42"/>
                  <w:jc w:val="right"/>
                  <w:rPr>
                    <w:rFonts w:asciiTheme="minorEastAsia" w:eastAsiaTheme="minorEastAsia" w:hAnsiTheme="minorEastAsia" w:cs="Arial"/>
                    <w:szCs w:val="21"/>
                  </w:rPr>
                </w:pPr>
              </w:p>
            </w:tc>
            <w:tc>
              <w:tcPr>
                <w:tcW w:w="907" w:type="pct"/>
                <w:tcBorders>
                  <w:top w:val="nil"/>
                  <w:left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541,573.40</w:t>
                </w:r>
              </w:p>
            </w:tc>
            <w:tc>
              <w:tcPr>
                <w:tcW w:w="721"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0.78</w:t>
                </w:r>
              </w:p>
            </w:tc>
            <w:tc>
              <w:tcPr>
                <w:tcW w:w="947"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270,786.70</w:t>
                </w:r>
              </w:p>
            </w:tc>
            <w:tc>
              <w:tcPr>
                <w:tcW w:w="630" w:type="pct"/>
                <w:tcBorders>
                  <w:top w:val="nil"/>
                  <w:bottom w:val="nil"/>
                  <w:right w:val="nil"/>
                </w:tcBorders>
                <w:shd w:val="clear" w:color="auto" w:fill="auto"/>
                <w:vAlign w:val="center"/>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50.00</w:t>
                </w:r>
              </w:p>
            </w:tc>
          </w:tr>
          <w:tr w:rsidR="00DE031E" w:rsidRPr="00F040B1" w:rsidTr="00DE031E">
            <w:trPr>
              <w:trHeight w:val="340"/>
            </w:trPr>
            <w:tc>
              <w:tcPr>
                <w:tcW w:w="1244" w:type="pct"/>
                <w:tcBorders>
                  <w:top w:val="nil"/>
                  <w:left w:val="nil"/>
                  <w:bottom w:val="nil"/>
                  <w:right w:val="nil"/>
                </w:tcBorders>
                <w:shd w:val="clear" w:color="auto" w:fill="auto"/>
                <w:noWrap/>
                <w:vAlign w:val="center"/>
                <w:hideMark/>
              </w:tcPr>
              <w:p w:rsidR="00DE031E" w:rsidRPr="00F040B1" w:rsidRDefault="001C1A59" w:rsidP="00DE031E">
                <w:pPr>
                  <w:ind w:rightChars="-50" w:right="-105"/>
                  <w:rPr>
                    <w:rFonts w:asciiTheme="minorEastAsia" w:eastAsiaTheme="minorEastAsia" w:hAnsiTheme="minorEastAsia" w:cs="Arial"/>
                    <w:b/>
                    <w:szCs w:val="21"/>
                  </w:rPr>
                </w:pPr>
                <w:r w:rsidRPr="00F040B1">
                  <w:rPr>
                    <w:rFonts w:asciiTheme="minorEastAsia" w:eastAsiaTheme="minorEastAsia" w:hAnsiTheme="minorEastAsia" w:cs="Arial"/>
                    <w:b/>
                    <w:szCs w:val="21"/>
                  </w:rPr>
                  <w:t>合计</w:t>
                </w:r>
              </w:p>
            </w:tc>
            <w:tc>
              <w:tcPr>
                <w:tcW w:w="551"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rightChars="-20" w:right="-42"/>
                  <w:jc w:val="right"/>
                  <w:rPr>
                    <w:rFonts w:asciiTheme="minorEastAsia" w:eastAsiaTheme="minorEastAsia" w:hAnsiTheme="minorEastAsia" w:cs="Arial"/>
                    <w:b/>
                    <w:szCs w:val="21"/>
                  </w:rPr>
                </w:pPr>
              </w:p>
            </w:tc>
            <w:tc>
              <w:tcPr>
                <w:tcW w:w="907" w:type="pct"/>
                <w:tcBorders>
                  <w:top w:val="nil"/>
                  <w:left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69,207,599.97</w:t>
                </w:r>
              </w:p>
            </w:tc>
            <w:tc>
              <w:tcPr>
                <w:tcW w:w="721"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100</w:t>
                </w:r>
                <w:r w:rsidRPr="00F040B1">
                  <w:rPr>
                    <w:rFonts w:asciiTheme="minorEastAsia" w:eastAsiaTheme="minorEastAsia" w:hAnsiTheme="minorEastAsia" w:cs="Arial" w:hint="eastAsia"/>
                    <w:b/>
                    <w:bCs/>
                    <w:color w:val="000000"/>
                    <w:szCs w:val="21"/>
                  </w:rPr>
                  <w:t>.00</w:t>
                </w:r>
              </w:p>
            </w:tc>
            <w:tc>
              <w:tcPr>
                <w:tcW w:w="947" w:type="pct"/>
                <w:tcBorders>
                  <w:top w:val="nil"/>
                  <w:bottom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2,006,768.76</w:t>
                </w:r>
              </w:p>
            </w:tc>
            <w:tc>
              <w:tcPr>
                <w:tcW w:w="630" w:type="pct"/>
                <w:tcBorders>
                  <w:top w:val="nil"/>
                  <w:bottom w:val="nil"/>
                  <w:right w:val="nil"/>
                </w:tcBorders>
                <w:shd w:val="clear" w:color="auto" w:fill="auto"/>
                <w:vAlign w:val="center"/>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2.90</w:t>
                </w:r>
              </w:p>
            </w:tc>
          </w:tr>
        </w:tbl>
        <w:p w:rsidR="00DE031E" w:rsidRDefault="00422DCA">
          <w:pPr>
            <w:ind w:rightChars="-759" w:right="-1594"/>
            <w:rPr>
              <w:szCs w:val="21"/>
              <w:shd w:val="clear" w:color="auto" w:fill="FFFFFF"/>
            </w:rPr>
          </w:pPr>
        </w:p>
      </w:sdtContent>
    </w:sdt>
    <w:sdt>
      <w:sdtPr>
        <w:rPr>
          <w:rFonts w:hint="eastAsia"/>
          <w:shd w:val="clear" w:color="auto" w:fill="FFFFFF"/>
        </w:rPr>
        <w:tag w:val="_GBC_e9bd9203b9ed40cd9d4e0120ac49f882"/>
        <w:id w:val="24724075"/>
        <w:lock w:val="sdtLocked"/>
        <w:placeholder>
          <w:docPart w:val="GBC22222222222222222222222222222"/>
        </w:placeholder>
      </w:sdtPr>
      <w:sdtEndPr>
        <w:rPr>
          <w:rFonts w:hint="default"/>
          <w:shd w:val="clear" w:color="auto" w:fill="auto"/>
        </w:rPr>
      </w:sdtEndPr>
      <w:sdtContent>
        <w:p w:rsidR="00DE031E" w:rsidRDefault="001C1A59" w:rsidP="00DE031E">
          <w:pPr>
            <w:rPr>
              <w:shd w:val="clear" w:color="auto" w:fill="FFFFFF"/>
            </w:rPr>
          </w:pPr>
          <w:r>
            <w:rPr>
              <w:rFonts w:hint="eastAsia"/>
              <w:shd w:val="clear" w:color="auto" w:fill="FFFFFF"/>
            </w:rPr>
            <w:t>按评估方式列示</w:t>
          </w:r>
        </w:p>
        <w:sdt>
          <w:sdtPr>
            <w:alias w:val="是否适用：应收款项_按评估方式列示"/>
            <w:tag w:val="_GBC_4c0447b9392742b0bdfe7e2afe6700d3"/>
            <w:id w:val="24724048"/>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shd w:val="clear" w:color="auto" w:fill="FFFFFF"/>
            </w:rPr>
          </w:pPr>
          <w:r>
            <w:rPr>
              <w:rFonts w:hint="eastAsia"/>
              <w:szCs w:val="21"/>
              <w:shd w:val="clear" w:color="auto" w:fill="FFFFFF"/>
            </w:rPr>
            <w:t>单位:</w:t>
          </w:r>
          <w:sdt>
            <w:sdtPr>
              <w:rPr>
                <w:rFonts w:hint="eastAsia"/>
                <w:szCs w:val="21"/>
                <w:shd w:val="clear" w:color="auto" w:fill="FFFFFF"/>
              </w:rPr>
              <w:alias w:val="单位：财务附注：应收款项按评估方式列示"/>
              <w:tag w:val="_GBC_56dc1c1c1d3a48dd90641ab8385857b1"/>
              <w:id w:val="247240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Pr>
                  <w:rFonts w:hint="eastAsia"/>
                  <w:szCs w:val="21"/>
                  <w:shd w:val="clear" w:color="auto" w:fill="FFFFFF"/>
                </w:rPr>
                <w:t>元</w:t>
              </w:r>
            </w:sdtContent>
          </w:sdt>
          <w:r>
            <w:rPr>
              <w:rFonts w:hint="eastAsia"/>
              <w:szCs w:val="21"/>
              <w:shd w:val="clear" w:color="auto" w:fill="FFFFFF"/>
            </w:rPr>
            <w:t xml:space="preserve">  币种:</w:t>
          </w:r>
          <w:sdt>
            <w:sdtPr>
              <w:rPr>
                <w:rFonts w:hint="eastAsia"/>
                <w:szCs w:val="21"/>
                <w:shd w:val="clear" w:color="auto" w:fill="FFFFFF"/>
              </w:rPr>
              <w:alias w:val="币种：财务附注：应收款项按评估方式列示"/>
              <w:tag w:val="_GBC_626b66a5e18b4548a491c2907abb697a"/>
              <w:id w:val="24724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shd w:val="clear" w:color="auto" w:fill="FFFFFF"/>
                </w:rPr>
                <w:t>人民币</w:t>
              </w:r>
            </w:sdtContent>
          </w:sdt>
        </w:p>
        <w:tbl>
          <w:tblPr>
            <w:tblW w:w="5832" w:type="pct"/>
            <w:jc w:val="center"/>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73"/>
            <w:gridCol w:w="1558"/>
            <w:gridCol w:w="857"/>
            <w:gridCol w:w="1417"/>
            <w:gridCol w:w="710"/>
            <w:gridCol w:w="1558"/>
            <w:gridCol w:w="712"/>
            <w:gridCol w:w="1274"/>
            <w:gridCol w:w="716"/>
          </w:tblGrid>
          <w:tr w:rsidR="00DE031E" w:rsidRPr="0045150F" w:rsidTr="00DE031E">
            <w:trPr>
              <w:cantSplit/>
              <w:jc w:val="center"/>
            </w:trPr>
            <w:tc>
              <w:tcPr>
                <w:tcW w:w="758" w:type="pct"/>
                <w:vMerge w:val="restar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账龄</w:t>
                </w:r>
              </w:p>
            </w:tc>
            <w:tc>
              <w:tcPr>
                <w:tcW w:w="2189" w:type="pct"/>
                <w:gridSpan w:val="4"/>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期末余额</w:t>
                </w:r>
              </w:p>
            </w:tc>
            <w:tc>
              <w:tcPr>
                <w:tcW w:w="2053" w:type="pct"/>
                <w:gridSpan w:val="4"/>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期初余额</w:t>
                </w:r>
              </w:p>
            </w:tc>
          </w:tr>
          <w:tr w:rsidR="00DE031E" w:rsidRPr="0045150F" w:rsidTr="00DE031E">
            <w:trPr>
              <w:cantSplit/>
              <w:jc w:val="center"/>
            </w:trPr>
            <w:tc>
              <w:tcPr>
                <w:tcW w:w="758" w:type="pct"/>
                <w:vMerge/>
                <w:tcBorders>
                  <w:top w:val="single" w:sz="4" w:space="0" w:color="auto"/>
                  <w:left w:val="single" w:sz="4" w:space="0" w:color="auto"/>
                  <w:bottom w:val="single" w:sz="4" w:space="0" w:color="auto"/>
                  <w:right w:val="single" w:sz="4" w:space="0" w:color="auto"/>
                </w:tcBorders>
                <w:vAlign w:val="center"/>
              </w:tcPr>
              <w:p w:rsidR="00DE031E" w:rsidRPr="0045150F" w:rsidRDefault="00DE031E" w:rsidP="00DE031E">
                <w:pPr>
                  <w:jc w:val="center"/>
                  <w:rPr>
                    <w:sz w:val="18"/>
                    <w:szCs w:val="18"/>
                    <w:shd w:val="clear" w:color="auto" w:fill="FFFFFF"/>
                  </w:rPr>
                </w:pPr>
              </w:p>
            </w:tc>
            <w:tc>
              <w:tcPr>
                <w:tcW w:w="1164" w:type="pct"/>
                <w:gridSpan w:val="2"/>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账面余额</w:t>
                </w:r>
              </w:p>
            </w:tc>
            <w:tc>
              <w:tcPr>
                <w:tcW w:w="1025" w:type="pct"/>
                <w:gridSpan w:val="2"/>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坏账准备</w:t>
                </w:r>
              </w:p>
            </w:tc>
            <w:tc>
              <w:tcPr>
                <w:tcW w:w="1094" w:type="pct"/>
                <w:gridSpan w:val="2"/>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账面余额</w:t>
                </w:r>
              </w:p>
            </w:tc>
            <w:tc>
              <w:tcPr>
                <w:tcW w:w="959" w:type="pct"/>
                <w:gridSpan w:val="2"/>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坏账准备</w:t>
                </w:r>
              </w:p>
            </w:tc>
          </w:tr>
          <w:tr w:rsidR="00DE031E" w:rsidRPr="0045150F" w:rsidTr="00DE031E">
            <w:trPr>
              <w:cantSplit/>
              <w:jc w:val="center"/>
            </w:trPr>
            <w:tc>
              <w:tcPr>
                <w:tcW w:w="758" w:type="pct"/>
                <w:vMerge/>
                <w:tcBorders>
                  <w:top w:val="single" w:sz="4" w:space="0" w:color="auto"/>
                  <w:left w:val="single" w:sz="4" w:space="0" w:color="auto"/>
                  <w:bottom w:val="single" w:sz="4" w:space="0" w:color="auto"/>
                  <w:right w:val="single" w:sz="4" w:space="0" w:color="auto"/>
                </w:tcBorders>
                <w:vAlign w:val="center"/>
              </w:tcPr>
              <w:p w:rsidR="00DE031E" w:rsidRPr="0045150F" w:rsidRDefault="00DE031E" w:rsidP="00DE031E">
                <w:pPr>
                  <w:rPr>
                    <w:sz w:val="18"/>
                    <w:szCs w:val="18"/>
                    <w:shd w:val="clear" w:color="auto" w:fill="FFFFFF"/>
                  </w:rPr>
                </w:pPr>
              </w:p>
            </w:tc>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金额</w:t>
                </w:r>
              </w:p>
            </w:tc>
            <w:tc>
              <w:tcPr>
                <w:tcW w:w="41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比例（%）</w:t>
                </w:r>
              </w:p>
            </w:tc>
            <w:tc>
              <w:tcPr>
                <w:tcW w:w="68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金额</w:t>
                </w:r>
              </w:p>
            </w:tc>
            <w:tc>
              <w:tcPr>
                <w:tcW w:w="34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比例（%）</w:t>
                </w:r>
              </w:p>
            </w:tc>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金额</w:t>
                </w:r>
              </w:p>
            </w:tc>
            <w:tc>
              <w:tcPr>
                <w:tcW w:w="34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比例（%）</w:t>
                </w:r>
              </w:p>
            </w:tc>
            <w:tc>
              <w:tcPr>
                <w:tcW w:w="614"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金额</w:t>
                </w:r>
              </w:p>
            </w:tc>
            <w:tc>
              <w:tcPr>
                <w:tcW w:w="345"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比例（%）</w:t>
                </w:r>
              </w:p>
            </w:tc>
          </w:tr>
          <w:tr w:rsidR="00DE031E" w:rsidRPr="0045150F" w:rsidTr="00DE031E">
            <w:trPr>
              <w:cantSplit/>
              <w:jc w:val="center"/>
            </w:trPr>
            <w:tc>
              <w:tcPr>
                <w:tcW w:w="758" w:type="pct"/>
                <w:tcBorders>
                  <w:top w:val="single" w:sz="4" w:space="0" w:color="auto"/>
                  <w:left w:val="single" w:sz="4" w:space="0" w:color="auto"/>
                  <w:bottom w:val="single" w:sz="4" w:space="0" w:color="auto"/>
                  <w:right w:val="single" w:sz="4" w:space="0" w:color="auto"/>
                </w:tcBorders>
              </w:tcPr>
              <w:p w:rsidR="00DE031E" w:rsidRPr="0045150F" w:rsidRDefault="001C1A59" w:rsidP="00DE031E">
                <w:pPr>
                  <w:rPr>
                    <w:sz w:val="18"/>
                    <w:szCs w:val="18"/>
                    <w:shd w:val="clear" w:color="auto" w:fill="FFFFFF"/>
                  </w:rPr>
                </w:pPr>
                <w:r w:rsidRPr="0045150F">
                  <w:rPr>
                    <w:rFonts w:hint="eastAsia"/>
                    <w:sz w:val="18"/>
                    <w:szCs w:val="18"/>
                    <w:shd w:val="clear" w:color="auto" w:fill="FFFFFF"/>
                  </w:rPr>
                  <w:t>组合计提减值准备</w:t>
                </w:r>
              </w:p>
            </w:tc>
            <w:sdt>
              <w:sdtPr>
                <w:rPr>
                  <w:rStyle w:val="af5"/>
                  <w:sz w:val="18"/>
                  <w:szCs w:val="18"/>
                  <w:shd w:val="clear" w:color="auto" w:fill="FFFFFF"/>
                </w:rPr>
                <w:alias w:val="组合计提减值准备的账面余额"/>
                <w:tag w:val="_GBC_bbc1386874ea45bd8c30ba37016c766f"/>
                <w:id w:val="24724051"/>
                <w:lock w:val="sdtLocked"/>
              </w:sdtPr>
              <w:sdtEndPr>
                <w:rPr>
                  <w:rStyle w:val="af5"/>
                  <w:rFonts w:hint="eastAsia"/>
                </w:rPr>
              </w:sdtEndPr>
              <w:sdtContent>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rStyle w:val="af5"/>
                        <w:sz w:val="18"/>
                        <w:szCs w:val="18"/>
                        <w:shd w:val="clear" w:color="auto" w:fill="FFFFFF"/>
                      </w:rPr>
                      <w:t>3,801,163,700.27</w:t>
                    </w:r>
                  </w:p>
                </w:tc>
              </w:sdtContent>
            </w:sdt>
            <w:sdt>
              <w:sdtPr>
                <w:rPr>
                  <w:rStyle w:val="af5"/>
                  <w:sz w:val="18"/>
                  <w:szCs w:val="18"/>
                  <w:shd w:val="clear" w:color="auto" w:fill="FFFFFF"/>
                </w:rPr>
                <w:alias w:val="组合计提减值准备的账面余额比例"/>
                <w:tag w:val="_GBC_dbff9e4e9e9d4af48920b5fa888792e0"/>
                <w:id w:val="24724052"/>
                <w:lock w:val="sdtLocked"/>
              </w:sdtPr>
              <w:sdtEndPr>
                <w:rPr>
                  <w:rStyle w:val="af5"/>
                  <w:rFonts w:hint="eastAsia"/>
                </w:rPr>
              </w:sdtEndPr>
              <w:sdtContent>
                <w:tc>
                  <w:tcPr>
                    <w:tcW w:w="41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rStyle w:val="af5"/>
                        <w:sz w:val="18"/>
                        <w:szCs w:val="18"/>
                        <w:shd w:val="clear" w:color="auto" w:fill="FFFFFF"/>
                      </w:rPr>
                      <w:t>99.76</w:t>
                    </w:r>
                  </w:p>
                </w:tc>
              </w:sdtContent>
            </w:sdt>
            <w:sdt>
              <w:sdtPr>
                <w:rPr>
                  <w:rStyle w:val="af5"/>
                  <w:sz w:val="18"/>
                  <w:szCs w:val="18"/>
                  <w:shd w:val="clear" w:color="auto" w:fill="FFFFFF"/>
                </w:rPr>
                <w:alias w:val="组合计提减值准备的坏账准备"/>
                <w:tag w:val="_GBC_a9752b9be3e54cf5930e7f65470e73dd"/>
                <w:id w:val="24724053"/>
                <w:lock w:val="sdtLocked"/>
              </w:sdtPr>
              <w:sdtEndPr>
                <w:rPr>
                  <w:rStyle w:val="af5"/>
                  <w:rFonts w:hint="eastAsia"/>
                </w:rPr>
              </w:sdtEndPr>
              <w:sdtContent>
                <w:tc>
                  <w:tcPr>
                    <w:tcW w:w="68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rStyle w:val="af5"/>
                        <w:sz w:val="18"/>
                        <w:szCs w:val="18"/>
                        <w:shd w:val="clear" w:color="auto" w:fill="FFFFFF"/>
                      </w:rPr>
                      <w:t>2,006,768.76</w:t>
                    </w:r>
                  </w:p>
                </w:tc>
              </w:sdtContent>
            </w:sdt>
            <w:sdt>
              <w:sdtPr>
                <w:rPr>
                  <w:sz w:val="18"/>
                  <w:szCs w:val="18"/>
                  <w:shd w:val="clear" w:color="auto" w:fill="FFFFFF"/>
                </w:rPr>
                <w:alias w:val="组合计提减值准备的坏账准备比例"/>
                <w:tag w:val="_GBC_31a252b73a834e8b83e731fb5ab15b68"/>
                <w:id w:val="24724054"/>
                <w:lock w:val="sdtLocked"/>
              </w:sdtPr>
              <w:sdtContent>
                <w:tc>
                  <w:tcPr>
                    <w:tcW w:w="34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0.05</w:t>
                    </w:r>
                  </w:p>
                </w:tc>
              </w:sdtContent>
            </w:sdt>
            <w:sdt>
              <w:sdtPr>
                <w:rPr>
                  <w:sz w:val="18"/>
                  <w:szCs w:val="18"/>
                  <w:shd w:val="clear" w:color="auto" w:fill="FFFFFF"/>
                </w:rPr>
                <w:alias w:val="组合计提减值准备的账面余额"/>
                <w:tag w:val="_GBC_95386e26c97344c98748eb09fe02d565"/>
                <w:id w:val="24724055"/>
                <w:lock w:val="sdtLocked"/>
              </w:sdtPr>
              <w:sdtContent>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2,073,261,637.58</w:t>
                    </w:r>
                  </w:p>
                </w:tc>
              </w:sdtContent>
            </w:sdt>
            <w:sdt>
              <w:sdtPr>
                <w:rPr>
                  <w:sz w:val="18"/>
                  <w:szCs w:val="18"/>
                  <w:shd w:val="clear" w:color="auto" w:fill="FFFFFF"/>
                </w:rPr>
                <w:alias w:val="组合计提减值准备的账面余额比例"/>
                <w:tag w:val="_GBC_0d1736e0dc894c0398262a927bd93d66"/>
                <w:id w:val="24724056"/>
                <w:lock w:val="sdtLocked"/>
              </w:sdtPr>
              <w:sdtContent>
                <w:tc>
                  <w:tcPr>
                    <w:tcW w:w="34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99.55</w:t>
                    </w:r>
                  </w:p>
                </w:tc>
              </w:sdtContent>
            </w:sdt>
            <w:sdt>
              <w:sdtPr>
                <w:rPr>
                  <w:sz w:val="18"/>
                  <w:szCs w:val="18"/>
                  <w:shd w:val="clear" w:color="auto" w:fill="FFFFFF"/>
                </w:rPr>
                <w:alias w:val="组合计提减值准备的坏账准备"/>
                <w:tag w:val="_GBC_f869e7598c734427ad12c0fc5a4f11a6"/>
                <w:id w:val="24724057"/>
                <w:lock w:val="sdtLocked"/>
              </w:sdtPr>
              <w:sdtContent>
                <w:tc>
                  <w:tcPr>
                    <w:tcW w:w="614"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6,318,415.05</w:t>
                    </w:r>
                  </w:p>
                </w:tc>
              </w:sdtContent>
            </w:sdt>
            <w:sdt>
              <w:sdtPr>
                <w:rPr>
                  <w:sz w:val="18"/>
                  <w:szCs w:val="18"/>
                  <w:shd w:val="clear" w:color="auto" w:fill="FFFFFF"/>
                </w:rPr>
                <w:alias w:val="组合计提减值准备的坏账准备比例"/>
                <w:tag w:val="_GBC_959cb5ff9d1a4c7f8f784053c5e2f072"/>
                <w:id w:val="24724058"/>
                <w:lock w:val="sdtLocked"/>
              </w:sdtPr>
              <w:sdtContent>
                <w:tc>
                  <w:tcPr>
                    <w:tcW w:w="345"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0.3</w:t>
                    </w:r>
                    <w:r w:rsidR="00313E71">
                      <w:rPr>
                        <w:rFonts w:hint="eastAsia"/>
                        <w:sz w:val="18"/>
                        <w:szCs w:val="18"/>
                        <w:shd w:val="clear" w:color="auto" w:fill="FFFFFF"/>
                      </w:rPr>
                      <w:t>0</w:t>
                    </w:r>
                  </w:p>
                </w:tc>
              </w:sdtContent>
            </w:sdt>
          </w:tr>
          <w:tr w:rsidR="00DE031E" w:rsidRPr="0045150F" w:rsidTr="00DE031E">
            <w:trPr>
              <w:cantSplit/>
              <w:jc w:val="center"/>
            </w:trPr>
            <w:tc>
              <w:tcPr>
                <w:tcW w:w="758" w:type="pct"/>
                <w:tcBorders>
                  <w:top w:val="single" w:sz="4" w:space="0" w:color="auto"/>
                  <w:left w:val="single" w:sz="4" w:space="0" w:color="auto"/>
                  <w:bottom w:val="single" w:sz="4" w:space="0" w:color="auto"/>
                  <w:right w:val="single" w:sz="4" w:space="0" w:color="auto"/>
                </w:tcBorders>
              </w:tcPr>
              <w:p w:rsidR="00DE031E" w:rsidRPr="0045150F" w:rsidRDefault="001C1A59" w:rsidP="00DE031E">
                <w:pPr>
                  <w:rPr>
                    <w:sz w:val="18"/>
                    <w:szCs w:val="18"/>
                    <w:shd w:val="clear" w:color="auto" w:fill="FFFFFF"/>
                  </w:rPr>
                </w:pPr>
                <w:r w:rsidRPr="0045150F">
                  <w:rPr>
                    <w:rFonts w:hint="eastAsia"/>
                    <w:sz w:val="18"/>
                    <w:szCs w:val="18"/>
                    <w:shd w:val="clear" w:color="auto" w:fill="FFFFFF"/>
                  </w:rPr>
                  <w:t>单项计提减值准备</w:t>
                </w:r>
              </w:p>
            </w:tc>
            <w:sdt>
              <w:sdtPr>
                <w:rPr>
                  <w:sz w:val="18"/>
                  <w:szCs w:val="18"/>
                  <w:shd w:val="clear" w:color="auto" w:fill="FFFFFF"/>
                </w:rPr>
                <w:alias w:val="单项计提减值准备的账面余额"/>
                <w:tag w:val="_GBC_82b8c2d4661f4007a63d6ee7f33ff5f1"/>
                <w:id w:val="24724059"/>
                <w:lock w:val="sdtLocked"/>
              </w:sdtPr>
              <w:sdtContent>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9,282,221.90</w:t>
                    </w:r>
                  </w:p>
                </w:tc>
              </w:sdtContent>
            </w:sdt>
            <w:sdt>
              <w:sdtPr>
                <w:rPr>
                  <w:sz w:val="18"/>
                  <w:szCs w:val="18"/>
                  <w:shd w:val="clear" w:color="auto" w:fill="FFFFFF"/>
                </w:rPr>
                <w:alias w:val="单项计提减值准备的账面余额比例"/>
                <w:tag w:val="_GBC_2d9ceadf12fd4f159b75ec5cd8640bc9"/>
                <w:id w:val="24724060"/>
                <w:lock w:val="sdtLocked"/>
              </w:sdtPr>
              <w:sdtContent>
                <w:tc>
                  <w:tcPr>
                    <w:tcW w:w="41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0.24</w:t>
                    </w:r>
                  </w:p>
                </w:tc>
              </w:sdtContent>
            </w:sdt>
            <w:sdt>
              <w:sdtPr>
                <w:rPr>
                  <w:sz w:val="18"/>
                  <w:szCs w:val="18"/>
                  <w:shd w:val="clear" w:color="auto" w:fill="FFFFFF"/>
                </w:rPr>
                <w:alias w:val="单项计提减值准备的坏账准备"/>
                <w:tag w:val="_GBC_fd08e2fa3b27405f89e7b26c2456544f"/>
                <w:id w:val="24724061"/>
                <w:lock w:val="sdtLocked"/>
              </w:sdtPr>
              <w:sdtContent>
                <w:tc>
                  <w:tcPr>
                    <w:tcW w:w="68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9,282,221.90</w:t>
                    </w:r>
                  </w:p>
                </w:tc>
              </w:sdtContent>
            </w:sdt>
            <w:sdt>
              <w:sdtPr>
                <w:rPr>
                  <w:sz w:val="18"/>
                  <w:szCs w:val="18"/>
                  <w:shd w:val="clear" w:color="auto" w:fill="FFFFFF"/>
                </w:rPr>
                <w:alias w:val="单项计提减值准备的坏账准备比例"/>
                <w:tag w:val="_GBC_93aa91adeb4447d6980c8631eef2d6fc"/>
                <w:id w:val="24724062"/>
                <w:lock w:val="sdtLocked"/>
              </w:sdtPr>
              <w:sdtContent>
                <w:tc>
                  <w:tcPr>
                    <w:tcW w:w="34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100</w:t>
                    </w:r>
                    <w:r w:rsidR="00313E71">
                      <w:rPr>
                        <w:rFonts w:hint="eastAsia"/>
                        <w:sz w:val="18"/>
                        <w:szCs w:val="18"/>
                        <w:shd w:val="clear" w:color="auto" w:fill="FFFFFF"/>
                      </w:rPr>
                      <w:t>.00</w:t>
                    </w:r>
                  </w:p>
                </w:tc>
              </w:sdtContent>
            </w:sdt>
            <w:sdt>
              <w:sdtPr>
                <w:rPr>
                  <w:sz w:val="18"/>
                  <w:szCs w:val="18"/>
                  <w:shd w:val="clear" w:color="auto" w:fill="FFFFFF"/>
                </w:rPr>
                <w:alias w:val="单项计提减值准备的账面余额"/>
                <w:tag w:val="_GBC_3fdbac5f8fac4752962eddbb8df5ac2a"/>
                <w:id w:val="24724063"/>
                <w:lock w:val="sdtLocked"/>
              </w:sdtPr>
              <w:sdtContent>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9,382,392.68</w:t>
                    </w:r>
                  </w:p>
                </w:tc>
              </w:sdtContent>
            </w:sdt>
            <w:sdt>
              <w:sdtPr>
                <w:rPr>
                  <w:sz w:val="18"/>
                  <w:szCs w:val="18"/>
                  <w:shd w:val="clear" w:color="auto" w:fill="FFFFFF"/>
                </w:rPr>
                <w:alias w:val="单项计提减值准备的账面余额比例"/>
                <w:tag w:val="_GBC_da38dafeec1f48749a957b1efc4868c7"/>
                <w:id w:val="24724064"/>
                <w:lock w:val="sdtLocked"/>
              </w:sdtPr>
              <w:sdtContent>
                <w:tc>
                  <w:tcPr>
                    <w:tcW w:w="34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0.45</w:t>
                    </w:r>
                  </w:p>
                </w:tc>
              </w:sdtContent>
            </w:sdt>
            <w:sdt>
              <w:sdtPr>
                <w:rPr>
                  <w:sz w:val="18"/>
                  <w:szCs w:val="18"/>
                  <w:shd w:val="clear" w:color="auto" w:fill="FFFFFF"/>
                </w:rPr>
                <w:alias w:val="单项计提减值准备的坏账准备"/>
                <w:tag w:val="_GBC_3621fa2125014c3fb8053817d39cb89c"/>
                <w:id w:val="24724065"/>
                <w:lock w:val="sdtLocked"/>
              </w:sdtPr>
              <w:sdtContent>
                <w:tc>
                  <w:tcPr>
                    <w:tcW w:w="614"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9,382,392.68</w:t>
                    </w:r>
                  </w:p>
                </w:tc>
              </w:sdtContent>
            </w:sdt>
            <w:sdt>
              <w:sdtPr>
                <w:rPr>
                  <w:sz w:val="18"/>
                  <w:szCs w:val="18"/>
                  <w:shd w:val="clear" w:color="auto" w:fill="FFFFFF"/>
                </w:rPr>
                <w:alias w:val="单项计提减值准备的坏账准备比例"/>
                <w:tag w:val="_GBC_cd15594b7d904b5dacc76f24463e9152"/>
                <w:id w:val="24724066"/>
                <w:lock w:val="sdtLocked"/>
              </w:sdtPr>
              <w:sdtContent>
                <w:tc>
                  <w:tcPr>
                    <w:tcW w:w="345"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100</w:t>
                    </w:r>
                    <w:r w:rsidR="00313E71">
                      <w:rPr>
                        <w:rFonts w:hint="eastAsia"/>
                        <w:sz w:val="18"/>
                        <w:szCs w:val="18"/>
                        <w:shd w:val="clear" w:color="auto" w:fill="FFFFFF"/>
                      </w:rPr>
                      <w:t>.00</w:t>
                    </w:r>
                  </w:p>
                </w:tc>
              </w:sdtContent>
            </w:sdt>
          </w:tr>
          <w:tr w:rsidR="00DE031E" w:rsidRPr="0045150F" w:rsidTr="00DE031E">
            <w:trPr>
              <w:cantSplit/>
              <w:jc w:val="center"/>
            </w:trPr>
            <w:tc>
              <w:tcPr>
                <w:tcW w:w="758"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center"/>
                  <w:rPr>
                    <w:sz w:val="18"/>
                    <w:szCs w:val="18"/>
                    <w:shd w:val="clear" w:color="auto" w:fill="FFFFFF"/>
                  </w:rPr>
                </w:pPr>
                <w:r w:rsidRPr="0045150F">
                  <w:rPr>
                    <w:rFonts w:hint="eastAsia"/>
                    <w:sz w:val="18"/>
                    <w:szCs w:val="18"/>
                    <w:shd w:val="clear" w:color="auto" w:fill="FFFFFF"/>
                  </w:rPr>
                  <w:t>合计</w:t>
                </w:r>
              </w:p>
            </w:tc>
            <w:sdt>
              <w:sdtPr>
                <w:rPr>
                  <w:rStyle w:val="af5"/>
                  <w:sz w:val="18"/>
                  <w:szCs w:val="18"/>
                  <w:shd w:val="clear" w:color="auto" w:fill="FFFFFF"/>
                </w:rPr>
                <w:alias w:val="应收账款合计"/>
                <w:tag w:val="_GBC_86d822fca87c4c70bc025b025d40cae7"/>
                <w:id w:val="24724067"/>
                <w:lock w:val="sdtLocked"/>
              </w:sdtPr>
              <w:sdtEndPr>
                <w:rPr>
                  <w:rStyle w:val="af5"/>
                  <w:rFonts w:hint="eastAsia"/>
                </w:rPr>
              </w:sdtEndPr>
              <w:sdtContent>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rStyle w:val="af5"/>
                        <w:sz w:val="18"/>
                        <w:szCs w:val="18"/>
                        <w:shd w:val="clear" w:color="auto" w:fill="FFFFFF"/>
                      </w:rPr>
                      <w:t>3,810,445,922.17</w:t>
                    </w:r>
                  </w:p>
                </w:tc>
              </w:sdtContent>
            </w:sdt>
            <w:sdt>
              <w:sdtPr>
                <w:rPr>
                  <w:rStyle w:val="af5"/>
                  <w:sz w:val="18"/>
                  <w:szCs w:val="18"/>
                  <w:shd w:val="clear" w:color="auto" w:fill="FFFFFF"/>
                </w:rPr>
                <w:alias w:val="应收账款账面余额比例"/>
                <w:tag w:val="_GBC_853320bc806040d3b06b2264406dc31c"/>
                <w:id w:val="24724068"/>
                <w:lock w:val="sdtLocked"/>
              </w:sdtPr>
              <w:sdtEndPr>
                <w:rPr>
                  <w:rStyle w:val="af5"/>
                  <w:rFonts w:hint="eastAsia"/>
                </w:rPr>
              </w:sdtEndPr>
              <w:sdtContent>
                <w:tc>
                  <w:tcPr>
                    <w:tcW w:w="41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rStyle w:val="af5"/>
                        <w:sz w:val="18"/>
                        <w:szCs w:val="18"/>
                        <w:shd w:val="clear" w:color="auto" w:fill="FFFFFF"/>
                      </w:rPr>
                      <w:t>100</w:t>
                    </w:r>
                    <w:r w:rsidR="00313E71">
                      <w:rPr>
                        <w:rStyle w:val="af5"/>
                        <w:rFonts w:hint="eastAsia"/>
                        <w:sz w:val="18"/>
                        <w:szCs w:val="18"/>
                        <w:shd w:val="clear" w:color="auto" w:fill="FFFFFF"/>
                      </w:rPr>
                      <w:t>.00</w:t>
                    </w:r>
                  </w:p>
                </w:tc>
              </w:sdtContent>
            </w:sdt>
            <w:sdt>
              <w:sdtPr>
                <w:rPr>
                  <w:rStyle w:val="af5"/>
                  <w:sz w:val="18"/>
                  <w:szCs w:val="18"/>
                  <w:shd w:val="clear" w:color="auto" w:fill="FFFFFF"/>
                </w:rPr>
                <w:alias w:val="应收账款坏账准备"/>
                <w:tag w:val="_GBC_77d4920a23594f30a6850f68389c93a3"/>
                <w:id w:val="24724069"/>
                <w:lock w:val="sdtLocked"/>
              </w:sdtPr>
              <w:sdtEndPr>
                <w:rPr>
                  <w:rStyle w:val="af5"/>
                  <w:rFonts w:hint="eastAsia"/>
                </w:rPr>
              </w:sdtEndPr>
              <w:sdtContent>
                <w:tc>
                  <w:tcPr>
                    <w:tcW w:w="68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rStyle w:val="af5"/>
                        <w:sz w:val="18"/>
                        <w:szCs w:val="18"/>
                        <w:shd w:val="clear" w:color="auto" w:fill="FFFFFF"/>
                      </w:rPr>
                      <w:t>11,288,990.66</w:t>
                    </w:r>
                  </w:p>
                </w:tc>
              </w:sdtContent>
            </w:sdt>
            <w:sdt>
              <w:sdtPr>
                <w:rPr>
                  <w:sz w:val="18"/>
                  <w:szCs w:val="18"/>
                </w:rPr>
                <w:alias w:val="应收账款坏账准备比例"/>
                <w:tag w:val="_GBC_e95ce9326fda40298871a2366ad29a87"/>
                <w:id w:val="24724070"/>
                <w:lock w:val="sdtLocked"/>
              </w:sdtPr>
              <w:sdtContent>
                <w:tc>
                  <w:tcPr>
                    <w:tcW w:w="342"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tabs>
                        <w:tab w:val="left" w:pos="630"/>
                      </w:tabs>
                      <w:jc w:val="right"/>
                      <w:rPr>
                        <w:sz w:val="18"/>
                        <w:szCs w:val="18"/>
                      </w:rPr>
                    </w:pPr>
                    <w:r w:rsidRPr="0045150F">
                      <w:rPr>
                        <w:sz w:val="18"/>
                        <w:szCs w:val="18"/>
                      </w:rPr>
                      <w:t>0.3</w:t>
                    </w:r>
                    <w:r w:rsidR="00313E71">
                      <w:rPr>
                        <w:rFonts w:hint="eastAsia"/>
                        <w:sz w:val="18"/>
                        <w:szCs w:val="18"/>
                      </w:rPr>
                      <w:t>0</w:t>
                    </w:r>
                  </w:p>
                </w:tc>
              </w:sdtContent>
            </w:sdt>
            <w:sdt>
              <w:sdtPr>
                <w:rPr>
                  <w:sz w:val="18"/>
                  <w:szCs w:val="18"/>
                  <w:shd w:val="clear" w:color="auto" w:fill="FFFFFF"/>
                </w:rPr>
                <w:alias w:val="应收账款合计"/>
                <w:tag w:val="_GBC_27ed79d4c7124cb49b7802d5e516e1cb"/>
                <w:id w:val="24724071"/>
                <w:lock w:val="sdtLocked"/>
              </w:sdtPr>
              <w:sdtContent>
                <w:tc>
                  <w:tcPr>
                    <w:tcW w:w="751"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2,082,644,030.26</w:t>
                    </w:r>
                  </w:p>
                </w:tc>
              </w:sdtContent>
            </w:sdt>
            <w:sdt>
              <w:sdtPr>
                <w:rPr>
                  <w:sz w:val="18"/>
                  <w:szCs w:val="18"/>
                  <w:shd w:val="clear" w:color="auto" w:fill="FFFFFF"/>
                </w:rPr>
                <w:alias w:val="应收账款账面余额比例"/>
                <w:tag w:val="_GBC_411fafabcf254dd0ad909a6077199f67"/>
                <w:id w:val="24724072"/>
                <w:lock w:val="sdtLocked"/>
              </w:sdtPr>
              <w:sdtContent>
                <w:tc>
                  <w:tcPr>
                    <w:tcW w:w="343"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100</w:t>
                    </w:r>
                    <w:r w:rsidR="00313E71">
                      <w:rPr>
                        <w:rFonts w:hint="eastAsia"/>
                        <w:sz w:val="18"/>
                        <w:szCs w:val="18"/>
                        <w:shd w:val="clear" w:color="auto" w:fill="FFFFFF"/>
                      </w:rPr>
                      <w:t>.00</w:t>
                    </w:r>
                  </w:p>
                </w:tc>
              </w:sdtContent>
            </w:sdt>
            <w:sdt>
              <w:sdtPr>
                <w:rPr>
                  <w:sz w:val="18"/>
                  <w:szCs w:val="18"/>
                  <w:shd w:val="clear" w:color="auto" w:fill="FFFFFF"/>
                </w:rPr>
                <w:alias w:val="应收账款坏账准备"/>
                <w:tag w:val="_GBC_37788c87d84646a5aa6a44e503e4b2c3"/>
                <w:id w:val="24724073"/>
                <w:lock w:val="sdtLocked"/>
              </w:sdtPr>
              <w:sdtContent>
                <w:tc>
                  <w:tcPr>
                    <w:tcW w:w="614"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15,700,807.73</w:t>
                    </w:r>
                  </w:p>
                </w:tc>
              </w:sdtContent>
            </w:sdt>
            <w:sdt>
              <w:sdtPr>
                <w:rPr>
                  <w:sz w:val="18"/>
                  <w:szCs w:val="18"/>
                  <w:shd w:val="clear" w:color="auto" w:fill="FFFFFF"/>
                </w:rPr>
                <w:alias w:val="应收账款坏账准备比例"/>
                <w:tag w:val="_GBC_7edef3924d84461d8247def92336593b"/>
                <w:id w:val="24724074"/>
                <w:lock w:val="sdtLocked"/>
              </w:sdtPr>
              <w:sdtContent>
                <w:tc>
                  <w:tcPr>
                    <w:tcW w:w="345" w:type="pct"/>
                    <w:tcBorders>
                      <w:top w:val="single" w:sz="4" w:space="0" w:color="auto"/>
                      <w:left w:val="single" w:sz="4" w:space="0" w:color="auto"/>
                      <w:bottom w:val="single" w:sz="4" w:space="0" w:color="auto"/>
                      <w:right w:val="single" w:sz="4" w:space="0" w:color="auto"/>
                    </w:tcBorders>
                    <w:vAlign w:val="center"/>
                  </w:tcPr>
                  <w:p w:rsidR="00DE031E" w:rsidRPr="0045150F" w:rsidRDefault="001C1A59" w:rsidP="00DE031E">
                    <w:pPr>
                      <w:jc w:val="right"/>
                      <w:rPr>
                        <w:sz w:val="18"/>
                        <w:szCs w:val="18"/>
                        <w:shd w:val="clear" w:color="auto" w:fill="FFFFFF"/>
                      </w:rPr>
                    </w:pPr>
                    <w:r w:rsidRPr="0045150F">
                      <w:rPr>
                        <w:sz w:val="18"/>
                        <w:szCs w:val="18"/>
                        <w:shd w:val="clear" w:color="auto" w:fill="FFFFFF"/>
                      </w:rPr>
                      <w:t>0.75</w:t>
                    </w:r>
                  </w:p>
                </w:tc>
              </w:sdtContent>
            </w:sdt>
          </w:tr>
        </w:tbl>
        <w:p w:rsidR="00DE031E" w:rsidRDefault="001C1A59" w:rsidP="009950AC">
          <w:pPr>
            <w:pStyle w:val="4"/>
            <w:numPr>
              <w:ilvl w:val="0"/>
              <w:numId w:val="44"/>
            </w:numPr>
            <w:spacing w:line="360" w:lineRule="auto"/>
            <w:rPr>
              <w:rFonts w:ascii="宋体" w:hAnsi="宋体" w:cs="宋体"/>
              <w:bCs w:val="0"/>
              <w:kern w:val="0"/>
              <w:szCs w:val="24"/>
              <w:shd w:val="clear" w:color="auto" w:fill="FFFFFF"/>
            </w:rPr>
          </w:pPr>
          <w:r w:rsidRPr="0045150F">
            <w:rPr>
              <w:rFonts w:ascii="宋体" w:hAnsi="宋体" w:cs="宋体" w:hint="eastAsia"/>
              <w:bCs w:val="0"/>
              <w:kern w:val="0"/>
              <w:szCs w:val="24"/>
              <w:shd w:val="clear" w:color="auto" w:fill="FFFFFF"/>
            </w:rPr>
            <w:lastRenderedPageBreak/>
            <w:t>单项金额不重大但单项计提坏账准备的应收款项</w:t>
          </w:r>
        </w:p>
        <w:p w:rsidR="00DE031E" w:rsidRPr="006221E1" w:rsidRDefault="001C1A59" w:rsidP="003A0284">
          <w:pPr>
            <w:pStyle w:val="afb"/>
            <w:spacing w:beforeLines="50" w:after="120" w:line="360" w:lineRule="auto"/>
            <w:ind w:left="420" w:firstLineChars="0" w:firstLine="0"/>
            <w:outlineLvl w:val="9"/>
            <w:rPr>
              <w:rFonts w:asciiTheme="minorEastAsia" w:eastAsiaTheme="minorEastAsia" w:hAnsiTheme="minorEastAsia" w:cs="Arial"/>
              <w:sz w:val="22"/>
              <w:szCs w:val="22"/>
            </w:rPr>
          </w:pPr>
          <w:r w:rsidRPr="006221E1">
            <w:rPr>
              <w:rFonts w:asciiTheme="minorEastAsia" w:eastAsiaTheme="minorEastAsia" w:hAnsiTheme="minorEastAsia" w:cs="Arial" w:hint="eastAsia"/>
              <w:sz w:val="22"/>
              <w:szCs w:val="22"/>
            </w:rPr>
            <w:t>截至2015年6月30日，</w:t>
          </w:r>
          <w:r w:rsidRPr="006221E1">
            <w:rPr>
              <w:rFonts w:asciiTheme="minorEastAsia" w:eastAsiaTheme="minorEastAsia" w:hAnsiTheme="minorEastAsia" w:cs="Arial"/>
              <w:sz w:val="22"/>
              <w:szCs w:val="22"/>
            </w:rPr>
            <w:t>单项金额不重大但单项计提坏账准备的应收款项</w:t>
          </w:r>
        </w:p>
        <w:tbl>
          <w:tblPr>
            <w:tblW w:w="5000" w:type="pct"/>
            <w:tblLook w:val="04A0"/>
          </w:tblPr>
          <w:tblGrid>
            <w:gridCol w:w="2273"/>
            <w:gridCol w:w="1730"/>
            <w:gridCol w:w="1585"/>
            <w:gridCol w:w="1441"/>
            <w:gridCol w:w="2020"/>
          </w:tblGrid>
          <w:tr w:rsidR="00DE031E" w:rsidRPr="00F040B1" w:rsidTr="00DE031E">
            <w:trPr>
              <w:trHeight w:val="340"/>
            </w:trPr>
            <w:tc>
              <w:tcPr>
                <w:tcW w:w="1256"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rPr>
                    <w:rFonts w:asciiTheme="minorEastAsia" w:eastAsiaTheme="minorEastAsia" w:hAnsiTheme="minorEastAsia" w:cs="Arial"/>
                    <w:b/>
                    <w:szCs w:val="21"/>
                  </w:rPr>
                </w:pPr>
                <w:r w:rsidRPr="00F040B1">
                  <w:rPr>
                    <w:rFonts w:asciiTheme="minorEastAsia" w:eastAsiaTheme="minorEastAsia" w:hAnsiTheme="minorEastAsia" w:cs="Arial"/>
                    <w:b/>
                    <w:szCs w:val="21"/>
                  </w:rPr>
                  <w:t>项目</w:t>
                </w:r>
              </w:p>
            </w:tc>
            <w:tc>
              <w:tcPr>
                <w:tcW w:w="956"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Theme="minorEastAsia" w:eastAsiaTheme="minorEastAsia" w:hAnsiTheme="minorEastAsia" w:cs="Arial"/>
                    <w:b/>
                    <w:szCs w:val="21"/>
                  </w:rPr>
                </w:pPr>
                <w:r w:rsidRPr="00F040B1">
                  <w:rPr>
                    <w:rFonts w:asciiTheme="minorEastAsia" w:eastAsiaTheme="minorEastAsia" w:hAnsiTheme="minorEastAsia" w:cs="Arial"/>
                    <w:b/>
                    <w:szCs w:val="21"/>
                  </w:rPr>
                  <w:t>账面余额</w:t>
                </w:r>
              </w:p>
            </w:tc>
            <w:tc>
              <w:tcPr>
                <w:tcW w:w="876"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Theme="minorEastAsia" w:eastAsiaTheme="minorEastAsia" w:hAnsiTheme="minorEastAsia" w:cs="Arial"/>
                    <w:b/>
                    <w:szCs w:val="21"/>
                  </w:rPr>
                </w:pPr>
                <w:r w:rsidRPr="00F040B1">
                  <w:rPr>
                    <w:rFonts w:asciiTheme="minorEastAsia" w:eastAsiaTheme="minorEastAsia" w:hAnsiTheme="minorEastAsia" w:cs="Arial"/>
                    <w:b/>
                    <w:szCs w:val="21"/>
                  </w:rPr>
                  <w:t>坏账准备金额</w:t>
                </w:r>
              </w:p>
            </w:tc>
            <w:tc>
              <w:tcPr>
                <w:tcW w:w="796"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Theme="minorEastAsia" w:eastAsiaTheme="minorEastAsia" w:hAnsiTheme="minorEastAsia" w:cs="Arial"/>
                    <w:b/>
                    <w:szCs w:val="21"/>
                  </w:rPr>
                </w:pPr>
                <w:r w:rsidRPr="00F040B1">
                  <w:rPr>
                    <w:rFonts w:asciiTheme="minorEastAsia" w:eastAsiaTheme="minorEastAsia" w:hAnsiTheme="minorEastAsia" w:cs="Arial"/>
                    <w:b/>
                    <w:szCs w:val="21"/>
                  </w:rPr>
                  <w:t>计提比例</w:t>
                </w:r>
              </w:p>
            </w:tc>
            <w:tc>
              <w:tcPr>
                <w:tcW w:w="1116"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Theme="minorEastAsia" w:eastAsiaTheme="minorEastAsia" w:hAnsiTheme="minorEastAsia" w:cs="Arial"/>
                    <w:b/>
                    <w:szCs w:val="21"/>
                  </w:rPr>
                </w:pPr>
                <w:r w:rsidRPr="00F040B1">
                  <w:rPr>
                    <w:rFonts w:asciiTheme="minorEastAsia" w:eastAsiaTheme="minorEastAsia" w:hAnsiTheme="minorEastAsia" w:cs="Arial"/>
                    <w:b/>
                    <w:szCs w:val="21"/>
                  </w:rPr>
                  <w:t>计提原因</w:t>
                </w:r>
              </w:p>
            </w:tc>
          </w:tr>
          <w:tr w:rsidR="00DE031E" w:rsidRPr="00F040B1" w:rsidTr="00DE031E">
            <w:trPr>
              <w:trHeight w:val="340"/>
            </w:trPr>
            <w:tc>
              <w:tcPr>
                <w:tcW w:w="1256" w:type="pct"/>
                <w:tcBorders>
                  <w:top w:val="nil"/>
                  <w:left w:val="nil"/>
                  <w:bottom w:val="nil"/>
                  <w:right w:val="nil"/>
                </w:tcBorders>
                <w:shd w:val="clear" w:color="auto" w:fill="auto"/>
                <w:noWrap/>
                <w:vAlign w:val="center"/>
                <w:hideMark/>
              </w:tcPr>
              <w:p w:rsidR="00DE031E" w:rsidRPr="00F040B1" w:rsidRDefault="001C1A59" w:rsidP="00DE031E">
                <w:pPr>
                  <w:rPr>
                    <w:rFonts w:asciiTheme="minorEastAsia" w:eastAsiaTheme="minorEastAsia" w:hAnsiTheme="minorEastAsia" w:cs="Arial"/>
                    <w:szCs w:val="21"/>
                  </w:rPr>
                </w:pPr>
                <w:r w:rsidRPr="00F040B1">
                  <w:rPr>
                    <w:rFonts w:asciiTheme="minorEastAsia" w:eastAsiaTheme="minorEastAsia" w:hAnsiTheme="minorEastAsia" w:cs="Arial"/>
                    <w:szCs w:val="21"/>
                  </w:rPr>
                  <w:t>应收融资融券客户款</w:t>
                </w:r>
              </w:p>
            </w:tc>
            <w:tc>
              <w:tcPr>
                <w:tcW w:w="95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9,282,221.90</w:t>
                </w:r>
              </w:p>
            </w:tc>
            <w:tc>
              <w:tcPr>
                <w:tcW w:w="87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9,282,221.90</w:t>
                </w:r>
              </w:p>
            </w:tc>
            <w:tc>
              <w:tcPr>
                <w:tcW w:w="79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100.00%</w:t>
                </w:r>
              </w:p>
            </w:tc>
            <w:tc>
              <w:tcPr>
                <w:tcW w:w="1116"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Theme="minorEastAsia" w:eastAsiaTheme="minorEastAsia" w:hAnsiTheme="minorEastAsia" w:cs="Arial"/>
                    <w:szCs w:val="21"/>
                  </w:rPr>
                </w:pPr>
                <w:r w:rsidRPr="00F040B1">
                  <w:rPr>
                    <w:rFonts w:asciiTheme="minorEastAsia" w:eastAsiaTheme="minorEastAsia" w:hAnsiTheme="minorEastAsia" w:cs="Arial"/>
                    <w:szCs w:val="21"/>
                  </w:rPr>
                  <w:t>收回存在不确定性</w:t>
                </w:r>
              </w:p>
            </w:tc>
          </w:tr>
          <w:tr w:rsidR="00DE031E" w:rsidRPr="00F040B1" w:rsidTr="00DE031E">
            <w:trPr>
              <w:trHeight w:val="340"/>
            </w:trPr>
            <w:tc>
              <w:tcPr>
                <w:tcW w:w="1256" w:type="pct"/>
                <w:tcBorders>
                  <w:top w:val="nil"/>
                  <w:left w:val="nil"/>
                  <w:bottom w:val="nil"/>
                  <w:right w:val="nil"/>
                </w:tcBorders>
                <w:shd w:val="clear" w:color="auto" w:fill="auto"/>
                <w:noWrap/>
                <w:vAlign w:val="center"/>
                <w:hideMark/>
              </w:tcPr>
              <w:p w:rsidR="00DE031E" w:rsidRPr="00F040B1" w:rsidRDefault="001C1A59" w:rsidP="00DE031E">
                <w:pPr>
                  <w:rPr>
                    <w:rFonts w:asciiTheme="minorEastAsia" w:eastAsiaTheme="minorEastAsia" w:hAnsiTheme="minorEastAsia" w:cs="Arial"/>
                    <w:b/>
                    <w:szCs w:val="21"/>
                  </w:rPr>
                </w:pPr>
                <w:r w:rsidRPr="00F040B1">
                  <w:rPr>
                    <w:rFonts w:asciiTheme="minorEastAsia" w:eastAsiaTheme="minorEastAsia" w:hAnsiTheme="minorEastAsia" w:cs="Arial"/>
                    <w:b/>
                    <w:szCs w:val="21"/>
                  </w:rPr>
                  <w:t>合计</w:t>
                </w:r>
              </w:p>
            </w:tc>
            <w:tc>
              <w:tcPr>
                <w:tcW w:w="95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9,282,221.90</w:t>
                </w:r>
              </w:p>
            </w:tc>
            <w:tc>
              <w:tcPr>
                <w:tcW w:w="87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9,282,221.90</w:t>
                </w:r>
              </w:p>
            </w:tc>
            <w:tc>
              <w:tcPr>
                <w:tcW w:w="79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100.00%</w:t>
                </w:r>
              </w:p>
            </w:tc>
            <w:tc>
              <w:tcPr>
                <w:tcW w:w="1116" w:type="pct"/>
                <w:tcBorders>
                  <w:top w:val="nil"/>
                  <w:left w:val="nil"/>
                  <w:bottom w:val="nil"/>
                  <w:right w:val="nil"/>
                </w:tcBorders>
                <w:shd w:val="clear" w:color="auto" w:fill="auto"/>
                <w:noWrap/>
                <w:vAlign w:val="center"/>
                <w:hideMark/>
              </w:tcPr>
              <w:p w:rsidR="00DE031E" w:rsidRPr="00F040B1" w:rsidRDefault="00DE031E" w:rsidP="00DE031E">
                <w:pPr>
                  <w:spacing w:line="240" w:lineRule="exact"/>
                  <w:jc w:val="right"/>
                  <w:rPr>
                    <w:rFonts w:asciiTheme="minorEastAsia" w:eastAsiaTheme="minorEastAsia" w:hAnsiTheme="minorEastAsia" w:cs="Arial"/>
                    <w:b/>
                    <w:szCs w:val="21"/>
                  </w:rPr>
                </w:pPr>
              </w:p>
            </w:tc>
          </w:tr>
        </w:tbl>
        <w:p w:rsidR="00DE031E" w:rsidRPr="006221E1" w:rsidRDefault="00DE031E" w:rsidP="00DE031E">
          <w:pPr>
            <w:rPr>
              <w:rFonts w:asciiTheme="minorEastAsia" w:eastAsiaTheme="minorEastAsia" w:hAnsiTheme="minorEastAsia"/>
            </w:rPr>
          </w:pPr>
        </w:p>
        <w:p w:rsidR="00DE031E" w:rsidRPr="008C771A" w:rsidRDefault="001C1A59" w:rsidP="009950AC">
          <w:pPr>
            <w:pStyle w:val="4"/>
            <w:numPr>
              <w:ilvl w:val="0"/>
              <w:numId w:val="44"/>
            </w:numPr>
            <w:rPr>
              <w:rFonts w:asciiTheme="minorEastAsia" w:eastAsiaTheme="minorEastAsia" w:hAnsiTheme="minorEastAsia" w:cs="宋体"/>
              <w:bCs w:val="0"/>
              <w:kern w:val="0"/>
              <w:szCs w:val="24"/>
              <w:shd w:val="clear" w:color="auto" w:fill="FFFFFF"/>
            </w:rPr>
          </w:pPr>
          <w:r w:rsidRPr="008C771A">
            <w:rPr>
              <w:rFonts w:asciiTheme="minorEastAsia" w:eastAsiaTheme="minorEastAsia" w:hAnsiTheme="minorEastAsia" w:cs="Arial" w:hint="eastAsia"/>
              <w:sz w:val="22"/>
              <w:szCs w:val="22"/>
            </w:rPr>
            <w:t>转回或收回情况</w:t>
          </w:r>
        </w:p>
        <w:p w:rsidR="00DE031E" w:rsidRPr="006221E1" w:rsidRDefault="001C1A59" w:rsidP="003A0284">
          <w:pPr>
            <w:pStyle w:val="afb"/>
            <w:spacing w:beforeLines="50" w:after="120"/>
            <w:ind w:left="420" w:firstLineChars="0" w:firstLine="0"/>
            <w:outlineLvl w:val="9"/>
            <w:rPr>
              <w:rFonts w:asciiTheme="minorEastAsia" w:eastAsiaTheme="minorEastAsia" w:hAnsiTheme="minorEastAsia" w:cs="Arial"/>
              <w:sz w:val="22"/>
              <w:szCs w:val="22"/>
            </w:rPr>
          </w:pPr>
          <w:r w:rsidRPr="006221E1">
            <w:rPr>
              <w:rFonts w:asciiTheme="minorEastAsia" w:eastAsiaTheme="minorEastAsia" w:hAnsiTheme="minorEastAsia" w:cs="Arial" w:hint="eastAsia"/>
              <w:sz w:val="22"/>
              <w:szCs w:val="22"/>
            </w:rPr>
            <w:t>2015年1-6月</w:t>
          </w:r>
          <w:r w:rsidRPr="006221E1">
            <w:rPr>
              <w:rFonts w:asciiTheme="minorEastAsia" w:eastAsiaTheme="minorEastAsia" w:hAnsiTheme="minorEastAsia" w:cs="Arial"/>
              <w:sz w:val="22"/>
              <w:szCs w:val="22"/>
            </w:rPr>
            <w:t>转回或收回情况</w:t>
          </w:r>
        </w:p>
        <w:tbl>
          <w:tblPr>
            <w:tblW w:w="5000" w:type="pct"/>
            <w:jc w:val="center"/>
            <w:tblLook w:val="00A0"/>
          </w:tblPr>
          <w:tblGrid>
            <w:gridCol w:w="1956"/>
            <w:gridCol w:w="1564"/>
            <w:gridCol w:w="1705"/>
            <w:gridCol w:w="2005"/>
            <w:gridCol w:w="1819"/>
          </w:tblGrid>
          <w:tr w:rsidR="00DE031E" w:rsidRPr="006221E1" w:rsidTr="00DE031E">
            <w:trPr>
              <w:trHeight w:val="312"/>
              <w:tblHeader/>
              <w:jc w:val="center"/>
            </w:trPr>
            <w:tc>
              <w:tcPr>
                <w:tcW w:w="1081" w:type="pct"/>
                <w:shd w:val="clear" w:color="auto" w:fill="auto"/>
                <w:vAlign w:val="center"/>
              </w:tcPr>
              <w:p w:rsidR="00DE031E" w:rsidRPr="006221E1" w:rsidRDefault="001C1A59" w:rsidP="00DE031E">
                <w:pPr>
                  <w:spacing w:line="240" w:lineRule="exact"/>
                  <w:rPr>
                    <w:rFonts w:asciiTheme="minorEastAsia" w:eastAsiaTheme="minorEastAsia" w:hAnsiTheme="minorEastAsia" w:cs="Arial"/>
                    <w:b/>
                    <w:bCs/>
                    <w:sz w:val="18"/>
                    <w:szCs w:val="18"/>
                  </w:rPr>
                </w:pPr>
                <w:r w:rsidRPr="006221E1">
                  <w:rPr>
                    <w:rFonts w:asciiTheme="minorEastAsia" w:eastAsiaTheme="minorEastAsia" w:hAnsiTheme="minorEastAsia" w:cs="Arial"/>
                    <w:b/>
                    <w:bCs/>
                    <w:sz w:val="18"/>
                    <w:szCs w:val="18"/>
                  </w:rPr>
                  <w:t>应收款项内容</w:t>
                </w:r>
              </w:p>
            </w:tc>
            <w:tc>
              <w:tcPr>
                <w:tcW w:w="864" w:type="pct"/>
                <w:shd w:val="clear" w:color="auto" w:fill="auto"/>
                <w:vAlign w:val="center"/>
              </w:tcPr>
              <w:p w:rsidR="00DE031E" w:rsidRPr="006221E1" w:rsidRDefault="001C1A59" w:rsidP="00DE031E">
                <w:pPr>
                  <w:spacing w:line="240" w:lineRule="exact"/>
                  <w:ind w:leftChars="-50" w:left="-105" w:rightChars="-50" w:right="-105"/>
                  <w:jc w:val="right"/>
                  <w:rPr>
                    <w:rFonts w:asciiTheme="minorEastAsia" w:eastAsiaTheme="minorEastAsia" w:hAnsiTheme="minorEastAsia" w:cs="Arial"/>
                    <w:b/>
                    <w:sz w:val="18"/>
                    <w:szCs w:val="18"/>
                    <w:u w:val="single"/>
                  </w:rPr>
                </w:pPr>
                <w:r w:rsidRPr="006221E1">
                  <w:rPr>
                    <w:rFonts w:asciiTheme="minorEastAsia" w:eastAsiaTheme="minorEastAsia" w:hAnsiTheme="minorEastAsia" w:cs="Arial"/>
                    <w:b/>
                    <w:sz w:val="18"/>
                    <w:szCs w:val="18"/>
                    <w:u w:val="single"/>
                  </w:rPr>
                  <w:t>转回或收回原因</w:t>
                </w:r>
              </w:p>
            </w:tc>
            <w:tc>
              <w:tcPr>
                <w:tcW w:w="942" w:type="pct"/>
                <w:shd w:val="clear" w:color="auto" w:fill="auto"/>
                <w:vAlign w:val="center"/>
              </w:tcPr>
              <w:p w:rsidR="00DE031E" w:rsidRPr="006221E1" w:rsidRDefault="001C1A59" w:rsidP="00DE031E">
                <w:pPr>
                  <w:spacing w:line="240" w:lineRule="exact"/>
                  <w:ind w:leftChars="-50" w:left="-105" w:rightChars="-50" w:right="-105"/>
                  <w:jc w:val="right"/>
                  <w:rPr>
                    <w:rFonts w:asciiTheme="minorEastAsia" w:eastAsiaTheme="minorEastAsia" w:hAnsiTheme="minorEastAsia" w:cs="Arial"/>
                    <w:b/>
                    <w:sz w:val="18"/>
                    <w:szCs w:val="18"/>
                    <w:u w:val="single"/>
                  </w:rPr>
                </w:pPr>
                <w:r w:rsidRPr="006221E1">
                  <w:rPr>
                    <w:rFonts w:asciiTheme="minorEastAsia" w:eastAsiaTheme="minorEastAsia" w:hAnsiTheme="minorEastAsia" w:cs="Arial"/>
                    <w:b/>
                    <w:sz w:val="18"/>
                    <w:szCs w:val="18"/>
                    <w:u w:val="single"/>
                  </w:rPr>
                  <w:t>确定原坏账</w:t>
                </w:r>
              </w:p>
              <w:p w:rsidR="00DE031E" w:rsidRPr="006221E1" w:rsidRDefault="001C1A59" w:rsidP="00DE031E">
                <w:pPr>
                  <w:spacing w:line="240" w:lineRule="exact"/>
                  <w:ind w:leftChars="-50" w:left="-105" w:rightChars="-50" w:right="-105"/>
                  <w:jc w:val="right"/>
                  <w:rPr>
                    <w:rFonts w:asciiTheme="minorEastAsia" w:eastAsiaTheme="minorEastAsia" w:hAnsiTheme="minorEastAsia" w:cs="Arial"/>
                    <w:b/>
                    <w:sz w:val="18"/>
                    <w:szCs w:val="18"/>
                    <w:u w:val="single"/>
                  </w:rPr>
                </w:pPr>
                <w:r w:rsidRPr="006221E1">
                  <w:rPr>
                    <w:rFonts w:asciiTheme="minorEastAsia" w:eastAsiaTheme="minorEastAsia" w:hAnsiTheme="minorEastAsia" w:cs="Arial"/>
                    <w:b/>
                    <w:sz w:val="18"/>
                    <w:szCs w:val="18"/>
                    <w:u w:val="single"/>
                  </w:rPr>
                  <w:t>准备的依据</w:t>
                </w:r>
              </w:p>
            </w:tc>
            <w:tc>
              <w:tcPr>
                <w:tcW w:w="1108" w:type="pct"/>
                <w:shd w:val="clear" w:color="auto" w:fill="auto"/>
                <w:vAlign w:val="center"/>
              </w:tcPr>
              <w:p w:rsidR="00DE031E" w:rsidRPr="006221E1" w:rsidRDefault="001C1A59" w:rsidP="00DE031E">
                <w:pPr>
                  <w:spacing w:line="240" w:lineRule="exact"/>
                  <w:ind w:leftChars="-50" w:left="-105"/>
                  <w:jc w:val="right"/>
                  <w:rPr>
                    <w:rFonts w:asciiTheme="minorEastAsia" w:eastAsiaTheme="minorEastAsia" w:hAnsiTheme="minorEastAsia" w:cs="Arial"/>
                    <w:b/>
                    <w:sz w:val="18"/>
                    <w:szCs w:val="18"/>
                    <w:u w:val="single"/>
                  </w:rPr>
                </w:pPr>
                <w:r w:rsidRPr="006221E1">
                  <w:rPr>
                    <w:rFonts w:asciiTheme="minorEastAsia" w:eastAsiaTheme="minorEastAsia" w:hAnsiTheme="minorEastAsia" w:cs="Arial"/>
                    <w:b/>
                    <w:sz w:val="18"/>
                    <w:szCs w:val="18"/>
                    <w:u w:val="single"/>
                  </w:rPr>
                  <w:t>转回或收回前累计</w:t>
                </w:r>
              </w:p>
              <w:p w:rsidR="00DE031E" w:rsidRPr="006221E1" w:rsidRDefault="001C1A59" w:rsidP="00DE031E">
                <w:pPr>
                  <w:spacing w:line="240" w:lineRule="exact"/>
                  <w:ind w:leftChars="-50" w:left="-105"/>
                  <w:jc w:val="right"/>
                  <w:rPr>
                    <w:rFonts w:asciiTheme="minorEastAsia" w:eastAsiaTheme="minorEastAsia" w:hAnsiTheme="minorEastAsia" w:cs="Arial"/>
                    <w:b/>
                    <w:sz w:val="18"/>
                    <w:szCs w:val="18"/>
                    <w:u w:val="single"/>
                  </w:rPr>
                </w:pPr>
                <w:r w:rsidRPr="006221E1">
                  <w:rPr>
                    <w:rFonts w:asciiTheme="minorEastAsia" w:eastAsiaTheme="minorEastAsia" w:hAnsiTheme="minorEastAsia" w:cs="Arial"/>
                    <w:b/>
                    <w:sz w:val="18"/>
                    <w:szCs w:val="18"/>
                    <w:u w:val="single"/>
                  </w:rPr>
                  <w:t>已计提坏账准备金额</w:t>
                </w:r>
              </w:p>
            </w:tc>
            <w:tc>
              <w:tcPr>
                <w:tcW w:w="1005" w:type="pct"/>
                <w:shd w:val="clear" w:color="auto" w:fill="auto"/>
                <w:vAlign w:val="center"/>
              </w:tcPr>
              <w:p w:rsidR="00DE031E" w:rsidRPr="006221E1" w:rsidRDefault="001C1A59" w:rsidP="00DE031E">
                <w:pPr>
                  <w:spacing w:line="240" w:lineRule="exact"/>
                  <w:ind w:leftChars="-50" w:left="-105"/>
                  <w:jc w:val="right"/>
                  <w:rPr>
                    <w:rFonts w:asciiTheme="minorEastAsia" w:eastAsiaTheme="minorEastAsia" w:hAnsiTheme="minorEastAsia" w:cs="Arial"/>
                    <w:b/>
                    <w:sz w:val="18"/>
                    <w:szCs w:val="18"/>
                    <w:u w:val="single"/>
                  </w:rPr>
                </w:pPr>
                <w:r w:rsidRPr="006221E1">
                  <w:rPr>
                    <w:rFonts w:asciiTheme="minorEastAsia" w:eastAsiaTheme="minorEastAsia" w:hAnsiTheme="minorEastAsia" w:cs="Arial"/>
                    <w:b/>
                    <w:sz w:val="18"/>
                    <w:szCs w:val="18"/>
                    <w:u w:val="single"/>
                  </w:rPr>
                  <w:t>转回或收回金额</w:t>
                </w:r>
              </w:p>
            </w:tc>
          </w:tr>
          <w:tr w:rsidR="00DE031E" w:rsidRPr="006221E1" w:rsidTr="00DE031E">
            <w:trPr>
              <w:trHeight w:val="312"/>
              <w:tblHeader/>
              <w:jc w:val="center"/>
            </w:trPr>
            <w:tc>
              <w:tcPr>
                <w:tcW w:w="1081" w:type="pct"/>
                <w:shd w:val="clear" w:color="auto" w:fill="auto"/>
                <w:vAlign w:val="center"/>
              </w:tcPr>
              <w:p w:rsidR="00DE031E" w:rsidRPr="006221E1" w:rsidRDefault="001C1A59" w:rsidP="00DE031E">
                <w:pPr>
                  <w:spacing w:line="240" w:lineRule="exact"/>
                  <w:rPr>
                    <w:rFonts w:asciiTheme="minorEastAsia" w:eastAsiaTheme="minorEastAsia" w:hAnsiTheme="minorEastAsia" w:cs="Arial"/>
                    <w:sz w:val="18"/>
                    <w:szCs w:val="18"/>
                  </w:rPr>
                </w:pPr>
                <w:r w:rsidRPr="006221E1">
                  <w:rPr>
                    <w:rFonts w:asciiTheme="minorEastAsia" w:eastAsiaTheme="minorEastAsia" w:hAnsiTheme="minorEastAsia" w:cs="Arial"/>
                    <w:sz w:val="18"/>
                    <w:szCs w:val="18"/>
                  </w:rPr>
                  <w:t>应收客户融资融券款</w:t>
                </w:r>
              </w:p>
            </w:tc>
            <w:tc>
              <w:tcPr>
                <w:tcW w:w="864" w:type="pct"/>
                <w:shd w:val="clear" w:color="auto" w:fill="auto"/>
                <w:vAlign w:val="center"/>
              </w:tcPr>
              <w:p w:rsidR="00DE031E" w:rsidRPr="006221E1" w:rsidRDefault="001C1A59" w:rsidP="00DE031E">
                <w:pPr>
                  <w:jc w:val="center"/>
                  <w:rPr>
                    <w:rFonts w:asciiTheme="minorEastAsia" w:eastAsiaTheme="minorEastAsia" w:hAnsiTheme="minorEastAsia" w:cs="Arial"/>
                    <w:sz w:val="18"/>
                    <w:szCs w:val="18"/>
                  </w:rPr>
                </w:pPr>
                <w:r w:rsidRPr="006221E1">
                  <w:rPr>
                    <w:rFonts w:asciiTheme="minorEastAsia" w:eastAsiaTheme="minorEastAsia" w:hAnsiTheme="minorEastAsia" w:cs="Arial"/>
                    <w:sz w:val="18"/>
                    <w:szCs w:val="18"/>
                  </w:rPr>
                  <w:t>现金收回</w:t>
                </w:r>
              </w:p>
            </w:tc>
            <w:tc>
              <w:tcPr>
                <w:tcW w:w="942" w:type="pct"/>
                <w:shd w:val="clear" w:color="auto" w:fill="auto"/>
                <w:vAlign w:val="center"/>
              </w:tcPr>
              <w:p w:rsidR="00DE031E" w:rsidRPr="006221E1" w:rsidRDefault="001C1A59" w:rsidP="00DE031E">
                <w:pPr>
                  <w:jc w:val="right"/>
                  <w:rPr>
                    <w:rFonts w:asciiTheme="minorEastAsia" w:eastAsiaTheme="minorEastAsia" w:hAnsiTheme="minorEastAsia" w:cs="Arial"/>
                    <w:sz w:val="18"/>
                    <w:szCs w:val="18"/>
                  </w:rPr>
                </w:pPr>
                <w:r w:rsidRPr="006221E1">
                  <w:rPr>
                    <w:rFonts w:asciiTheme="minorEastAsia" w:eastAsiaTheme="minorEastAsia" w:hAnsiTheme="minorEastAsia" w:cs="Arial"/>
                    <w:sz w:val="18"/>
                    <w:szCs w:val="18"/>
                  </w:rPr>
                  <w:t>收回存在不确定性</w:t>
                </w:r>
              </w:p>
            </w:tc>
            <w:tc>
              <w:tcPr>
                <w:tcW w:w="1108" w:type="pct"/>
                <w:shd w:val="clear" w:color="auto" w:fill="auto"/>
                <w:vAlign w:val="center"/>
              </w:tcPr>
              <w:p w:rsidR="00DE031E" w:rsidRPr="009C19AC" w:rsidRDefault="001C1A59" w:rsidP="00DE031E">
                <w:pPr>
                  <w:jc w:val="right"/>
                  <w:rPr>
                    <w:rFonts w:asciiTheme="minorEastAsia" w:eastAsiaTheme="minorEastAsia" w:hAnsiTheme="minorEastAsia" w:cs="Arial"/>
                    <w:color w:val="000000"/>
                    <w:sz w:val="18"/>
                    <w:szCs w:val="18"/>
                  </w:rPr>
                </w:pPr>
                <w:r w:rsidRPr="009C19AC">
                  <w:rPr>
                    <w:rFonts w:asciiTheme="minorEastAsia" w:eastAsiaTheme="minorEastAsia" w:hAnsiTheme="minorEastAsia" w:cs="Arial"/>
                    <w:color w:val="000000"/>
                    <w:sz w:val="18"/>
                    <w:szCs w:val="18"/>
                  </w:rPr>
                  <w:t>97,</w:t>
                </w:r>
                <w:r w:rsidRPr="009C19AC">
                  <w:rPr>
                    <w:rFonts w:asciiTheme="minorEastAsia" w:eastAsiaTheme="minorEastAsia" w:hAnsiTheme="minorEastAsia" w:cs="Arial" w:hint="eastAsia"/>
                    <w:color w:val="000000"/>
                    <w:sz w:val="18"/>
                    <w:szCs w:val="18"/>
                  </w:rPr>
                  <w:t>816</w:t>
                </w:r>
                <w:r w:rsidRPr="009C19AC">
                  <w:rPr>
                    <w:rFonts w:asciiTheme="minorEastAsia" w:eastAsiaTheme="minorEastAsia" w:hAnsiTheme="minorEastAsia" w:cs="Arial"/>
                    <w:color w:val="000000"/>
                    <w:sz w:val="18"/>
                    <w:szCs w:val="18"/>
                  </w:rPr>
                  <w:t>.</w:t>
                </w:r>
                <w:r w:rsidRPr="009C19AC">
                  <w:rPr>
                    <w:rFonts w:asciiTheme="minorEastAsia" w:eastAsiaTheme="minorEastAsia" w:hAnsiTheme="minorEastAsia" w:cs="Arial" w:hint="eastAsia"/>
                    <w:color w:val="000000"/>
                    <w:sz w:val="18"/>
                    <w:szCs w:val="18"/>
                  </w:rPr>
                  <w:t>68</w:t>
                </w:r>
              </w:p>
            </w:tc>
            <w:tc>
              <w:tcPr>
                <w:tcW w:w="1005" w:type="pct"/>
                <w:shd w:val="clear" w:color="auto" w:fill="auto"/>
                <w:vAlign w:val="center"/>
              </w:tcPr>
              <w:p w:rsidR="00DE031E" w:rsidRPr="009C19AC" w:rsidRDefault="001C1A59" w:rsidP="00DE031E">
                <w:pPr>
                  <w:jc w:val="right"/>
                  <w:rPr>
                    <w:rFonts w:asciiTheme="minorEastAsia" w:eastAsiaTheme="minorEastAsia" w:hAnsiTheme="minorEastAsia" w:cs="Arial"/>
                    <w:color w:val="000000"/>
                    <w:sz w:val="18"/>
                    <w:szCs w:val="18"/>
                  </w:rPr>
                </w:pPr>
                <w:r w:rsidRPr="009C19AC">
                  <w:rPr>
                    <w:rFonts w:asciiTheme="minorEastAsia" w:eastAsiaTheme="minorEastAsia" w:hAnsiTheme="minorEastAsia" w:cs="Arial"/>
                    <w:color w:val="000000"/>
                    <w:sz w:val="18"/>
                    <w:szCs w:val="18"/>
                  </w:rPr>
                  <w:t>97,</w:t>
                </w:r>
                <w:r w:rsidRPr="009C19AC">
                  <w:rPr>
                    <w:rFonts w:asciiTheme="minorEastAsia" w:eastAsiaTheme="minorEastAsia" w:hAnsiTheme="minorEastAsia" w:cs="Arial" w:hint="eastAsia"/>
                    <w:color w:val="000000"/>
                    <w:sz w:val="18"/>
                    <w:szCs w:val="18"/>
                  </w:rPr>
                  <w:t>816</w:t>
                </w:r>
                <w:r w:rsidRPr="009C19AC">
                  <w:rPr>
                    <w:rFonts w:asciiTheme="minorEastAsia" w:eastAsiaTheme="minorEastAsia" w:hAnsiTheme="minorEastAsia" w:cs="Arial"/>
                    <w:color w:val="000000"/>
                    <w:sz w:val="18"/>
                    <w:szCs w:val="18"/>
                  </w:rPr>
                  <w:t>.</w:t>
                </w:r>
                <w:r w:rsidRPr="009C19AC">
                  <w:rPr>
                    <w:rFonts w:asciiTheme="minorEastAsia" w:eastAsiaTheme="minorEastAsia" w:hAnsiTheme="minorEastAsia" w:cs="Arial" w:hint="eastAsia"/>
                    <w:color w:val="000000"/>
                    <w:sz w:val="18"/>
                    <w:szCs w:val="18"/>
                  </w:rPr>
                  <w:t>68</w:t>
                </w:r>
              </w:p>
            </w:tc>
          </w:tr>
          <w:tr w:rsidR="00DE031E" w:rsidRPr="006221E1" w:rsidTr="00DE031E">
            <w:trPr>
              <w:trHeight w:val="312"/>
              <w:tblHeader/>
              <w:jc w:val="center"/>
            </w:trPr>
            <w:tc>
              <w:tcPr>
                <w:tcW w:w="1081" w:type="pct"/>
                <w:shd w:val="clear" w:color="auto" w:fill="auto"/>
                <w:vAlign w:val="center"/>
              </w:tcPr>
              <w:p w:rsidR="00DE031E" w:rsidRPr="006221E1" w:rsidRDefault="001C1A59" w:rsidP="00DE031E">
                <w:pPr>
                  <w:rPr>
                    <w:rFonts w:asciiTheme="minorEastAsia" w:eastAsiaTheme="minorEastAsia" w:hAnsiTheme="minorEastAsia" w:cs="Arial"/>
                    <w:b/>
                    <w:bCs/>
                    <w:sz w:val="18"/>
                    <w:szCs w:val="18"/>
                  </w:rPr>
                </w:pPr>
                <w:r w:rsidRPr="006221E1">
                  <w:rPr>
                    <w:rFonts w:asciiTheme="minorEastAsia" w:eastAsiaTheme="minorEastAsia" w:hAnsiTheme="minorEastAsia" w:cs="Arial"/>
                    <w:b/>
                    <w:bCs/>
                    <w:sz w:val="18"/>
                    <w:szCs w:val="18"/>
                  </w:rPr>
                  <w:t>合计</w:t>
                </w:r>
              </w:p>
            </w:tc>
            <w:tc>
              <w:tcPr>
                <w:tcW w:w="864" w:type="pct"/>
                <w:shd w:val="clear" w:color="auto" w:fill="auto"/>
                <w:vAlign w:val="center"/>
              </w:tcPr>
              <w:p w:rsidR="00DE031E" w:rsidRPr="006221E1" w:rsidRDefault="00DE031E" w:rsidP="00DE031E">
                <w:pPr>
                  <w:jc w:val="right"/>
                  <w:rPr>
                    <w:rFonts w:asciiTheme="minorEastAsia" w:eastAsiaTheme="minorEastAsia" w:hAnsiTheme="minorEastAsia" w:cs="Arial"/>
                    <w:b/>
                    <w:bCs/>
                    <w:sz w:val="18"/>
                    <w:szCs w:val="18"/>
                  </w:rPr>
                </w:pPr>
              </w:p>
            </w:tc>
            <w:tc>
              <w:tcPr>
                <w:tcW w:w="942" w:type="pct"/>
                <w:shd w:val="clear" w:color="auto" w:fill="auto"/>
                <w:vAlign w:val="center"/>
              </w:tcPr>
              <w:p w:rsidR="00DE031E" w:rsidRPr="006221E1" w:rsidRDefault="00DE031E" w:rsidP="00DE031E">
                <w:pPr>
                  <w:jc w:val="right"/>
                  <w:rPr>
                    <w:rFonts w:asciiTheme="minorEastAsia" w:eastAsiaTheme="minorEastAsia" w:hAnsiTheme="minorEastAsia" w:cs="Arial"/>
                    <w:b/>
                    <w:bCs/>
                    <w:sz w:val="18"/>
                    <w:szCs w:val="18"/>
                  </w:rPr>
                </w:pPr>
              </w:p>
            </w:tc>
            <w:tc>
              <w:tcPr>
                <w:tcW w:w="1108" w:type="pct"/>
                <w:shd w:val="clear" w:color="auto" w:fill="auto"/>
                <w:vAlign w:val="center"/>
              </w:tcPr>
              <w:p w:rsidR="00DE031E" w:rsidRPr="009C19AC" w:rsidRDefault="001C1A59" w:rsidP="00DE031E">
                <w:pPr>
                  <w:jc w:val="right"/>
                  <w:rPr>
                    <w:rFonts w:asciiTheme="minorEastAsia" w:eastAsiaTheme="minorEastAsia" w:hAnsiTheme="minorEastAsia" w:cs="Arial"/>
                    <w:b/>
                    <w:bCs/>
                    <w:color w:val="000000"/>
                    <w:sz w:val="18"/>
                    <w:szCs w:val="18"/>
                  </w:rPr>
                </w:pPr>
                <w:r w:rsidRPr="009C19AC">
                  <w:rPr>
                    <w:rFonts w:asciiTheme="minorEastAsia" w:eastAsiaTheme="minorEastAsia" w:hAnsiTheme="minorEastAsia" w:cs="Arial"/>
                    <w:b/>
                    <w:color w:val="000000"/>
                    <w:sz w:val="18"/>
                    <w:szCs w:val="18"/>
                  </w:rPr>
                  <w:t>97,</w:t>
                </w:r>
                <w:r w:rsidRPr="009C19AC">
                  <w:rPr>
                    <w:rFonts w:asciiTheme="minorEastAsia" w:eastAsiaTheme="minorEastAsia" w:hAnsiTheme="minorEastAsia" w:cs="Arial" w:hint="eastAsia"/>
                    <w:b/>
                    <w:color w:val="000000"/>
                    <w:sz w:val="18"/>
                    <w:szCs w:val="18"/>
                  </w:rPr>
                  <w:t>816</w:t>
                </w:r>
                <w:r w:rsidRPr="009C19AC">
                  <w:rPr>
                    <w:rFonts w:asciiTheme="minorEastAsia" w:eastAsiaTheme="minorEastAsia" w:hAnsiTheme="minorEastAsia" w:cs="Arial"/>
                    <w:b/>
                    <w:color w:val="000000"/>
                    <w:sz w:val="18"/>
                    <w:szCs w:val="18"/>
                  </w:rPr>
                  <w:t>.</w:t>
                </w:r>
                <w:r w:rsidRPr="009C19AC">
                  <w:rPr>
                    <w:rFonts w:asciiTheme="minorEastAsia" w:eastAsiaTheme="minorEastAsia" w:hAnsiTheme="minorEastAsia" w:cs="Arial" w:hint="eastAsia"/>
                    <w:b/>
                    <w:color w:val="000000"/>
                    <w:sz w:val="18"/>
                    <w:szCs w:val="18"/>
                  </w:rPr>
                  <w:t>68</w:t>
                </w:r>
              </w:p>
            </w:tc>
            <w:tc>
              <w:tcPr>
                <w:tcW w:w="1005" w:type="pct"/>
                <w:shd w:val="clear" w:color="auto" w:fill="auto"/>
                <w:vAlign w:val="center"/>
              </w:tcPr>
              <w:p w:rsidR="00DE031E" w:rsidRPr="009C19AC" w:rsidRDefault="001C1A59" w:rsidP="00DE031E">
                <w:pPr>
                  <w:jc w:val="right"/>
                  <w:rPr>
                    <w:rFonts w:asciiTheme="minorEastAsia" w:eastAsiaTheme="minorEastAsia" w:hAnsiTheme="minorEastAsia" w:cs="Arial"/>
                    <w:b/>
                    <w:bCs/>
                    <w:color w:val="000000"/>
                    <w:sz w:val="18"/>
                    <w:szCs w:val="18"/>
                  </w:rPr>
                </w:pPr>
                <w:r w:rsidRPr="009C19AC">
                  <w:rPr>
                    <w:rFonts w:asciiTheme="minorEastAsia" w:eastAsiaTheme="minorEastAsia" w:hAnsiTheme="minorEastAsia" w:cs="Arial"/>
                    <w:b/>
                    <w:color w:val="000000"/>
                    <w:sz w:val="18"/>
                    <w:szCs w:val="18"/>
                  </w:rPr>
                  <w:t>97,</w:t>
                </w:r>
                <w:r w:rsidRPr="009C19AC">
                  <w:rPr>
                    <w:rFonts w:asciiTheme="minorEastAsia" w:eastAsiaTheme="minorEastAsia" w:hAnsiTheme="minorEastAsia" w:cs="Arial" w:hint="eastAsia"/>
                    <w:b/>
                    <w:color w:val="000000"/>
                    <w:sz w:val="18"/>
                    <w:szCs w:val="18"/>
                  </w:rPr>
                  <w:t>816</w:t>
                </w:r>
                <w:r w:rsidRPr="009C19AC">
                  <w:rPr>
                    <w:rFonts w:asciiTheme="minorEastAsia" w:eastAsiaTheme="minorEastAsia" w:hAnsiTheme="minorEastAsia" w:cs="Arial"/>
                    <w:b/>
                    <w:color w:val="000000"/>
                    <w:sz w:val="18"/>
                    <w:szCs w:val="18"/>
                  </w:rPr>
                  <w:t>.</w:t>
                </w:r>
                <w:r w:rsidRPr="009C19AC">
                  <w:rPr>
                    <w:rFonts w:asciiTheme="minorEastAsia" w:eastAsiaTheme="minorEastAsia" w:hAnsiTheme="minorEastAsia" w:cs="Arial" w:hint="eastAsia"/>
                    <w:b/>
                    <w:color w:val="000000"/>
                    <w:sz w:val="18"/>
                    <w:szCs w:val="18"/>
                  </w:rPr>
                  <w:t>68</w:t>
                </w:r>
              </w:p>
            </w:tc>
          </w:tr>
        </w:tbl>
        <w:p w:rsidR="00DE031E" w:rsidRPr="006221E1" w:rsidRDefault="00DE031E" w:rsidP="00DE031E">
          <w:pPr>
            <w:rPr>
              <w:rFonts w:asciiTheme="minorEastAsia" w:eastAsiaTheme="minorEastAsia" w:hAnsiTheme="minorEastAsia"/>
            </w:rPr>
          </w:pPr>
        </w:p>
        <w:p w:rsidR="00DE031E" w:rsidRPr="00217DDF" w:rsidRDefault="001C1A59" w:rsidP="009950AC">
          <w:pPr>
            <w:pStyle w:val="4"/>
            <w:numPr>
              <w:ilvl w:val="0"/>
              <w:numId w:val="44"/>
            </w:numPr>
            <w:spacing w:line="360" w:lineRule="auto"/>
            <w:rPr>
              <w:rFonts w:asciiTheme="minorEastAsia" w:eastAsiaTheme="minorEastAsia" w:hAnsiTheme="minorEastAsia" w:cs="宋体"/>
              <w:bCs w:val="0"/>
              <w:kern w:val="0"/>
              <w:szCs w:val="24"/>
              <w:shd w:val="clear" w:color="auto" w:fill="FFFFFF"/>
            </w:rPr>
          </w:pPr>
          <w:r w:rsidRPr="00217DDF">
            <w:rPr>
              <w:rFonts w:asciiTheme="minorEastAsia" w:eastAsiaTheme="minorEastAsia" w:hAnsiTheme="minorEastAsia" w:cs="Arial"/>
              <w:sz w:val="22"/>
              <w:szCs w:val="22"/>
            </w:rPr>
            <w:t>应收款项金额前五名单位情况</w:t>
          </w:r>
        </w:p>
        <w:p w:rsidR="00DE031E" w:rsidRPr="006221E1" w:rsidRDefault="001C1A59" w:rsidP="003A0284">
          <w:pPr>
            <w:pStyle w:val="afb"/>
            <w:spacing w:beforeLines="50" w:after="120" w:line="360" w:lineRule="auto"/>
            <w:ind w:left="420" w:firstLineChars="0" w:firstLine="0"/>
            <w:outlineLvl w:val="9"/>
            <w:rPr>
              <w:rFonts w:asciiTheme="minorEastAsia" w:eastAsiaTheme="minorEastAsia" w:hAnsiTheme="minorEastAsia" w:cs="Arial"/>
              <w:sz w:val="22"/>
              <w:szCs w:val="22"/>
            </w:rPr>
          </w:pPr>
          <w:r w:rsidRPr="006221E1">
            <w:rPr>
              <w:rFonts w:asciiTheme="minorEastAsia" w:eastAsiaTheme="minorEastAsia" w:hAnsiTheme="minorEastAsia" w:cs="Arial" w:hint="eastAsia"/>
              <w:sz w:val="22"/>
              <w:szCs w:val="22"/>
            </w:rPr>
            <w:t>截至2015年6月30日，</w:t>
          </w:r>
          <w:r w:rsidRPr="006221E1">
            <w:rPr>
              <w:rFonts w:asciiTheme="minorEastAsia" w:eastAsiaTheme="minorEastAsia" w:hAnsiTheme="minorEastAsia" w:cs="Arial"/>
              <w:sz w:val="22"/>
              <w:szCs w:val="22"/>
            </w:rPr>
            <w:t>应收款项金额前五名单位情况</w:t>
          </w:r>
        </w:p>
        <w:tbl>
          <w:tblPr>
            <w:tblW w:w="5000" w:type="pct"/>
            <w:tblLook w:val="04A0"/>
          </w:tblPr>
          <w:tblGrid>
            <w:gridCol w:w="1449"/>
            <w:gridCol w:w="234"/>
            <w:gridCol w:w="1791"/>
            <w:gridCol w:w="330"/>
            <w:gridCol w:w="2009"/>
            <w:gridCol w:w="222"/>
            <w:gridCol w:w="1004"/>
            <w:gridCol w:w="324"/>
            <w:gridCol w:w="1686"/>
          </w:tblGrid>
          <w:tr w:rsidR="00DE031E" w:rsidRPr="006241AF" w:rsidTr="00DE031E">
            <w:trPr>
              <w:trHeight w:val="340"/>
            </w:trPr>
            <w:tc>
              <w:tcPr>
                <w:tcW w:w="823" w:type="pct"/>
                <w:tcBorders>
                  <w:top w:val="nil"/>
                  <w:left w:val="nil"/>
                  <w:bottom w:val="nil"/>
                  <w:right w:val="nil"/>
                </w:tcBorders>
                <w:shd w:val="clear" w:color="auto" w:fill="auto"/>
                <w:noWrap/>
                <w:vAlign w:val="center"/>
                <w:hideMark/>
              </w:tcPr>
              <w:p w:rsidR="00DE031E" w:rsidRPr="006241AF" w:rsidRDefault="001C1A59" w:rsidP="00DE031E">
                <w:pPr>
                  <w:spacing w:line="240" w:lineRule="exact"/>
                  <w:jc w:val="right"/>
                  <w:rPr>
                    <w:rFonts w:asciiTheme="minorEastAsia" w:eastAsiaTheme="minorEastAsia" w:hAnsiTheme="minorEastAsia" w:cs="Arial"/>
                    <w:b/>
                    <w:bCs/>
                    <w:szCs w:val="21"/>
                  </w:rPr>
                </w:pPr>
                <w:r w:rsidRPr="006241AF">
                  <w:rPr>
                    <w:rFonts w:asciiTheme="minorEastAsia" w:eastAsiaTheme="minorEastAsia" w:hAnsiTheme="minorEastAsia" w:cs="Arial"/>
                    <w:b/>
                    <w:bCs/>
                    <w:szCs w:val="21"/>
                  </w:rPr>
                  <w:t>单位名称</w:t>
                </w:r>
              </w:p>
            </w:tc>
            <w:tc>
              <w:tcPr>
                <w:tcW w:w="151" w:type="pct"/>
                <w:tcBorders>
                  <w:top w:val="nil"/>
                  <w:left w:val="nil"/>
                  <w:bottom w:val="nil"/>
                  <w:right w:val="nil"/>
                </w:tcBorders>
                <w:shd w:val="clear" w:color="auto" w:fill="auto"/>
                <w:noWrap/>
                <w:vAlign w:val="center"/>
                <w:hideMark/>
              </w:tcPr>
              <w:p w:rsidR="00DE031E" w:rsidRPr="006241AF" w:rsidRDefault="00DE031E" w:rsidP="00DE031E">
                <w:pPr>
                  <w:spacing w:line="240" w:lineRule="exact"/>
                  <w:jc w:val="right"/>
                  <w:rPr>
                    <w:rFonts w:asciiTheme="minorEastAsia" w:eastAsiaTheme="minorEastAsia" w:hAnsiTheme="minorEastAsia" w:cs="Arial"/>
                    <w:b/>
                    <w:bCs/>
                    <w:szCs w:val="21"/>
                  </w:rPr>
                </w:pPr>
              </w:p>
            </w:tc>
            <w:tc>
              <w:tcPr>
                <w:tcW w:w="992" w:type="pct"/>
                <w:tcBorders>
                  <w:top w:val="nil"/>
                  <w:left w:val="nil"/>
                  <w:bottom w:val="nil"/>
                  <w:right w:val="nil"/>
                </w:tcBorders>
                <w:shd w:val="clear" w:color="auto" w:fill="auto"/>
                <w:noWrap/>
                <w:vAlign w:val="center"/>
                <w:hideMark/>
              </w:tcPr>
              <w:p w:rsidR="00DE031E" w:rsidRPr="006241AF" w:rsidRDefault="001C1A59" w:rsidP="00DE031E">
                <w:pPr>
                  <w:spacing w:line="240" w:lineRule="exact"/>
                  <w:ind w:leftChars="-50" w:left="-105"/>
                  <w:jc w:val="right"/>
                  <w:rPr>
                    <w:rFonts w:asciiTheme="minorEastAsia" w:eastAsiaTheme="minorEastAsia" w:hAnsiTheme="minorEastAsia" w:cs="Arial"/>
                    <w:b/>
                    <w:bCs/>
                    <w:szCs w:val="21"/>
                    <w:u w:val="single"/>
                  </w:rPr>
                </w:pPr>
                <w:r w:rsidRPr="006241AF">
                  <w:rPr>
                    <w:rFonts w:asciiTheme="minorEastAsia" w:eastAsiaTheme="minorEastAsia" w:hAnsiTheme="minorEastAsia" w:cs="Arial"/>
                    <w:b/>
                    <w:bCs/>
                    <w:szCs w:val="21"/>
                    <w:u w:val="single"/>
                  </w:rPr>
                  <w:t>金额</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spacing w:line="240" w:lineRule="exact"/>
                  <w:ind w:leftChars="-50" w:left="-105" w:rightChars="-50" w:right="-105"/>
                  <w:jc w:val="right"/>
                  <w:rPr>
                    <w:rFonts w:asciiTheme="minorEastAsia" w:eastAsiaTheme="minorEastAsia" w:hAnsiTheme="minorEastAsia" w:cs="Arial"/>
                    <w:b/>
                    <w:bCs/>
                    <w:szCs w:val="21"/>
                    <w:u w:val="single"/>
                  </w:rPr>
                </w:pPr>
              </w:p>
            </w:tc>
            <w:tc>
              <w:tcPr>
                <w:tcW w:w="1054" w:type="pct"/>
                <w:tcBorders>
                  <w:top w:val="nil"/>
                  <w:left w:val="nil"/>
                  <w:bottom w:val="nil"/>
                  <w:right w:val="nil"/>
                </w:tcBorders>
                <w:shd w:val="clear" w:color="auto" w:fill="auto"/>
                <w:noWrap/>
                <w:vAlign w:val="center"/>
                <w:hideMark/>
              </w:tcPr>
              <w:p w:rsidR="00DE031E" w:rsidRPr="006241AF" w:rsidRDefault="001C1A59" w:rsidP="00DE031E">
                <w:pPr>
                  <w:wordWrap w:val="0"/>
                  <w:spacing w:line="240" w:lineRule="exact"/>
                  <w:ind w:leftChars="-50" w:left="-105"/>
                  <w:jc w:val="right"/>
                  <w:rPr>
                    <w:rFonts w:asciiTheme="minorEastAsia" w:eastAsiaTheme="minorEastAsia" w:hAnsiTheme="minorEastAsia" w:cs="Arial"/>
                    <w:b/>
                    <w:bCs/>
                    <w:szCs w:val="21"/>
                    <w:u w:val="single"/>
                  </w:rPr>
                </w:pPr>
                <w:r w:rsidRPr="006241AF">
                  <w:rPr>
                    <w:rFonts w:asciiTheme="minorEastAsia" w:eastAsiaTheme="minorEastAsia" w:hAnsiTheme="minorEastAsia" w:cs="Arial"/>
                    <w:b/>
                    <w:bCs/>
                    <w:szCs w:val="21"/>
                    <w:u w:val="single"/>
                  </w:rPr>
                  <w:t>占应收款项总额比例</w:t>
                </w:r>
              </w:p>
            </w:tc>
            <w:tc>
              <w:tcPr>
                <w:tcW w:w="127" w:type="pct"/>
                <w:tcBorders>
                  <w:top w:val="nil"/>
                  <w:left w:val="nil"/>
                  <w:bottom w:val="nil"/>
                  <w:right w:val="nil"/>
                </w:tcBorders>
                <w:shd w:val="clear" w:color="auto" w:fill="auto"/>
                <w:noWrap/>
                <w:vAlign w:val="center"/>
                <w:hideMark/>
              </w:tcPr>
              <w:p w:rsidR="00DE031E" w:rsidRPr="006241AF" w:rsidRDefault="00DE031E" w:rsidP="00DE031E">
                <w:pPr>
                  <w:spacing w:line="240" w:lineRule="exact"/>
                  <w:ind w:leftChars="-50" w:left="-105" w:rightChars="-50" w:right="-105"/>
                  <w:jc w:val="right"/>
                  <w:rPr>
                    <w:rFonts w:asciiTheme="minorEastAsia" w:eastAsiaTheme="minorEastAsia" w:hAnsiTheme="minorEastAsia" w:cs="Arial"/>
                    <w:b/>
                    <w:bCs/>
                    <w:szCs w:val="21"/>
                    <w:u w:val="single"/>
                  </w:rPr>
                </w:pPr>
              </w:p>
            </w:tc>
            <w:tc>
              <w:tcPr>
                <w:tcW w:w="571" w:type="pct"/>
                <w:tcBorders>
                  <w:top w:val="nil"/>
                  <w:left w:val="nil"/>
                  <w:bottom w:val="nil"/>
                  <w:right w:val="nil"/>
                </w:tcBorders>
                <w:shd w:val="clear" w:color="auto" w:fill="auto"/>
                <w:noWrap/>
                <w:vAlign w:val="center"/>
                <w:hideMark/>
              </w:tcPr>
              <w:p w:rsidR="00DE031E" w:rsidRPr="006241AF" w:rsidRDefault="001C1A59" w:rsidP="00DE031E">
                <w:pPr>
                  <w:spacing w:line="240" w:lineRule="exact"/>
                  <w:ind w:leftChars="-50" w:left="-105"/>
                  <w:jc w:val="right"/>
                  <w:rPr>
                    <w:rFonts w:asciiTheme="minorEastAsia" w:eastAsiaTheme="minorEastAsia" w:hAnsiTheme="minorEastAsia" w:cs="Arial"/>
                    <w:b/>
                    <w:bCs/>
                    <w:szCs w:val="21"/>
                    <w:u w:val="single"/>
                  </w:rPr>
                </w:pPr>
                <w:r w:rsidRPr="006241AF">
                  <w:rPr>
                    <w:rFonts w:asciiTheme="minorEastAsia" w:eastAsiaTheme="minorEastAsia" w:hAnsiTheme="minorEastAsia" w:cs="Arial"/>
                    <w:b/>
                    <w:bCs/>
                    <w:szCs w:val="21"/>
                    <w:u w:val="single"/>
                  </w:rPr>
                  <w:t>账龄</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spacing w:line="240" w:lineRule="exact"/>
                  <w:ind w:leftChars="-50" w:left="-105" w:rightChars="-50" w:right="-105"/>
                  <w:jc w:val="right"/>
                  <w:rPr>
                    <w:rFonts w:asciiTheme="minorEastAsia" w:eastAsiaTheme="minorEastAsia" w:hAnsiTheme="minorEastAsia" w:cs="Arial"/>
                    <w:b/>
                    <w:bCs/>
                    <w:szCs w:val="21"/>
                    <w:u w:val="single"/>
                  </w:rPr>
                </w:pPr>
              </w:p>
            </w:tc>
            <w:tc>
              <w:tcPr>
                <w:tcW w:w="836" w:type="pct"/>
                <w:tcBorders>
                  <w:top w:val="nil"/>
                  <w:left w:val="nil"/>
                  <w:bottom w:val="nil"/>
                  <w:right w:val="nil"/>
                </w:tcBorders>
                <w:shd w:val="clear" w:color="auto" w:fill="auto"/>
                <w:noWrap/>
                <w:vAlign w:val="center"/>
                <w:hideMark/>
              </w:tcPr>
              <w:p w:rsidR="00DE031E" w:rsidRPr="006241AF" w:rsidRDefault="001C1A59" w:rsidP="00DE031E">
                <w:pPr>
                  <w:spacing w:line="240" w:lineRule="exact"/>
                  <w:ind w:leftChars="-50" w:left="-105"/>
                  <w:jc w:val="right"/>
                  <w:rPr>
                    <w:rFonts w:asciiTheme="minorEastAsia" w:eastAsiaTheme="minorEastAsia" w:hAnsiTheme="minorEastAsia" w:cs="Arial"/>
                    <w:b/>
                    <w:bCs/>
                    <w:szCs w:val="21"/>
                    <w:u w:val="single"/>
                  </w:rPr>
                </w:pPr>
                <w:r w:rsidRPr="006241AF">
                  <w:rPr>
                    <w:rFonts w:asciiTheme="minorEastAsia" w:eastAsiaTheme="minorEastAsia" w:hAnsiTheme="minorEastAsia" w:cs="Arial"/>
                    <w:b/>
                    <w:bCs/>
                    <w:szCs w:val="21"/>
                    <w:u w:val="single"/>
                  </w:rPr>
                  <w:t>欠款性质</w:t>
                </w:r>
              </w:p>
            </w:tc>
          </w:tr>
          <w:tr w:rsidR="00DE031E" w:rsidRPr="006241AF" w:rsidTr="00DE031E">
            <w:trPr>
              <w:trHeight w:val="340"/>
            </w:trPr>
            <w:tc>
              <w:tcPr>
                <w:tcW w:w="823" w:type="pct"/>
                <w:tcBorders>
                  <w:top w:val="nil"/>
                  <w:left w:val="nil"/>
                  <w:bottom w:val="nil"/>
                  <w:right w:val="nil"/>
                </w:tcBorders>
                <w:shd w:val="clear" w:color="auto" w:fill="auto"/>
                <w:noWrap/>
                <w:vAlign w:val="center"/>
                <w:hideMark/>
              </w:tcPr>
              <w:p w:rsidR="00DE031E" w:rsidRPr="006241AF" w:rsidRDefault="001C1A59" w:rsidP="00DE031E">
                <w:pPr>
                  <w:rPr>
                    <w:rFonts w:asciiTheme="minorEastAsia" w:eastAsiaTheme="minorEastAsia" w:hAnsiTheme="minorEastAsia" w:cs="Arial"/>
                    <w:color w:val="000000"/>
                    <w:szCs w:val="21"/>
                  </w:rPr>
                </w:pPr>
                <w:r w:rsidRPr="006241AF">
                  <w:rPr>
                    <w:rFonts w:asciiTheme="minorEastAsia" w:eastAsiaTheme="minorEastAsia" w:hAnsiTheme="minorEastAsia" w:cs="Arial" w:hint="eastAsia"/>
                    <w:color w:val="000000"/>
                    <w:szCs w:val="21"/>
                  </w:rPr>
                  <w:t>客户</w:t>
                </w:r>
                <w:r w:rsidRPr="006241AF">
                  <w:rPr>
                    <w:rFonts w:asciiTheme="minorEastAsia" w:eastAsiaTheme="minorEastAsia" w:hAnsiTheme="minorEastAsia" w:cs="Arial"/>
                    <w:color w:val="000000"/>
                    <w:szCs w:val="21"/>
                  </w:rPr>
                  <w:t>1</w:t>
                </w:r>
                <w:r>
                  <w:rPr>
                    <w:rFonts w:asciiTheme="minorEastAsia" w:eastAsiaTheme="minorEastAsia" w:hAnsiTheme="minorEastAsia" w:cs="Arial" w:hint="eastAsia"/>
                    <w:color w:val="000000"/>
                    <w:szCs w:val="21"/>
                  </w:rPr>
                  <w:t>（注）</w:t>
                </w:r>
              </w:p>
            </w:tc>
            <w:tc>
              <w:tcPr>
                <w:tcW w:w="151"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992"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 xml:space="preserve"> 579,322,575.02 </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1054"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15.20%</w:t>
                </w:r>
              </w:p>
            </w:tc>
            <w:tc>
              <w:tcPr>
                <w:tcW w:w="127"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571"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1年以内</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836"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hint="eastAsia"/>
                    <w:szCs w:val="21"/>
                  </w:rPr>
                  <w:t>应收同业清算款</w:t>
                </w:r>
              </w:p>
            </w:tc>
          </w:tr>
          <w:tr w:rsidR="00DE031E" w:rsidRPr="006241AF" w:rsidTr="00DE031E">
            <w:trPr>
              <w:trHeight w:val="340"/>
            </w:trPr>
            <w:tc>
              <w:tcPr>
                <w:tcW w:w="823" w:type="pct"/>
                <w:tcBorders>
                  <w:top w:val="nil"/>
                  <w:left w:val="nil"/>
                  <w:bottom w:val="nil"/>
                  <w:right w:val="nil"/>
                </w:tcBorders>
                <w:shd w:val="clear" w:color="auto" w:fill="auto"/>
                <w:noWrap/>
                <w:vAlign w:val="center"/>
                <w:hideMark/>
              </w:tcPr>
              <w:p w:rsidR="00DE031E" w:rsidRPr="006241AF" w:rsidRDefault="001C1A59" w:rsidP="00DE031E">
                <w:pPr>
                  <w:rPr>
                    <w:rFonts w:asciiTheme="minorEastAsia" w:eastAsiaTheme="minorEastAsia" w:hAnsiTheme="minorEastAsia" w:cs="Arial"/>
                    <w:color w:val="000000"/>
                    <w:szCs w:val="21"/>
                  </w:rPr>
                </w:pPr>
                <w:r w:rsidRPr="006241AF">
                  <w:rPr>
                    <w:rFonts w:asciiTheme="minorEastAsia" w:eastAsiaTheme="minorEastAsia" w:hAnsiTheme="minorEastAsia" w:cs="Arial" w:hint="eastAsia"/>
                    <w:color w:val="000000"/>
                    <w:szCs w:val="21"/>
                  </w:rPr>
                  <w:t>客户</w:t>
                </w:r>
                <w:r w:rsidRPr="006241AF">
                  <w:rPr>
                    <w:rFonts w:asciiTheme="minorEastAsia" w:eastAsiaTheme="minorEastAsia" w:hAnsiTheme="minorEastAsia" w:cs="Arial"/>
                    <w:color w:val="000000"/>
                    <w:szCs w:val="21"/>
                  </w:rPr>
                  <w:t>2</w:t>
                </w:r>
              </w:p>
            </w:tc>
            <w:tc>
              <w:tcPr>
                <w:tcW w:w="151"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992"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 xml:space="preserve"> 300,665,593.03 </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1054"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7.89%</w:t>
                </w:r>
              </w:p>
            </w:tc>
            <w:tc>
              <w:tcPr>
                <w:tcW w:w="127"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571"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1</w:t>
                </w:r>
                <w:r w:rsidRPr="006241AF">
                  <w:rPr>
                    <w:rFonts w:asciiTheme="minorEastAsia" w:eastAsiaTheme="minorEastAsia" w:hAnsiTheme="minorEastAsia" w:hint="eastAsia"/>
                    <w:szCs w:val="21"/>
                  </w:rPr>
                  <w:t>-</w:t>
                </w:r>
                <w:r w:rsidRPr="006241AF">
                  <w:rPr>
                    <w:rFonts w:asciiTheme="minorEastAsia" w:eastAsiaTheme="minorEastAsia" w:hAnsiTheme="minorEastAsia"/>
                    <w:szCs w:val="21"/>
                  </w:rPr>
                  <w:t>3年</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836"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hint="eastAsia"/>
                    <w:szCs w:val="21"/>
                  </w:rPr>
                  <w:t>席位佣金</w:t>
                </w:r>
              </w:p>
            </w:tc>
          </w:tr>
          <w:tr w:rsidR="00DE031E" w:rsidRPr="006241AF" w:rsidTr="00DE031E">
            <w:trPr>
              <w:trHeight w:val="340"/>
            </w:trPr>
            <w:tc>
              <w:tcPr>
                <w:tcW w:w="823" w:type="pct"/>
                <w:tcBorders>
                  <w:top w:val="nil"/>
                  <w:left w:val="nil"/>
                  <w:bottom w:val="nil"/>
                  <w:right w:val="nil"/>
                </w:tcBorders>
                <w:shd w:val="clear" w:color="auto" w:fill="auto"/>
                <w:noWrap/>
                <w:vAlign w:val="center"/>
                <w:hideMark/>
              </w:tcPr>
              <w:p w:rsidR="00DE031E" w:rsidRPr="006241AF" w:rsidRDefault="001C1A59" w:rsidP="00DE031E">
                <w:pPr>
                  <w:rPr>
                    <w:rFonts w:asciiTheme="minorEastAsia" w:eastAsiaTheme="minorEastAsia" w:hAnsiTheme="minorEastAsia" w:cs="Arial"/>
                    <w:color w:val="000000"/>
                    <w:szCs w:val="21"/>
                  </w:rPr>
                </w:pPr>
                <w:r w:rsidRPr="006241AF">
                  <w:rPr>
                    <w:rFonts w:asciiTheme="minorEastAsia" w:eastAsiaTheme="minorEastAsia" w:hAnsiTheme="minorEastAsia" w:cs="Arial" w:hint="eastAsia"/>
                    <w:color w:val="000000"/>
                    <w:szCs w:val="21"/>
                  </w:rPr>
                  <w:t>客户</w:t>
                </w:r>
                <w:r w:rsidRPr="006241AF">
                  <w:rPr>
                    <w:rFonts w:asciiTheme="minorEastAsia" w:eastAsiaTheme="minorEastAsia" w:hAnsiTheme="minorEastAsia" w:cs="Arial"/>
                    <w:color w:val="000000"/>
                    <w:szCs w:val="21"/>
                  </w:rPr>
                  <w:t>3</w:t>
                </w:r>
                <w:r w:rsidRPr="006241AF">
                  <w:rPr>
                    <w:rFonts w:asciiTheme="minorEastAsia" w:eastAsiaTheme="minorEastAsia" w:hAnsiTheme="minorEastAsia" w:cs="Arial" w:hint="eastAsia"/>
                    <w:color w:val="000000"/>
                    <w:szCs w:val="21"/>
                  </w:rPr>
                  <w:t>（注）</w:t>
                </w:r>
              </w:p>
            </w:tc>
            <w:tc>
              <w:tcPr>
                <w:tcW w:w="151"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992"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 xml:space="preserve"> 246,046,320.00 </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1054"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6.46%</w:t>
                </w:r>
              </w:p>
            </w:tc>
            <w:tc>
              <w:tcPr>
                <w:tcW w:w="127"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571"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1-2年</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836"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hint="eastAsia"/>
                    <w:szCs w:val="21"/>
                  </w:rPr>
                  <w:t>客户借款</w:t>
                </w:r>
              </w:p>
            </w:tc>
          </w:tr>
          <w:tr w:rsidR="00DE031E" w:rsidRPr="006241AF" w:rsidTr="00DE031E">
            <w:trPr>
              <w:trHeight w:val="340"/>
            </w:trPr>
            <w:tc>
              <w:tcPr>
                <w:tcW w:w="823" w:type="pct"/>
                <w:tcBorders>
                  <w:top w:val="nil"/>
                  <w:left w:val="nil"/>
                  <w:bottom w:val="nil"/>
                  <w:right w:val="nil"/>
                </w:tcBorders>
                <w:shd w:val="clear" w:color="auto" w:fill="auto"/>
                <w:noWrap/>
                <w:vAlign w:val="center"/>
                <w:hideMark/>
              </w:tcPr>
              <w:p w:rsidR="00DE031E" w:rsidRPr="006241AF" w:rsidRDefault="001C1A59" w:rsidP="00DE031E">
                <w:pPr>
                  <w:rPr>
                    <w:rFonts w:asciiTheme="minorEastAsia" w:eastAsiaTheme="minorEastAsia" w:hAnsiTheme="minorEastAsia" w:cs="Arial"/>
                    <w:color w:val="000000"/>
                    <w:szCs w:val="21"/>
                  </w:rPr>
                </w:pPr>
                <w:r w:rsidRPr="006241AF">
                  <w:rPr>
                    <w:rFonts w:asciiTheme="minorEastAsia" w:eastAsiaTheme="minorEastAsia" w:hAnsiTheme="minorEastAsia" w:cs="Arial" w:hint="eastAsia"/>
                    <w:color w:val="000000"/>
                    <w:szCs w:val="21"/>
                  </w:rPr>
                  <w:t>客户</w:t>
                </w:r>
                <w:r w:rsidRPr="006241AF">
                  <w:rPr>
                    <w:rFonts w:asciiTheme="minorEastAsia" w:eastAsiaTheme="minorEastAsia" w:hAnsiTheme="minorEastAsia" w:cs="Arial"/>
                    <w:color w:val="000000"/>
                    <w:szCs w:val="21"/>
                  </w:rPr>
                  <w:t>4</w:t>
                </w:r>
                <w:r w:rsidRPr="006241AF">
                  <w:rPr>
                    <w:rFonts w:asciiTheme="minorEastAsia" w:eastAsiaTheme="minorEastAsia" w:hAnsiTheme="minorEastAsia" w:cs="Arial" w:hint="eastAsia"/>
                    <w:color w:val="000000"/>
                    <w:szCs w:val="21"/>
                  </w:rPr>
                  <w:t>（注）</w:t>
                </w:r>
              </w:p>
            </w:tc>
            <w:tc>
              <w:tcPr>
                <w:tcW w:w="151"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992"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 xml:space="preserve"> 228,321,207.02 </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1054"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5.99%</w:t>
                </w:r>
              </w:p>
            </w:tc>
            <w:tc>
              <w:tcPr>
                <w:tcW w:w="127"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571"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1年以内</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836"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hint="eastAsia"/>
                    <w:szCs w:val="21"/>
                  </w:rPr>
                  <w:t>行家往来款</w:t>
                </w:r>
              </w:p>
            </w:tc>
          </w:tr>
          <w:tr w:rsidR="00DE031E" w:rsidRPr="006241AF" w:rsidTr="00DE031E">
            <w:trPr>
              <w:trHeight w:val="340"/>
            </w:trPr>
            <w:tc>
              <w:tcPr>
                <w:tcW w:w="823" w:type="pct"/>
                <w:tcBorders>
                  <w:top w:val="nil"/>
                  <w:left w:val="nil"/>
                  <w:bottom w:val="nil"/>
                  <w:right w:val="nil"/>
                </w:tcBorders>
                <w:shd w:val="clear" w:color="auto" w:fill="auto"/>
                <w:noWrap/>
                <w:vAlign w:val="center"/>
                <w:hideMark/>
              </w:tcPr>
              <w:p w:rsidR="00DE031E" w:rsidRPr="006241AF" w:rsidRDefault="001C1A59" w:rsidP="00DE031E">
                <w:pPr>
                  <w:rPr>
                    <w:rFonts w:asciiTheme="minorEastAsia" w:eastAsiaTheme="minorEastAsia" w:hAnsiTheme="minorEastAsia" w:cs="Arial"/>
                    <w:color w:val="000000"/>
                    <w:szCs w:val="21"/>
                  </w:rPr>
                </w:pPr>
                <w:r w:rsidRPr="006241AF">
                  <w:rPr>
                    <w:rFonts w:asciiTheme="minorEastAsia" w:eastAsiaTheme="minorEastAsia" w:hAnsiTheme="minorEastAsia" w:cs="Arial" w:hint="eastAsia"/>
                    <w:color w:val="000000"/>
                    <w:szCs w:val="21"/>
                  </w:rPr>
                  <w:t>客户</w:t>
                </w:r>
                <w:r w:rsidRPr="006241AF">
                  <w:rPr>
                    <w:rFonts w:asciiTheme="minorEastAsia" w:eastAsiaTheme="minorEastAsia" w:hAnsiTheme="minorEastAsia" w:cs="Arial"/>
                    <w:color w:val="000000"/>
                    <w:szCs w:val="21"/>
                  </w:rPr>
                  <w:t>5</w:t>
                </w:r>
              </w:p>
            </w:tc>
            <w:tc>
              <w:tcPr>
                <w:tcW w:w="151"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992"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 xml:space="preserve"> 140,470,324.00 </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1054"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3.69%</w:t>
                </w:r>
              </w:p>
            </w:tc>
            <w:tc>
              <w:tcPr>
                <w:tcW w:w="127"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571"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szCs w:val="21"/>
                  </w:rPr>
                  <w:t>1年以内</w:t>
                </w:r>
              </w:p>
            </w:tc>
            <w:tc>
              <w:tcPr>
                <w:tcW w:w="223" w:type="pct"/>
                <w:tcBorders>
                  <w:top w:val="nil"/>
                  <w:left w:val="nil"/>
                  <w:bottom w:val="nil"/>
                  <w:right w:val="nil"/>
                </w:tcBorders>
                <w:shd w:val="clear" w:color="auto" w:fill="auto"/>
                <w:noWrap/>
                <w:vAlign w:val="center"/>
                <w:hideMark/>
              </w:tcPr>
              <w:p w:rsidR="00DE031E" w:rsidRPr="006241AF" w:rsidRDefault="00DE031E" w:rsidP="00DE031E">
                <w:pPr>
                  <w:jc w:val="right"/>
                  <w:rPr>
                    <w:rFonts w:asciiTheme="minorEastAsia" w:eastAsiaTheme="minorEastAsia" w:hAnsiTheme="minorEastAsia" w:cs="Arial"/>
                    <w:color w:val="000000"/>
                    <w:szCs w:val="21"/>
                  </w:rPr>
                </w:pPr>
              </w:p>
            </w:tc>
            <w:tc>
              <w:tcPr>
                <w:tcW w:w="836" w:type="pct"/>
                <w:tcBorders>
                  <w:top w:val="nil"/>
                  <w:left w:val="nil"/>
                  <w:bottom w:val="nil"/>
                  <w:right w:val="nil"/>
                </w:tcBorders>
                <w:shd w:val="clear" w:color="auto" w:fill="auto"/>
                <w:noWrap/>
                <w:vAlign w:val="center"/>
                <w:hideMark/>
              </w:tcPr>
              <w:p w:rsidR="00DE031E" w:rsidRPr="006241AF" w:rsidRDefault="001C1A59" w:rsidP="00DE031E">
                <w:pPr>
                  <w:jc w:val="right"/>
                  <w:rPr>
                    <w:rFonts w:asciiTheme="minorEastAsia" w:eastAsiaTheme="minorEastAsia" w:hAnsiTheme="minorEastAsia"/>
                    <w:szCs w:val="21"/>
                  </w:rPr>
                </w:pPr>
                <w:r w:rsidRPr="006241AF">
                  <w:rPr>
                    <w:rFonts w:asciiTheme="minorEastAsia" w:eastAsiaTheme="minorEastAsia" w:hAnsiTheme="minorEastAsia" w:hint="eastAsia"/>
                    <w:szCs w:val="21"/>
                  </w:rPr>
                  <w:t>权益互换保证金</w:t>
                </w:r>
              </w:p>
            </w:tc>
          </w:tr>
        </w:tbl>
        <w:p w:rsidR="00DE031E" w:rsidRPr="00FF56A1" w:rsidRDefault="001C1A59" w:rsidP="003A0284">
          <w:pPr>
            <w:spacing w:beforeLines="50" w:line="360" w:lineRule="auto"/>
            <w:ind w:firstLineChars="200" w:firstLine="440"/>
            <w:rPr>
              <w:rFonts w:asciiTheme="minorEastAsia" w:eastAsiaTheme="minorEastAsia" w:hAnsiTheme="minorEastAsia" w:cs="Arial"/>
              <w:sz w:val="22"/>
            </w:rPr>
          </w:pPr>
          <w:r w:rsidRPr="00FF56A1">
            <w:rPr>
              <w:rFonts w:asciiTheme="minorEastAsia" w:eastAsiaTheme="minorEastAsia" w:hAnsiTheme="minorEastAsia" w:cs="Arial" w:hint="eastAsia"/>
              <w:sz w:val="22"/>
            </w:rPr>
            <w:t>注：应收客户</w:t>
          </w:r>
          <w:r w:rsidRPr="00FF56A1">
            <w:rPr>
              <w:rFonts w:asciiTheme="minorEastAsia" w:eastAsiaTheme="minorEastAsia" w:hAnsiTheme="minorEastAsia" w:cs="Arial"/>
              <w:sz w:val="22"/>
            </w:rPr>
            <w:t>1、客户3款项为本公司之子公司招商证券（香港）有限公司应收同业清算款及为客户提供的借款，客户4款项为招商期货(香港)有限公司应收行家往来款。</w:t>
          </w:r>
        </w:p>
        <w:p w:rsidR="00DE031E" w:rsidRPr="006221E1" w:rsidRDefault="001C1A59" w:rsidP="009950AC">
          <w:pPr>
            <w:pStyle w:val="4"/>
            <w:numPr>
              <w:ilvl w:val="0"/>
              <w:numId w:val="44"/>
            </w:numPr>
            <w:spacing w:line="360" w:lineRule="auto"/>
            <w:rPr>
              <w:rFonts w:asciiTheme="minorEastAsia" w:eastAsiaTheme="minorEastAsia" w:hAnsiTheme="minorEastAsia" w:cs="Arial"/>
              <w:sz w:val="22"/>
              <w:szCs w:val="22"/>
            </w:rPr>
          </w:pPr>
          <w:r w:rsidRPr="006221E1">
            <w:rPr>
              <w:rFonts w:asciiTheme="minorEastAsia" w:eastAsiaTheme="minorEastAsia" w:hAnsiTheme="minorEastAsia" w:cs="Arial"/>
              <w:sz w:val="22"/>
              <w:szCs w:val="22"/>
            </w:rPr>
            <w:t>应收关联方款项情况</w:t>
          </w:r>
        </w:p>
        <w:p w:rsidR="00DE031E" w:rsidRPr="006221E1" w:rsidRDefault="001C1A59" w:rsidP="003A0284">
          <w:pPr>
            <w:pStyle w:val="afb"/>
            <w:spacing w:beforeLines="50" w:after="120" w:line="360" w:lineRule="auto"/>
            <w:ind w:left="420" w:firstLineChars="0" w:firstLine="0"/>
            <w:outlineLvl w:val="9"/>
            <w:rPr>
              <w:rFonts w:asciiTheme="minorEastAsia" w:eastAsiaTheme="minorEastAsia" w:hAnsiTheme="minorEastAsia" w:cs="Arial"/>
              <w:sz w:val="22"/>
              <w:szCs w:val="22"/>
            </w:rPr>
          </w:pPr>
          <w:r w:rsidRPr="006221E1">
            <w:rPr>
              <w:rFonts w:asciiTheme="minorEastAsia" w:eastAsiaTheme="minorEastAsia" w:hAnsiTheme="minorEastAsia" w:cs="Arial" w:hint="eastAsia"/>
              <w:sz w:val="22"/>
              <w:szCs w:val="22"/>
            </w:rPr>
            <w:t>截至2015年6月30日，</w:t>
          </w:r>
          <w:r w:rsidRPr="006221E1">
            <w:rPr>
              <w:rFonts w:asciiTheme="minorEastAsia" w:eastAsiaTheme="minorEastAsia" w:hAnsiTheme="minorEastAsia" w:cs="Arial"/>
              <w:sz w:val="22"/>
              <w:szCs w:val="22"/>
            </w:rPr>
            <w:t>应收关联方款项情况</w:t>
          </w:r>
        </w:p>
        <w:tbl>
          <w:tblPr>
            <w:tblW w:w="5000" w:type="pct"/>
            <w:jc w:val="center"/>
            <w:tblLook w:val="01E0"/>
          </w:tblPr>
          <w:tblGrid>
            <w:gridCol w:w="3146"/>
            <w:gridCol w:w="1379"/>
            <w:gridCol w:w="1663"/>
            <w:gridCol w:w="1413"/>
            <w:gridCol w:w="1448"/>
          </w:tblGrid>
          <w:tr w:rsidR="00DE031E" w:rsidRPr="00F040B1" w:rsidTr="00DE031E">
            <w:trPr>
              <w:trHeight w:val="340"/>
              <w:tblHeader/>
              <w:jc w:val="center"/>
            </w:trPr>
            <w:tc>
              <w:tcPr>
                <w:tcW w:w="1738" w:type="pct"/>
                <w:vAlign w:val="center"/>
              </w:tcPr>
              <w:p w:rsidR="00DE031E" w:rsidRPr="00F040B1" w:rsidRDefault="001C1A59" w:rsidP="00DE031E">
                <w:pPr>
                  <w:rPr>
                    <w:rFonts w:asciiTheme="minorEastAsia" w:eastAsiaTheme="minorEastAsia" w:hAnsiTheme="minorEastAsia" w:cs="Arial"/>
                    <w:b/>
                    <w:sz w:val="18"/>
                    <w:szCs w:val="18"/>
                  </w:rPr>
                </w:pPr>
                <w:r w:rsidRPr="00F040B1">
                  <w:rPr>
                    <w:rFonts w:asciiTheme="minorEastAsia" w:eastAsiaTheme="minorEastAsia" w:hAnsiTheme="minorEastAsia" w:cs="Arial"/>
                    <w:b/>
                    <w:sz w:val="18"/>
                    <w:szCs w:val="18"/>
                  </w:rPr>
                  <w:t>单位名称</w:t>
                </w:r>
              </w:p>
            </w:tc>
            <w:tc>
              <w:tcPr>
                <w:tcW w:w="762" w:type="pct"/>
                <w:vAlign w:val="center"/>
              </w:tcPr>
              <w:p w:rsidR="00DE031E" w:rsidRPr="00F040B1" w:rsidRDefault="001C1A59" w:rsidP="00DE031E">
                <w:pPr>
                  <w:jc w:val="right"/>
                  <w:rPr>
                    <w:rFonts w:asciiTheme="minorEastAsia" w:eastAsiaTheme="minorEastAsia" w:hAnsiTheme="minorEastAsia" w:cs="Arial"/>
                    <w:b/>
                    <w:sz w:val="18"/>
                    <w:szCs w:val="18"/>
                  </w:rPr>
                </w:pPr>
                <w:r w:rsidRPr="00F040B1">
                  <w:rPr>
                    <w:rFonts w:asciiTheme="minorEastAsia" w:eastAsiaTheme="minorEastAsia" w:hAnsiTheme="minorEastAsia" w:cs="Arial"/>
                    <w:b/>
                    <w:sz w:val="18"/>
                    <w:szCs w:val="18"/>
                  </w:rPr>
                  <w:t>与本公司关系</w:t>
                </w:r>
              </w:p>
            </w:tc>
            <w:tc>
              <w:tcPr>
                <w:tcW w:w="919" w:type="pct"/>
                <w:vAlign w:val="center"/>
              </w:tcPr>
              <w:p w:rsidR="00DE031E" w:rsidRPr="00F040B1" w:rsidRDefault="001C1A59" w:rsidP="00DE031E">
                <w:pPr>
                  <w:jc w:val="right"/>
                  <w:rPr>
                    <w:rFonts w:asciiTheme="minorEastAsia" w:eastAsiaTheme="minorEastAsia" w:hAnsiTheme="minorEastAsia" w:cs="Arial"/>
                    <w:b/>
                    <w:sz w:val="18"/>
                    <w:szCs w:val="18"/>
                  </w:rPr>
                </w:pPr>
                <w:r w:rsidRPr="00F040B1">
                  <w:rPr>
                    <w:rFonts w:asciiTheme="minorEastAsia" w:eastAsiaTheme="minorEastAsia" w:hAnsiTheme="minorEastAsia" w:cs="Arial"/>
                    <w:b/>
                    <w:sz w:val="18"/>
                    <w:szCs w:val="18"/>
                  </w:rPr>
                  <w:t>款项性质</w:t>
                </w:r>
              </w:p>
            </w:tc>
            <w:tc>
              <w:tcPr>
                <w:tcW w:w="781" w:type="pct"/>
                <w:vAlign w:val="center"/>
              </w:tcPr>
              <w:p w:rsidR="00DE031E" w:rsidRPr="00F040B1" w:rsidRDefault="001C1A59" w:rsidP="00DE031E">
                <w:pPr>
                  <w:jc w:val="center"/>
                  <w:rPr>
                    <w:rFonts w:asciiTheme="minorEastAsia" w:eastAsiaTheme="minorEastAsia" w:hAnsiTheme="minorEastAsia" w:cs="Arial"/>
                    <w:b/>
                    <w:sz w:val="18"/>
                    <w:szCs w:val="18"/>
                  </w:rPr>
                </w:pPr>
                <w:r w:rsidRPr="00F040B1">
                  <w:rPr>
                    <w:rFonts w:asciiTheme="minorEastAsia" w:eastAsiaTheme="minorEastAsia" w:hAnsiTheme="minorEastAsia" w:cs="Arial"/>
                    <w:b/>
                    <w:sz w:val="18"/>
                    <w:szCs w:val="18"/>
                  </w:rPr>
                  <w:t>金额</w:t>
                </w:r>
              </w:p>
            </w:tc>
            <w:tc>
              <w:tcPr>
                <w:tcW w:w="800" w:type="pct"/>
                <w:vAlign w:val="center"/>
              </w:tcPr>
              <w:p w:rsidR="00DE031E" w:rsidRPr="00F040B1" w:rsidRDefault="001C1A59" w:rsidP="00DE031E">
                <w:pPr>
                  <w:ind w:leftChars="-41" w:left="1" w:rightChars="-31" w:right="-65" w:hangingChars="48" w:hanging="87"/>
                  <w:jc w:val="right"/>
                  <w:rPr>
                    <w:rFonts w:asciiTheme="minorEastAsia" w:eastAsiaTheme="minorEastAsia" w:hAnsiTheme="minorEastAsia" w:cs="Arial"/>
                    <w:b/>
                    <w:sz w:val="18"/>
                    <w:szCs w:val="18"/>
                  </w:rPr>
                </w:pPr>
                <w:r w:rsidRPr="00F040B1">
                  <w:rPr>
                    <w:rFonts w:asciiTheme="minorEastAsia" w:eastAsiaTheme="minorEastAsia" w:hAnsiTheme="minorEastAsia" w:cs="Arial"/>
                    <w:b/>
                    <w:sz w:val="18"/>
                    <w:szCs w:val="18"/>
                  </w:rPr>
                  <w:t>占应收款项比例</w:t>
                </w:r>
              </w:p>
            </w:tc>
          </w:tr>
          <w:tr w:rsidR="00DE031E" w:rsidRPr="00F040B1" w:rsidTr="00DE031E">
            <w:trPr>
              <w:trHeight w:val="340"/>
              <w:tblHeader/>
              <w:jc w:val="center"/>
            </w:trPr>
            <w:tc>
              <w:tcPr>
                <w:tcW w:w="1738" w:type="pct"/>
                <w:vAlign w:val="center"/>
              </w:tcPr>
              <w:p w:rsidR="00DE031E" w:rsidRPr="00F040B1" w:rsidRDefault="001C1A59" w:rsidP="00DE031E">
                <w:pPr>
                  <w:rPr>
                    <w:rFonts w:asciiTheme="minorEastAsia" w:eastAsiaTheme="minorEastAsia" w:hAnsiTheme="minorEastAsia" w:cs="Arial"/>
                    <w:color w:val="000000"/>
                    <w:sz w:val="18"/>
                    <w:szCs w:val="18"/>
                  </w:rPr>
                </w:pPr>
                <w:r w:rsidRPr="00F040B1">
                  <w:rPr>
                    <w:rFonts w:asciiTheme="minorEastAsia" w:eastAsiaTheme="minorEastAsia" w:hAnsiTheme="minorEastAsia" w:cs="Arial"/>
                    <w:color w:val="000000"/>
                    <w:sz w:val="18"/>
                    <w:szCs w:val="18"/>
                  </w:rPr>
                  <w:t>博时基金与招商基金管理的基金产品</w:t>
                </w:r>
              </w:p>
            </w:tc>
            <w:tc>
              <w:tcPr>
                <w:tcW w:w="762" w:type="pct"/>
                <w:vAlign w:val="center"/>
              </w:tcPr>
              <w:p w:rsidR="00DE031E" w:rsidRPr="00F040B1" w:rsidRDefault="001C1A59" w:rsidP="00DE031E">
                <w:pPr>
                  <w:ind w:right="270"/>
                  <w:jc w:val="right"/>
                  <w:rPr>
                    <w:rFonts w:asciiTheme="minorEastAsia" w:eastAsiaTheme="minorEastAsia" w:hAnsiTheme="minorEastAsia" w:cs="Arial"/>
                    <w:color w:val="000000"/>
                    <w:sz w:val="18"/>
                    <w:szCs w:val="18"/>
                  </w:rPr>
                </w:pPr>
                <w:r w:rsidRPr="00F040B1">
                  <w:rPr>
                    <w:rFonts w:asciiTheme="minorEastAsia" w:eastAsiaTheme="minorEastAsia" w:hAnsiTheme="minorEastAsia" w:cs="Arial"/>
                    <w:color w:val="000000"/>
                    <w:sz w:val="18"/>
                    <w:szCs w:val="18"/>
                  </w:rPr>
                  <w:t>联营企业</w:t>
                </w:r>
              </w:p>
            </w:tc>
            <w:tc>
              <w:tcPr>
                <w:tcW w:w="919" w:type="pct"/>
                <w:vAlign w:val="center"/>
              </w:tcPr>
              <w:p w:rsidR="00DE031E" w:rsidRPr="00F040B1" w:rsidRDefault="001C1A59" w:rsidP="00DE031E">
                <w:pPr>
                  <w:ind w:right="360"/>
                  <w:rPr>
                    <w:rFonts w:asciiTheme="minorEastAsia" w:eastAsiaTheme="minorEastAsia" w:hAnsiTheme="minorEastAsia" w:cs="Arial"/>
                    <w:color w:val="000000"/>
                    <w:sz w:val="18"/>
                    <w:szCs w:val="18"/>
                  </w:rPr>
                </w:pPr>
                <w:r w:rsidRPr="00F040B1">
                  <w:rPr>
                    <w:rFonts w:asciiTheme="minorEastAsia" w:eastAsiaTheme="minorEastAsia" w:hAnsiTheme="minorEastAsia" w:cs="Arial"/>
                    <w:color w:val="000000"/>
                    <w:sz w:val="18"/>
                    <w:szCs w:val="18"/>
                  </w:rPr>
                  <w:t>席位佣金</w:t>
                </w:r>
              </w:p>
            </w:tc>
            <w:tc>
              <w:tcPr>
                <w:tcW w:w="781" w:type="pct"/>
                <w:vAlign w:val="center"/>
              </w:tcPr>
              <w:p w:rsidR="00DE031E" w:rsidRPr="00F040B1" w:rsidRDefault="001C1A59" w:rsidP="00DE031E">
                <w:pPr>
                  <w:jc w:val="right"/>
                  <w:rPr>
                    <w:rFonts w:asciiTheme="minorEastAsia" w:eastAsiaTheme="minorEastAsia" w:hAnsiTheme="minorEastAsia" w:cs="Arial"/>
                    <w:color w:val="000000"/>
                    <w:sz w:val="18"/>
                    <w:szCs w:val="18"/>
                  </w:rPr>
                </w:pPr>
                <w:r w:rsidRPr="00F040B1">
                  <w:rPr>
                    <w:rFonts w:asciiTheme="minorEastAsia" w:eastAsiaTheme="minorEastAsia" w:hAnsiTheme="minorEastAsia" w:cs="Arial"/>
                    <w:color w:val="000000"/>
                    <w:sz w:val="18"/>
                    <w:szCs w:val="18"/>
                  </w:rPr>
                  <w:t>20,237,221.12</w:t>
                </w:r>
              </w:p>
            </w:tc>
            <w:tc>
              <w:tcPr>
                <w:tcW w:w="800" w:type="pct"/>
                <w:vAlign w:val="center"/>
              </w:tcPr>
              <w:p w:rsidR="00DE031E" w:rsidRPr="00F040B1" w:rsidRDefault="001C1A59" w:rsidP="00DE031E">
                <w:pPr>
                  <w:jc w:val="right"/>
                  <w:rPr>
                    <w:rFonts w:asciiTheme="minorEastAsia" w:eastAsiaTheme="minorEastAsia" w:hAnsiTheme="minorEastAsia" w:cs="Arial"/>
                    <w:color w:val="000000"/>
                    <w:sz w:val="18"/>
                    <w:szCs w:val="18"/>
                  </w:rPr>
                </w:pPr>
                <w:r w:rsidRPr="00F040B1">
                  <w:rPr>
                    <w:rFonts w:asciiTheme="minorEastAsia" w:eastAsiaTheme="minorEastAsia" w:hAnsiTheme="minorEastAsia" w:cs="Arial"/>
                    <w:color w:val="000000"/>
                    <w:sz w:val="18"/>
                    <w:szCs w:val="18"/>
                  </w:rPr>
                  <w:t>0.54%</w:t>
                </w:r>
              </w:p>
            </w:tc>
          </w:tr>
          <w:tr w:rsidR="00DE031E" w:rsidRPr="00F040B1" w:rsidTr="00DE031E">
            <w:trPr>
              <w:trHeight w:val="340"/>
              <w:tblHeader/>
              <w:jc w:val="center"/>
            </w:trPr>
            <w:tc>
              <w:tcPr>
                <w:tcW w:w="1738" w:type="pct"/>
                <w:vAlign w:val="center"/>
              </w:tcPr>
              <w:p w:rsidR="00DE031E" w:rsidRPr="00F040B1" w:rsidRDefault="001C1A59" w:rsidP="00DE031E">
                <w:pPr>
                  <w:rPr>
                    <w:rFonts w:asciiTheme="minorEastAsia" w:eastAsiaTheme="minorEastAsia" w:hAnsiTheme="minorEastAsia" w:cs="Arial"/>
                    <w:b/>
                    <w:bCs/>
                    <w:color w:val="000000"/>
                    <w:sz w:val="18"/>
                    <w:szCs w:val="18"/>
                  </w:rPr>
                </w:pPr>
                <w:r w:rsidRPr="00F040B1">
                  <w:rPr>
                    <w:rFonts w:asciiTheme="minorEastAsia" w:eastAsiaTheme="minorEastAsia" w:hAnsiTheme="minorEastAsia" w:cs="Arial" w:hint="eastAsia"/>
                    <w:b/>
                    <w:bCs/>
                    <w:color w:val="000000"/>
                    <w:sz w:val="18"/>
                    <w:szCs w:val="18"/>
                  </w:rPr>
                  <w:t>合计</w:t>
                </w:r>
              </w:p>
            </w:tc>
            <w:tc>
              <w:tcPr>
                <w:tcW w:w="762" w:type="pct"/>
                <w:vAlign w:val="center"/>
              </w:tcPr>
              <w:p w:rsidR="00DE031E" w:rsidRPr="00F040B1" w:rsidRDefault="00DE031E" w:rsidP="00DE031E">
                <w:pPr>
                  <w:jc w:val="right"/>
                  <w:rPr>
                    <w:rFonts w:asciiTheme="minorEastAsia" w:eastAsiaTheme="minorEastAsia" w:hAnsiTheme="minorEastAsia" w:cs="Arial"/>
                    <w:b/>
                    <w:bCs/>
                    <w:color w:val="000000"/>
                    <w:sz w:val="18"/>
                    <w:szCs w:val="18"/>
                  </w:rPr>
                </w:pPr>
              </w:p>
            </w:tc>
            <w:tc>
              <w:tcPr>
                <w:tcW w:w="919" w:type="pct"/>
                <w:vAlign w:val="center"/>
              </w:tcPr>
              <w:p w:rsidR="00DE031E" w:rsidRPr="00F040B1" w:rsidRDefault="00DE031E" w:rsidP="00DE031E">
                <w:pPr>
                  <w:jc w:val="right"/>
                  <w:rPr>
                    <w:rFonts w:asciiTheme="minorEastAsia" w:eastAsiaTheme="minorEastAsia" w:hAnsiTheme="minorEastAsia" w:cs="Arial"/>
                    <w:b/>
                    <w:bCs/>
                    <w:color w:val="000000"/>
                    <w:sz w:val="18"/>
                    <w:szCs w:val="18"/>
                  </w:rPr>
                </w:pPr>
              </w:p>
            </w:tc>
            <w:tc>
              <w:tcPr>
                <w:tcW w:w="781" w:type="pct"/>
                <w:vAlign w:val="center"/>
              </w:tcPr>
              <w:p w:rsidR="00DE031E" w:rsidRPr="00F040B1" w:rsidRDefault="001C1A59" w:rsidP="00DE031E">
                <w:pPr>
                  <w:jc w:val="right"/>
                  <w:rPr>
                    <w:rFonts w:asciiTheme="minorEastAsia" w:eastAsiaTheme="minorEastAsia" w:hAnsiTheme="minorEastAsia" w:cs="Arial"/>
                    <w:b/>
                    <w:bCs/>
                    <w:color w:val="000000"/>
                    <w:sz w:val="18"/>
                    <w:szCs w:val="18"/>
                  </w:rPr>
                </w:pPr>
                <w:r w:rsidRPr="00F040B1">
                  <w:rPr>
                    <w:rFonts w:asciiTheme="minorEastAsia" w:eastAsiaTheme="minorEastAsia" w:hAnsiTheme="minorEastAsia" w:cs="Arial"/>
                    <w:b/>
                    <w:bCs/>
                    <w:color w:val="000000"/>
                    <w:sz w:val="18"/>
                    <w:szCs w:val="18"/>
                  </w:rPr>
                  <w:t>20,237,221.12</w:t>
                </w:r>
              </w:p>
            </w:tc>
            <w:tc>
              <w:tcPr>
                <w:tcW w:w="800" w:type="pct"/>
                <w:vAlign w:val="center"/>
              </w:tcPr>
              <w:p w:rsidR="00DE031E" w:rsidRPr="00F040B1" w:rsidRDefault="001C1A59" w:rsidP="00DE031E">
                <w:pPr>
                  <w:jc w:val="right"/>
                  <w:rPr>
                    <w:rFonts w:asciiTheme="minorEastAsia" w:eastAsiaTheme="minorEastAsia" w:hAnsiTheme="minorEastAsia" w:cs="Arial"/>
                    <w:b/>
                    <w:bCs/>
                    <w:color w:val="000000"/>
                    <w:sz w:val="18"/>
                    <w:szCs w:val="18"/>
                  </w:rPr>
                </w:pPr>
                <w:r w:rsidRPr="00F040B1">
                  <w:rPr>
                    <w:rFonts w:asciiTheme="minorEastAsia" w:eastAsiaTheme="minorEastAsia" w:hAnsiTheme="minorEastAsia" w:cs="Arial"/>
                    <w:b/>
                    <w:bCs/>
                    <w:color w:val="000000"/>
                    <w:sz w:val="18"/>
                    <w:szCs w:val="18"/>
                  </w:rPr>
                  <w:t>0.54%</w:t>
                </w:r>
              </w:p>
            </w:tc>
          </w:tr>
        </w:tbl>
        <w:p w:rsidR="00DE031E" w:rsidRPr="00730F81" w:rsidRDefault="001C1A59" w:rsidP="009950AC">
          <w:pPr>
            <w:pStyle w:val="4"/>
            <w:numPr>
              <w:ilvl w:val="0"/>
              <w:numId w:val="44"/>
            </w:numPr>
            <w:spacing w:line="360" w:lineRule="auto"/>
            <w:rPr>
              <w:rFonts w:asciiTheme="minorEastAsia" w:eastAsiaTheme="minorEastAsia" w:hAnsiTheme="minorEastAsia" w:cs="Arial"/>
              <w:sz w:val="22"/>
              <w:szCs w:val="22"/>
            </w:rPr>
          </w:pPr>
          <w:r w:rsidRPr="00730F81">
            <w:rPr>
              <w:rFonts w:asciiTheme="minorEastAsia" w:eastAsiaTheme="minorEastAsia" w:hAnsiTheme="minorEastAsia" w:cs="Arial" w:hint="eastAsia"/>
              <w:sz w:val="22"/>
              <w:szCs w:val="22"/>
            </w:rPr>
            <w:t>截至2015年6月30日，应收款项</w:t>
          </w:r>
          <w:r w:rsidRPr="00730F81">
            <w:rPr>
              <w:rFonts w:hAnsi="Calibri" w:hint="eastAsia"/>
              <w:sz w:val="22"/>
              <w:szCs w:val="22"/>
            </w:rPr>
            <w:t>账面价值较年初增加</w:t>
          </w:r>
          <w:r w:rsidRPr="00730F81">
            <w:rPr>
              <w:rFonts w:hAnsi="Calibri" w:hint="eastAsia"/>
              <w:sz w:val="22"/>
              <w:szCs w:val="22"/>
            </w:rPr>
            <w:t>1,732,213,708.98</w:t>
          </w:r>
          <w:r w:rsidRPr="00730F81">
            <w:rPr>
              <w:rFonts w:hAnsi="Calibri" w:hint="eastAsia"/>
              <w:sz w:val="22"/>
              <w:szCs w:val="22"/>
            </w:rPr>
            <w:t>元，增幅</w:t>
          </w:r>
          <w:r w:rsidRPr="00730F81">
            <w:rPr>
              <w:rFonts w:hAnsi="Calibri" w:hint="eastAsia"/>
              <w:sz w:val="22"/>
              <w:szCs w:val="22"/>
            </w:rPr>
            <w:t>83.81%</w:t>
          </w:r>
          <w:r w:rsidRPr="00730F81">
            <w:rPr>
              <w:rFonts w:hAnsi="Calibri" w:hint="eastAsia"/>
              <w:sz w:val="22"/>
              <w:szCs w:val="22"/>
            </w:rPr>
            <w:t>，主要系应收行家及清算机构清算款所致。</w:t>
          </w:r>
        </w:p>
        <w:p w:rsidR="00DE031E" w:rsidRPr="00730F81" w:rsidRDefault="001C1A59" w:rsidP="009950AC">
          <w:pPr>
            <w:pStyle w:val="4"/>
            <w:numPr>
              <w:ilvl w:val="0"/>
              <w:numId w:val="44"/>
            </w:numPr>
            <w:spacing w:line="360" w:lineRule="auto"/>
            <w:rPr>
              <w:rFonts w:asciiTheme="minorEastAsia" w:eastAsiaTheme="minorEastAsia" w:hAnsiTheme="minorEastAsia" w:cs="Arial"/>
              <w:sz w:val="22"/>
              <w:szCs w:val="22"/>
            </w:rPr>
          </w:pPr>
          <w:r w:rsidRPr="00730F81">
            <w:rPr>
              <w:rFonts w:asciiTheme="minorEastAsia" w:eastAsiaTheme="minorEastAsia" w:hAnsiTheme="minorEastAsia" w:cs="Arial" w:hint="eastAsia"/>
              <w:sz w:val="22"/>
              <w:szCs w:val="22"/>
            </w:rPr>
            <w:t>在以上各财务报表截止日，</w:t>
          </w:r>
          <w:r w:rsidRPr="00730F81">
            <w:rPr>
              <w:rFonts w:asciiTheme="minorEastAsia" w:eastAsiaTheme="minorEastAsia" w:hAnsiTheme="minorEastAsia" w:cs="Arial"/>
              <w:sz w:val="22"/>
              <w:szCs w:val="22"/>
            </w:rPr>
            <w:t>应收款项余额中无应收持公司5%（含5%）以上表决权股份的股东单位的款项。</w:t>
          </w:r>
        </w:p>
        <w:p w:rsidR="00DE031E" w:rsidRPr="0045150F" w:rsidRDefault="00422DCA" w:rsidP="00DE031E"/>
      </w:sdtContent>
    </w:sdt>
    <w:sdt>
      <w:sdtPr>
        <w:rPr>
          <w:rFonts w:asciiTheme="minorHAnsi" w:hAnsiTheme="minorHAnsi" w:cs="宋体" w:hint="eastAsia"/>
          <w:b w:val="0"/>
          <w:bCs w:val="0"/>
          <w:kern w:val="0"/>
          <w:szCs w:val="22"/>
        </w:rPr>
        <w:tag w:val="_GBC_6620e2366b444b3fb9e784e1bb6a87fd"/>
        <w:id w:val="24724090"/>
        <w:lock w:val="sdtLocked"/>
        <w:placeholder>
          <w:docPart w:val="GBC22222222222222222222222222222"/>
        </w:placeholder>
      </w:sdtPr>
      <w:sdtEndPr>
        <w:rPr>
          <w:rFonts w:ascii="Calibri" w:hAnsi="Calibri" w:cs="Times New Roman"/>
          <w:kern w:val="2"/>
        </w:rPr>
      </w:sdtEndPr>
      <w:sdtContent>
        <w:p w:rsidR="00DE031E" w:rsidRDefault="001C1A59" w:rsidP="009950AC">
          <w:pPr>
            <w:pStyle w:val="3"/>
            <w:numPr>
              <w:ilvl w:val="0"/>
              <w:numId w:val="41"/>
            </w:numPr>
            <w:tabs>
              <w:tab w:val="left" w:pos="567"/>
            </w:tabs>
            <w:spacing w:line="360" w:lineRule="auto"/>
            <w:rPr>
              <w:rFonts w:ascii="宋体" w:hAnsi="宋体"/>
              <w:szCs w:val="21"/>
            </w:rPr>
          </w:pPr>
          <w:r>
            <w:rPr>
              <w:rFonts w:ascii="宋体" w:hAnsi="宋体"/>
            </w:rPr>
            <w:t>应收</w:t>
          </w:r>
          <w:r>
            <w:rPr>
              <w:rFonts w:ascii="宋体" w:hAnsi="宋体"/>
              <w:szCs w:val="21"/>
            </w:rPr>
            <w:t>利息</w:t>
          </w:r>
        </w:p>
        <w:sdt>
          <w:sdtPr>
            <w:alias w:val="是否适用：应收利息"/>
            <w:tag w:val="_GBC_d8c01135b9f54c3ab302e8f18dff939b"/>
            <w:id w:val="24724076"/>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t>单位：</w:t>
          </w:r>
          <w:sdt>
            <w:sdtPr>
              <w:rPr>
                <w:rFonts w:hint="eastAsia"/>
              </w:rPr>
              <w:alias w:val="单位：财务附注：应收利息"/>
              <w:tag w:val="_GBC_10b62a3a8afb449a828f38f4c0c9fe36"/>
              <w:id w:val="247240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应收利息"/>
              <w:tag w:val="_GBC_1888960b90c746a18ac28c82c412d394"/>
              <w:id w:val="24724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45"/>
            <w:gridCol w:w="3053"/>
            <w:gridCol w:w="3051"/>
          </w:tblGrid>
          <w:tr w:rsidR="00DE031E" w:rsidTr="00DE031E">
            <w:tc>
              <w:tcPr>
                <w:tcW w:w="1627" w:type="pct"/>
              </w:tcPr>
              <w:p w:rsidR="00DE031E" w:rsidRDefault="001C1A59">
                <w:pPr>
                  <w:jc w:val="center"/>
                </w:pPr>
                <w:r>
                  <w:t>项目</w:t>
                </w:r>
              </w:p>
            </w:tc>
            <w:tc>
              <w:tcPr>
                <w:tcW w:w="1687" w:type="pct"/>
              </w:tcPr>
              <w:p w:rsidR="00DE031E" w:rsidRDefault="001C1A59">
                <w:pPr>
                  <w:jc w:val="center"/>
                </w:pPr>
                <w:r>
                  <w:t>期末余额</w:t>
                </w:r>
              </w:p>
            </w:tc>
            <w:tc>
              <w:tcPr>
                <w:tcW w:w="1686" w:type="pct"/>
              </w:tcPr>
              <w:p w:rsidR="00DE031E" w:rsidRDefault="001C1A59">
                <w:pPr>
                  <w:jc w:val="center"/>
                </w:pPr>
                <w:r>
                  <w:rPr>
                    <w:rFonts w:hint="eastAsia"/>
                  </w:rPr>
                  <w:t>期初</w:t>
                </w:r>
                <w:r>
                  <w:t>余额</w:t>
                </w:r>
              </w:p>
            </w:tc>
          </w:tr>
          <w:tr w:rsidR="00DE031E" w:rsidTr="00DE031E">
            <w:tc>
              <w:tcPr>
                <w:tcW w:w="1627" w:type="pct"/>
              </w:tcPr>
              <w:p w:rsidR="00DE031E" w:rsidRDefault="001C1A59">
                <w:r>
                  <w:rPr>
                    <w:rFonts w:hint="eastAsia"/>
                  </w:rPr>
                  <w:t>债券投资</w:t>
                </w:r>
              </w:p>
            </w:tc>
            <w:sdt>
              <w:sdtPr>
                <w:alias w:val="应收债券投资利息"/>
                <w:tag w:val="_GBC_e69f8ea47cb34bd990e60d5568e40d7e"/>
                <w:id w:val="24724079"/>
                <w:lock w:val="sdtLocked"/>
              </w:sdtPr>
              <w:sdtContent>
                <w:tc>
                  <w:tcPr>
                    <w:tcW w:w="1687" w:type="pct"/>
                  </w:tcPr>
                  <w:p w:rsidR="00DE031E" w:rsidRDefault="001C1A59">
                    <w:pPr>
                      <w:jc w:val="right"/>
                    </w:pPr>
                    <w:r>
                      <w:t>72,301,569.65</w:t>
                    </w:r>
                  </w:p>
                </w:tc>
              </w:sdtContent>
            </w:sdt>
            <w:sdt>
              <w:sdtPr>
                <w:alias w:val="应收债券投资利息"/>
                <w:tag w:val="_GBC_94b4b4ae628341e1aab1ec2ab15cd550"/>
                <w:id w:val="24724080"/>
                <w:lock w:val="sdtLocked"/>
              </w:sdtPr>
              <w:sdtContent>
                <w:tc>
                  <w:tcPr>
                    <w:tcW w:w="1686" w:type="pct"/>
                  </w:tcPr>
                  <w:p w:rsidR="00DE031E" w:rsidRDefault="001C1A59">
                    <w:pPr>
                      <w:jc w:val="right"/>
                    </w:pPr>
                    <w:r>
                      <w:t>45,450,148.00</w:t>
                    </w:r>
                  </w:p>
                </w:tc>
              </w:sdtContent>
            </w:sdt>
          </w:tr>
          <w:tr w:rsidR="00DE031E" w:rsidTr="00DE031E">
            <w:tc>
              <w:tcPr>
                <w:tcW w:w="1627" w:type="pct"/>
              </w:tcPr>
              <w:p w:rsidR="00DE031E" w:rsidRDefault="001C1A59">
                <w:r>
                  <w:rPr>
                    <w:rFonts w:hint="eastAsia"/>
                  </w:rPr>
                  <w:t>存放金融同业</w:t>
                </w:r>
              </w:p>
            </w:tc>
            <w:sdt>
              <w:sdtPr>
                <w:alias w:val="应收存放金融同业投资利息"/>
                <w:tag w:val="_GBC_51304db3797744b08d9fffb91c7ef67a"/>
                <w:id w:val="24724081"/>
                <w:lock w:val="sdtLocked"/>
              </w:sdtPr>
              <w:sdtContent>
                <w:tc>
                  <w:tcPr>
                    <w:tcW w:w="1687" w:type="pct"/>
                  </w:tcPr>
                  <w:p w:rsidR="00DE031E" w:rsidRDefault="001C1A59">
                    <w:pPr>
                      <w:jc w:val="right"/>
                    </w:pPr>
                    <w:r>
                      <w:t>72,413,014.88</w:t>
                    </w:r>
                  </w:p>
                </w:tc>
              </w:sdtContent>
            </w:sdt>
            <w:sdt>
              <w:sdtPr>
                <w:alias w:val="应收存放金融同业投资利息"/>
                <w:tag w:val="_GBC_62b8a0abba154510b5cc233935020118"/>
                <w:id w:val="24724082"/>
                <w:lock w:val="sdtLocked"/>
              </w:sdtPr>
              <w:sdtContent>
                <w:tc>
                  <w:tcPr>
                    <w:tcW w:w="1686" w:type="pct"/>
                  </w:tcPr>
                  <w:p w:rsidR="00DE031E" w:rsidRDefault="001C1A59">
                    <w:pPr>
                      <w:jc w:val="right"/>
                    </w:pPr>
                    <w:r>
                      <w:t>36,293,599.75</w:t>
                    </w:r>
                  </w:p>
                </w:tc>
              </w:sdtContent>
            </w:sdt>
          </w:tr>
          <w:tr w:rsidR="00DE031E" w:rsidTr="00DE031E">
            <w:tc>
              <w:tcPr>
                <w:tcW w:w="1627" w:type="pct"/>
              </w:tcPr>
              <w:p w:rsidR="00DE031E" w:rsidRDefault="001C1A59">
                <w:r>
                  <w:rPr>
                    <w:rFonts w:hint="eastAsia"/>
                  </w:rPr>
                  <w:t>融资融券</w:t>
                </w:r>
              </w:p>
            </w:tc>
            <w:sdt>
              <w:sdtPr>
                <w:alias w:val="应收融资融券利息"/>
                <w:tag w:val="_GBC_51a46acf678f4f948f083e9cece05d0f"/>
                <w:id w:val="24724083"/>
                <w:lock w:val="sdtLocked"/>
              </w:sdtPr>
              <w:sdtContent>
                <w:tc>
                  <w:tcPr>
                    <w:tcW w:w="1687" w:type="pct"/>
                  </w:tcPr>
                  <w:p w:rsidR="00DE031E" w:rsidRDefault="001C1A59">
                    <w:pPr>
                      <w:jc w:val="right"/>
                    </w:pPr>
                    <w:r>
                      <w:t>647,357,670.66</w:t>
                    </w:r>
                  </w:p>
                </w:tc>
              </w:sdtContent>
            </w:sdt>
            <w:sdt>
              <w:sdtPr>
                <w:alias w:val="应收融资融券利息"/>
                <w:tag w:val="_GBC_44d2d1fbef8b492585acf5c1decb1f13"/>
                <w:id w:val="24724084"/>
                <w:lock w:val="sdtLocked"/>
              </w:sdtPr>
              <w:sdtContent>
                <w:tc>
                  <w:tcPr>
                    <w:tcW w:w="1686" w:type="pct"/>
                  </w:tcPr>
                  <w:p w:rsidR="00DE031E" w:rsidRDefault="001C1A59">
                    <w:pPr>
                      <w:jc w:val="right"/>
                    </w:pPr>
                    <w:r>
                      <w:t>307,589,703.95</w:t>
                    </w:r>
                  </w:p>
                </w:tc>
              </w:sdtContent>
            </w:sdt>
          </w:tr>
          <w:tr w:rsidR="00DE031E" w:rsidTr="00DE031E">
            <w:tc>
              <w:tcPr>
                <w:tcW w:w="1627" w:type="pct"/>
              </w:tcPr>
              <w:p w:rsidR="00DE031E" w:rsidRDefault="001C1A59">
                <w:r>
                  <w:rPr>
                    <w:rFonts w:hint="eastAsia"/>
                  </w:rPr>
                  <w:t>买入返售</w:t>
                </w:r>
              </w:p>
            </w:tc>
            <w:sdt>
              <w:sdtPr>
                <w:alias w:val="应收买入返售利息"/>
                <w:tag w:val="_GBC_6fa5d7ea7808452985a80b8f55b964d3"/>
                <w:id w:val="24724085"/>
                <w:lock w:val="sdtLocked"/>
              </w:sdtPr>
              <w:sdtContent>
                <w:tc>
                  <w:tcPr>
                    <w:tcW w:w="1687" w:type="pct"/>
                  </w:tcPr>
                  <w:p w:rsidR="00DE031E" w:rsidRDefault="001C1A59">
                    <w:pPr>
                      <w:jc w:val="right"/>
                    </w:pPr>
                    <w:r>
                      <w:t>71,024,392.64</w:t>
                    </w:r>
                  </w:p>
                </w:tc>
              </w:sdtContent>
            </w:sdt>
            <w:sdt>
              <w:sdtPr>
                <w:alias w:val="应收买入返售利息"/>
                <w:tag w:val="_GBC_88d9eb80e54f4697becf74394f1e4753"/>
                <w:id w:val="24724086"/>
                <w:lock w:val="sdtLocked"/>
              </w:sdtPr>
              <w:sdtContent>
                <w:tc>
                  <w:tcPr>
                    <w:tcW w:w="1686" w:type="pct"/>
                  </w:tcPr>
                  <w:p w:rsidR="00DE031E" w:rsidRDefault="001C1A59">
                    <w:pPr>
                      <w:jc w:val="right"/>
                    </w:pPr>
                    <w:r>
                      <w:t>10,089,936.42</w:t>
                    </w:r>
                  </w:p>
                </w:tc>
              </w:sdtContent>
            </w:sdt>
          </w:tr>
          <w:tr w:rsidR="00DE031E" w:rsidTr="00DE031E">
            <w:tc>
              <w:tcPr>
                <w:tcW w:w="1627" w:type="pct"/>
              </w:tcPr>
              <w:p w:rsidR="00DE031E" w:rsidRDefault="001C1A59">
                <w:pPr>
                  <w:jc w:val="center"/>
                </w:pPr>
                <w:r>
                  <w:t>合计</w:t>
                </w:r>
              </w:p>
            </w:tc>
            <w:sdt>
              <w:sdtPr>
                <w:alias w:val="应收利息"/>
                <w:tag w:val="_GBC_bb78d3ea731944ddb85e9b4f72eac81a"/>
                <w:id w:val="24724087"/>
                <w:lock w:val="sdtLocked"/>
              </w:sdtPr>
              <w:sdtContent>
                <w:tc>
                  <w:tcPr>
                    <w:tcW w:w="1687" w:type="pct"/>
                  </w:tcPr>
                  <w:p w:rsidR="00DE031E" w:rsidRDefault="001C1A59">
                    <w:pPr>
                      <w:jc w:val="right"/>
                    </w:pPr>
                    <w:r>
                      <w:t>863,096,647.83</w:t>
                    </w:r>
                  </w:p>
                </w:tc>
              </w:sdtContent>
            </w:sdt>
            <w:sdt>
              <w:sdtPr>
                <w:alias w:val="应收利息"/>
                <w:tag w:val="_GBC_7850a37947bf43d5b8e5c5f0f45da69c"/>
                <w:id w:val="24724088"/>
                <w:lock w:val="sdtLocked"/>
              </w:sdtPr>
              <w:sdtContent>
                <w:tc>
                  <w:tcPr>
                    <w:tcW w:w="1686" w:type="pct"/>
                  </w:tcPr>
                  <w:p w:rsidR="00DE031E" w:rsidRDefault="001C1A59">
                    <w:pPr>
                      <w:jc w:val="right"/>
                    </w:pPr>
                    <w:r>
                      <w:t>399,423,388.12</w:t>
                    </w:r>
                  </w:p>
                </w:tc>
              </w:sdtContent>
            </w:sdt>
          </w:tr>
        </w:tbl>
        <w:sdt>
          <w:sdtPr>
            <w:rPr>
              <w:color w:val="000000" w:themeColor="text1"/>
            </w:rPr>
            <w:alias w:val="应收利息的说明"/>
            <w:tag w:val="_GBC_444012f6e1b94eb88d03eab5937e92ef"/>
            <w:id w:val="24724089"/>
            <w:lock w:val="sdtLocked"/>
            <w:placeholder>
              <w:docPart w:val="GBC22222222222222222222222222222"/>
            </w:placeholder>
          </w:sdtPr>
          <w:sdtContent>
            <w:p w:rsidR="00DE031E" w:rsidRPr="00B46887" w:rsidRDefault="001C1A59" w:rsidP="003A0284">
              <w:pPr>
                <w:pStyle w:val="a9"/>
                <w:numPr>
                  <w:ilvl w:val="0"/>
                  <w:numId w:val="45"/>
                </w:numPr>
                <w:spacing w:beforeLines="50" w:line="360" w:lineRule="auto"/>
                <w:ind w:left="357" w:hangingChars="170" w:hanging="357"/>
                <w:rPr>
                  <w:rFonts w:ascii="Arial" w:eastAsiaTheme="majorEastAsia" w:hAnsi="Arial" w:cs="Arial"/>
                  <w:szCs w:val="21"/>
                </w:rPr>
              </w:pPr>
              <w:r w:rsidRPr="00B46887">
                <w:rPr>
                  <w:rFonts w:ascii="Arial" w:eastAsiaTheme="majorEastAsia" w:hAnsi="Arial" w:cs="Arial" w:hint="eastAsia"/>
                  <w:szCs w:val="21"/>
                </w:rPr>
                <w:t>以上各财务报表截止日</w:t>
              </w:r>
              <w:r w:rsidRPr="00B46887">
                <w:rPr>
                  <w:rFonts w:ascii="Arial" w:eastAsiaTheme="majorEastAsia" w:hAnsi="Arial" w:cs="Arial"/>
                  <w:szCs w:val="21"/>
                </w:rPr>
                <w:t>应收利息账龄全部系一年以内。</w:t>
              </w:r>
            </w:p>
            <w:p w:rsidR="00DE031E" w:rsidRPr="00050971" w:rsidRDefault="001C1A59" w:rsidP="009950AC">
              <w:pPr>
                <w:pStyle w:val="a9"/>
                <w:numPr>
                  <w:ilvl w:val="0"/>
                  <w:numId w:val="45"/>
                </w:numPr>
                <w:spacing w:line="360" w:lineRule="auto"/>
                <w:ind w:firstLineChars="0"/>
                <w:rPr>
                  <w:rFonts w:ascii="Times New Roman" w:hAnsi="Times New Roman"/>
                </w:rPr>
              </w:pPr>
              <w:r w:rsidRPr="00B46887">
                <w:rPr>
                  <w:rFonts w:asciiTheme="minorEastAsia" w:eastAsiaTheme="minorEastAsia" w:hAnsiTheme="minorEastAsia" w:cs="Arial" w:hint="eastAsia"/>
                  <w:bCs/>
                  <w:sz w:val="22"/>
                </w:rPr>
                <w:t>截至2015年6月30日，应收款项账面价值较年初增加463,673,259.71元，增幅116.09%，主要系公司融资融券业务规模扩大导致应收融资融券利息增加所致。</w:t>
              </w:r>
            </w:p>
          </w:sdtContent>
        </w:sdt>
      </w:sdtContent>
    </w:sdt>
    <w:sdt>
      <w:sdtPr>
        <w:rPr>
          <w:rFonts w:ascii="宋体" w:hAnsi="宋体" w:cs="宋体"/>
          <w:b w:val="0"/>
          <w:bCs w:val="0"/>
          <w:kern w:val="0"/>
          <w:szCs w:val="24"/>
        </w:rPr>
        <w:tag w:val="_GBC_cb1c4c2e2f9a43e9bd43486a003b3524"/>
        <w:id w:val="24724099"/>
        <w:lock w:val="sdtLocked"/>
        <w:placeholder>
          <w:docPart w:val="GBC22222222222222222222222222222"/>
        </w:placeholder>
      </w:sdtPr>
      <w:sdtEndPr>
        <w:rPr>
          <w:szCs w:val="21"/>
        </w:rPr>
      </w:sdtEndPr>
      <w:sdtContent>
        <w:p w:rsidR="00DE031E" w:rsidRDefault="001C1A59" w:rsidP="009950AC">
          <w:pPr>
            <w:pStyle w:val="3"/>
            <w:numPr>
              <w:ilvl w:val="0"/>
              <w:numId w:val="41"/>
            </w:numPr>
            <w:tabs>
              <w:tab w:val="left" w:pos="567"/>
            </w:tabs>
            <w:rPr>
              <w:rFonts w:ascii="宋体" w:hAnsi="宋体"/>
              <w:b w:val="0"/>
            </w:rPr>
          </w:pPr>
          <w:r>
            <w:rPr>
              <w:rFonts w:ascii="宋体" w:hAnsi="宋体"/>
            </w:rPr>
            <w:t>存出保证金</w:t>
          </w:r>
        </w:p>
        <w:p w:rsidR="00DE031E" w:rsidRDefault="001C1A59">
          <w:pPr>
            <w:snapToGrid w:val="0"/>
            <w:spacing w:line="240" w:lineRule="atLeast"/>
            <w:jc w:val="right"/>
          </w:pPr>
          <w:r>
            <w:t>单位：</w:t>
          </w:r>
          <w:sdt>
            <w:sdtPr>
              <w:alias w:val="单位：财务附注：存出保证金"/>
              <w:tag w:val="_GBC_6a5d0b3de9314dafaea2e22e1f34ba1a"/>
              <w:id w:val="247240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存出保证金"/>
              <w:tag w:val="_GBC_fafb5af3cc0f44738e132821b19ea561"/>
              <w:id w:val="24724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3017"/>
            <w:gridCol w:w="3017"/>
          </w:tblGrid>
          <w:tr w:rsidR="00DE031E" w:rsidTr="008335C1">
            <w:tc>
              <w:tcPr>
                <w:tcW w:w="1666" w:type="pct"/>
              </w:tcPr>
              <w:p w:rsidR="00DE031E" w:rsidRDefault="001C1A59">
                <w:pPr>
                  <w:jc w:val="center"/>
                </w:pPr>
                <w:r>
                  <w:t>项目</w:t>
                </w:r>
              </w:p>
            </w:tc>
            <w:tc>
              <w:tcPr>
                <w:tcW w:w="1667" w:type="pct"/>
              </w:tcPr>
              <w:p w:rsidR="00DE031E" w:rsidRDefault="001C1A59">
                <w:pPr>
                  <w:jc w:val="center"/>
                </w:pPr>
                <w:r>
                  <w:t>期末账面余额</w:t>
                </w:r>
              </w:p>
            </w:tc>
            <w:tc>
              <w:tcPr>
                <w:tcW w:w="1667" w:type="pct"/>
              </w:tcPr>
              <w:p w:rsidR="00DE031E" w:rsidRDefault="001C1A59">
                <w:pPr>
                  <w:jc w:val="center"/>
                </w:pPr>
                <w:r>
                  <w:rPr>
                    <w:rFonts w:hint="eastAsia"/>
                  </w:rPr>
                  <w:t>期初</w:t>
                </w:r>
                <w:r>
                  <w:t>账面余额</w:t>
                </w:r>
              </w:p>
            </w:tc>
          </w:tr>
          <w:tr w:rsidR="00DE031E" w:rsidTr="008335C1">
            <w:tc>
              <w:tcPr>
                <w:tcW w:w="1666" w:type="pct"/>
                <w:vAlign w:val="center"/>
              </w:tcPr>
              <w:p w:rsidR="00DE031E" w:rsidRDefault="001C1A59">
                <w:r>
                  <w:t>交易保证金</w:t>
                </w:r>
              </w:p>
            </w:tc>
            <w:sdt>
              <w:sdtPr>
                <w:alias w:val="交易保证金"/>
                <w:tag w:val="_GBC_5da42271f2444e6388ecae5e2df4a5a7"/>
                <w:id w:val="24724093"/>
                <w:lock w:val="sdtLocked"/>
              </w:sdtPr>
              <w:sdtContent>
                <w:tc>
                  <w:tcPr>
                    <w:tcW w:w="1667" w:type="pct"/>
                  </w:tcPr>
                  <w:p w:rsidR="00DE031E" w:rsidRDefault="001C1A59">
                    <w:pPr>
                      <w:jc w:val="right"/>
                    </w:pPr>
                    <w:r>
                      <w:t>585,578,533.25</w:t>
                    </w:r>
                  </w:p>
                </w:tc>
              </w:sdtContent>
            </w:sdt>
            <w:sdt>
              <w:sdtPr>
                <w:alias w:val="交易保证金"/>
                <w:tag w:val="_GBC_834e62487ff543cf978bef67b8ab4883"/>
                <w:id w:val="24724094"/>
                <w:lock w:val="sdtLocked"/>
              </w:sdtPr>
              <w:sdtContent>
                <w:tc>
                  <w:tcPr>
                    <w:tcW w:w="1667" w:type="pct"/>
                  </w:tcPr>
                  <w:p w:rsidR="00DE031E" w:rsidRDefault="001C1A59">
                    <w:pPr>
                      <w:jc w:val="right"/>
                    </w:pPr>
                    <w:r>
                      <w:t>204,735,636.05</w:t>
                    </w:r>
                  </w:p>
                </w:tc>
              </w:sdtContent>
            </w:sdt>
          </w:tr>
          <w:tr w:rsidR="00DE031E" w:rsidTr="008335C1">
            <w:tc>
              <w:tcPr>
                <w:tcW w:w="1666" w:type="pct"/>
                <w:vAlign w:val="center"/>
              </w:tcPr>
              <w:p w:rsidR="00DE031E" w:rsidRDefault="001C1A59">
                <w:r>
                  <w:rPr>
                    <w:rFonts w:hint="eastAsia"/>
                  </w:rPr>
                  <w:t>信用保证金</w:t>
                </w:r>
              </w:p>
            </w:tc>
            <w:sdt>
              <w:sdtPr>
                <w:alias w:val="信用保证金"/>
                <w:tag w:val="_GBC_68c87802b959436eaa9c1ee172bc9db8"/>
                <w:id w:val="24724095"/>
                <w:lock w:val="sdtLocked"/>
              </w:sdtPr>
              <w:sdtContent>
                <w:tc>
                  <w:tcPr>
                    <w:tcW w:w="1667" w:type="pct"/>
                  </w:tcPr>
                  <w:p w:rsidR="00DE031E" w:rsidRDefault="001C1A59">
                    <w:pPr>
                      <w:jc w:val="right"/>
                    </w:pPr>
                    <w:r>
                      <w:t>107,707,831.33</w:t>
                    </w:r>
                  </w:p>
                </w:tc>
              </w:sdtContent>
            </w:sdt>
            <w:sdt>
              <w:sdtPr>
                <w:alias w:val="信用保证金"/>
                <w:tag w:val="_GBC_61e30792591b44999bc9971f7454531d"/>
                <w:id w:val="24724096"/>
                <w:lock w:val="sdtLocked"/>
              </w:sdtPr>
              <w:sdtContent>
                <w:tc>
                  <w:tcPr>
                    <w:tcW w:w="1667" w:type="pct"/>
                  </w:tcPr>
                  <w:p w:rsidR="00DE031E" w:rsidRDefault="001C1A59">
                    <w:pPr>
                      <w:jc w:val="right"/>
                    </w:pPr>
                    <w:r>
                      <w:t>39,944,421.62</w:t>
                    </w:r>
                  </w:p>
                </w:tc>
              </w:sdtContent>
            </w:sdt>
          </w:tr>
          <w:tr w:rsidR="00DE031E" w:rsidTr="008335C1">
            <w:tc>
              <w:tcPr>
                <w:tcW w:w="1666" w:type="pct"/>
              </w:tcPr>
              <w:p w:rsidR="00DE031E" w:rsidRDefault="001C1A59">
                <w:pPr>
                  <w:jc w:val="center"/>
                </w:pPr>
                <w:r>
                  <w:t>合计</w:t>
                </w:r>
              </w:p>
            </w:tc>
            <w:sdt>
              <w:sdtPr>
                <w:alias w:val="存出保证金"/>
                <w:tag w:val="_GBC_0f5ab53d94c84c9ea766afd7278d6023"/>
                <w:id w:val="24724097"/>
                <w:lock w:val="sdtLocked"/>
              </w:sdtPr>
              <w:sdtContent>
                <w:tc>
                  <w:tcPr>
                    <w:tcW w:w="1667" w:type="pct"/>
                  </w:tcPr>
                  <w:p w:rsidR="00DE031E" w:rsidRDefault="001C1A59">
                    <w:pPr>
                      <w:jc w:val="right"/>
                    </w:pPr>
                    <w:r>
                      <w:t>693,286,364.58</w:t>
                    </w:r>
                  </w:p>
                </w:tc>
              </w:sdtContent>
            </w:sdt>
            <w:sdt>
              <w:sdtPr>
                <w:alias w:val="存出保证金"/>
                <w:tag w:val="_GBC_e78e32cf64d545d98e5549ab8c0896a5"/>
                <w:id w:val="24724098"/>
                <w:lock w:val="sdtLocked"/>
              </w:sdtPr>
              <w:sdtContent>
                <w:tc>
                  <w:tcPr>
                    <w:tcW w:w="1667" w:type="pct"/>
                  </w:tcPr>
                  <w:p w:rsidR="00DE031E" w:rsidRDefault="001C1A59">
                    <w:pPr>
                      <w:jc w:val="right"/>
                    </w:pPr>
                    <w:r>
                      <w:t>244,680,057.67</w:t>
                    </w:r>
                  </w:p>
                </w:tc>
              </w:sdtContent>
            </w:sdt>
          </w:tr>
        </w:tbl>
      </w:sdtContent>
    </w:sdt>
    <w:p w:rsidR="00DE031E" w:rsidRDefault="00DE031E">
      <w:pPr>
        <w:snapToGrid w:val="0"/>
        <w:spacing w:line="240" w:lineRule="atLeast"/>
        <w:ind w:rightChars="-159" w:right="-334"/>
      </w:pPr>
    </w:p>
    <w:sdt>
      <w:sdtPr>
        <w:tag w:val="_GBC_750608bd52364e44a3d69c9e840a585c"/>
        <w:id w:val="24724101"/>
        <w:lock w:val="sdtLocked"/>
        <w:placeholder>
          <w:docPart w:val="GBC22222222222222222222222222222"/>
        </w:placeholder>
      </w:sdtPr>
      <w:sdtEndPr>
        <w:rPr>
          <w:rFonts w:hint="eastAsia"/>
          <w:color w:val="000000" w:themeColor="text1"/>
        </w:rPr>
      </w:sdtEndPr>
      <w:sdtContent>
        <w:sdt>
          <w:sdtPr>
            <w:rPr>
              <w:rFonts w:hint="eastAsia"/>
              <w:color w:val="000000" w:themeColor="text1"/>
            </w:rPr>
            <w:alias w:val="存出保证金的说明"/>
            <w:tag w:val="_GBC_386a5564d4ae4560b4427de4a7c65fe9"/>
            <w:id w:val="24724100"/>
            <w:lock w:val="sdtLocked"/>
            <w:placeholder>
              <w:docPart w:val="GBC22222222222222222222222222222"/>
            </w:placeholder>
          </w:sdtPr>
          <w:sdtContent>
            <w:p w:rsidR="00DE031E" w:rsidRDefault="001C1A59" w:rsidP="00DE031E">
              <w:pPr>
                <w:rPr>
                  <w:color w:val="000000" w:themeColor="text1"/>
                </w:rPr>
              </w:pPr>
              <w:r>
                <w:rPr>
                  <w:rFonts w:hint="eastAsia"/>
                  <w:color w:val="000000" w:themeColor="text1"/>
                </w:rPr>
                <w:t>1）分币种列示</w:t>
              </w:r>
            </w:p>
            <w:tbl>
              <w:tblPr>
                <w:tblW w:w="5000" w:type="pct"/>
                <w:tblLook w:val="04A0"/>
              </w:tblPr>
              <w:tblGrid>
                <w:gridCol w:w="2132"/>
                <w:gridCol w:w="1582"/>
                <w:gridCol w:w="1732"/>
                <w:gridCol w:w="1587"/>
                <w:gridCol w:w="2016"/>
              </w:tblGrid>
              <w:tr w:rsidR="00DE031E" w:rsidRPr="00F040B1" w:rsidTr="00DE031E">
                <w:trPr>
                  <w:trHeight w:val="340"/>
                  <w:tblHeader/>
                </w:trPr>
                <w:tc>
                  <w:tcPr>
                    <w:tcW w:w="1178" w:type="pct"/>
                    <w:vMerge w:val="restart"/>
                    <w:tcBorders>
                      <w:top w:val="nil"/>
                      <w:left w:val="nil"/>
                      <w:bottom w:val="nil"/>
                      <w:right w:val="nil"/>
                    </w:tcBorders>
                    <w:shd w:val="clear" w:color="auto" w:fill="auto"/>
                    <w:noWrap/>
                    <w:vAlign w:val="center"/>
                    <w:hideMark/>
                  </w:tcPr>
                  <w:p w:rsidR="00DE031E" w:rsidRPr="00F040B1" w:rsidRDefault="001C1A59" w:rsidP="00DE031E">
                    <w:pPr>
                      <w:rPr>
                        <w:rFonts w:asciiTheme="minorEastAsia" w:eastAsiaTheme="minorEastAsia" w:hAnsiTheme="minorEastAsia" w:cs="Arial"/>
                        <w:b/>
                        <w:bCs/>
                        <w:spacing w:val="-6"/>
                        <w:szCs w:val="21"/>
                      </w:rPr>
                    </w:pPr>
                    <w:r w:rsidRPr="00F040B1">
                      <w:rPr>
                        <w:rFonts w:asciiTheme="minorEastAsia" w:eastAsiaTheme="minorEastAsia" w:hAnsiTheme="minorEastAsia" w:cs="Arial"/>
                        <w:b/>
                        <w:bCs/>
                        <w:spacing w:val="-6"/>
                        <w:szCs w:val="21"/>
                      </w:rPr>
                      <w:t>项目</w:t>
                    </w:r>
                  </w:p>
                </w:tc>
                <w:tc>
                  <w:tcPr>
                    <w:tcW w:w="874" w:type="pct"/>
                    <w:tcBorders>
                      <w:top w:val="nil"/>
                      <w:left w:val="nil"/>
                      <w:right w:val="nil"/>
                    </w:tcBorders>
                    <w:vAlign w:val="bottom"/>
                  </w:tcPr>
                  <w:p w:rsidR="00DE031E" w:rsidRPr="00F040B1" w:rsidRDefault="00DE031E" w:rsidP="00DE031E">
                    <w:pPr>
                      <w:jc w:val="center"/>
                      <w:rPr>
                        <w:rFonts w:asciiTheme="minorEastAsia" w:eastAsiaTheme="minorEastAsia" w:hAnsiTheme="minorEastAsia" w:cs="Arial"/>
                        <w:b/>
                        <w:bCs/>
                        <w:spacing w:val="-6"/>
                        <w:szCs w:val="21"/>
                      </w:rPr>
                    </w:pPr>
                  </w:p>
                </w:tc>
                <w:tc>
                  <w:tcPr>
                    <w:tcW w:w="2948" w:type="pct"/>
                    <w:gridSpan w:val="3"/>
                    <w:tcBorders>
                      <w:top w:val="nil"/>
                      <w:left w:val="nil"/>
                      <w:bottom w:val="single" w:sz="4" w:space="0" w:color="auto"/>
                      <w:right w:val="nil"/>
                    </w:tcBorders>
                    <w:shd w:val="clear" w:color="auto" w:fill="auto"/>
                    <w:vAlign w:val="bottom"/>
                    <w:hideMark/>
                  </w:tcPr>
                  <w:p w:rsidR="00DE031E" w:rsidRPr="00F040B1" w:rsidRDefault="001C1A59" w:rsidP="00DE031E">
                    <w:pPr>
                      <w:jc w:val="center"/>
                      <w:rPr>
                        <w:rFonts w:asciiTheme="minorEastAsia" w:eastAsiaTheme="minorEastAsia" w:hAnsiTheme="minorEastAsia" w:cs="Arial"/>
                        <w:b/>
                        <w:bCs/>
                        <w:spacing w:val="-6"/>
                        <w:szCs w:val="21"/>
                      </w:rPr>
                    </w:pPr>
                    <w:r w:rsidRPr="00F040B1">
                      <w:rPr>
                        <w:rFonts w:asciiTheme="minorEastAsia" w:eastAsiaTheme="minorEastAsia" w:hAnsiTheme="minorEastAsia" w:cs="Arial" w:hint="eastAsia"/>
                        <w:b/>
                        <w:bCs/>
                        <w:spacing w:val="-6"/>
                        <w:szCs w:val="21"/>
                      </w:rPr>
                      <w:t>2015年6月30日</w:t>
                    </w:r>
                  </w:p>
                </w:tc>
              </w:tr>
              <w:tr w:rsidR="00DE031E" w:rsidRPr="00F040B1" w:rsidTr="00DE031E">
                <w:trPr>
                  <w:trHeight w:val="340"/>
                  <w:tblHeader/>
                </w:trPr>
                <w:tc>
                  <w:tcPr>
                    <w:tcW w:w="1178" w:type="pct"/>
                    <w:vMerge/>
                    <w:tcBorders>
                      <w:top w:val="nil"/>
                      <w:left w:val="nil"/>
                      <w:bottom w:val="nil"/>
                      <w:right w:val="nil"/>
                    </w:tcBorders>
                    <w:vAlign w:val="center"/>
                    <w:hideMark/>
                  </w:tcPr>
                  <w:p w:rsidR="00DE031E" w:rsidRPr="00F040B1" w:rsidRDefault="00DE031E" w:rsidP="00DE031E">
                    <w:pPr>
                      <w:rPr>
                        <w:rFonts w:asciiTheme="minorEastAsia" w:eastAsiaTheme="minorEastAsia" w:hAnsiTheme="minorEastAsia" w:cs="Arial"/>
                        <w:b/>
                        <w:bCs/>
                        <w:spacing w:val="-6"/>
                        <w:szCs w:val="21"/>
                      </w:rPr>
                    </w:pPr>
                  </w:p>
                </w:tc>
                <w:tc>
                  <w:tcPr>
                    <w:tcW w:w="874" w:type="pct"/>
                    <w:tcBorders>
                      <w:left w:val="nil"/>
                      <w:bottom w:val="nil"/>
                      <w:right w:val="nil"/>
                    </w:tcBorders>
                  </w:tcPr>
                  <w:p w:rsidR="00DE031E" w:rsidRPr="00F040B1" w:rsidRDefault="00DE031E" w:rsidP="00DE031E">
                    <w:pPr>
                      <w:jc w:val="right"/>
                      <w:rPr>
                        <w:rFonts w:asciiTheme="minorEastAsia" w:eastAsiaTheme="minorEastAsia" w:hAnsiTheme="minorEastAsia" w:cs="Arial"/>
                        <w:b/>
                        <w:bCs/>
                        <w:spacing w:val="-6"/>
                        <w:szCs w:val="21"/>
                      </w:rPr>
                    </w:pPr>
                  </w:p>
                </w:tc>
                <w:tc>
                  <w:tcPr>
                    <w:tcW w:w="957" w:type="pct"/>
                    <w:tcBorders>
                      <w:top w:val="single" w:sz="4" w:space="0" w:color="auto"/>
                      <w:left w:val="nil"/>
                      <w:bottom w:val="nil"/>
                      <w:right w:val="nil"/>
                    </w:tcBorders>
                    <w:shd w:val="clear" w:color="auto" w:fill="auto"/>
                    <w:hideMark/>
                  </w:tcPr>
                  <w:p w:rsidR="00DE031E" w:rsidRPr="00F040B1" w:rsidRDefault="001C1A59" w:rsidP="00DE031E">
                    <w:pPr>
                      <w:jc w:val="right"/>
                      <w:rPr>
                        <w:rFonts w:asciiTheme="minorEastAsia" w:eastAsiaTheme="minorEastAsia" w:hAnsiTheme="minorEastAsia" w:cs="Arial"/>
                        <w:b/>
                        <w:bCs/>
                        <w:spacing w:val="-6"/>
                        <w:szCs w:val="21"/>
                      </w:rPr>
                    </w:pPr>
                    <w:r w:rsidRPr="00F040B1">
                      <w:rPr>
                        <w:rFonts w:asciiTheme="minorEastAsia" w:eastAsiaTheme="minorEastAsia" w:hAnsiTheme="minorEastAsia" w:cs="Arial"/>
                        <w:b/>
                        <w:bCs/>
                        <w:spacing w:val="-6"/>
                        <w:szCs w:val="21"/>
                      </w:rPr>
                      <w:t>原币</w:t>
                    </w:r>
                  </w:p>
                </w:tc>
                <w:tc>
                  <w:tcPr>
                    <w:tcW w:w="877" w:type="pct"/>
                    <w:tcBorders>
                      <w:top w:val="single" w:sz="4" w:space="0" w:color="auto"/>
                      <w:left w:val="nil"/>
                      <w:bottom w:val="nil"/>
                      <w:right w:val="nil"/>
                    </w:tcBorders>
                    <w:shd w:val="clear" w:color="auto" w:fill="auto"/>
                    <w:hideMark/>
                  </w:tcPr>
                  <w:p w:rsidR="00DE031E" w:rsidRPr="00F040B1" w:rsidRDefault="001C1A59" w:rsidP="00DE031E">
                    <w:pPr>
                      <w:jc w:val="right"/>
                      <w:rPr>
                        <w:rFonts w:asciiTheme="minorEastAsia" w:eastAsiaTheme="minorEastAsia" w:hAnsiTheme="minorEastAsia" w:cs="Arial"/>
                        <w:b/>
                        <w:bCs/>
                        <w:spacing w:val="-6"/>
                        <w:szCs w:val="21"/>
                      </w:rPr>
                    </w:pPr>
                    <w:r w:rsidRPr="00F040B1">
                      <w:rPr>
                        <w:rFonts w:asciiTheme="minorEastAsia" w:eastAsiaTheme="minorEastAsia" w:hAnsiTheme="minorEastAsia" w:cs="Arial"/>
                        <w:b/>
                        <w:bCs/>
                        <w:spacing w:val="-6"/>
                        <w:szCs w:val="21"/>
                      </w:rPr>
                      <w:t>汇率</w:t>
                    </w:r>
                  </w:p>
                </w:tc>
                <w:tc>
                  <w:tcPr>
                    <w:tcW w:w="1114" w:type="pct"/>
                    <w:tcBorders>
                      <w:top w:val="single" w:sz="4" w:space="0" w:color="auto"/>
                      <w:left w:val="nil"/>
                      <w:bottom w:val="nil"/>
                      <w:right w:val="nil"/>
                    </w:tcBorders>
                    <w:shd w:val="clear" w:color="auto" w:fill="auto"/>
                    <w:hideMark/>
                  </w:tcPr>
                  <w:p w:rsidR="00DE031E" w:rsidRPr="00F040B1" w:rsidRDefault="001C1A59" w:rsidP="00DE031E">
                    <w:pPr>
                      <w:jc w:val="right"/>
                      <w:rPr>
                        <w:rFonts w:asciiTheme="minorEastAsia" w:eastAsiaTheme="minorEastAsia" w:hAnsiTheme="minorEastAsia" w:cs="Arial"/>
                        <w:b/>
                        <w:bCs/>
                        <w:spacing w:val="-6"/>
                        <w:szCs w:val="21"/>
                      </w:rPr>
                    </w:pPr>
                    <w:r w:rsidRPr="00F040B1">
                      <w:rPr>
                        <w:rFonts w:asciiTheme="minorEastAsia" w:eastAsiaTheme="minorEastAsia" w:hAnsiTheme="minorEastAsia" w:cs="Arial"/>
                        <w:b/>
                        <w:bCs/>
                        <w:spacing w:val="-6"/>
                        <w:szCs w:val="21"/>
                      </w:rPr>
                      <w:t>折合人民币</w:t>
                    </w:r>
                  </w:p>
                </w:tc>
              </w:tr>
              <w:tr w:rsidR="00DE031E" w:rsidRPr="00F040B1" w:rsidTr="00DE031E">
                <w:trPr>
                  <w:trHeight w:val="340"/>
                </w:trPr>
                <w:tc>
                  <w:tcPr>
                    <w:tcW w:w="1178" w:type="pct"/>
                    <w:tcBorders>
                      <w:top w:val="nil"/>
                      <w:left w:val="nil"/>
                      <w:bottom w:val="nil"/>
                      <w:right w:val="nil"/>
                    </w:tcBorders>
                    <w:shd w:val="clear" w:color="auto" w:fill="auto"/>
                    <w:noWrap/>
                    <w:vAlign w:val="center"/>
                    <w:hideMark/>
                  </w:tcPr>
                  <w:p w:rsidR="00DE031E" w:rsidRPr="00F040B1" w:rsidRDefault="001C1A59" w:rsidP="00DE031E">
                    <w:pPr>
                      <w:rPr>
                        <w:rFonts w:asciiTheme="minorEastAsia" w:eastAsiaTheme="minorEastAsia" w:hAnsiTheme="minorEastAsia" w:cs="Arial"/>
                        <w:b/>
                        <w:spacing w:val="-6"/>
                        <w:szCs w:val="21"/>
                      </w:rPr>
                    </w:pPr>
                    <w:r w:rsidRPr="00F040B1">
                      <w:rPr>
                        <w:rFonts w:asciiTheme="minorEastAsia" w:eastAsiaTheme="minorEastAsia" w:hAnsiTheme="minorEastAsia" w:cs="Arial"/>
                        <w:b/>
                        <w:szCs w:val="21"/>
                      </w:rPr>
                      <w:t>交易保证金</w:t>
                    </w:r>
                  </w:p>
                </w:tc>
                <w:tc>
                  <w:tcPr>
                    <w:tcW w:w="874" w:type="pct"/>
                    <w:tcBorders>
                      <w:top w:val="nil"/>
                      <w:left w:val="nil"/>
                      <w:bottom w:val="nil"/>
                      <w:right w:val="nil"/>
                    </w:tcBorders>
                    <w:vAlign w:val="center"/>
                  </w:tcPr>
                  <w:p w:rsidR="00DE031E" w:rsidRPr="00F040B1" w:rsidRDefault="00DE031E" w:rsidP="00DE031E">
                    <w:pPr>
                      <w:spacing w:line="240" w:lineRule="exact"/>
                      <w:jc w:val="right"/>
                      <w:rPr>
                        <w:rFonts w:asciiTheme="minorEastAsia" w:eastAsiaTheme="minorEastAsia" w:hAnsiTheme="minorEastAsia" w:cs="Arial"/>
                        <w:b/>
                        <w:bCs/>
                        <w:spacing w:val="-6"/>
                        <w:szCs w:val="21"/>
                      </w:rPr>
                    </w:pPr>
                  </w:p>
                </w:tc>
                <w:tc>
                  <w:tcPr>
                    <w:tcW w:w="957" w:type="pct"/>
                    <w:tcBorders>
                      <w:top w:val="nil"/>
                      <w:left w:val="nil"/>
                      <w:bottom w:val="nil"/>
                      <w:right w:val="nil"/>
                    </w:tcBorders>
                    <w:shd w:val="clear" w:color="auto" w:fill="auto"/>
                    <w:vAlign w:val="center"/>
                    <w:hideMark/>
                  </w:tcPr>
                  <w:p w:rsidR="00DE031E" w:rsidRPr="00F040B1" w:rsidRDefault="00DE031E" w:rsidP="00DE031E">
                    <w:pPr>
                      <w:jc w:val="right"/>
                      <w:rPr>
                        <w:rFonts w:asciiTheme="minorEastAsia" w:eastAsiaTheme="minorEastAsia" w:hAnsiTheme="minorEastAsia" w:cs="Arial"/>
                        <w:color w:val="000000"/>
                        <w:szCs w:val="21"/>
                      </w:rPr>
                    </w:pPr>
                  </w:p>
                </w:tc>
                <w:tc>
                  <w:tcPr>
                    <w:tcW w:w="877" w:type="pct"/>
                    <w:tcBorders>
                      <w:top w:val="nil"/>
                      <w:left w:val="nil"/>
                      <w:bottom w:val="nil"/>
                      <w:right w:val="nil"/>
                    </w:tcBorders>
                    <w:shd w:val="clear" w:color="auto" w:fill="auto"/>
                    <w:vAlign w:val="center"/>
                    <w:hideMark/>
                  </w:tcPr>
                  <w:p w:rsidR="00DE031E" w:rsidRPr="00F040B1" w:rsidRDefault="00DE031E" w:rsidP="00DE031E">
                    <w:pPr>
                      <w:jc w:val="right"/>
                      <w:rPr>
                        <w:rFonts w:asciiTheme="minorEastAsia" w:eastAsiaTheme="minorEastAsia" w:hAnsiTheme="minorEastAsia" w:cs="Arial"/>
                        <w:color w:val="000000"/>
                        <w:szCs w:val="21"/>
                      </w:rPr>
                    </w:pPr>
                  </w:p>
                </w:tc>
                <w:tc>
                  <w:tcPr>
                    <w:tcW w:w="1114"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585,578,533.25</w:t>
                    </w:r>
                  </w:p>
                </w:tc>
              </w:tr>
              <w:tr w:rsidR="00DE031E" w:rsidRPr="00F040B1" w:rsidTr="00DE031E">
                <w:trPr>
                  <w:trHeight w:val="340"/>
                </w:trPr>
                <w:tc>
                  <w:tcPr>
                    <w:tcW w:w="1178"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98"/>
                      <w:rPr>
                        <w:rFonts w:asciiTheme="minorEastAsia" w:eastAsiaTheme="minorEastAsia" w:hAnsiTheme="minorEastAsia" w:cs="Arial"/>
                        <w:spacing w:val="-6"/>
                        <w:szCs w:val="21"/>
                      </w:rPr>
                    </w:pPr>
                    <w:r w:rsidRPr="00F040B1">
                      <w:rPr>
                        <w:rFonts w:asciiTheme="minorEastAsia" w:eastAsiaTheme="minorEastAsia" w:hAnsiTheme="minorEastAsia" w:cs="Arial"/>
                        <w:spacing w:val="-6"/>
                        <w:szCs w:val="21"/>
                      </w:rPr>
                      <w:t>人民币</w:t>
                    </w:r>
                  </w:p>
                </w:tc>
                <w:tc>
                  <w:tcPr>
                    <w:tcW w:w="874" w:type="pct"/>
                    <w:tcBorders>
                      <w:top w:val="nil"/>
                      <w:left w:val="nil"/>
                      <w:bottom w:val="nil"/>
                      <w:right w:val="nil"/>
                    </w:tcBorders>
                    <w:vAlign w:val="center"/>
                  </w:tcPr>
                  <w:p w:rsidR="00DE031E" w:rsidRPr="00F040B1" w:rsidRDefault="00DE031E" w:rsidP="00DE031E">
                    <w:pPr>
                      <w:spacing w:line="240" w:lineRule="exact"/>
                      <w:jc w:val="right"/>
                      <w:rPr>
                        <w:rFonts w:asciiTheme="minorEastAsia" w:eastAsiaTheme="minorEastAsia" w:hAnsiTheme="minorEastAsia" w:cs="Arial"/>
                        <w:spacing w:val="-6"/>
                        <w:szCs w:val="21"/>
                      </w:rPr>
                    </w:pPr>
                  </w:p>
                </w:tc>
                <w:tc>
                  <w:tcPr>
                    <w:tcW w:w="957"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524,5</w:t>
                    </w:r>
                    <w:r w:rsidRPr="00F040B1">
                      <w:rPr>
                        <w:rFonts w:asciiTheme="minorEastAsia" w:eastAsiaTheme="minorEastAsia" w:hAnsiTheme="minorEastAsia" w:cs="Arial" w:hint="eastAsia"/>
                        <w:color w:val="000000"/>
                        <w:szCs w:val="21"/>
                      </w:rPr>
                      <w:t>18</w:t>
                    </w:r>
                    <w:r w:rsidRPr="00F040B1">
                      <w:rPr>
                        <w:rFonts w:asciiTheme="minorEastAsia" w:eastAsiaTheme="minorEastAsia" w:hAnsiTheme="minorEastAsia" w:cs="Arial"/>
                        <w:color w:val="000000"/>
                        <w:szCs w:val="21"/>
                      </w:rPr>
                      <w:t>,</w:t>
                    </w:r>
                    <w:r w:rsidRPr="00F040B1">
                      <w:rPr>
                        <w:rFonts w:asciiTheme="minorEastAsia" w:eastAsiaTheme="minorEastAsia" w:hAnsiTheme="minorEastAsia" w:cs="Arial" w:hint="eastAsia"/>
                        <w:color w:val="000000"/>
                        <w:szCs w:val="21"/>
                      </w:rPr>
                      <w:t>93</w:t>
                    </w:r>
                    <w:r w:rsidRPr="00F040B1">
                      <w:rPr>
                        <w:rFonts w:asciiTheme="minorEastAsia" w:eastAsiaTheme="minorEastAsia" w:hAnsiTheme="minorEastAsia" w:cs="Arial"/>
                        <w:color w:val="000000"/>
                        <w:szCs w:val="21"/>
                      </w:rPr>
                      <w:t>7.</w:t>
                    </w:r>
                    <w:r w:rsidRPr="00F040B1">
                      <w:rPr>
                        <w:rFonts w:asciiTheme="minorEastAsia" w:eastAsiaTheme="minorEastAsia" w:hAnsiTheme="minorEastAsia" w:cs="Arial" w:hint="eastAsia"/>
                        <w:color w:val="000000"/>
                        <w:szCs w:val="21"/>
                      </w:rPr>
                      <w:t>62</w:t>
                    </w:r>
                  </w:p>
                </w:tc>
                <w:tc>
                  <w:tcPr>
                    <w:tcW w:w="877"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w:t>
                    </w:r>
                  </w:p>
                </w:tc>
                <w:tc>
                  <w:tcPr>
                    <w:tcW w:w="1114"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524,518,937.62</w:t>
                    </w:r>
                  </w:p>
                </w:tc>
              </w:tr>
              <w:tr w:rsidR="00DE031E" w:rsidRPr="00F040B1" w:rsidTr="00DE031E">
                <w:trPr>
                  <w:trHeight w:val="340"/>
                </w:trPr>
                <w:tc>
                  <w:tcPr>
                    <w:tcW w:w="1178"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98"/>
                      <w:rPr>
                        <w:rFonts w:asciiTheme="minorEastAsia" w:eastAsiaTheme="minorEastAsia" w:hAnsiTheme="minorEastAsia" w:cs="Arial"/>
                        <w:spacing w:val="-6"/>
                        <w:szCs w:val="21"/>
                      </w:rPr>
                    </w:pPr>
                    <w:r w:rsidRPr="00F040B1">
                      <w:rPr>
                        <w:rFonts w:asciiTheme="minorEastAsia" w:eastAsiaTheme="minorEastAsia" w:hAnsiTheme="minorEastAsia" w:cs="Arial"/>
                        <w:spacing w:val="-6"/>
                        <w:szCs w:val="21"/>
                      </w:rPr>
                      <w:t>港币</w:t>
                    </w:r>
                  </w:p>
                </w:tc>
                <w:tc>
                  <w:tcPr>
                    <w:tcW w:w="874" w:type="pct"/>
                    <w:tcBorders>
                      <w:top w:val="nil"/>
                      <w:left w:val="nil"/>
                      <w:bottom w:val="nil"/>
                      <w:right w:val="nil"/>
                    </w:tcBorders>
                    <w:vAlign w:val="center"/>
                  </w:tcPr>
                  <w:p w:rsidR="00DE031E" w:rsidRPr="00F040B1" w:rsidRDefault="00DE031E" w:rsidP="00DE031E">
                    <w:pPr>
                      <w:spacing w:line="240" w:lineRule="exact"/>
                      <w:jc w:val="right"/>
                      <w:rPr>
                        <w:rFonts w:asciiTheme="minorEastAsia" w:eastAsiaTheme="minorEastAsia" w:hAnsiTheme="minorEastAsia" w:cs="Arial"/>
                        <w:spacing w:val="-6"/>
                        <w:szCs w:val="21"/>
                      </w:rPr>
                    </w:pPr>
                  </w:p>
                </w:tc>
                <w:tc>
                  <w:tcPr>
                    <w:tcW w:w="957"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52,133,</w:t>
                    </w:r>
                    <w:r w:rsidRPr="00F040B1">
                      <w:rPr>
                        <w:rFonts w:asciiTheme="minorEastAsia" w:eastAsiaTheme="minorEastAsia" w:hAnsiTheme="minorEastAsia" w:cs="Arial" w:hint="eastAsia"/>
                        <w:color w:val="000000"/>
                        <w:szCs w:val="21"/>
                      </w:rPr>
                      <w:t>341</w:t>
                    </w:r>
                    <w:r w:rsidRPr="00F040B1">
                      <w:rPr>
                        <w:rFonts w:asciiTheme="minorEastAsia" w:eastAsiaTheme="minorEastAsia" w:hAnsiTheme="minorEastAsia" w:cs="Arial"/>
                        <w:color w:val="000000"/>
                        <w:szCs w:val="21"/>
                      </w:rPr>
                      <w:t>.</w:t>
                    </w:r>
                    <w:r w:rsidRPr="00F040B1">
                      <w:rPr>
                        <w:rFonts w:asciiTheme="minorEastAsia" w:eastAsiaTheme="minorEastAsia" w:hAnsiTheme="minorEastAsia" w:cs="Arial" w:hint="eastAsia"/>
                        <w:color w:val="000000"/>
                        <w:szCs w:val="21"/>
                      </w:rPr>
                      <w:t>88</w:t>
                    </w:r>
                  </w:p>
                </w:tc>
                <w:tc>
                  <w:tcPr>
                    <w:tcW w:w="87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0.78861</w:t>
                    </w:r>
                  </w:p>
                </w:tc>
                <w:tc>
                  <w:tcPr>
                    <w:tcW w:w="1114"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41,112,</w:t>
                    </w:r>
                    <w:r w:rsidRPr="00F040B1">
                      <w:rPr>
                        <w:rFonts w:asciiTheme="minorEastAsia" w:eastAsiaTheme="minorEastAsia" w:hAnsiTheme="minorEastAsia" w:cs="Arial" w:hint="eastAsia"/>
                        <w:color w:val="000000"/>
                        <w:szCs w:val="21"/>
                      </w:rPr>
                      <w:t>777</w:t>
                    </w:r>
                    <w:r w:rsidRPr="00F040B1">
                      <w:rPr>
                        <w:rFonts w:asciiTheme="minorEastAsia" w:eastAsiaTheme="minorEastAsia" w:hAnsiTheme="minorEastAsia" w:cs="Arial"/>
                        <w:color w:val="000000"/>
                        <w:szCs w:val="21"/>
                      </w:rPr>
                      <w:t>.</w:t>
                    </w:r>
                    <w:r w:rsidRPr="00F040B1">
                      <w:rPr>
                        <w:rFonts w:asciiTheme="minorEastAsia" w:eastAsiaTheme="minorEastAsia" w:hAnsiTheme="minorEastAsia" w:cs="Arial" w:hint="eastAsia"/>
                        <w:color w:val="000000"/>
                        <w:szCs w:val="21"/>
                      </w:rPr>
                      <w:t>36</w:t>
                    </w:r>
                  </w:p>
                </w:tc>
              </w:tr>
              <w:tr w:rsidR="00DE031E" w:rsidRPr="00F040B1" w:rsidTr="00DE031E">
                <w:trPr>
                  <w:trHeight w:val="340"/>
                </w:trPr>
                <w:tc>
                  <w:tcPr>
                    <w:tcW w:w="1178"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98"/>
                      <w:rPr>
                        <w:rFonts w:asciiTheme="minorEastAsia" w:eastAsiaTheme="minorEastAsia" w:hAnsiTheme="minorEastAsia" w:cs="Arial"/>
                        <w:spacing w:val="-6"/>
                        <w:szCs w:val="21"/>
                      </w:rPr>
                    </w:pPr>
                    <w:r w:rsidRPr="00F040B1">
                      <w:rPr>
                        <w:rFonts w:asciiTheme="minorEastAsia" w:eastAsiaTheme="minorEastAsia" w:hAnsiTheme="minorEastAsia" w:cs="Arial"/>
                        <w:spacing w:val="-6"/>
                        <w:szCs w:val="21"/>
                      </w:rPr>
                      <w:t>美元</w:t>
                    </w:r>
                  </w:p>
                </w:tc>
                <w:tc>
                  <w:tcPr>
                    <w:tcW w:w="874" w:type="pct"/>
                    <w:tcBorders>
                      <w:top w:val="nil"/>
                      <w:left w:val="nil"/>
                      <w:bottom w:val="nil"/>
                      <w:right w:val="nil"/>
                    </w:tcBorders>
                    <w:vAlign w:val="center"/>
                  </w:tcPr>
                  <w:p w:rsidR="00DE031E" w:rsidRPr="00F040B1" w:rsidRDefault="00DE031E" w:rsidP="00DE031E">
                    <w:pPr>
                      <w:spacing w:line="240" w:lineRule="exact"/>
                      <w:jc w:val="right"/>
                      <w:rPr>
                        <w:rFonts w:asciiTheme="minorEastAsia" w:eastAsiaTheme="minorEastAsia" w:hAnsiTheme="minorEastAsia" w:cs="Arial"/>
                        <w:spacing w:val="-6"/>
                        <w:szCs w:val="21"/>
                      </w:rPr>
                    </w:pPr>
                  </w:p>
                </w:tc>
                <w:tc>
                  <w:tcPr>
                    <w:tcW w:w="957"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3,262,696.00</w:t>
                    </w:r>
                  </w:p>
                </w:tc>
                <w:tc>
                  <w:tcPr>
                    <w:tcW w:w="87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6.1136</w:t>
                    </w:r>
                  </w:p>
                </w:tc>
                <w:tc>
                  <w:tcPr>
                    <w:tcW w:w="1114"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19,946,</w:t>
                    </w:r>
                    <w:r w:rsidRPr="00F040B1">
                      <w:rPr>
                        <w:rFonts w:asciiTheme="minorEastAsia" w:eastAsiaTheme="minorEastAsia" w:hAnsiTheme="minorEastAsia" w:cs="Arial" w:hint="eastAsia"/>
                        <w:color w:val="000000"/>
                        <w:szCs w:val="21"/>
                      </w:rPr>
                      <w:t>818</w:t>
                    </w:r>
                    <w:r w:rsidRPr="00F040B1">
                      <w:rPr>
                        <w:rFonts w:asciiTheme="minorEastAsia" w:eastAsiaTheme="minorEastAsia" w:hAnsiTheme="minorEastAsia" w:cs="Arial"/>
                        <w:color w:val="000000"/>
                        <w:szCs w:val="21"/>
                      </w:rPr>
                      <w:t>.</w:t>
                    </w:r>
                    <w:r w:rsidRPr="00F040B1">
                      <w:rPr>
                        <w:rFonts w:asciiTheme="minorEastAsia" w:eastAsiaTheme="minorEastAsia" w:hAnsiTheme="minorEastAsia" w:cs="Arial" w:hint="eastAsia"/>
                        <w:color w:val="000000"/>
                        <w:szCs w:val="21"/>
                      </w:rPr>
                      <w:t>27</w:t>
                    </w:r>
                  </w:p>
                </w:tc>
              </w:tr>
              <w:tr w:rsidR="00DE031E" w:rsidRPr="00F040B1" w:rsidTr="00DE031E">
                <w:trPr>
                  <w:trHeight w:val="340"/>
                </w:trPr>
                <w:tc>
                  <w:tcPr>
                    <w:tcW w:w="1178" w:type="pct"/>
                    <w:tcBorders>
                      <w:top w:val="nil"/>
                      <w:left w:val="nil"/>
                      <w:bottom w:val="nil"/>
                      <w:right w:val="nil"/>
                    </w:tcBorders>
                    <w:shd w:val="clear" w:color="auto" w:fill="auto"/>
                    <w:noWrap/>
                    <w:vAlign w:val="center"/>
                    <w:hideMark/>
                  </w:tcPr>
                  <w:p w:rsidR="00DE031E" w:rsidRPr="00F040B1" w:rsidRDefault="001C1A59" w:rsidP="00DE031E">
                    <w:pPr>
                      <w:rPr>
                        <w:rFonts w:asciiTheme="minorEastAsia" w:eastAsiaTheme="minorEastAsia" w:hAnsiTheme="minorEastAsia" w:cs="Arial"/>
                        <w:b/>
                        <w:spacing w:val="-6"/>
                        <w:szCs w:val="21"/>
                      </w:rPr>
                    </w:pPr>
                    <w:r w:rsidRPr="00F040B1">
                      <w:rPr>
                        <w:rFonts w:asciiTheme="minorEastAsia" w:eastAsiaTheme="minorEastAsia" w:hAnsiTheme="minorEastAsia" w:cs="Arial"/>
                        <w:b/>
                        <w:szCs w:val="21"/>
                      </w:rPr>
                      <w:t>信用保证金</w:t>
                    </w:r>
                  </w:p>
                </w:tc>
                <w:tc>
                  <w:tcPr>
                    <w:tcW w:w="874" w:type="pct"/>
                    <w:tcBorders>
                      <w:top w:val="nil"/>
                      <w:left w:val="nil"/>
                      <w:bottom w:val="nil"/>
                      <w:right w:val="nil"/>
                    </w:tcBorders>
                    <w:vAlign w:val="center"/>
                  </w:tcPr>
                  <w:p w:rsidR="00DE031E" w:rsidRPr="00F040B1" w:rsidRDefault="00DE031E" w:rsidP="00DE031E">
                    <w:pPr>
                      <w:spacing w:line="240" w:lineRule="exact"/>
                      <w:jc w:val="right"/>
                      <w:rPr>
                        <w:rFonts w:asciiTheme="minorEastAsia" w:eastAsiaTheme="minorEastAsia" w:hAnsiTheme="minorEastAsia" w:cs="Arial"/>
                        <w:b/>
                        <w:bCs/>
                        <w:spacing w:val="-6"/>
                        <w:szCs w:val="21"/>
                      </w:rPr>
                    </w:pPr>
                  </w:p>
                </w:tc>
                <w:tc>
                  <w:tcPr>
                    <w:tcW w:w="957" w:type="pct"/>
                    <w:tcBorders>
                      <w:top w:val="nil"/>
                      <w:left w:val="nil"/>
                      <w:bottom w:val="nil"/>
                      <w:right w:val="nil"/>
                    </w:tcBorders>
                    <w:shd w:val="clear" w:color="auto" w:fill="auto"/>
                    <w:vAlign w:val="center"/>
                    <w:hideMark/>
                  </w:tcPr>
                  <w:p w:rsidR="00DE031E" w:rsidRPr="00F040B1" w:rsidRDefault="00DE031E" w:rsidP="00DE031E">
                    <w:pPr>
                      <w:jc w:val="right"/>
                      <w:rPr>
                        <w:rFonts w:asciiTheme="minorEastAsia" w:eastAsiaTheme="minorEastAsia" w:hAnsiTheme="minorEastAsia" w:cs="Arial"/>
                        <w:color w:val="000000"/>
                        <w:szCs w:val="21"/>
                      </w:rPr>
                    </w:pPr>
                  </w:p>
                </w:tc>
                <w:tc>
                  <w:tcPr>
                    <w:tcW w:w="877" w:type="pct"/>
                    <w:tcBorders>
                      <w:top w:val="nil"/>
                      <w:left w:val="nil"/>
                      <w:bottom w:val="nil"/>
                      <w:right w:val="nil"/>
                    </w:tcBorders>
                    <w:shd w:val="clear" w:color="auto" w:fill="auto"/>
                    <w:noWrap/>
                    <w:vAlign w:val="center"/>
                    <w:hideMark/>
                  </w:tcPr>
                  <w:p w:rsidR="00DE031E" w:rsidRPr="00F040B1" w:rsidRDefault="00DE031E" w:rsidP="00DE031E">
                    <w:pPr>
                      <w:jc w:val="right"/>
                      <w:rPr>
                        <w:rFonts w:asciiTheme="minorEastAsia" w:eastAsiaTheme="minorEastAsia" w:hAnsiTheme="minorEastAsia" w:cs="Arial"/>
                        <w:color w:val="000000"/>
                        <w:szCs w:val="21"/>
                      </w:rPr>
                    </w:pPr>
                  </w:p>
                </w:tc>
                <w:tc>
                  <w:tcPr>
                    <w:tcW w:w="1114"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107,707,831.33</w:t>
                    </w:r>
                  </w:p>
                </w:tc>
              </w:tr>
              <w:tr w:rsidR="00DE031E" w:rsidRPr="00F040B1" w:rsidTr="00DE031E">
                <w:trPr>
                  <w:trHeight w:val="340"/>
                </w:trPr>
                <w:tc>
                  <w:tcPr>
                    <w:tcW w:w="1178"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98"/>
                      <w:rPr>
                        <w:rFonts w:asciiTheme="minorEastAsia" w:eastAsiaTheme="minorEastAsia" w:hAnsiTheme="minorEastAsia" w:cs="Arial"/>
                        <w:spacing w:val="-6"/>
                        <w:szCs w:val="21"/>
                      </w:rPr>
                    </w:pPr>
                    <w:r w:rsidRPr="00F040B1">
                      <w:rPr>
                        <w:rFonts w:asciiTheme="minorEastAsia" w:eastAsiaTheme="minorEastAsia" w:hAnsiTheme="minorEastAsia" w:cs="Arial"/>
                        <w:spacing w:val="-6"/>
                        <w:szCs w:val="21"/>
                      </w:rPr>
                      <w:t>人民币</w:t>
                    </w:r>
                  </w:p>
                </w:tc>
                <w:tc>
                  <w:tcPr>
                    <w:tcW w:w="874" w:type="pct"/>
                    <w:tcBorders>
                      <w:top w:val="nil"/>
                      <w:left w:val="nil"/>
                      <w:bottom w:val="nil"/>
                      <w:right w:val="nil"/>
                    </w:tcBorders>
                    <w:vAlign w:val="center"/>
                  </w:tcPr>
                  <w:p w:rsidR="00DE031E" w:rsidRPr="00F040B1" w:rsidRDefault="00DE031E" w:rsidP="00DE031E">
                    <w:pPr>
                      <w:spacing w:line="240" w:lineRule="exact"/>
                      <w:jc w:val="right"/>
                      <w:rPr>
                        <w:rFonts w:asciiTheme="minorEastAsia" w:eastAsiaTheme="minorEastAsia" w:hAnsiTheme="minorEastAsia" w:cs="Arial"/>
                        <w:spacing w:val="-6"/>
                        <w:szCs w:val="21"/>
                      </w:rPr>
                    </w:pPr>
                  </w:p>
                </w:tc>
                <w:tc>
                  <w:tcPr>
                    <w:tcW w:w="957"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107,707,831.33</w:t>
                    </w:r>
                  </w:p>
                </w:tc>
                <w:tc>
                  <w:tcPr>
                    <w:tcW w:w="87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w:t>
                    </w:r>
                  </w:p>
                </w:tc>
                <w:tc>
                  <w:tcPr>
                    <w:tcW w:w="1114"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107,707,831.33</w:t>
                    </w:r>
                  </w:p>
                </w:tc>
              </w:tr>
              <w:tr w:rsidR="00DE031E" w:rsidRPr="00F040B1" w:rsidTr="00DE031E">
                <w:trPr>
                  <w:trHeight w:val="340"/>
                </w:trPr>
                <w:tc>
                  <w:tcPr>
                    <w:tcW w:w="1178" w:type="pct"/>
                    <w:tcBorders>
                      <w:top w:val="nil"/>
                      <w:left w:val="nil"/>
                      <w:bottom w:val="nil"/>
                      <w:right w:val="nil"/>
                    </w:tcBorders>
                    <w:shd w:val="clear" w:color="auto" w:fill="auto"/>
                    <w:noWrap/>
                    <w:vAlign w:val="center"/>
                    <w:hideMark/>
                  </w:tcPr>
                  <w:p w:rsidR="00DE031E" w:rsidRPr="00F040B1" w:rsidRDefault="001C1A59" w:rsidP="00DE031E">
                    <w:pPr>
                      <w:rPr>
                        <w:rFonts w:asciiTheme="minorEastAsia" w:eastAsiaTheme="minorEastAsia" w:hAnsiTheme="minorEastAsia" w:cs="Arial"/>
                        <w:b/>
                        <w:bCs/>
                        <w:spacing w:val="-20"/>
                        <w:szCs w:val="21"/>
                      </w:rPr>
                    </w:pPr>
                    <w:r w:rsidRPr="00F040B1">
                      <w:rPr>
                        <w:rFonts w:asciiTheme="minorEastAsia" w:eastAsiaTheme="minorEastAsia" w:hAnsiTheme="minorEastAsia" w:cs="Arial"/>
                        <w:b/>
                        <w:bCs/>
                        <w:spacing w:val="-20"/>
                        <w:szCs w:val="21"/>
                      </w:rPr>
                      <w:t>合计</w:t>
                    </w:r>
                  </w:p>
                </w:tc>
                <w:tc>
                  <w:tcPr>
                    <w:tcW w:w="874" w:type="pct"/>
                    <w:tcBorders>
                      <w:top w:val="nil"/>
                      <w:left w:val="nil"/>
                      <w:bottom w:val="nil"/>
                      <w:right w:val="nil"/>
                    </w:tcBorders>
                    <w:vAlign w:val="center"/>
                  </w:tcPr>
                  <w:p w:rsidR="00DE031E" w:rsidRPr="00F040B1" w:rsidRDefault="00DE031E" w:rsidP="00DE031E">
                    <w:pPr>
                      <w:spacing w:line="240" w:lineRule="exact"/>
                      <w:jc w:val="right"/>
                      <w:rPr>
                        <w:rFonts w:asciiTheme="minorEastAsia" w:eastAsiaTheme="minorEastAsia" w:hAnsiTheme="minorEastAsia" w:cs="Arial"/>
                        <w:b/>
                        <w:bCs/>
                        <w:spacing w:val="-6"/>
                        <w:szCs w:val="21"/>
                      </w:rPr>
                    </w:pPr>
                  </w:p>
                </w:tc>
                <w:tc>
                  <w:tcPr>
                    <w:tcW w:w="957" w:type="pct"/>
                    <w:tcBorders>
                      <w:top w:val="nil"/>
                      <w:left w:val="nil"/>
                      <w:bottom w:val="nil"/>
                      <w:right w:val="nil"/>
                    </w:tcBorders>
                    <w:shd w:val="clear" w:color="auto" w:fill="auto"/>
                    <w:vAlign w:val="center"/>
                    <w:hideMark/>
                  </w:tcPr>
                  <w:p w:rsidR="00DE031E" w:rsidRPr="00F040B1" w:rsidRDefault="00DE031E" w:rsidP="00DE031E">
                    <w:pPr>
                      <w:jc w:val="right"/>
                      <w:rPr>
                        <w:rFonts w:asciiTheme="minorEastAsia" w:eastAsiaTheme="minorEastAsia" w:hAnsiTheme="minorEastAsia" w:cs="Arial"/>
                        <w:color w:val="000000"/>
                        <w:szCs w:val="21"/>
                      </w:rPr>
                    </w:pPr>
                  </w:p>
                </w:tc>
                <w:tc>
                  <w:tcPr>
                    <w:tcW w:w="877" w:type="pct"/>
                    <w:tcBorders>
                      <w:top w:val="nil"/>
                      <w:left w:val="nil"/>
                      <w:bottom w:val="nil"/>
                      <w:right w:val="nil"/>
                    </w:tcBorders>
                    <w:shd w:val="clear" w:color="auto" w:fill="auto"/>
                    <w:vAlign w:val="center"/>
                    <w:hideMark/>
                  </w:tcPr>
                  <w:p w:rsidR="00DE031E" w:rsidRPr="00F040B1" w:rsidRDefault="00DE031E" w:rsidP="00DE031E">
                    <w:pPr>
                      <w:jc w:val="right"/>
                      <w:rPr>
                        <w:rFonts w:asciiTheme="minorEastAsia" w:eastAsiaTheme="minorEastAsia" w:hAnsiTheme="minorEastAsia" w:cs="Arial"/>
                        <w:color w:val="000000"/>
                        <w:szCs w:val="21"/>
                      </w:rPr>
                    </w:pPr>
                  </w:p>
                </w:tc>
                <w:tc>
                  <w:tcPr>
                    <w:tcW w:w="1114" w:type="pct"/>
                    <w:tcBorders>
                      <w:top w:val="nil"/>
                      <w:left w:val="nil"/>
                      <w:bottom w:val="nil"/>
                      <w:right w:val="nil"/>
                    </w:tcBorders>
                    <w:shd w:val="clear" w:color="auto" w:fill="auto"/>
                    <w:vAlign w:val="center"/>
                    <w:hideMark/>
                  </w:tcPr>
                  <w:p w:rsidR="00DE031E" w:rsidRPr="00F040B1" w:rsidRDefault="001C1A59" w:rsidP="00DE031E">
                    <w:pPr>
                      <w:jc w:val="right"/>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693,286,364.58</w:t>
                    </w:r>
                  </w:p>
                </w:tc>
              </w:tr>
            </w:tbl>
            <w:p w:rsidR="00DE031E" w:rsidRDefault="00DE031E">
              <w:pPr>
                <w:snapToGrid w:val="0"/>
                <w:spacing w:line="240" w:lineRule="atLeast"/>
                <w:ind w:rightChars="-159" w:right="-334"/>
                <w:rPr>
                  <w:color w:val="000000" w:themeColor="text1"/>
                </w:rPr>
              </w:pPr>
            </w:p>
            <w:p w:rsidR="00DE031E" w:rsidRDefault="001C1A59" w:rsidP="00DE031E">
              <w:pPr>
                <w:widowControl w:val="0"/>
                <w:autoSpaceDE w:val="0"/>
                <w:autoSpaceDN w:val="0"/>
                <w:adjustRightInd w:val="0"/>
                <w:spacing w:line="360" w:lineRule="auto"/>
                <w:rPr>
                  <w:color w:val="000000" w:themeColor="text1"/>
                </w:rPr>
              </w:pPr>
              <w:r>
                <w:rPr>
                  <w:rFonts w:hint="eastAsia"/>
                  <w:color w:val="000000" w:themeColor="text1"/>
                </w:rPr>
                <w:t>2）</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日，存出保证金较年初增加</w:t>
              </w:r>
              <w:r>
                <w:rPr>
                  <w:rFonts w:ascii="Arial" w:hAnsi="Arial" w:cs="Arial" w:hint="eastAsia"/>
                  <w:sz w:val="22"/>
                  <w:szCs w:val="22"/>
                </w:rPr>
                <w:t>448</w:t>
              </w:r>
              <w:r>
                <w:rPr>
                  <w:rFonts w:ascii="Arial" w:hAnsi="Arial" w:cs="Arial"/>
                  <w:sz w:val="22"/>
                  <w:szCs w:val="22"/>
                </w:rPr>
                <w:t>,6</w:t>
              </w:r>
              <w:r>
                <w:rPr>
                  <w:rFonts w:ascii="Arial" w:hAnsi="Arial" w:cs="Arial" w:hint="eastAsia"/>
                  <w:sz w:val="22"/>
                  <w:szCs w:val="22"/>
                </w:rPr>
                <w:t>06</w:t>
              </w:r>
              <w:r>
                <w:rPr>
                  <w:rFonts w:ascii="Arial" w:hAnsi="Arial" w:cs="Arial"/>
                  <w:sz w:val="22"/>
                  <w:szCs w:val="22"/>
                </w:rPr>
                <w:t>,</w:t>
              </w:r>
              <w:r>
                <w:rPr>
                  <w:rFonts w:ascii="Arial" w:hAnsi="Arial" w:cs="Arial" w:hint="eastAsia"/>
                  <w:sz w:val="22"/>
                  <w:szCs w:val="22"/>
                </w:rPr>
                <w:t>306</w:t>
              </w:r>
              <w:r>
                <w:rPr>
                  <w:rFonts w:ascii="Arial" w:hAnsi="Arial" w:cs="Arial"/>
                  <w:sz w:val="22"/>
                  <w:szCs w:val="22"/>
                </w:rPr>
                <w:t>.</w:t>
              </w:r>
              <w:r>
                <w:rPr>
                  <w:rFonts w:ascii="Arial" w:hAnsi="Arial" w:cs="Arial" w:hint="eastAsia"/>
                  <w:sz w:val="22"/>
                  <w:szCs w:val="22"/>
                </w:rPr>
                <w:t>91</w:t>
              </w:r>
              <w:r>
                <w:rPr>
                  <w:rFonts w:hAnsi="Calibri" w:hint="eastAsia"/>
                  <w:sz w:val="22"/>
                  <w:szCs w:val="22"/>
                </w:rPr>
                <w:t>元，增幅</w:t>
              </w:r>
              <w:r>
                <w:rPr>
                  <w:rFonts w:ascii="Arial" w:hAnsi="Arial" w:cs="Arial" w:hint="eastAsia"/>
                  <w:sz w:val="22"/>
                  <w:szCs w:val="22"/>
                </w:rPr>
                <w:t>183.34</w:t>
              </w:r>
              <w:r>
                <w:rPr>
                  <w:rFonts w:ascii="Arial" w:hAnsi="Arial" w:cs="Arial"/>
                  <w:sz w:val="22"/>
                  <w:szCs w:val="22"/>
                </w:rPr>
                <w:t>%</w:t>
              </w:r>
              <w:r>
                <w:rPr>
                  <w:rFonts w:hAnsi="Calibri" w:hint="eastAsia"/>
                  <w:sz w:val="22"/>
                  <w:szCs w:val="22"/>
                </w:rPr>
                <w:t>，主要系公司年末交易保证金增加所致。</w:t>
              </w:r>
            </w:p>
          </w:sdtContent>
        </w:sdt>
      </w:sdtContent>
    </w:sdt>
    <w:p w:rsidR="00DE031E" w:rsidRDefault="001C1A59" w:rsidP="009950AC">
      <w:pPr>
        <w:pStyle w:val="3"/>
        <w:numPr>
          <w:ilvl w:val="0"/>
          <w:numId w:val="41"/>
        </w:numPr>
        <w:tabs>
          <w:tab w:val="left" w:pos="567"/>
        </w:tabs>
        <w:spacing w:line="360" w:lineRule="auto"/>
        <w:rPr>
          <w:rFonts w:ascii="宋体" w:hAnsi="宋体"/>
          <w:szCs w:val="21"/>
        </w:rPr>
      </w:pPr>
      <w:r>
        <w:rPr>
          <w:rFonts w:ascii="宋体" w:hAnsi="宋体" w:hint="eastAsia"/>
          <w:szCs w:val="21"/>
        </w:rPr>
        <w:t>应收股利</w:t>
      </w:r>
    </w:p>
    <w:sdt>
      <w:sdtPr>
        <w:alias w:val="是否适用：应收股利"/>
        <w:tag w:val="_GBC_23c516f5fa834a2ebee20276e0f2c3ae"/>
        <w:id w:val="24724102"/>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Theme="minorHAnsi" w:hAnsiTheme="minorHAnsi" w:cstheme="minorBidi" w:hint="eastAsia"/>
          <w:b w:val="0"/>
          <w:bCs w:val="0"/>
          <w:kern w:val="0"/>
          <w:szCs w:val="22"/>
        </w:rPr>
        <w:tag w:val="_GBC_94a22362634d47499fd45a0a5577c49b"/>
        <w:id w:val="24724115"/>
        <w:lock w:val="sdtLocked"/>
        <w:placeholder>
          <w:docPart w:val="GBC22222222222222222222222222222"/>
        </w:placeholder>
      </w:sdtPr>
      <w:sdtEndPr>
        <w:rPr>
          <w:rFonts w:ascii="Times New Roman" w:hAnsi="Times New Roman" w:cs="Times New Roman"/>
          <w:szCs w:val="24"/>
        </w:rPr>
      </w:sdtEndPr>
      <w:sdtContent>
        <w:p w:rsidR="00DE031E" w:rsidRDefault="001C1A59" w:rsidP="009950AC">
          <w:pPr>
            <w:pStyle w:val="4"/>
            <w:numPr>
              <w:ilvl w:val="3"/>
              <w:numId w:val="46"/>
            </w:numPr>
            <w:tabs>
              <w:tab w:val="left" w:pos="560"/>
            </w:tabs>
            <w:spacing w:line="360" w:lineRule="auto"/>
          </w:pPr>
          <w:r>
            <w:rPr>
              <w:rFonts w:hint="eastAsia"/>
            </w:rPr>
            <w:t>应收股利</w:t>
          </w:r>
        </w:p>
        <w:p w:rsidR="00DE031E" w:rsidRDefault="001C1A59">
          <w:pPr>
            <w:jc w:val="right"/>
            <w:rPr>
              <w:szCs w:val="21"/>
            </w:rPr>
          </w:pPr>
          <w:r>
            <w:rPr>
              <w:rFonts w:hint="eastAsia"/>
              <w:szCs w:val="21"/>
            </w:rPr>
            <w:t>单位：</w:t>
          </w:r>
          <w:sdt>
            <w:sdtPr>
              <w:rPr>
                <w:rFonts w:hint="eastAsia"/>
                <w:szCs w:val="21"/>
              </w:rPr>
              <w:alias w:val="单位：财务附注：应收股利"/>
              <w:tag w:val="_GBC_21cf7178837042889094b06d89cb1845"/>
              <w:id w:val="247241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d4486348b4bd4056afd97c6bb061623e"/>
              <w:id w:val="24724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DE031E" w:rsidTr="00F96B30">
            <w:tc>
              <w:tcPr>
                <w:tcW w:w="1886" w:type="pct"/>
                <w:vAlign w:val="center"/>
              </w:tcPr>
              <w:p w:rsidR="00DE031E" w:rsidRDefault="001C1A59">
                <w:pPr>
                  <w:jc w:val="center"/>
                  <w:rPr>
                    <w:szCs w:val="21"/>
                  </w:rPr>
                </w:pPr>
                <w:r>
                  <w:rPr>
                    <w:rFonts w:hint="eastAsia"/>
                    <w:szCs w:val="21"/>
                  </w:rPr>
                  <w:t>项目(或被投资单位)</w:t>
                </w:r>
              </w:p>
            </w:tc>
            <w:tc>
              <w:tcPr>
                <w:tcW w:w="1553" w:type="pct"/>
                <w:vAlign w:val="center"/>
              </w:tcPr>
              <w:p w:rsidR="00DE031E" w:rsidRDefault="001C1A59">
                <w:pPr>
                  <w:jc w:val="center"/>
                  <w:rPr>
                    <w:szCs w:val="21"/>
                  </w:rPr>
                </w:pPr>
                <w:r>
                  <w:rPr>
                    <w:rFonts w:hint="eastAsia"/>
                    <w:szCs w:val="21"/>
                  </w:rPr>
                  <w:t>期末余额</w:t>
                </w:r>
              </w:p>
            </w:tc>
            <w:tc>
              <w:tcPr>
                <w:tcW w:w="1561" w:type="pct"/>
                <w:vAlign w:val="center"/>
              </w:tcPr>
              <w:p w:rsidR="00DE031E" w:rsidRDefault="001C1A59">
                <w:pPr>
                  <w:jc w:val="center"/>
                  <w:rPr>
                    <w:szCs w:val="21"/>
                  </w:rPr>
                </w:pPr>
                <w:r>
                  <w:rPr>
                    <w:rFonts w:hint="eastAsia"/>
                    <w:szCs w:val="21"/>
                  </w:rPr>
                  <w:t>期初余额</w:t>
                </w:r>
              </w:p>
            </w:tc>
          </w:tr>
          <w:sdt>
            <w:sdtPr>
              <w:rPr>
                <w:rFonts w:cstheme="minorBidi" w:hint="eastAsia"/>
                <w:kern w:val="2"/>
                <w:szCs w:val="21"/>
              </w:rPr>
              <w:alias w:val="应收股利明细"/>
              <w:tag w:val="_GBC_dd589831432e474f9c53c063c7fff9a0"/>
              <w:id w:val="24724108"/>
              <w:lock w:val="sdtLocked"/>
            </w:sdtPr>
            <w:sdtContent>
              <w:tr w:rsidR="00DE031E" w:rsidTr="00F96290">
                <w:sdt>
                  <w:sdtPr>
                    <w:rPr>
                      <w:rFonts w:cstheme="minorBidi" w:hint="eastAsia"/>
                      <w:kern w:val="2"/>
                      <w:szCs w:val="21"/>
                    </w:rPr>
                    <w:alias w:val="应收股利项目"/>
                    <w:tag w:val="_GBC_a58406f1fe44443c87e3c6a752936ec0"/>
                    <w:id w:val="24724105"/>
                    <w:lock w:val="sdtLocked"/>
                    <w:text/>
                  </w:sdtPr>
                  <w:sdtEndPr>
                    <w:rPr>
                      <w:rFonts w:cs="Times New Roman"/>
                      <w:kern w:val="0"/>
                      <w:sz w:val="20"/>
                    </w:rPr>
                  </w:sdtEndPr>
                  <w:sdtContent>
                    <w:tc>
                      <w:tcPr>
                        <w:tcW w:w="1886" w:type="pct"/>
                      </w:tcPr>
                      <w:p w:rsidR="00DE031E" w:rsidRDefault="001C1A59" w:rsidP="00DE031E">
                        <w:pPr>
                          <w:rPr>
                            <w:szCs w:val="21"/>
                          </w:rPr>
                        </w:pPr>
                        <w:r>
                          <w:rPr>
                            <w:rFonts w:cstheme="minorBidi" w:hint="eastAsia"/>
                            <w:kern w:val="2"/>
                            <w:szCs w:val="21"/>
                          </w:rPr>
                          <w:t>博时基金管理有限公司</w:t>
                        </w:r>
                      </w:p>
                    </w:tc>
                  </w:sdtContent>
                </w:sdt>
                <w:sdt>
                  <w:sdtPr>
                    <w:rPr>
                      <w:rFonts w:hint="eastAsia"/>
                      <w:szCs w:val="21"/>
                    </w:rPr>
                    <w:alias w:val="应收股利金额"/>
                    <w:tag w:val="_GBC_53d661cd85994c3bb4e84d5e03279192"/>
                    <w:id w:val="24724106"/>
                    <w:lock w:val="sdtLocked"/>
                  </w:sdtPr>
                  <w:sdtContent>
                    <w:tc>
                      <w:tcPr>
                        <w:tcW w:w="1553" w:type="pct"/>
                      </w:tcPr>
                      <w:p w:rsidR="00DE031E" w:rsidRDefault="001C1A59" w:rsidP="00DE031E">
                        <w:pPr>
                          <w:jc w:val="right"/>
                          <w:rPr>
                            <w:szCs w:val="21"/>
                          </w:rPr>
                        </w:pPr>
                        <w:r>
                          <w:rPr>
                            <w:szCs w:val="21"/>
                          </w:rPr>
                          <w:t>41,650,000</w:t>
                        </w:r>
                        <w:r>
                          <w:rPr>
                            <w:rFonts w:hint="eastAsia"/>
                            <w:szCs w:val="21"/>
                          </w:rPr>
                          <w:t>.00</w:t>
                        </w:r>
                      </w:p>
                    </w:tc>
                  </w:sdtContent>
                </w:sdt>
                <w:sdt>
                  <w:sdtPr>
                    <w:rPr>
                      <w:rFonts w:hint="eastAsia"/>
                      <w:szCs w:val="21"/>
                    </w:rPr>
                    <w:alias w:val="应收股利金额"/>
                    <w:tag w:val="_GBC_e487495f15744da3ace6b2afcbc0829e"/>
                    <w:id w:val="24724107"/>
                    <w:lock w:val="sdtLocked"/>
                    <w:showingPlcHdr/>
                  </w:sdtPr>
                  <w:sdtContent>
                    <w:tc>
                      <w:tcPr>
                        <w:tcW w:w="1561" w:type="pct"/>
                      </w:tcPr>
                      <w:p w:rsidR="00DE031E" w:rsidRDefault="001C1A59">
                        <w:pPr>
                          <w:jc w:val="right"/>
                          <w:rPr>
                            <w:szCs w:val="21"/>
                          </w:rPr>
                        </w:pPr>
                        <w:r>
                          <w:rPr>
                            <w:rFonts w:hint="eastAsia"/>
                            <w:color w:val="333399"/>
                            <w:szCs w:val="21"/>
                          </w:rPr>
                          <w:t xml:space="preserve">　</w:t>
                        </w:r>
                      </w:p>
                    </w:tc>
                  </w:sdtContent>
                </w:sdt>
              </w:tr>
            </w:sdtContent>
          </w:sdt>
          <w:sdt>
            <w:sdtPr>
              <w:rPr>
                <w:rFonts w:cstheme="minorBidi" w:hint="eastAsia"/>
                <w:kern w:val="2"/>
                <w:szCs w:val="21"/>
              </w:rPr>
              <w:alias w:val="应收股利明细"/>
              <w:tag w:val="_GBC_dd589831432e474f9c53c063c7fff9a0"/>
              <w:id w:val="24724112"/>
              <w:lock w:val="sdtLocked"/>
            </w:sdtPr>
            <w:sdtContent>
              <w:tr w:rsidR="00DE031E" w:rsidTr="00F96290">
                <w:sdt>
                  <w:sdtPr>
                    <w:rPr>
                      <w:rFonts w:cstheme="minorBidi" w:hint="eastAsia"/>
                      <w:kern w:val="2"/>
                      <w:szCs w:val="21"/>
                    </w:rPr>
                    <w:alias w:val="应收股利项目"/>
                    <w:tag w:val="_GBC_a58406f1fe44443c87e3c6a752936ec0"/>
                    <w:id w:val="24724109"/>
                    <w:lock w:val="sdtLocked"/>
                    <w:text/>
                  </w:sdtPr>
                  <w:sdtEndPr>
                    <w:rPr>
                      <w:rFonts w:cs="Times New Roman"/>
                      <w:kern w:val="0"/>
                      <w:sz w:val="20"/>
                    </w:rPr>
                  </w:sdtEndPr>
                  <w:sdtContent>
                    <w:tc>
                      <w:tcPr>
                        <w:tcW w:w="1886" w:type="pct"/>
                      </w:tcPr>
                      <w:p w:rsidR="00DE031E" w:rsidRDefault="001C1A59" w:rsidP="00DE031E">
                        <w:pPr>
                          <w:rPr>
                            <w:szCs w:val="21"/>
                          </w:rPr>
                        </w:pPr>
                        <w:r>
                          <w:rPr>
                            <w:rFonts w:cstheme="minorBidi" w:hint="eastAsia"/>
                            <w:kern w:val="2"/>
                            <w:szCs w:val="21"/>
                          </w:rPr>
                          <w:t>招商基金管理有限公司</w:t>
                        </w:r>
                      </w:p>
                    </w:tc>
                  </w:sdtContent>
                </w:sdt>
                <w:sdt>
                  <w:sdtPr>
                    <w:rPr>
                      <w:rFonts w:hint="eastAsia"/>
                      <w:szCs w:val="21"/>
                    </w:rPr>
                    <w:alias w:val="应收股利金额"/>
                    <w:tag w:val="_GBC_53d661cd85994c3bb4e84d5e03279192"/>
                    <w:id w:val="24724110"/>
                    <w:lock w:val="sdtLocked"/>
                  </w:sdtPr>
                  <w:sdtContent>
                    <w:tc>
                      <w:tcPr>
                        <w:tcW w:w="1553" w:type="pct"/>
                      </w:tcPr>
                      <w:p w:rsidR="00DE031E" w:rsidRDefault="001C1A59" w:rsidP="00DE031E">
                        <w:pPr>
                          <w:jc w:val="right"/>
                          <w:rPr>
                            <w:szCs w:val="21"/>
                          </w:rPr>
                        </w:pPr>
                        <w:r>
                          <w:rPr>
                            <w:szCs w:val="21"/>
                          </w:rPr>
                          <w:t>28,774,968.65</w:t>
                        </w:r>
                      </w:p>
                    </w:tc>
                  </w:sdtContent>
                </w:sdt>
                <w:sdt>
                  <w:sdtPr>
                    <w:rPr>
                      <w:rFonts w:hint="eastAsia"/>
                      <w:szCs w:val="21"/>
                    </w:rPr>
                    <w:alias w:val="应收股利金额"/>
                    <w:tag w:val="_GBC_e487495f15744da3ace6b2afcbc0829e"/>
                    <w:id w:val="24724111"/>
                    <w:lock w:val="sdtLocked"/>
                    <w:showingPlcHdr/>
                  </w:sdtPr>
                  <w:sdtContent>
                    <w:tc>
                      <w:tcPr>
                        <w:tcW w:w="1561" w:type="pct"/>
                      </w:tcPr>
                      <w:p w:rsidR="00DE031E" w:rsidRDefault="001C1A59">
                        <w:pPr>
                          <w:jc w:val="right"/>
                          <w:rPr>
                            <w:szCs w:val="21"/>
                          </w:rPr>
                        </w:pPr>
                        <w:r>
                          <w:rPr>
                            <w:rFonts w:hint="eastAsia"/>
                            <w:color w:val="333399"/>
                            <w:szCs w:val="21"/>
                          </w:rPr>
                          <w:t xml:space="preserve">　</w:t>
                        </w:r>
                      </w:p>
                    </w:tc>
                  </w:sdtContent>
                </w:sdt>
              </w:tr>
            </w:sdtContent>
          </w:sdt>
          <w:tr w:rsidR="00DE031E" w:rsidTr="00F96B30">
            <w:tc>
              <w:tcPr>
                <w:tcW w:w="1886" w:type="pct"/>
                <w:vAlign w:val="center"/>
              </w:tcPr>
              <w:p w:rsidR="00DE031E" w:rsidRDefault="001C1A59">
                <w:pPr>
                  <w:jc w:val="center"/>
                  <w:rPr>
                    <w:szCs w:val="21"/>
                  </w:rPr>
                </w:pPr>
                <w:r>
                  <w:rPr>
                    <w:rFonts w:hint="eastAsia"/>
                    <w:szCs w:val="21"/>
                  </w:rPr>
                  <w:t>合计</w:t>
                </w:r>
              </w:p>
            </w:tc>
            <w:sdt>
              <w:sdtPr>
                <w:rPr>
                  <w:szCs w:val="21"/>
                </w:rPr>
                <w:alias w:val="应收股利"/>
                <w:tag w:val="_GBC_5b48e8862567445ba12d58fd2d463eba"/>
                <w:id w:val="24724113"/>
                <w:lock w:val="sdtLocked"/>
              </w:sdtPr>
              <w:sdtContent>
                <w:tc>
                  <w:tcPr>
                    <w:tcW w:w="1553" w:type="pct"/>
                  </w:tcPr>
                  <w:p w:rsidR="00DE031E" w:rsidRDefault="001C1A59" w:rsidP="00DE031E">
                    <w:pPr>
                      <w:jc w:val="right"/>
                      <w:rPr>
                        <w:szCs w:val="21"/>
                      </w:rPr>
                    </w:pPr>
                    <w:r>
                      <w:rPr>
                        <w:szCs w:val="21"/>
                      </w:rPr>
                      <w:t>70,424,968.65</w:t>
                    </w:r>
                  </w:p>
                </w:tc>
              </w:sdtContent>
            </w:sdt>
            <w:sdt>
              <w:sdtPr>
                <w:rPr>
                  <w:szCs w:val="21"/>
                </w:rPr>
                <w:alias w:val="应收股利"/>
                <w:tag w:val="_GBC_7ecfad51f0b64aedaa56099a2168a21f"/>
                <w:id w:val="24724114"/>
                <w:lock w:val="sdtLocked"/>
                <w:showingPlcHdr/>
              </w:sdtPr>
              <w:sdtContent>
                <w:tc>
                  <w:tcPr>
                    <w:tcW w:w="1561" w:type="pct"/>
                  </w:tcPr>
                  <w:p w:rsidR="00DE031E" w:rsidRDefault="001C1A59">
                    <w:pPr>
                      <w:jc w:val="right"/>
                      <w:rPr>
                        <w:szCs w:val="21"/>
                      </w:rPr>
                    </w:pPr>
                    <w:r>
                      <w:rPr>
                        <w:rFonts w:hint="eastAsia"/>
                        <w:color w:val="333399"/>
                        <w:szCs w:val="21"/>
                      </w:rPr>
                      <w:t xml:space="preserve">　</w:t>
                    </w:r>
                  </w:p>
                </w:tc>
              </w:sdtContent>
            </w:sdt>
          </w:tr>
        </w:tbl>
        <w:p w:rsidR="00DE031E" w:rsidRDefault="00422DCA">
          <w:pPr>
            <w:rPr>
              <w:szCs w:val="21"/>
            </w:rPr>
          </w:pPr>
        </w:p>
      </w:sdtContent>
    </w:sdt>
    <w:sdt>
      <w:sdtPr>
        <w:rPr>
          <w:rFonts w:asciiTheme="minorHAnsi" w:hAnsiTheme="minorHAnsi" w:cstheme="minorBidi" w:hint="eastAsia"/>
          <w:b w:val="0"/>
          <w:bCs w:val="0"/>
          <w:kern w:val="0"/>
          <w:szCs w:val="22"/>
        </w:rPr>
        <w:tag w:val="_GBC_aafe0f2583ac4a35a029d834ee52b5de"/>
        <w:id w:val="24724117"/>
        <w:lock w:val="sdtLocked"/>
        <w:placeholder>
          <w:docPart w:val="GBC22222222222222222222222222222"/>
        </w:placeholder>
      </w:sdtPr>
      <w:sdtEndPr>
        <w:rPr>
          <w:rFonts w:ascii="Times New Roman" w:hAnsi="Times New Roman" w:cs="Times New Roman"/>
          <w:szCs w:val="24"/>
        </w:rPr>
      </w:sdtEndPr>
      <w:sdtContent>
        <w:p w:rsidR="00DE031E" w:rsidRDefault="001C1A59" w:rsidP="009950AC">
          <w:pPr>
            <w:pStyle w:val="4"/>
            <w:numPr>
              <w:ilvl w:val="3"/>
              <w:numId w:val="46"/>
            </w:numPr>
            <w:tabs>
              <w:tab w:val="left" w:pos="560"/>
            </w:tabs>
            <w:spacing w:line="360" w:lineRule="auto"/>
          </w:pPr>
          <w:r>
            <w:rPr>
              <w:rFonts w:hint="eastAsia"/>
            </w:rPr>
            <w:t>重要的账龄超过</w:t>
          </w:r>
          <w:r>
            <w:rPr>
              <w:rFonts w:hint="eastAsia"/>
            </w:rPr>
            <w:t>1</w:t>
          </w:r>
          <w:r>
            <w:rPr>
              <w:rFonts w:hint="eastAsia"/>
            </w:rPr>
            <w:t>年的应收股利：</w:t>
          </w:r>
        </w:p>
        <w:sdt>
          <w:sdtPr>
            <w:alias w:val="是否适用：重要的账龄超过1年的应收股利"/>
            <w:tag w:val="_GBC_7e6d4fa52c574965920dc6df1c55c2ad"/>
            <w:id w:val="24724116"/>
            <w:lock w:val="sdtLocked"/>
            <w:placeholder>
              <w:docPart w:val="GBC22222222222222222222222222222"/>
            </w:placeholder>
          </w:sdtPr>
          <w:sdtContent>
            <w:p w:rsidR="00DE031E" w:rsidRDefault="00422DCA" w:rsidP="00DE031E">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Content>
    </w:sdt>
    <w:p w:rsidR="00DE031E" w:rsidRDefault="00DE031E">
      <w:pPr>
        <w:snapToGrid w:val="0"/>
        <w:spacing w:line="240" w:lineRule="atLeast"/>
        <w:ind w:rightChars="12" w:right="25"/>
        <w:rPr>
          <w:color w:val="FF0000"/>
          <w:szCs w:val="21"/>
        </w:rPr>
      </w:pPr>
    </w:p>
    <w:p w:rsidR="00DE031E" w:rsidRDefault="001C1A59" w:rsidP="009950AC">
      <w:pPr>
        <w:pStyle w:val="3"/>
        <w:numPr>
          <w:ilvl w:val="0"/>
          <w:numId w:val="41"/>
        </w:numPr>
        <w:tabs>
          <w:tab w:val="left" w:pos="504"/>
        </w:tabs>
        <w:spacing w:line="360" w:lineRule="auto"/>
      </w:pPr>
      <w:r>
        <w:rPr>
          <w:rFonts w:ascii="宋体" w:hAnsi="宋体"/>
        </w:rPr>
        <w:t>可供出售</w:t>
      </w:r>
      <w:r>
        <w:t>金融资产</w:t>
      </w:r>
    </w:p>
    <w:sdt>
      <w:sdtPr>
        <w:alias w:val="是否适用：可供出售金融资产"/>
        <w:tag w:val="_GBC_dabd0ad71d514b6ba72889cbdbf6263f"/>
        <w:id w:val="24724118"/>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Times New Roman" w:hAnsi="Times New Roman" w:cs="宋体" w:hint="eastAsia"/>
          <w:b w:val="0"/>
          <w:bCs w:val="0"/>
          <w:kern w:val="0"/>
          <w:szCs w:val="21"/>
        </w:rPr>
        <w:tag w:val="_GBC_5e2c16891b08448b814967604e82c9b5"/>
        <w:id w:val="24724171"/>
        <w:lock w:val="sdtLocked"/>
        <w:placeholder>
          <w:docPart w:val="GBC22222222222222222222222222222"/>
        </w:placeholder>
      </w:sdtPr>
      <w:sdtEndPr>
        <w:rPr>
          <w:rFonts w:ascii="宋体" w:hAnsi="宋体" w:hint="default"/>
          <w:szCs w:val="24"/>
        </w:rPr>
      </w:sdtEndPr>
      <w:sdtContent>
        <w:p w:rsidR="00DE031E" w:rsidRDefault="001C1A59" w:rsidP="009950AC">
          <w:pPr>
            <w:pStyle w:val="4"/>
            <w:numPr>
              <w:ilvl w:val="0"/>
              <w:numId w:val="47"/>
            </w:numPr>
            <w:spacing w:line="360" w:lineRule="auto"/>
          </w:pPr>
          <w:r>
            <w:t>可供出售金融资产情况</w:t>
          </w:r>
        </w:p>
        <w:p w:rsidR="00DE031E" w:rsidRDefault="001C1A59">
          <w:pPr>
            <w:jc w:val="right"/>
          </w:pPr>
          <w:r>
            <w:t>单位：</w:t>
          </w:r>
          <w:sdt>
            <w:sdtPr>
              <w:alias w:val="单位：财务附注：可供出售金融资产情况"/>
              <w:tag w:val="_GBC_2c5ecd048bc14e0fbdac1fd3cd246848"/>
              <w:id w:val="247241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可供出售金融资产情况"/>
              <w:tag w:val="_GBC_ea8cd271e4224fa388cd4da742e56fa9"/>
              <w:id w:val="24724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724" w:type="pct"/>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4"/>
            <w:gridCol w:w="1568"/>
            <w:gridCol w:w="1276"/>
            <w:gridCol w:w="423"/>
            <w:gridCol w:w="1564"/>
            <w:gridCol w:w="1525"/>
            <w:gridCol w:w="1309"/>
            <w:gridCol w:w="423"/>
            <w:gridCol w:w="1537"/>
          </w:tblGrid>
          <w:tr w:rsidR="00DE031E" w:rsidRPr="00231D43" w:rsidTr="00DE031E">
            <w:trPr>
              <w:trHeight w:val="282"/>
              <w:jc w:val="center"/>
            </w:trPr>
            <w:tc>
              <w:tcPr>
                <w:tcW w:w="354" w:type="pct"/>
                <w:vMerge w:val="restar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项目名称</w:t>
                </w:r>
              </w:p>
            </w:tc>
            <w:tc>
              <w:tcPr>
                <w:tcW w:w="2332" w:type="pct"/>
                <w:gridSpan w:val="4"/>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期末</w:t>
                </w:r>
              </w:p>
            </w:tc>
            <w:tc>
              <w:tcPr>
                <w:tcW w:w="2315" w:type="pct"/>
                <w:gridSpan w:val="4"/>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hint="eastAsia"/>
                    <w:bCs/>
                    <w:sz w:val="15"/>
                    <w:szCs w:val="15"/>
                  </w:rPr>
                  <w:t>期初</w:t>
                </w:r>
              </w:p>
            </w:tc>
          </w:tr>
          <w:tr w:rsidR="00DE031E" w:rsidRPr="00231D43" w:rsidTr="00DE031E">
            <w:trPr>
              <w:trHeight w:val="618"/>
              <w:jc w:val="center"/>
            </w:trPr>
            <w:tc>
              <w:tcPr>
                <w:tcW w:w="354" w:type="pct"/>
                <w:vMerge/>
                <w:shd w:val="clear" w:color="auto" w:fill="auto"/>
                <w:vAlign w:val="center"/>
              </w:tcPr>
              <w:p w:rsidR="00DE031E" w:rsidRPr="00231D43" w:rsidRDefault="00DE031E" w:rsidP="00DE031E">
                <w:pPr>
                  <w:jc w:val="center"/>
                  <w:rPr>
                    <w:rFonts w:asciiTheme="minorEastAsia" w:eastAsiaTheme="minorEastAsia" w:hAnsiTheme="minorEastAsia"/>
                    <w:bCs/>
                    <w:sz w:val="15"/>
                    <w:szCs w:val="15"/>
                  </w:rPr>
                </w:pPr>
              </w:p>
            </w:tc>
            <w:tc>
              <w:tcPr>
                <w:tcW w:w="757"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初始</w:t>
                </w:r>
              </w:p>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成本</w:t>
                </w:r>
              </w:p>
            </w:tc>
            <w:tc>
              <w:tcPr>
                <w:tcW w:w="616"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公允价值变动</w:t>
                </w:r>
              </w:p>
            </w:tc>
            <w:tc>
              <w:tcPr>
                <w:tcW w:w="204"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减值</w:t>
                </w:r>
              </w:p>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准备</w:t>
                </w:r>
              </w:p>
            </w:tc>
            <w:tc>
              <w:tcPr>
                <w:tcW w:w="755"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账面</w:t>
                </w:r>
              </w:p>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价值</w:t>
                </w:r>
              </w:p>
            </w:tc>
            <w:tc>
              <w:tcPr>
                <w:tcW w:w="736"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初始</w:t>
                </w:r>
              </w:p>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成本</w:t>
                </w:r>
              </w:p>
            </w:tc>
            <w:tc>
              <w:tcPr>
                <w:tcW w:w="632"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公允价值变动</w:t>
                </w:r>
              </w:p>
            </w:tc>
            <w:tc>
              <w:tcPr>
                <w:tcW w:w="204"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减值</w:t>
                </w:r>
              </w:p>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准备</w:t>
                </w:r>
              </w:p>
            </w:tc>
            <w:tc>
              <w:tcPr>
                <w:tcW w:w="743" w:type="pct"/>
                <w:shd w:val="clear" w:color="auto" w:fill="auto"/>
                <w:vAlign w:val="center"/>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账面</w:t>
                </w:r>
              </w:p>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价值</w:t>
                </w:r>
              </w:p>
            </w:tc>
          </w:tr>
          <w:tr w:rsidR="00DE031E" w:rsidRPr="00231D43" w:rsidTr="00DE031E">
            <w:trPr>
              <w:trHeight w:val="270"/>
              <w:jc w:val="center"/>
            </w:trPr>
            <w:tc>
              <w:tcPr>
                <w:tcW w:w="354" w:type="pct"/>
                <w:shd w:val="clear" w:color="auto" w:fill="auto"/>
                <w:vAlign w:val="center"/>
              </w:tcPr>
              <w:p w:rsidR="00DE031E" w:rsidRPr="00231D43" w:rsidRDefault="001C1A59" w:rsidP="00DE031E">
                <w:pPr>
                  <w:autoSpaceDN w:val="0"/>
                  <w:textAlignment w:val="bottom"/>
                  <w:rPr>
                    <w:rFonts w:asciiTheme="minorEastAsia" w:eastAsiaTheme="minorEastAsia" w:hAnsiTheme="minorEastAsia"/>
                    <w:bCs/>
                    <w:sz w:val="15"/>
                    <w:szCs w:val="15"/>
                  </w:rPr>
                </w:pPr>
                <w:r w:rsidRPr="00231D43">
                  <w:rPr>
                    <w:rFonts w:asciiTheme="minorEastAsia" w:eastAsiaTheme="minorEastAsia" w:hAnsiTheme="minorEastAsia"/>
                    <w:bCs/>
                    <w:sz w:val="15"/>
                    <w:szCs w:val="15"/>
                  </w:rPr>
                  <w:t>债券</w:t>
                </w:r>
              </w:p>
            </w:tc>
            <w:sdt>
              <w:sdtPr>
                <w:rPr>
                  <w:rFonts w:asciiTheme="minorEastAsia" w:eastAsiaTheme="minorEastAsia" w:hAnsiTheme="minorEastAsia"/>
                  <w:bCs/>
                  <w:sz w:val="15"/>
                  <w:szCs w:val="15"/>
                </w:rPr>
                <w:alias w:val="可供出售金融资产中债券初始成本"/>
                <w:tag w:val="_GBC_2139ae7fe6cd46eda35299382b45bab6"/>
                <w:id w:val="24724121"/>
                <w:lock w:val="sdtLocked"/>
              </w:sdtPr>
              <w:sdtContent>
                <w:tc>
                  <w:tcPr>
                    <w:tcW w:w="757"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10,802,044,897.76</w:t>
                    </w:r>
                  </w:p>
                </w:tc>
              </w:sdtContent>
            </w:sdt>
            <w:sdt>
              <w:sdtPr>
                <w:rPr>
                  <w:rFonts w:asciiTheme="minorEastAsia" w:eastAsiaTheme="minorEastAsia" w:hAnsiTheme="minorEastAsia"/>
                  <w:bCs/>
                  <w:sz w:val="15"/>
                  <w:szCs w:val="15"/>
                </w:rPr>
                <w:alias w:val="可供出售金融资产中债券公允价值变动"/>
                <w:tag w:val="_GBC_023ed42fa9f943c39702c747f720cdad"/>
                <w:id w:val="24724122"/>
                <w:lock w:val="sdtLocked"/>
              </w:sdtPr>
              <w:sdtContent>
                <w:tc>
                  <w:tcPr>
                    <w:tcW w:w="61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75,007,491.40</w:t>
                    </w:r>
                  </w:p>
                </w:tc>
              </w:sdtContent>
            </w:sdt>
            <w:sdt>
              <w:sdtPr>
                <w:rPr>
                  <w:rFonts w:asciiTheme="minorEastAsia" w:eastAsiaTheme="minorEastAsia" w:hAnsiTheme="minorEastAsia"/>
                  <w:bCs/>
                  <w:sz w:val="15"/>
                  <w:szCs w:val="15"/>
                </w:rPr>
                <w:alias w:val="可供出售金融资产中债券减值准备"/>
                <w:tag w:val="_GBC_128b927a176445b6b2dbbc7ed5ccd74f"/>
                <w:id w:val="24724123"/>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tc>
              <w:tcPr>
                <w:tcW w:w="755" w:type="pct"/>
                <w:shd w:val="clear" w:color="auto" w:fill="auto"/>
                <w:vAlign w:val="center"/>
              </w:tcPr>
              <w:p w:rsidR="00DE031E" w:rsidRPr="00231D43" w:rsidRDefault="00422DCA" w:rsidP="00DE031E">
                <w:pPr>
                  <w:jc w:val="right"/>
                  <w:rPr>
                    <w:rFonts w:asciiTheme="minorEastAsia" w:eastAsiaTheme="minorEastAsia" w:hAnsiTheme="minorEastAsia"/>
                    <w:bCs/>
                    <w:sz w:val="15"/>
                    <w:szCs w:val="15"/>
                  </w:rPr>
                </w:pPr>
                <w:sdt>
                  <w:sdtPr>
                    <w:rPr>
                      <w:rFonts w:asciiTheme="minorEastAsia" w:eastAsiaTheme="minorEastAsia" w:hAnsiTheme="minorEastAsia"/>
                      <w:sz w:val="15"/>
                      <w:szCs w:val="15"/>
                    </w:rPr>
                    <w:alias w:val="可供出售金融资产中债券金额"/>
                    <w:tag w:val="_GBC_2de11e973a20415f823d134d6c58ffe5"/>
                    <w:id w:val="24724124"/>
                    <w:lock w:val="sdtLocked"/>
                  </w:sdtPr>
                  <w:sdtContent>
                    <w:r w:rsidR="001C1A59" w:rsidRPr="00231D43">
                      <w:rPr>
                        <w:rFonts w:asciiTheme="minorEastAsia" w:eastAsiaTheme="minorEastAsia" w:hAnsiTheme="minorEastAsia"/>
                        <w:sz w:val="15"/>
                        <w:szCs w:val="15"/>
                      </w:rPr>
                      <w:t>10,877,052,389.16</w:t>
                    </w:r>
                  </w:sdtContent>
                </w:sdt>
              </w:p>
            </w:tc>
            <w:sdt>
              <w:sdtPr>
                <w:rPr>
                  <w:rFonts w:asciiTheme="minorEastAsia" w:eastAsiaTheme="minorEastAsia" w:hAnsiTheme="minorEastAsia"/>
                  <w:bCs/>
                  <w:sz w:val="15"/>
                  <w:szCs w:val="15"/>
                </w:rPr>
                <w:alias w:val="可供出售金融资产中债券初始成本"/>
                <w:tag w:val="_GBC_87a148d3a4d14dde8c84f0b58a35cb98"/>
                <w:id w:val="24724125"/>
                <w:lock w:val="sdtLocked"/>
              </w:sdtPr>
              <w:sdtContent>
                <w:tc>
                  <w:tcPr>
                    <w:tcW w:w="73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11,514,195,334.75</w:t>
                    </w:r>
                  </w:p>
                </w:tc>
              </w:sdtContent>
            </w:sdt>
            <w:sdt>
              <w:sdtPr>
                <w:rPr>
                  <w:rFonts w:asciiTheme="minorEastAsia" w:eastAsiaTheme="minorEastAsia" w:hAnsiTheme="minorEastAsia"/>
                  <w:bCs/>
                  <w:sz w:val="15"/>
                  <w:szCs w:val="15"/>
                </w:rPr>
                <w:alias w:val="可供出售金融资产中债券公允价值变动"/>
                <w:tag w:val="_GBC_6eea23fc18de4f7e8e7794a5c789d966"/>
                <w:id w:val="24724126"/>
                <w:lock w:val="sdtLocked"/>
              </w:sdtPr>
              <w:sdtContent>
                <w:tc>
                  <w:tcPr>
                    <w:tcW w:w="632"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7,761,484.85</w:t>
                    </w:r>
                  </w:p>
                </w:tc>
              </w:sdtContent>
            </w:sdt>
            <w:sdt>
              <w:sdtPr>
                <w:rPr>
                  <w:rFonts w:asciiTheme="minorEastAsia" w:eastAsiaTheme="minorEastAsia" w:hAnsiTheme="minorEastAsia"/>
                  <w:bCs/>
                  <w:sz w:val="15"/>
                  <w:szCs w:val="15"/>
                </w:rPr>
                <w:alias w:val="可供出售金融资产中债券减值准备"/>
                <w:tag w:val="_GBC_494662a5aa204ec19faf462c2d5724ff"/>
                <w:id w:val="24724127"/>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中债券金额"/>
                <w:tag w:val="_GBC_ac06aee4c7fc4d3f820c22deb0a490f1"/>
                <w:id w:val="24724128"/>
                <w:lock w:val="sdtLocked"/>
              </w:sdtPr>
              <w:sdtContent>
                <w:tc>
                  <w:tcPr>
                    <w:tcW w:w="743"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11,521,956,819.60</w:t>
                    </w:r>
                  </w:p>
                </w:tc>
              </w:sdtContent>
            </w:sdt>
          </w:tr>
          <w:tr w:rsidR="00DE031E" w:rsidRPr="00231D43" w:rsidTr="00DE031E">
            <w:trPr>
              <w:trHeight w:val="296"/>
              <w:jc w:val="center"/>
            </w:trPr>
            <w:tc>
              <w:tcPr>
                <w:tcW w:w="354" w:type="pct"/>
                <w:shd w:val="clear" w:color="auto" w:fill="auto"/>
                <w:vAlign w:val="center"/>
              </w:tcPr>
              <w:p w:rsidR="00DE031E" w:rsidRPr="00231D43" w:rsidRDefault="001C1A59" w:rsidP="00DE031E">
                <w:pPr>
                  <w:autoSpaceDN w:val="0"/>
                  <w:textAlignment w:val="bottom"/>
                  <w:rPr>
                    <w:rFonts w:asciiTheme="minorEastAsia" w:eastAsiaTheme="minorEastAsia" w:hAnsiTheme="minorEastAsia"/>
                    <w:bCs/>
                    <w:sz w:val="15"/>
                    <w:szCs w:val="15"/>
                  </w:rPr>
                </w:pPr>
                <w:r w:rsidRPr="00231D43">
                  <w:rPr>
                    <w:rFonts w:asciiTheme="minorEastAsia" w:eastAsiaTheme="minorEastAsia" w:hAnsiTheme="minorEastAsia"/>
                    <w:bCs/>
                    <w:sz w:val="15"/>
                    <w:szCs w:val="15"/>
                  </w:rPr>
                  <w:t>基金</w:t>
                </w:r>
              </w:p>
            </w:tc>
            <w:sdt>
              <w:sdtPr>
                <w:rPr>
                  <w:rFonts w:asciiTheme="minorEastAsia" w:eastAsiaTheme="minorEastAsia" w:hAnsiTheme="minorEastAsia"/>
                  <w:bCs/>
                  <w:sz w:val="15"/>
                  <w:szCs w:val="15"/>
                </w:rPr>
                <w:alias w:val="可供出售金融资产中基金初始成本"/>
                <w:tag w:val="_GBC_d8e372e2560d45d2bf450ce26e931a32"/>
                <w:id w:val="24724129"/>
                <w:lock w:val="sdtLocked"/>
              </w:sdtPr>
              <w:sdtContent>
                <w:tc>
                  <w:tcPr>
                    <w:tcW w:w="757"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9,095,962.92</w:t>
                    </w:r>
                  </w:p>
                </w:tc>
              </w:sdtContent>
            </w:sdt>
            <w:sdt>
              <w:sdtPr>
                <w:rPr>
                  <w:rFonts w:asciiTheme="minorEastAsia" w:eastAsiaTheme="minorEastAsia" w:hAnsiTheme="minorEastAsia"/>
                  <w:bCs/>
                  <w:sz w:val="15"/>
                  <w:szCs w:val="15"/>
                </w:rPr>
                <w:alias w:val="可供出售金融资产中基金公允价值变动"/>
                <w:tag w:val="_GBC_3ba967c3434f4d90a65e2709bb5811a0"/>
                <w:id w:val="24724130"/>
                <w:lock w:val="sdtLocked"/>
              </w:sdtPr>
              <w:sdtContent>
                <w:tc>
                  <w:tcPr>
                    <w:tcW w:w="61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6,703,688.49</w:t>
                    </w:r>
                  </w:p>
                </w:tc>
              </w:sdtContent>
            </w:sdt>
            <w:sdt>
              <w:sdtPr>
                <w:rPr>
                  <w:rFonts w:asciiTheme="minorEastAsia" w:eastAsiaTheme="minorEastAsia" w:hAnsiTheme="minorEastAsia"/>
                  <w:bCs/>
                  <w:sz w:val="15"/>
                  <w:szCs w:val="15"/>
                </w:rPr>
                <w:alias w:val="可供出售金融资产中基金减值准备"/>
                <w:tag w:val="_GBC_b360a362aabe4a489817bde9270535bd"/>
                <w:id w:val="24724131"/>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中基金金额"/>
                <w:tag w:val="_GBC_f209c3d227e847f19d069748078860ec"/>
                <w:id w:val="24724132"/>
                <w:lock w:val="sdtLocked"/>
              </w:sdtPr>
              <w:sdtContent>
                <w:tc>
                  <w:tcPr>
                    <w:tcW w:w="755"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15,799,651.41</w:t>
                    </w:r>
                  </w:p>
                </w:tc>
              </w:sdtContent>
            </w:sdt>
            <w:sdt>
              <w:sdtPr>
                <w:rPr>
                  <w:rFonts w:asciiTheme="minorEastAsia" w:eastAsiaTheme="minorEastAsia" w:hAnsiTheme="minorEastAsia"/>
                  <w:bCs/>
                  <w:sz w:val="15"/>
                  <w:szCs w:val="15"/>
                </w:rPr>
                <w:alias w:val="可供出售金融资产中基金初始成本"/>
                <w:tag w:val="_GBC_27c7651298684a1b803e8f054fbb5ee0"/>
                <w:id w:val="24724133"/>
                <w:lock w:val="sdtLocked"/>
              </w:sdtPr>
              <w:sdtContent>
                <w:tc>
                  <w:tcPr>
                    <w:tcW w:w="73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16,338,160.61</w:t>
                    </w:r>
                  </w:p>
                </w:tc>
              </w:sdtContent>
            </w:sdt>
            <w:sdt>
              <w:sdtPr>
                <w:rPr>
                  <w:rFonts w:asciiTheme="minorEastAsia" w:eastAsiaTheme="minorEastAsia" w:hAnsiTheme="minorEastAsia"/>
                  <w:bCs/>
                  <w:sz w:val="15"/>
                  <w:szCs w:val="15"/>
                </w:rPr>
                <w:alias w:val="可供出售金融资产中基金公允价值变动"/>
                <w:tag w:val="_GBC_2d3c0aaa3bb84917990e2cde8a001c95"/>
                <w:id w:val="24724134"/>
                <w:lock w:val="sdtLocked"/>
              </w:sdtPr>
              <w:sdtContent>
                <w:tc>
                  <w:tcPr>
                    <w:tcW w:w="632"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2,244,230.59</w:t>
                    </w:r>
                  </w:p>
                </w:tc>
              </w:sdtContent>
            </w:sdt>
            <w:sdt>
              <w:sdtPr>
                <w:rPr>
                  <w:rFonts w:asciiTheme="minorEastAsia" w:eastAsiaTheme="minorEastAsia" w:hAnsiTheme="minorEastAsia"/>
                  <w:bCs/>
                  <w:sz w:val="15"/>
                  <w:szCs w:val="15"/>
                </w:rPr>
                <w:alias w:val="可供出售金融资产中基金减值准备"/>
                <w:tag w:val="_GBC_38e2e76c8c8a4f1ba86366f8478d6e40"/>
                <w:id w:val="24724135"/>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中基金金额"/>
                <w:tag w:val="_GBC_87a165f8fd7747729ed3d5a44115d183"/>
                <w:id w:val="24724136"/>
                <w:lock w:val="sdtLocked"/>
              </w:sdtPr>
              <w:sdtContent>
                <w:tc>
                  <w:tcPr>
                    <w:tcW w:w="743"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18,582,391.20</w:t>
                    </w:r>
                  </w:p>
                </w:tc>
              </w:sdtContent>
            </w:sdt>
          </w:tr>
          <w:tr w:rsidR="00DE031E" w:rsidRPr="00231D43" w:rsidTr="00DE031E">
            <w:trPr>
              <w:trHeight w:val="281"/>
              <w:jc w:val="center"/>
            </w:trPr>
            <w:tc>
              <w:tcPr>
                <w:tcW w:w="354" w:type="pct"/>
                <w:shd w:val="clear" w:color="auto" w:fill="auto"/>
                <w:vAlign w:val="center"/>
              </w:tcPr>
              <w:p w:rsidR="00DE031E" w:rsidRPr="00231D43" w:rsidRDefault="001C1A59" w:rsidP="00DE031E">
                <w:pPr>
                  <w:autoSpaceDN w:val="0"/>
                  <w:textAlignment w:val="bottom"/>
                  <w:rPr>
                    <w:rFonts w:asciiTheme="minorEastAsia" w:eastAsiaTheme="minorEastAsia" w:hAnsiTheme="minorEastAsia"/>
                    <w:bCs/>
                    <w:sz w:val="15"/>
                    <w:szCs w:val="15"/>
                  </w:rPr>
                </w:pPr>
                <w:r w:rsidRPr="00231D43">
                  <w:rPr>
                    <w:rFonts w:asciiTheme="minorEastAsia" w:eastAsiaTheme="minorEastAsia" w:hAnsiTheme="minorEastAsia"/>
                    <w:bCs/>
                    <w:sz w:val="15"/>
                    <w:szCs w:val="15"/>
                  </w:rPr>
                  <w:t>股票</w:t>
                </w:r>
              </w:p>
            </w:tc>
            <w:sdt>
              <w:sdtPr>
                <w:rPr>
                  <w:rFonts w:asciiTheme="minorEastAsia" w:eastAsiaTheme="minorEastAsia" w:hAnsiTheme="minorEastAsia"/>
                  <w:bCs/>
                  <w:sz w:val="15"/>
                  <w:szCs w:val="15"/>
                </w:rPr>
                <w:alias w:val="可供出售金融资产中股票初始成本"/>
                <w:tag w:val="_GBC_7e61e1ebd3524bc295ddd5b82c31b5fb"/>
                <w:id w:val="24724137"/>
                <w:lock w:val="sdtLocked"/>
              </w:sdtPr>
              <w:sdtContent>
                <w:tc>
                  <w:tcPr>
                    <w:tcW w:w="757"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851,900,195.63</w:t>
                    </w:r>
                  </w:p>
                </w:tc>
              </w:sdtContent>
            </w:sdt>
            <w:sdt>
              <w:sdtPr>
                <w:rPr>
                  <w:rFonts w:asciiTheme="minorEastAsia" w:eastAsiaTheme="minorEastAsia" w:hAnsiTheme="minorEastAsia"/>
                  <w:bCs/>
                  <w:sz w:val="15"/>
                  <w:szCs w:val="15"/>
                </w:rPr>
                <w:alias w:val="可供出售金融资产中股票公允价值变动"/>
                <w:tag w:val="_GBC_6c2b8ef0de634767b23d09daa43182c1"/>
                <w:id w:val="24724138"/>
                <w:lock w:val="sdtLocked"/>
              </w:sdtPr>
              <w:sdtContent>
                <w:tc>
                  <w:tcPr>
                    <w:tcW w:w="61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689,533,242.57</w:t>
                    </w:r>
                  </w:p>
                </w:tc>
              </w:sdtContent>
            </w:sdt>
            <w:sdt>
              <w:sdtPr>
                <w:rPr>
                  <w:rFonts w:asciiTheme="minorEastAsia" w:eastAsiaTheme="minorEastAsia" w:hAnsiTheme="minorEastAsia"/>
                  <w:bCs/>
                  <w:sz w:val="15"/>
                  <w:szCs w:val="15"/>
                </w:rPr>
                <w:alias w:val="可供出售金融资产中股票减值准备"/>
                <w:tag w:val="_GBC_9fb5a3c7222a4c5d819543c0c7c0f557"/>
                <w:id w:val="24724139"/>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中股票金额"/>
                <w:tag w:val="_GBC_a442b026ccb54d7ebabc745a6584b5ac"/>
                <w:id w:val="24724140"/>
                <w:lock w:val="sdtLocked"/>
              </w:sdtPr>
              <w:sdtContent>
                <w:tc>
                  <w:tcPr>
                    <w:tcW w:w="755"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1,541,433,438.20</w:t>
                    </w:r>
                  </w:p>
                </w:tc>
              </w:sdtContent>
            </w:sdt>
            <w:sdt>
              <w:sdtPr>
                <w:rPr>
                  <w:rFonts w:asciiTheme="minorEastAsia" w:eastAsiaTheme="minorEastAsia" w:hAnsiTheme="minorEastAsia"/>
                  <w:bCs/>
                  <w:sz w:val="15"/>
                  <w:szCs w:val="15"/>
                </w:rPr>
                <w:alias w:val="可供出售金融资产中股票初始成本"/>
                <w:tag w:val="_GBC_445607bef2e3465680c2a2dddcd347e4"/>
                <w:id w:val="24724141"/>
                <w:lock w:val="sdtLocked"/>
              </w:sdtPr>
              <w:sdtContent>
                <w:tc>
                  <w:tcPr>
                    <w:tcW w:w="73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1,138,425,854.47</w:t>
                    </w:r>
                  </w:p>
                </w:tc>
              </w:sdtContent>
            </w:sdt>
            <w:sdt>
              <w:sdtPr>
                <w:rPr>
                  <w:rFonts w:asciiTheme="minorEastAsia" w:eastAsiaTheme="minorEastAsia" w:hAnsiTheme="minorEastAsia"/>
                  <w:bCs/>
                  <w:sz w:val="15"/>
                  <w:szCs w:val="15"/>
                </w:rPr>
                <w:alias w:val="可供出售金融资产中股票公允价值变动"/>
                <w:tag w:val="_GBC_0a7d5fce23dc4c9a9a3944a8e635d789"/>
                <w:id w:val="24724142"/>
                <w:lock w:val="sdtLocked"/>
              </w:sdtPr>
              <w:sdtContent>
                <w:tc>
                  <w:tcPr>
                    <w:tcW w:w="632"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260,415,913.69</w:t>
                    </w:r>
                  </w:p>
                </w:tc>
              </w:sdtContent>
            </w:sdt>
            <w:sdt>
              <w:sdtPr>
                <w:rPr>
                  <w:rFonts w:asciiTheme="minorEastAsia" w:eastAsiaTheme="minorEastAsia" w:hAnsiTheme="minorEastAsia"/>
                  <w:bCs/>
                  <w:sz w:val="15"/>
                  <w:szCs w:val="15"/>
                </w:rPr>
                <w:alias w:val="可供出售金融资产中股票减值准备"/>
                <w:tag w:val="_GBC_1e41903370cb4b64876c9e74f295df90"/>
                <w:id w:val="24724143"/>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中股票金额"/>
                <w:tag w:val="_GBC_caab400403df494783721fb4e4226b62"/>
                <w:id w:val="24724144"/>
                <w:lock w:val="sdtLocked"/>
              </w:sdtPr>
              <w:sdtContent>
                <w:tc>
                  <w:tcPr>
                    <w:tcW w:w="743"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1,398,841,768.16</w:t>
                    </w:r>
                  </w:p>
                </w:tc>
              </w:sdtContent>
            </w:sdt>
          </w:tr>
          <w:sdt>
            <w:sdtPr>
              <w:rPr>
                <w:rFonts w:asciiTheme="minorEastAsia" w:eastAsiaTheme="minorEastAsia" w:hAnsiTheme="minorEastAsia" w:hint="eastAsia"/>
                <w:bCs/>
                <w:sz w:val="15"/>
                <w:szCs w:val="15"/>
              </w:rPr>
              <w:alias w:val="可供出售金融资产中其他明细"/>
              <w:tag w:val="_GBC_7d8a90180c724909975bf586c2065e04"/>
              <w:id w:val="24724154"/>
              <w:lock w:val="sdtLocked"/>
            </w:sdtPr>
            <w:sdtContent>
              <w:tr w:rsidR="00DE031E" w:rsidRPr="00231D43" w:rsidTr="00DE031E">
                <w:trPr>
                  <w:trHeight w:val="268"/>
                  <w:jc w:val="center"/>
                </w:trPr>
                <w:tc>
                  <w:tcPr>
                    <w:tcW w:w="354" w:type="pct"/>
                    <w:shd w:val="clear" w:color="auto" w:fill="auto"/>
                    <w:vAlign w:val="center"/>
                  </w:tcPr>
                  <w:sdt>
                    <w:sdtPr>
                      <w:rPr>
                        <w:rFonts w:asciiTheme="minorEastAsia" w:eastAsiaTheme="minorEastAsia" w:hAnsiTheme="minorEastAsia" w:hint="eastAsia"/>
                        <w:bCs/>
                        <w:sz w:val="15"/>
                        <w:szCs w:val="15"/>
                      </w:rPr>
                      <w:alias w:val="可供出售金融资产中其他明细－项目"/>
                      <w:tag w:val="_GBC_ce2e4fb1644d462da33512bbe53b9176"/>
                      <w:id w:val="24724145"/>
                      <w:lock w:val="sdtLocked"/>
                    </w:sdtPr>
                    <w:sdtContent>
                      <w:p w:rsidR="00DE031E" w:rsidRPr="00231D43" w:rsidRDefault="001C1A59" w:rsidP="00DE031E">
                        <w:pPr>
                          <w:rPr>
                            <w:rFonts w:asciiTheme="minorEastAsia" w:eastAsiaTheme="minorEastAsia" w:hAnsiTheme="minorEastAsia"/>
                            <w:bCs/>
                            <w:sz w:val="15"/>
                            <w:szCs w:val="15"/>
                          </w:rPr>
                        </w:pPr>
                        <w:r w:rsidRPr="00231D43">
                          <w:rPr>
                            <w:rFonts w:asciiTheme="minorEastAsia" w:eastAsiaTheme="minorEastAsia" w:hAnsiTheme="minorEastAsia" w:hint="eastAsia"/>
                            <w:bCs/>
                            <w:sz w:val="15"/>
                            <w:szCs w:val="15"/>
                          </w:rPr>
                          <w:t>永续债</w:t>
                        </w:r>
                      </w:p>
                    </w:sdtContent>
                  </w:sdt>
                </w:tc>
                <w:sdt>
                  <w:sdtPr>
                    <w:rPr>
                      <w:rFonts w:asciiTheme="minorEastAsia" w:eastAsiaTheme="minorEastAsia" w:hAnsiTheme="minorEastAsia"/>
                      <w:bCs/>
                      <w:sz w:val="15"/>
                      <w:szCs w:val="15"/>
                    </w:rPr>
                    <w:alias w:val="可供出售金融资产中其他明细－初始成本"/>
                    <w:tag w:val="_GBC_5bc0c634f59441049797cc0784c6ebf5"/>
                    <w:id w:val="24724146"/>
                    <w:lock w:val="sdtLocked"/>
                  </w:sdtPr>
                  <w:sdtContent>
                    <w:tc>
                      <w:tcPr>
                        <w:tcW w:w="757"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825,695,946.58</w:t>
                        </w:r>
                      </w:p>
                    </w:tc>
                  </w:sdtContent>
                </w:sdt>
                <w:sdt>
                  <w:sdtPr>
                    <w:rPr>
                      <w:rFonts w:asciiTheme="minorEastAsia" w:eastAsiaTheme="minorEastAsia" w:hAnsiTheme="minorEastAsia"/>
                      <w:bCs/>
                      <w:sz w:val="15"/>
                      <w:szCs w:val="15"/>
                    </w:rPr>
                    <w:alias w:val="可供出售金融资产中其他明细－公允价值变动"/>
                    <w:tag w:val="_GBC_a1c353a15253455c81d35ebd56413858"/>
                    <w:id w:val="24724147"/>
                    <w:lock w:val="sdtLocked"/>
                  </w:sdtPr>
                  <w:sdtContent>
                    <w:tc>
                      <w:tcPr>
                        <w:tcW w:w="61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28,703,773.42</w:t>
                        </w:r>
                      </w:p>
                    </w:tc>
                  </w:sdtContent>
                </w:sdt>
                <w:sdt>
                  <w:sdtPr>
                    <w:rPr>
                      <w:rFonts w:asciiTheme="minorEastAsia" w:eastAsiaTheme="minorEastAsia" w:hAnsiTheme="minorEastAsia"/>
                      <w:bCs/>
                      <w:sz w:val="15"/>
                      <w:szCs w:val="15"/>
                    </w:rPr>
                    <w:alias w:val="可供出售金融资产中其他明细－减值准备"/>
                    <w:tag w:val="_GBC_163219d651af4fbbbbbcc2907cf30d88"/>
                    <w:id w:val="24724148"/>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中其他明细－金额"/>
                    <w:tag w:val="_GBC_732d515f8d184bd1a3d77ac7b972e406"/>
                    <w:id w:val="24724149"/>
                    <w:lock w:val="sdtLocked"/>
                  </w:sdtPr>
                  <w:sdtContent>
                    <w:tc>
                      <w:tcPr>
                        <w:tcW w:w="755"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854,399,720.00</w:t>
                        </w:r>
                      </w:p>
                    </w:tc>
                  </w:sdtContent>
                </w:sdt>
                <w:sdt>
                  <w:sdtPr>
                    <w:rPr>
                      <w:rFonts w:asciiTheme="minorEastAsia" w:eastAsiaTheme="minorEastAsia" w:hAnsiTheme="minorEastAsia"/>
                      <w:bCs/>
                      <w:sz w:val="15"/>
                      <w:szCs w:val="15"/>
                    </w:rPr>
                    <w:alias w:val="可供出售金融资产中其他明细－初始成本"/>
                    <w:tag w:val="_GBC_cf4d5f5cb22442068c23c65131cd5b1a"/>
                    <w:id w:val="24724150"/>
                    <w:lock w:val="sdtLocked"/>
                  </w:sdtPr>
                  <w:sdtContent>
                    <w:tc>
                      <w:tcPr>
                        <w:tcW w:w="73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800,643,687.44</w:t>
                        </w:r>
                      </w:p>
                    </w:tc>
                  </w:sdtContent>
                </w:sdt>
                <w:sdt>
                  <w:sdtPr>
                    <w:rPr>
                      <w:rFonts w:asciiTheme="minorEastAsia" w:eastAsiaTheme="minorEastAsia" w:hAnsiTheme="minorEastAsia"/>
                      <w:bCs/>
                      <w:sz w:val="15"/>
                      <w:szCs w:val="15"/>
                    </w:rPr>
                    <w:alias w:val="可供出售金融资产中其他明细－公允价值变动"/>
                    <w:tag w:val="_GBC_39b7943018c047aca9d612e5cddca0f2"/>
                    <w:id w:val="24724151"/>
                    <w:lock w:val="sdtLocked"/>
                  </w:sdtPr>
                  <w:sdtContent>
                    <w:tc>
                      <w:tcPr>
                        <w:tcW w:w="632"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11,646,312.56</w:t>
                        </w:r>
                      </w:p>
                    </w:tc>
                  </w:sdtContent>
                </w:sdt>
                <w:sdt>
                  <w:sdtPr>
                    <w:rPr>
                      <w:rFonts w:asciiTheme="minorEastAsia" w:eastAsiaTheme="minorEastAsia" w:hAnsiTheme="minorEastAsia"/>
                      <w:bCs/>
                      <w:sz w:val="15"/>
                      <w:szCs w:val="15"/>
                    </w:rPr>
                    <w:alias w:val="可供出售金融资产中其他明细－减值准备"/>
                    <w:tag w:val="_GBC_0037bc7b7c854c65b762d7c68f1f5393"/>
                    <w:id w:val="24724152"/>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中其他明细－金额"/>
                    <w:tag w:val="_GBC_ac23abe506a043eaa927e3ebaa663d1e"/>
                    <w:id w:val="24724153"/>
                    <w:lock w:val="sdtLocked"/>
                  </w:sdtPr>
                  <w:sdtContent>
                    <w:tc>
                      <w:tcPr>
                        <w:tcW w:w="743"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812,290,000.00</w:t>
                        </w:r>
                      </w:p>
                    </w:tc>
                  </w:sdtContent>
                </w:sdt>
              </w:tr>
            </w:sdtContent>
          </w:sdt>
          <w:tr w:rsidR="00DE031E" w:rsidRPr="00231D43" w:rsidTr="00DE031E">
            <w:trPr>
              <w:trHeight w:val="295"/>
              <w:jc w:val="center"/>
            </w:trPr>
            <w:tc>
              <w:tcPr>
                <w:tcW w:w="354" w:type="pct"/>
                <w:shd w:val="clear" w:color="auto" w:fill="auto"/>
                <w:vAlign w:val="center"/>
              </w:tcPr>
              <w:p w:rsidR="00DE031E" w:rsidRPr="00231D43" w:rsidRDefault="001C1A59" w:rsidP="00DE031E">
                <w:pP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其他</w:t>
                </w:r>
              </w:p>
            </w:tc>
            <w:sdt>
              <w:sdtPr>
                <w:rPr>
                  <w:rFonts w:asciiTheme="minorEastAsia" w:eastAsiaTheme="minorEastAsia" w:hAnsiTheme="minorEastAsia"/>
                  <w:bCs/>
                  <w:color w:val="FF0000"/>
                  <w:sz w:val="15"/>
                  <w:szCs w:val="15"/>
                </w:rPr>
                <w:alias w:val="其他可供出售金融资产初始成本"/>
                <w:tag w:val="_GBC_f0815db5a7224766beb5073ef0e59fd0"/>
                <w:id w:val="24724155"/>
                <w:lock w:val="sdtLocked"/>
              </w:sdtPr>
              <w:sdtContent>
                <w:tc>
                  <w:tcPr>
                    <w:tcW w:w="757" w:type="pct"/>
                    <w:shd w:val="clear" w:color="auto" w:fill="auto"/>
                    <w:vAlign w:val="center"/>
                  </w:tcPr>
                  <w:p w:rsidR="00DE031E" w:rsidRPr="00231D43" w:rsidRDefault="001C1A59" w:rsidP="00DE031E">
                    <w:pPr>
                      <w:jc w:val="right"/>
                      <w:rPr>
                        <w:rFonts w:asciiTheme="minorEastAsia" w:eastAsiaTheme="minorEastAsia" w:hAnsiTheme="minorEastAsia"/>
                        <w:bCs/>
                        <w:color w:val="FF0000"/>
                        <w:sz w:val="15"/>
                        <w:szCs w:val="15"/>
                      </w:rPr>
                    </w:pPr>
                    <w:r w:rsidRPr="00231D43">
                      <w:rPr>
                        <w:rFonts w:asciiTheme="minorEastAsia" w:eastAsiaTheme="minorEastAsia" w:hAnsiTheme="minorEastAsia" w:cs="Arial"/>
                        <w:color w:val="000000"/>
                        <w:sz w:val="15"/>
                        <w:szCs w:val="15"/>
                      </w:rPr>
                      <w:t>1,043,862</w:t>
                    </w:r>
                    <w:r w:rsidRPr="00231D43">
                      <w:rPr>
                        <w:rFonts w:asciiTheme="minorEastAsia" w:eastAsiaTheme="minorEastAsia" w:hAnsiTheme="minorEastAsia" w:cs="Arial"/>
                        <w:sz w:val="15"/>
                        <w:szCs w:val="15"/>
                      </w:rPr>
                      <w:t>,032</w:t>
                    </w:r>
                    <w:r w:rsidRPr="00231D43">
                      <w:rPr>
                        <w:rFonts w:asciiTheme="minorEastAsia" w:eastAsiaTheme="minorEastAsia" w:hAnsiTheme="minorEastAsia" w:cs="Arial"/>
                        <w:color w:val="000000"/>
                        <w:sz w:val="15"/>
                        <w:szCs w:val="15"/>
                      </w:rPr>
                      <w:t>.78</w:t>
                    </w:r>
                  </w:p>
                </w:tc>
              </w:sdtContent>
            </w:sdt>
            <w:sdt>
              <w:sdtPr>
                <w:rPr>
                  <w:rFonts w:asciiTheme="minorEastAsia" w:eastAsiaTheme="minorEastAsia" w:hAnsiTheme="minorEastAsia"/>
                  <w:bCs/>
                  <w:sz w:val="15"/>
                  <w:szCs w:val="15"/>
                </w:rPr>
                <w:alias w:val="其他可供出售金融资产公允价值变动"/>
                <w:tag w:val="_GBC_25c98607d4c143788ecfa9afbde32b20"/>
                <w:id w:val="24724156"/>
                <w:lock w:val="sdtLocked"/>
              </w:sdtPr>
              <w:sdtContent>
                <w:tc>
                  <w:tcPr>
                    <w:tcW w:w="61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106,504,615.63</w:t>
                    </w:r>
                  </w:p>
                </w:tc>
              </w:sdtContent>
            </w:sdt>
            <w:sdt>
              <w:sdtPr>
                <w:rPr>
                  <w:rFonts w:asciiTheme="minorEastAsia" w:eastAsiaTheme="minorEastAsia" w:hAnsiTheme="minorEastAsia"/>
                  <w:bCs/>
                  <w:sz w:val="15"/>
                  <w:szCs w:val="15"/>
                </w:rPr>
                <w:alias w:val="其他可供出售金融资产减值准备"/>
                <w:tag w:val="_GBC_37cd63c6c9714998a6e8da3e43b737b8"/>
                <w:id w:val="24724157"/>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其他可供出售金融资产金额"/>
                <w:tag w:val="_GBC_a0a4e5548c8a4c11bfa33cf66df8bcda"/>
                <w:id w:val="24724158"/>
                <w:lock w:val="sdtLocked"/>
              </w:sdtPr>
              <w:sdtContent>
                <w:tc>
                  <w:tcPr>
                    <w:tcW w:w="755" w:type="pct"/>
                    <w:shd w:val="clear" w:color="auto" w:fill="auto"/>
                    <w:vAlign w:val="center"/>
                  </w:tcPr>
                  <w:p w:rsidR="00DE031E" w:rsidRPr="00231D43" w:rsidRDefault="001C1A59" w:rsidP="00DE031E">
                    <w:pPr>
                      <w:jc w:val="right"/>
                      <w:rPr>
                        <w:rFonts w:asciiTheme="minorEastAsia" w:eastAsiaTheme="minorEastAsia" w:hAnsiTheme="minorEastAsia"/>
                        <w:sz w:val="15"/>
                        <w:szCs w:val="15"/>
                      </w:rPr>
                    </w:pPr>
                    <w:r w:rsidRPr="00231D43">
                      <w:rPr>
                        <w:rFonts w:asciiTheme="minorEastAsia" w:eastAsiaTheme="minorEastAsia" w:hAnsiTheme="minorEastAsia"/>
                        <w:sz w:val="15"/>
                        <w:szCs w:val="15"/>
                      </w:rPr>
                      <w:t>1,157,366,648.41</w:t>
                    </w:r>
                  </w:p>
                </w:tc>
              </w:sdtContent>
            </w:sdt>
            <w:sdt>
              <w:sdtPr>
                <w:rPr>
                  <w:rFonts w:asciiTheme="minorEastAsia" w:eastAsiaTheme="minorEastAsia" w:hAnsiTheme="minorEastAsia"/>
                  <w:bCs/>
                  <w:sz w:val="15"/>
                  <w:szCs w:val="15"/>
                </w:rPr>
                <w:alias w:val="其他可供出售金融资产初始成本"/>
                <w:tag w:val="_GBC_d2adf9388b8a41819db515fb30bac9cc"/>
                <w:id w:val="24724159"/>
                <w:lock w:val="sdtLocked"/>
              </w:sdtPr>
              <w:sdtContent>
                <w:tc>
                  <w:tcPr>
                    <w:tcW w:w="73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1,106,917,046.38</w:t>
                    </w:r>
                  </w:p>
                </w:tc>
              </w:sdtContent>
            </w:sdt>
            <w:sdt>
              <w:sdtPr>
                <w:rPr>
                  <w:rFonts w:asciiTheme="minorEastAsia" w:eastAsiaTheme="minorEastAsia" w:hAnsiTheme="minorEastAsia"/>
                  <w:bCs/>
                  <w:sz w:val="15"/>
                  <w:szCs w:val="15"/>
                </w:rPr>
                <w:alias w:val="其他可供出售金融资产公允价值变动"/>
                <w:tag w:val="_GBC_447ccf2cef3e42328db2653ab0db7ee0"/>
                <w:id w:val="24724160"/>
                <w:lock w:val="sdtLocked"/>
              </w:sdtPr>
              <w:sdtContent>
                <w:tc>
                  <w:tcPr>
                    <w:tcW w:w="632"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19,416,638.63</w:t>
                    </w:r>
                  </w:p>
                </w:tc>
              </w:sdtContent>
            </w:sdt>
            <w:sdt>
              <w:sdtPr>
                <w:rPr>
                  <w:rFonts w:asciiTheme="minorEastAsia" w:eastAsiaTheme="minorEastAsia" w:hAnsiTheme="minorEastAsia"/>
                  <w:bCs/>
                  <w:sz w:val="15"/>
                  <w:szCs w:val="15"/>
                </w:rPr>
                <w:alias w:val="其他可供出售金融资产减值准备"/>
                <w:tag w:val="_GBC_2c885312e1fb4146a0a0103dee178518"/>
                <w:id w:val="24724161"/>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其他可供出售金融资产金额"/>
                <w:tag w:val="_GBC_fe4705978768415296bcfa269821ff47"/>
                <w:id w:val="24724162"/>
                <w:lock w:val="sdtLocked"/>
              </w:sdtPr>
              <w:sdtContent>
                <w:tc>
                  <w:tcPr>
                    <w:tcW w:w="743"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1,126,333,685.01</w:t>
                    </w:r>
                  </w:p>
                </w:tc>
              </w:sdtContent>
            </w:sdt>
          </w:tr>
          <w:tr w:rsidR="00DE031E" w:rsidRPr="00231D43" w:rsidTr="00DE031E">
            <w:trPr>
              <w:trHeight w:val="211"/>
              <w:jc w:val="center"/>
            </w:trPr>
            <w:tc>
              <w:tcPr>
                <w:tcW w:w="354" w:type="pct"/>
                <w:shd w:val="clear" w:color="auto" w:fill="auto"/>
              </w:tcPr>
              <w:p w:rsidR="00DE031E" w:rsidRPr="00231D43" w:rsidRDefault="001C1A59" w:rsidP="00DE031E">
                <w:pPr>
                  <w:jc w:val="center"/>
                  <w:rPr>
                    <w:rFonts w:asciiTheme="minorEastAsia" w:eastAsiaTheme="minorEastAsia" w:hAnsiTheme="minorEastAsia"/>
                    <w:bCs/>
                    <w:sz w:val="15"/>
                    <w:szCs w:val="15"/>
                  </w:rPr>
                </w:pPr>
                <w:r w:rsidRPr="00231D43">
                  <w:rPr>
                    <w:rFonts w:asciiTheme="minorEastAsia" w:eastAsiaTheme="minorEastAsia" w:hAnsiTheme="minorEastAsia"/>
                    <w:bCs/>
                    <w:sz w:val="15"/>
                    <w:szCs w:val="15"/>
                  </w:rPr>
                  <w:t>合计</w:t>
                </w:r>
              </w:p>
            </w:tc>
            <w:sdt>
              <w:sdtPr>
                <w:rPr>
                  <w:rFonts w:asciiTheme="minorEastAsia" w:eastAsiaTheme="minorEastAsia" w:hAnsiTheme="minorEastAsia"/>
                  <w:bCs/>
                  <w:color w:val="FF0000"/>
                  <w:sz w:val="15"/>
                  <w:szCs w:val="15"/>
                </w:rPr>
                <w:alias w:val="可供出售金融资产初始成本合计"/>
                <w:tag w:val="_GBC_a0ba7788a22848999347621a156e5f0e"/>
                <w:id w:val="24724163"/>
                <w:lock w:val="sdtLocked"/>
              </w:sdtPr>
              <w:sdtContent>
                <w:tc>
                  <w:tcPr>
                    <w:tcW w:w="757" w:type="pct"/>
                    <w:shd w:val="clear" w:color="auto" w:fill="auto"/>
                    <w:vAlign w:val="center"/>
                  </w:tcPr>
                  <w:p w:rsidR="00DE031E" w:rsidRPr="00231D43" w:rsidRDefault="001C1A59" w:rsidP="00DE031E">
                    <w:pPr>
                      <w:jc w:val="right"/>
                      <w:rPr>
                        <w:rFonts w:asciiTheme="minorEastAsia" w:eastAsiaTheme="minorEastAsia" w:hAnsiTheme="minorEastAsia"/>
                        <w:bCs/>
                        <w:color w:val="FF0000"/>
                        <w:sz w:val="15"/>
                        <w:szCs w:val="15"/>
                      </w:rPr>
                    </w:pPr>
                    <w:r w:rsidRPr="00231D43">
                      <w:rPr>
                        <w:rFonts w:asciiTheme="minorEastAsia" w:eastAsiaTheme="minorEastAsia" w:hAnsiTheme="minorEastAsia" w:cs="Arial"/>
                        <w:bCs/>
                        <w:color w:val="000000"/>
                        <w:sz w:val="15"/>
                        <w:szCs w:val="15"/>
                      </w:rPr>
                      <w:t>13,532,599,035.67</w:t>
                    </w:r>
                  </w:p>
                </w:tc>
              </w:sdtContent>
            </w:sdt>
            <w:sdt>
              <w:sdtPr>
                <w:rPr>
                  <w:rFonts w:asciiTheme="minorEastAsia" w:eastAsiaTheme="minorEastAsia" w:hAnsiTheme="minorEastAsia"/>
                  <w:bCs/>
                  <w:sz w:val="15"/>
                  <w:szCs w:val="15"/>
                </w:rPr>
                <w:alias w:val="可供出售金融资产公允价值变动合计"/>
                <w:tag w:val="_GBC_5f861b0ee59244058acf0172d224c177"/>
                <w:id w:val="24724164"/>
                <w:lock w:val="sdtLocked"/>
              </w:sdtPr>
              <w:sdtContent>
                <w:tc>
                  <w:tcPr>
                    <w:tcW w:w="61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906,452,811.51</w:t>
                    </w:r>
                  </w:p>
                </w:tc>
              </w:sdtContent>
            </w:sdt>
            <w:sdt>
              <w:sdtPr>
                <w:rPr>
                  <w:rFonts w:asciiTheme="minorEastAsia" w:eastAsiaTheme="minorEastAsia" w:hAnsiTheme="minorEastAsia"/>
                  <w:bCs/>
                  <w:sz w:val="15"/>
                  <w:szCs w:val="15"/>
                </w:rPr>
                <w:alias w:val="可供出售金融资产减值准备余额合计"/>
                <w:tag w:val="_GBC_f6ca0b9df94a45bb912d2372a3155fb0"/>
                <w:id w:val="24724165"/>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
                <w:tag w:val="_GBC_ff5c861bffe54cd0a9ee3de196acd5f5"/>
                <w:id w:val="24724166"/>
                <w:lock w:val="sdtLocked"/>
              </w:sdtPr>
              <w:sdtContent>
                <w:tc>
                  <w:tcPr>
                    <w:tcW w:w="755"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14,446,051,847.18</w:t>
                    </w:r>
                  </w:p>
                </w:tc>
              </w:sdtContent>
            </w:sdt>
            <w:sdt>
              <w:sdtPr>
                <w:rPr>
                  <w:rFonts w:asciiTheme="minorEastAsia" w:eastAsiaTheme="minorEastAsia" w:hAnsiTheme="minorEastAsia"/>
                  <w:bCs/>
                  <w:sz w:val="15"/>
                  <w:szCs w:val="15"/>
                </w:rPr>
                <w:alias w:val="可供出售金融资产初始成本合计"/>
                <w:tag w:val="_GBC_c9872a958041478e9c9d3773ad5c3a7b"/>
                <w:id w:val="24724167"/>
                <w:lock w:val="sdtLocked"/>
              </w:sdtPr>
              <w:sdtContent>
                <w:tc>
                  <w:tcPr>
                    <w:tcW w:w="736"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14,576,520,083.65</w:t>
                    </w:r>
                  </w:p>
                </w:tc>
              </w:sdtContent>
            </w:sdt>
            <w:sdt>
              <w:sdtPr>
                <w:rPr>
                  <w:rFonts w:asciiTheme="minorEastAsia" w:eastAsiaTheme="minorEastAsia" w:hAnsiTheme="minorEastAsia"/>
                  <w:bCs/>
                  <w:sz w:val="15"/>
                  <w:szCs w:val="15"/>
                </w:rPr>
                <w:alias w:val="可供出售金融资产公允价值变动合计"/>
                <w:tag w:val="_GBC_311a5b864fdf4cf68c76d7fe489aba84"/>
                <w:id w:val="24724168"/>
                <w:lock w:val="sdtLocked"/>
              </w:sdtPr>
              <w:sdtContent>
                <w:tc>
                  <w:tcPr>
                    <w:tcW w:w="632"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301,484,580.32</w:t>
                    </w:r>
                  </w:p>
                </w:tc>
              </w:sdtContent>
            </w:sdt>
            <w:sdt>
              <w:sdtPr>
                <w:rPr>
                  <w:rFonts w:asciiTheme="minorEastAsia" w:eastAsiaTheme="minorEastAsia" w:hAnsiTheme="minorEastAsia"/>
                  <w:bCs/>
                  <w:sz w:val="15"/>
                  <w:szCs w:val="15"/>
                </w:rPr>
                <w:alias w:val="可供出售金融资产减值准备余额合计"/>
                <w:tag w:val="_GBC_9752e8d0a974430e9a8d320d3102ec12"/>
                <w:id w:val="24724169"/>
                <w:lock w:val="sdtLocked"/>
                <w:showingPlcHdr/>
              </w:sdtPr>
              <w:sdtContent>
                <w:tc>
                  <w:tcPr>
                    <w:tcW w:w="204"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bCs/>
                  <w:sz w:val="15"/>
                  <w:szCs w:val="15"/>
                </w:rPr>
                <w:alias w:val="可供出售金融资产"/>
                <w:tag w:val="_GBC_c7566f7b41d845928380eb91287d078b"/>
                <w:id w:val="24724170"/>
                <w:lock w:val="sdtLocked"/>
              </w:sdtPr>
              <w:sdtContent>
                <w:tc>
                  <w:tcPr>
                    <w:tcW w:w="743" w:type="pct"/>
                    <w:shd w:val="clear" w:color="auto" w:fill="auto"/>
                    <w:vAlign w:val="center"/>
                  </w:tcPr>
                  <w:p w:rsidR="00DE031E" w:rsidRPr="00231D43" w:rsidRDefault="001C1A59" w:rsidP="00DE031E">
                    <w:pPr>
                      <w:jc w:val="right"/>
                      <w:rPr>
                        <w:rFonts w:asciiTheme="minorEastAsia" w:eastAsiaTheme="minorEastAsia" w:hAnsiTheme="minorEastAsia"/>
                        <w:bCs/>
                        <w:sz w:val="15"/>
                        <w:szCs w:val="15"/>
                      </w:rPr>
                    </w:pPr>
                    <w:r w:rsidRPr="00231D43">
                      <w:rPr>
                        <w:rFonts w:asciiTheme="minorEastAsia" w:eastAsiaTheme="minorEastAsia" w:hAnsiTheme="minorEastAsia"/>
                        <w:bCs/>
                        <w:sz w:val="15"/>
                        <w:szCs w:val="15"/>
                      </w:rPr>
                      <w:t>14,878,004,663.97</w:t>
                    </w:r>
                  </w:p>
                </w:tc>
              </w:sdtContent>
            </w:sdt>
          </w:tr>
        </w:tbl>
        <w:p w:rsidR="00DE031E" w:rsidRPr="00CA25C0" w:rsidRDefault="00422DCA" w:rsidP="00DE031E"/>
      </w:sdtContent>
    </w:sdt>
    <w:sdt>
      <w:sdtPr>
        <w:rPr>
          <w:rFonts w:ascii="Times New Roman" w:hAnsi="Times New Roman" w:cs="宋体" w:hint="eastAsia"/>
          <w:b w:val="0"/>
          <w:bCs w:val="0"/>
          <w:kern w:val="0"/>
          <w:szCs w:val="21"/>
        </w:rPr>
        <w:tag w:val="_GBC_ad911cdcd70942f191696b16f39578a3"/>
        <w:id w:val="24724173"/>
        <w:lock w:val="sdtLocked"/>
        <w:placeholder>
          <w:docPart w:val="GBC22222222222222222222222222222"/>
        </w:placeholder>
      </w:sdtPr>
      <w:sdtEndPr>
        <w:rPr>
          <w:rFonts w:ascii="宋体" w:hAnsi="宋体" w:hint="default"/>
          <w:color w:val="000000" w:themeColor="text1"/>
        </w:rPr>
      </w:sdtEndPr>
      <w:sdtContent>
        <w:p w:rsidR="00DE031E" w:rsidRDefault="001C1A59" w:rsidP="009950AC">
          <w:pPr>
            <w:pStyle w:val="4"/>
            <w:numPr>
              <w:ilvl w:val="0"/>
              <w:numId w:val="47"/>
            </w:numPr>
            <w:spacing w:line="360" w:lineRule="auto"/>
          </w:pPr>
          <w:r>
            <w:rPr>
              <w:rFonts w:hint="eastAsia"/>
            </w:rPr>
            <w:t>报告期内可供出售金融资产减值的变动情况</w:t>
          </w:r>
        </w:p>
        <w:p w:rsidR="00DE031E" w:rsidRDefault="00422DCA" w:rsidP="00DE031E">
          <w:sdt>
            <w:sdtPr>
              <w:alias w:val="是否适用：报告期内可供出售金融资产减值的变动情况"/>
              <w:tag w:val="_GBC_908a9b3231d34abf878e05326e300b2e"/>
              <w:id w:val="24724172"/>
              <w:lock w:val="sdtLocked"/>
              <w:placeholder>
                <w:docPart w:val="GBC22222222222222222222222222222"/>
              </w:placeholder>
            </w:sdtPr>
            <w:sdtContent>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sdtContent>
          </w:sdt>
        </w:p>
      </w:sdtContent>
    </w:sdt>
    <w:sdt>
      <w:sdtPr>
        <w:rPr>
          <w:rFonts w:ascii="宋体" w:hAnsi="宋体" w:cs="宋体" w:hint="eastAsia"/>
          <w:b w:val="0"/>
          <w:bCs w:val="0"/>
          <w:kern w:val="0"/>
          <w:szCs w:val="24"/>
        </w:rPr>
        <w:tag w:val="_GBC_69a540dc25e54d2c86388d90f2549651"/>
        <w:id w:val="24724175"/>
        <w:lock w:val="sdtLocked"/>
        <w:placeholder>
          <w:docPart w:val="GBC22222222222222222222222222222"/>
        </w:placeholder>
      </w:sdtPr>
      <w:sdtEndPr>
        <w:rPr>
          <w:color w:val="000000" w:themeColor="text1"/>
        </w:rPr>
      </w:sdtEndPr>
      <w:sdtContent>
        <w:p w:rsidR="00DE031E" w:rsidRDefault="001C1A59" w:rsidP="009950AC">
          <w:pPr>
            <w:pStyle w:val="4"/>
            <w:numPr>
              <w:ilvl w:val="0"/>
              <w:numId w:val="47"/>
            </w:numPr>
            <w:spacing w:line="360" w:lineRule="auto"/>
          </w:pPr>
          <w:r>
            <w:rPr>
              <w:rFonts w:hint="eastAsia"/>
            </w:rPr>
            <w:t>其他</w:t>
          </w:r>
        </w:p>
        <w:sdt>
          <w:sdtPr>
            <w:rPr>
              <w:rFonts w:ascii="宋体" w:eastAsia="宋体" w:hAnsi="宋体" w:cs="宋体" w:hint="eastAsia"/>
              <w:color w:val="000000" w:themeColor="text1"/>
              <w:sz w:val="21"/>
            </w:rPr>
            <w:alias w:val="可供出售金融资产其他情况说明"/>
            <w:tag w:val="_GBC_aba6cb55af5343f98956ad4e8451b49a"/>
            <w:id w:val="24724174"/>
            <w:lock w:val="sdtLocked"/>
            <w:placeholder>
              <w:docPart w:val="GBC22222222222222222222222222222"/>
            </w:placeholder>
          </w:sdtPr>
          <w:sdtContent>
            <w:p w:rsidR="00DE031E" w:rsidRDefault="001C1A59" w:rsidP="003A0284">
              <w:pPr>
                <w:pStyle w:val="Default"/>
                <w:spacing w:beforeLines="50" w:afterLines="50" w:line="360" w:lineRule="auto"/>
                <w:ind w:rightChars="20" w:right="42" w:firstLineChars="200" w:firstLine="420"/>
                <w:jc w:val="both"/>
                <w:rPr>
                  <w:rFonts w:ascii="Arial" w:eastAsiaTheme="majorEastAsia" w:hAnsi="Arial" w:cs="Arial"/>
                  <w:color w:val="auto"/>
                  <w:kern w:val="2"/>
                  <w:sz w:val="22"/>
                  <w:szCs w:val="22"/>
                </w:rPr>
              </w:pPr>
              <w:r>
                <w:rPr>
                  <w:rFonts w:ascii="Arial" w:eastAsiaTheme="majorEastAsia" w:hAnsi="Arial" w:cs="Arial" w:hint="eastAsia"/>
                  <w:color w:val="auto"/>
                  <w:kern w:val="2"/>
                  <w:sz w:val="22"/>
                  <w:szCs w:val="22"/>
                </w:rPr>
                <w:t>1</w:t>
              </w:r>
              <w:r>
                <w:rPr>
                  <w:rFonts w:ascii="Arial" w:eastAsiaTheme="majorEastAsia" w:hAnsi="Arial" w:cs="Arial" w:hint="eastAsia"/>
                  <w:color w:val="auto"/>
                  <w:kern w:val="2"/>
                  <w:sz w:val="22"/>
                  <w:szCs w:val="22"/>
                </w:rPr>
                <w:t>）</w:t>
              </w:r>
              <w:r w:rsidRPr="001271C8">
                <w:rPr>
                  <w:rFonts w:ascii="Arial" w:eastAsiaTheme="majorEastAsia" w:hAnsi="Arial" w:cs="Arial"/>
                  <w:color w:val="auto"/>
                  <w:kern w:val="2"/>
                  <w:sz w:val="22"/>
                  <w:szCs w:val="22"/>
                </w:rPr>
                <w:t>本公司持有的可供出售金融资产</w:t>
              </w:r>
              <w:r>
                <w:rPr>
                  <w:rFonts w:ascii="Arial" w:eastAsiaTheme="majorEastAsia" w:hAnsi="Arial" w:cs="Arial" w:hint="eastAsia"/>
                  <w:color w:val="auto"/>
                  <w:kern w:val="2"/>
                  <w:sz w:val="22"/>
                  <w:szCs w:val="22"/>
                </w:rPr>
                <w:t>作为</w:t>
              </w:r>
              <w:r w:rsidRPr="001271C8">
                <w:rPr>
                  <w:rFonts w:ascii="Arial" w:eastAsiaTheme="majorEastAsia" w:hAnsi="Arial" w:cs="Arial"/>
                  <w:color w:val="auto"/>
                  <w:kern w:val="2"/>
                  <w:sz w:val="22"/>
                  <w:szCs w:val="22"/>
                </w:rPr>
                <w:t>卖出回购</w:t>
              </w:r>
              <w:r w:rsidRPr="001271C8">
                <w:rPr>
                  <w:rFonts w:ascii="Arial" w:eastAsiaTheme="majorEastAsia" w:hAnsi="Arial" w:cs="Arial" w:hint="eastAsia"/>
                  <w:color w:val="auto"/>
                  <w:kern w:val="2"/>
                  <w:sz w:val="22"/>
                  <w:szCs w:val="22"/>
                </w:rPr>
                <w:t>业务</w:t>
              </w:r>
              <w:r w:rsidRPr="001271C8">
                <w:rPr>
                  <w:rFonts w:ascii="Arial" w:eastAsiaTheme="majorEastAsia" w:hAnsi="Arial" w:cs="Arial"/>
                  <w:color w:val="auto"/>
                  <w:kern w:val="2"/>
                  <w:sz w:val="22"/>
                  <w:szCs w:val="22"/>
                </w:rPr>
                <w:t>的抵押物</w:t>
              </w:r>
              <w:r>
                <w:rPr>
                  <w:rFonts w:ascii="Arial" w:eastAsiaTheme="majorEastAsia" w:hAnsi="Arial" w:cs="Arial" w:hint="eastAsia"/>
                  <w:color w:val="auto"/>
                  <w:kern w:val="2"/>
                  <w:sz w:val="22"/>
                  <w:szCs w:val="22"/>
                </w:rPr>
                <w:t>情况</w:t>
              </w:r>
            </w:p>
            <w:tbl>
              <w:tblPr>
                <w:tblW w:w="5000" w:type="pct"/>
                <w:tblLook w:val="04A0"/>
              </w:tblPr>
              <w:tblGrid>
                <w:gridCol w:w="3509"/>
                <w:gridCol w:w="2836"/>
                <w:gridCol w:w="2704"/>
              </w:tblGrid>
              <w:tr w:rsidR="00DE031E" w:rsidRPr="000A3997" w:rsidTr="00DE031E">
                <w:trPr>
                  <w:trHeight w:val="270"/>
                </w:trPr>
                <w:tc>
                  <w:tcPr>
                    <w:tcW w:w="19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031E" w:rsidRPr="000A3997" w:rsidRDefault="001C1A59" w:rsidP="00DE031E">
                    <w:pPr>
                      <w:jc w:val="center"/>
                      <w:rPr>
                        <w:b/>
                        <w:bCs/>
                        <w:color w:val="000000"/>
                        <w:sz w:val="18"/>
                        <w:szCs w:val="18"/>
                      </w:rPr>
                    </w:pPr>
                    <w:r w:rsidRPr="000A3997">
                      <w:rPr>
                        <w:rFonts w:hint="eastAsia"/>
                        <w:b/>
                        <w:bCs/>
                        <w:color w:val="000000"/>
                        <w:sz w:val="18"/>
                        <w:szCs w:val="18"/>
                      </w:rPr>
                      <w:t>项目</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rsidR="00DE031E" w:rsidRPr="000A3997" w:rsidRDefault="001C1A59" w:rsidP="00DE031E">
                    <w:pPr>
                      <w:jc w:val="center"/>
                      <w:rPr>
                        <w:rFonts w:ascii="Arial" w:hAnsi="Arial" w:cs="Arial"/>
                        <w:b/>
                        <w:bCs/>
                        <w:color w:val="000000"/>
                        <w:sz w:val="18"/>
                        <w:szCs w:val="18"/>
                      </w:rPr>
                    </w:pPr>
                    <w:r w:rsidRPr="000A3997">
                      <w:rPr>
                        <w:rFonts w:ascii="Arial" w:hAnsi="Arial" w:cs="Arial"/>
                        <w:b/>
                        <w:bCs/>
                        <w:color w:val="000000"/>
                        <w:sz w:val="18"/>
                        <w:szCs w:val="18"/>
                      </w:rPr>
                      <w:t>2015</w:t>
                    </w:r>
                    <w:r w:rsidRPr="000A3997">
                      <w:rPr>
                        <w:rFonts w:cs="Arial" w:hint="eastAsia"/>
                        <w:b/>
                        <w:bCs/>
                        <w:color w:val="000000"/>
                        <w:sz w:val="18"/>
                        <w:szCs w:val="18"/>
                      </w:rPr>
                      <w:t>年</w:t>
                    </w:r>
                    <w:r w:rsidRPr="000A3997">
                      <w:rPr>
                        <w:rFonts w:ascii="Arial" w:hAnsi="Arial" w:cs="Arial"/>
                        <w:b/>
                        <w:bCs/>
                        <w:color w:val="000000"/>
                        <w:sz w:val="18"/>
                        <w:szCs w:val="18"/>
                      </w:rPr>
                      <w:t>6</w:t>
                    </w:r>
                    <w:r w:rsidRPr="000A3997">
                      <w:rPr>
                        <w:rFonts w:cs="Arial" w:hint="eastAsia"/>
                        <w:b/>
                        <w:bCs/>
                        <w:color w:val="000000"/>
                        <w:sz w:val="18"/>
                        <w:szCs w:val="18"/>
                      </w:rPr>
                      <w:t>月</w:t>
                    </w:r>
                    <w:r w:rsidRPr="000A3997">
                      <w:rPr>
                        <w:rFonts w:ascii="Arial" w:hAnsi="Arial" w:cs="Arial"/>
                        <w:b/>
                        <w:bCs/>
                        <w:color w:val="000000"/>
                        <w:sz w:val="18"/>
                        <w:szCs w:val="18"/>
                      </w:rPr>
                      <w:t>30</w:t>
                    </w:r>
                    <w:r w:rsidRPr="000A3997">
                      <w:rPr>
                        <w:rFonts w:cs="Arial" w:hint="eastAsia"/>
                        <w:b/>
                        <w:bCs/>
                        <w:color w:val="000000"/>
                        <w:sz w:val="18"/>
                        <w:szCs w:val="18"/>
                      </w:rPr>
                      <w:t>日金额</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DE031E" w:rsidRPr="000A3997" w:rsidRDefault="001C1A59" w:rsidP="00DE031E">
                    <w:pPr>
                      <w:jc w:val="center"/>
                      <w:rPr>
                        <w:rFonts w:ascii="Arial" w:hAnsi="Arial" w:cs="Arial"/>
                        <w:b/>
                        <w:bCs/>
                        <w:color w:val="000000"/>
                        <w:sz w:val="18"/>
                        <w:szCs w:val="18"/>
                      </w:rPr>
                    </w:pPr>
                    <w:r w:rsidRPr="000A3997">
                      <w:rPr>
                        <w:rFonts w:ascii="Arial" w:hAnsi="Arial" w:cs="Arial"/>
                        <w:b/>
                        <w:bCs/>
                        <w:color w:val="000000"/>
                        <w:sz w:val="18"/>
                        <w:szCs w:val="18"/>
                      </w:rPr>
                      <w:t>2014</w:t>
                    </w:r>
                    <w:r w:rsidRPr="000A3997">
                      <w:rPr>
                        <w:rFonts w:cs="Arial" w:hint="eastAsia"/>
                        <w:b/>
                        <w:bCs/>
                        <w:color w:val="000000"/>
                        <w:sz w:val="18"/>
                        <w:szCs w:val="18"/>
                      </w:rPr>
                      <w:t>年</w:t>
                    </w:r>
                    <w:r w:rsidRPr="000A3997">
                      <w:rPr>
                        <w:rFonts w:ascii="Arial" w:hAnsi="Arial" w:cs="Arial"/>
                        <w:b/>
                        <w:bCs/>
                        <w:color w:val="000000"/>
                        <w:sz w:val="18"/>
                        <w:szCs w:val="18"/>
                      </w:rPr>
                      <w:t>12</w:t>
                    </w:r>
                    <w:r w:rsidRPr="000A3997">
                      <w:rPr>
                        <w:rFonts w:cs="Arial" w:hint="eastAsia"/>
                        <w:b/>
                        <w:bCs/>
                        <w:color w:val="000000"/>
                        <w:sz w:val="18"/>
                        <w:szCs w:val="18"/>
                      </w:rPr>
                      <w:t>月</w:t>
                    </w:r>
                    <w:r w:rsidRPr="000A3997">
                      <w:rPr>
                        <w:rFonts w:ascii="Arial" w:hAnsi="Arial" w:cs="Arial"/>
                        <w:b/>
                        <w:bCs/>
                        <w:color w:val="000000"/>
                        <w:sz w:val="18"/>
                        <w:szCs w:val="18"/>
                      </w:rPr>
                      <w:t>31</w:t>
                    </w:r>
                    <w:r w:rsidRPr="000A3997">
                      <w:rPr>
                        <w:rFonts w:cs="Arial" w:hint="eastAsia"/>
                        <w:b/>
                        <w:bCs/>
                        <w:color w:val="000000"/>
                        <w:sz w:val="18"/>
                        <w:szCs w:val="18"/>
                      </w:rPr>
                      <w:t>日金额</w:t>
                    </w:r>
                  </w:p>
                </w:tc>
              </w:tr>
              <w:tr w:rsidR="00DE031E" w:rsidRPr="000A3997" w:rsidTr="00DE031E">
                <w:trPr>
                  <w:trHeight w:val="270"/>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DE031E" w:rsidRPr="000A3997" w:rsidRDefault="001C1A59" w:rsidP="00DE031E">
                    <w:pPr>
                      <w:rPr>
                        <w:color w:val="000000"/>
                        <w:sz w:val="18"/>
                        <w:szCs w:val="18"/>
                      </w:rPr>
                    </w:pPr>
                    <w:r w:rsidRPr="000A3997">
                      <w:rPr>
                        <w:rFonts w:hint="eastAsia"/>
                        <w:color w:val="000000"/>
                        <w:sz w:val="18"/>
                        <w:szCs w:val="18"/>
                      </w:rPr>
                      <w:t>债券</w:t>
                    </w:r>
                  </w:p>
                </w:tc>
                <w:tc>
                  <w:tcPr>
                    <w:tcW w:w="1567" w:type="pct"/>
                    <w:tcBorders>
                      <w:top w:val="nil"/>
                      <w:left w:val="nil"/>
                      <w:bottom w:val="single" w:sz="4" w:space="0" w:color="auto"/>
                      <w:right w:val="single" w:sz="4" w:space="0" w:color="auto"/>
                    </w:tcBorders>
                    <w:shd w:val="clear" w:color="auto" w:fill="auto"/>
                    <w:vAlign w:val="center"/>
                    <w:hideMark/>
                  </w:tcPr>
                  <w:p w:rsidR="00DE031E" w:rsidRPr="000A3997" w:rsidRDefault="001C1A59" w:rsidP="00DE031E">
                    <w:pPr>
                      <w:jc w:val="right"/>
                      <w:rPr>
                        <w:rFonts w:ascii="Arial" w:hAnsi="Arial" w:cs="Arial"/>
                        <w:color w:val="000000"/>
                        <w:sz w:val="18"/>
                        <w:szCs w:val="18"/>
                      </w:rPr>
                    </w:pPr>
                    <w:r w:rsidRPr="000A3997">
                      <w:rPr>
                        <w:rFonts w:ascii="Arial" w:hAnsi="Arial" w:cs="Arial"/>
                        <w:color w:val="000000"/>
                        <w:sz w:val="18"/>
                        <w:szCs w:val="18"/>
                      </w:rPr>
                      <w:t>6,122,082,167.84</w:t>
                    </w:r>
                  </w:p>
                </w:tc>
                <w:tc>
                  <w:tcPr>
                    <w:tcW w:w="1494" w:type="pct"/>
                    <w:tcBorders>
                      <w:top w:val="nil"/>
                      <w:left w:val="nil"/>
                      <w:bottom w:val="single" w:sz="4" w:space="0" w:color="auto"/>
                      <w:right w:val="single" w:sz="4" w:space="0" w:color="auto"/>
                    </w:tcBorders>
                    <w:shd w:val="clear" w:color="auto" w:fill="auto"/>
                    <w:vAlign w:val="center"/>
                    <w:hideMark/>
                  </w:tcPr>
                  <w:p w:rsidR="00DE031E" w:rsidRPr="000A3997" w:rsidRDefault="001C1A59" w:rsidP="00DE031E">
                    <w:pPr>
                      <w:jc w:val="right"/>
                      <w:rPr>
                        <w:rFonts w:ascii="Arial" w:hAnsi="Arial" w:cs="Arial"/>
                        <w:color w:val="000000"/>
                        <w:sz w:val="18"/>
                        <w:szCs w:val="18"/>
                      </w:rPr>
                    </w:pPr>
                    <w:r w:rsidRPr="000A3997">
                      <w:rPr>
                        <w:rFonts w:ascii="Arial" w:hAnsi="Arial" w:cs="Arial"/>
                        <w:color w:val="000000"/>
                        <w:sz w:val="18"/>
                        <w:szCs w:val="18"/>
                      </w:rPr>
                      <w:t>9,401,747,095.40</w:t>
                    </w:r>
                  </w:p>
                </w:tc>
              </w:tr>
            </w:tbl>
            <w:p w:rsidR="00DE031E" w:rsidRDefault="00DE031E"/>
            <w:p w:rsidR="00DE031E" w:rsidRDefault="001C1A59" w:rsidP="003A0284">
              <w:pPr>
                <w:pStyle w:val="Default"/>
                <w:spacing w:beforeLines="50" w:afterLines="50" w:line="276" w:lineRule="auto"/>
                <w:ind w:rightChars="20" w:right="42" w:firstLineChars="200" w:firstLine="440"/>
                <w:jc w:val="both"/>
                <w:rPr>
                  <w:rFonts w:asciiTheme="minorEastAsia" w:eastAsiaTheme="minorEastAsia" w:hAnsiTheme="minorEastAsia" w:cs="Arial"/>
                  <w:sz w:val="22"/>
                  <w:szCs w:val="22"/>
                </w:rPr>
              </w:pPr>
              <w:r w:rsidRPr="00FA1473">
                <w:rPr>
                  <w:rFonts w:ascii="Arial" w:eastAsiaTheme="majorEastAsia" w:hAnsi="Arial" w:cs="Arial" w:hint="eastAsia"/>
                  <w:color w:val="auto"/>
                  <w:kern w:val="2"/>
                  <w:sz w:val="22"/>
                  <w:szCs w:val="22"/>
                </w:rPr>
                <w:t>2</w:t>
              </w:r>
              <w:r>
                <w:rPr>
                  <w:rFonts w:ascii="Arial" w:eastAsiaTheme="majorEastAsia" w:hAnsi="Arial" w:cs="Arial" w:hint="eastAsia"/>
                  <w:color w:val="auto"/>
                  <w:kern w:val="2"/>
                  <w:sz w:val="22"/>
                  <w:szCs w:val="22"/>
                </w:rPr>
                <w:t>）</w:t>
              </w:r>
              <w:r w:rsidRPr="00FA1473">
                <w:rPr>
                  <w:rFonts w:asciiTheme="minorEastAsia" w:eastAsiaTheme="minorEastAsia" w:hAnsiTheme="minorEastAsia" w:cs="Arial"/>
                  <w:kern w:val="2"/>
                  <w:sz w:val="22"/>
                  <w:szCs w:val="22"/>
                </w:rPr>
                <w:t>为</w:t>
              </w:r>
              <w:r w:rsidRPr="00FA1473">
                <w:rPr>
                  <w:rFonts w:asciiTheme="minorEastAsia" w:eastAsiaTheme="minorEastAsia" w:hAnsiTheme="minorEastAsia" w:cs="Arial" w:hint="eastAsia"/>
                  <w:sz w:val="22"/>
                  <w:szCs w:val="22"/>
                </w:rPr>
                <w:t>债券借贷业务</w:t>
              </w:r>
              <w:r w:rsidRPr="00FA1473">
                <w:rPr>
                  <w:rFonts w:asciiTheme="minorEastAsia" w:eastAsiaTheme="minorEastAsia" w:hAnsiTheme="minorEastAsia" w:cs="Arial"/>
                  <w:kern w:val="2"/>
                  <w:sz w:val="22"/>
                  <w:szCs w:val="22"/>
                </w:rPr>
                <w:t>已</w:t>
              </w:r>
              <w:r w:rsidRPr="00FA1473">
                <w:rPr>
                  <w:rFonts w:asciiTheme="minorEastAsia" w:eastAsiaTheme="minorEastAsia" w:hAnsiTheme="minorEastAsia" w:cs="Arial"/>
                  <w:sz w:val="22"/>
                  <w:szCs w:val="22"/>
                </w:rPr>
                <w:t>设定质押的</w:t>
              </w:r>
              <w:r w:rsidRPr="00FA1473">
                <w:rPr>
                  <w:rFonts w:asciiTheme="minorEastAsia" w:eastAsiaTheme="minorEastAsia" w:hAnsiTheme="minorEastAsia" w:cs="Arial" w:hint="eastAsia"/>
                  <w:sz w:val="22"/>
                  <w:szCs w:val="22"/>
                </w:rPr>
                <w:t>可供出售</w:t>
              </w:r>
              <w:r w:rsidRPr="00FA1473">
                <w:rPr>
                  <w:rFonts w:asciiTheme="minorEastAsia" w:eastAsiaTheme="minorEastAsia" w:hAnsiTheme="minorEastAsia" w:cs="Arial"/>
                  <w:sz w:val="22"/>
                  <w:szCs w:val="22"/>
                </w:rPr>
                <w:t>金融资产账面价值见本</w:t>
              </w:r>
              <w:r w:rsidRPr="00FA1473">
                <w:rPr>
                  <w:rFonts w:asciiTheme="minorEastAsia" w:eastAsiaTheme="minorEastAsia" w:hAnsiTheme="minorEastAsia" w:cs="Arial" w:hint="eastAsia"/>
                  <w:sz w:val="22"/>
                  <w:szCs w:val="22"/>
                </w:rPr>
                <w:t>附注“十七、4</w:t>
              </w:r>
              <w:r w:rsidRPr="00FA1473">
                <w:rPr>
                  <w:rFonts w:asciiTheme="minorEastAsia" w:eastAsiaTheme="minorEastAsia" w:hAnsiTheme="minorEastAsia" w:cs="Arial"/>
                  <w:sz w:val="22"/>
                  <w:szCs w:val="22"/>
                </w:rPr>
                <w:t>.</w:t>
              </w:r>
              <w:r w:rsidRPr="00FA1473">
                <w:rPr>
                  <w:rFonts w:asciiTheme="minorEastAsia" w:eastAsiaTheme="minorEastAsia" w:hAnsiTheme="minorEastAsia" w:cs="Arial" w:hint="eastAsia"/>
                  <w:sz w:val="22"/>
                  <w:szCs w:val="22"/>
                </w:rPr>
                <w:t>（2）债券借贷业务”</w:t>
              </w:r>
              <w:r w:rsidRPr="00FA1473">
                <w:rPr>
                  <w:rFonts w:asciiTheme="minorEastAsia" w:eastAsiaTheme="minorEastAsia" w:hAnsiTheme="minorEastAsia" w:cs="Arial"/>
                  <w:sz w:val="22"/>
                  <w:szCs w:val="22"/>
                </w:rPr>
                <w:t>。</w:t>
              </w:r>
            </w:p>
            <w:p w:rsidR="00DE031E" w:rsidRDefault="001C1A59" w:rsidP="003A0284">
              <w:pPr>
                <w:pStyle w:val="Default"/>
                <w:spacing w:beforeLines="50" w:afterLines="50" w:line="276" w:lineRule="auto"/>
                <w:ind w:rightChars="20" w:right="42" w:firstLineChars="200" w:firstLine="440"/>
                <w:jc w:val="both"/>
                <w:rPr>
                  <w:rFonts w:ascii="Arial" w:eastAsiaTheme="majorEastAsia" w:hAnsi="Arial" w:cs="Arial"/>
                  <w:color w:val="auto"/>
                  <w:kern w:val="2"/>
                  <w:sz w:val="22"/>
                  <w:szCs w:val="22"/>
                </w:rPr>
              </w:pPr>
              <w:r w:rsidRPr="00730F81">
                <w:rPr>
                  <w:rFonts w:ascii="Arial" w:eastAsiaTheme="majorEastAsia" w:hAnsi="Arial" w:cs="Arial" w:hint="eastAsia"/>
                  <w:color w:val="auto"/>
                  <w:kern w:val="2"/>
                  <w:sz w:val="22"/>
                  <w:szCs w:val="22"/>
                </w:rPr>
                <w:t>3</w:t>
              </w:r>
              <w:r w:rsidRPr="00730F81">
                <w:rPr>
                  <w:rFonts w:ascii="Arial" w:eastAsiaTheme="majorEastAsia" w:hAnsi="Arial" w:cs="Arial"/>
                  <w:color w:val="auto"/>
                  <w:kern w:val="2"/>
                  <w:sz w:val="22"/>
                  <w:szCs w:val="22"/>
                </w:rPr>
                <w:t>）存在限售期限的可供出售金融资产</w:t>
              </w:r>
            </w:p>
            <w:p w:rsidR="00DE031E" w:rsidRPr="00687C1B" w:rsidRDefault="001C1A59" w:rsidP="003A0284">
              <w:pPr>
                <w:pStyle w:val="Default"/>
                <w:spacing w:beforeLines="50" w:afterLines="50" w:line="360" w:lineRule="auto"/>
                <w:ind w:rightChars="20" w:right="42" w:firstLineChars="200" w:firstLine="440"/>
                <w:jc w:val="both"/>
                <w:rPr>
                  <w:rFonts w:ascii="Arial" w:eastAsiaTheme="majorEastAsia" w:hAnsi="Arial" w:cs="Arial"/>
                  <w:color w:val="auto"/>
                  <w:kern w:val="2"/>
                  <w:sz w:val="22"/>
                  <w:szCs w:val="22"/>
                </w:rPr>
              </w:pPr>
              <w:r>
                <w:rPr>
                  <w:rFonts w:ascii="Arial" w:eastAsiaTheme="majorEastAsia" w:hAnsi="Arial" w:cs="Arial" w:hint="eastAsia"/>
                  <w:color w:val="auto"/>
                  <w:kern w:val="2"/>
                  <w:sz w:val="22"/>
                  <w:szCs w:val="22"/>
                </w:rPr>
                <w:t>截至</w:t>
              </w:r>
              <w:r>
                <w:rPr>
                  <w:rFonts w:ascii="Arial" w:eastAsiaTheme="majorEastAsia" w:hAnsi="Arial" w:cs="Arial" w:hint="eastAsia"/>
                  <w:color w:val="auto"/>
                  <w:kern w:val="2"/>
                  <w:sz w:val="22"/>
                  <w:szCs w:val="22"/>
                </w:rPr>
                <w:t>2015</w:t>
              </w:r>
              <w:r>
                <w:rPr>
                  <w:rFonts w:ascii="Arial" w:eastAsiaTheme="majorEastAsia" w:hAnsi="Arial" w:cs="Arial" w:hint="eastAsia"/>
                  <w:color w:val="auto"/>
                  <w:kern w:val="2"/>
                  <w:sz w:val="22"/>
                  <w:szCs w:val="22"/>
                </w:rPr>
                <w:t>年</w:t>
              </w:r>
              <w:r>
                <w:rPr>
                  <w:rFonts w:ascii="Arial" w:eastAsiaTheme="majorEastAsia" w:hAnsi="Arial" w:cs="Arial" w:hint="eastAsia"/>
                  <w:color w:val="auto"/>
                  <w:kern w:val="2"/>
                  <w:sz w:val="22"/>
                  <w:szCs w:val="22"/>
                </w:rPr>
                <w:t>6</w:t>
              </w:r>
              <w:r>
                <w:rPr>
                  <w:rFonts w:ascii="Arial" w:eastAsiaTheme="majorEastAsia" w:hAnsi="Arial" w:cs="Arial" w:hint="eastAsia"/>
                  <w:color w:val="auto"/>
                  <w:kern w:val="2"/>
                  <w:sz w:val="22"/>
                  <w:szCs w:val="22"/>
                </w:rPr>
                <w:t>月</w:t>
              </w:r>
              <w:r>
                <w:rPr>
                  <w:rFonts w:ascii="Arial" w:eastAsiaTheme="majorEastAsia" w:hAnsi="Arial" w:cs="Arial" w:hint="eastAsia"/>
                  <w:color w:val="auto"/>
                  <w:kern w:val="2"/>
                  <w:sz w:val="22"/>
                  <w:szCs w:val="22"/>
                </w:rPr>
                <w:t>30</w:t>
              </w:r>
              <w:r>
                <w:rPr>
                  <w:rFonts w:ascii="Arial" w:eastAsiaTheme="majorEastAsia" w:hAnsi="Arial" w:cs="Arial" w:hint="eastAsia"/>
                  <w:color w:val="auto"/>
                  <w:kern w:val="2"/>
                  <w:sz w:val="22"/>
                  <w:szCs w:val="22"/>
                </w:rPr>
                <w:t>日，</w:t>
              </w:r>
              <w:r w:rsidRPr="00687C1B">
                <w:rPr>
                  <w:rFonts w:ascii="Arial" w:eastAsiaTheme="majorEastAsia" w:hAnsi="Arial" w:cs="Arial"/>
                  <w:color w:val="auto"/>
                  <w:kern w:val="2"/>
                  <w:sz w:val="22"/>
                  <w:szCs w:val="22"/>
                </w:rPr>
                <w:t>存在限售期限的可供出售金融资产</w:t>
              </w:r>
            </w:p>
            <w:tbl>
              <w:tblPr>
                <w:tblW w:w="5000" w:type="pct"/>
                <w:tblLook w:val="04A0"/>
              </w:tblPr>
              <w:tblGrid>
                <w:gridCol w:w="4442"/>
                <w:gridCol w:w="62"/>
                <w:gridCol w:w="847"/>
                <w:gridCol w:w="62"/>
                <w:gridCol w:w="3636"/>
              </w:tblGrid>
              <w:tr w:rsidR="00DE031E" w:rsidRPr="000A3997" w:rsidTr="00DE031E">
                <w:trPr>
                  <w:trHeight w:val="340"/>
                  <w:tblHeader/>
                </w:trPr>
                <w:tc>
                  <w:tcPr>
                    <w:tcW w:w="2519" w:type="pct"/>
                    <w:tcBorders>
                      <w:top w:val="nil"/>
                      <w:left w:val="nil"/>
                      <w:bottom w:val="nil"/>
                      <w:right w:val="nil"/>
                    </w:tcBorders>
                    <w:shd w:val="clear" w:color="auto" w:fill="auto"/>
                    <w:noWrap/>
                    <w:vAlign w:val="center"/>
                    <w:hideMark/>
                  </w:tcPr>
                  <w:p w:rsidR="00DE031E" w:rsidRPr="000A3997" w:rsidRDefault="001C1A59" w:rsidP="00DE031E">
                    <w:pPr>
                      <w:spacing w:line="240" w:lineRule="exact"/>
                      <w:rPr>
                        <w:rFonts w:ascii="Arial" w:hAnsi="Arial" w:cs="Arial"/>
                        <w:b/>
                        <w:bCs/>
                        <w:sz w:val="18"/>
                        <w:szCs w:val="18"/>
                      </w:rPr>
                    </w:pPr>
                    <w:r w:rsidRPr="000A3997">
                      <w:rPr>
                        <w:rFonts w:ascii="Arial" w:hAnsi="Arial" w:cs="Arial"/>
                        <w:b/>
                        <w:bCs/>
                        <w:sz w:val="18"/>
                        <w:szCs w:val="18"/>
                      </w:rPr>
                      <w:t>证券名称</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b/>
                        <w:bCs/>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spacing w:line="240" w:lineRule="exact"/>
                      <w:ind w:leftChars="-50" w:left="-105" w:rightChars="-50" w:right="-105"/>
                      <w:jc w:val="center"/>
                      <w:rPr>
                        <w:rFonts w:ascii="Arial" w:hAnsi="Arial" w:cs="Arial"/>
                        <w:b/>
                        <w:bCs/>
                        <w:sz w:val="18"/>
                        <w:szCs w:val="18"/>
                      </w:rPr>
                    </w:pPr>
                    <w:r w:rsidRPr="000A3997">
                      <w:rPr>
                        <w:rFonts w:ascii="Arial" w:hAnsi="Arial" w:cs="Arial"/>
                        <w:b/>
                        <w:bCs/>
                        <w:sz w:val="18"/>
                        <w:szCs w:val="18"/>
                      </w:rPr>
                      <w:t>证券代码</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right"/>
                      <w:rPr>
                        <w:rFonts w:ascii="Arial" w:hAnsi="Arial" w:cs="Arial"/>
                        <w:b/>
                        <w:bCs/>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spacing w:line="240" w:lineRule="exact"/>
                      <w:rPr>
                        <w:rFonts w:ascii="Arial" w:hAnsi="Arial" w:cs="Arial"/>
                        <w:b/>
                        <w:bCs/>
                        <w:sz w:val="18"/>
                        <w:szCs w:val="18"/>
                      </w:rPr>
                    </w:pPr>
                    <w:r w:rsidRPr="000A3997">
                      <w:rPr>
                        <w:rFonts w:ascii="Arial" w:hAnsi="Arial" w:cs="Arial"/>
                        <w:b/>
                        <w:bCs/>
                        <w:sz w:val="18"/>
                        <w:szCs w:val="18"/>
                      </w:rPr>
                      <w:t>限售解禁日</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招商证券股票星集合资产管理计划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880006</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招商证券智远避险二期集合资产管理计划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880012</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招商证券智远安赢集合资产管理计划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880020</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招商智远量化对冲集合资产管理计划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880501</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招商证券质押宝集合资产管理计划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880604</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招商证券质押宝</w:t>
                    </w:r>
                    <w:r w:rsidRPr="000A3997">
                      <w:rPr>
                        <w:rFonts w:ascii="Arial" w:hAnsi="Arial" w:cs="Arial"/>
                        <w:color w:val="000000"/>
                        <w:sz w:val="18"/>
                        <w:szCs w:val="18"/>
                      </w:rPr>
                      <w:t>3</w:t>
                    </w:r>
                    <w:r w:rsidRPr="000A3997">
                      <w:rPr>
                        <w:rFonts w:ascii="Arial" w:hAnsi="Arial" w:cs="Arial"/>
                        <w:color w:val="000000"/>
                        <w:sz w:val="18"/>
                        <w:szCs w:val="18"/>
                      </w:rPr>
                      <w:t>号集合资产管理计划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880801</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招商证券质押宝</w:t>
                    </w:r>
                    <w:r w:rsidRPr="000A3997">
                      <w:rPr>
                        <w:rFonts w:ascii="Arial" w:hAnsi="Arial" w:cs="Arial"/>
                        <w:color w:val="000000"/>
                        <w:sz w:val="18"/>
                        <w:szCs w:val="18"/>
                      </w:rPr>
                      <w:t>2</w:t>
                    </w:r>
                    <w:r w:rsidRPr="000A3997">
                      <w:rPr>
                        <w:rFonts w:ascii="Arial" w:hAnsi="Arial" w:cs="Arial"/>
                        <w:color w:val="000000"/>
                        <w:sz w:val="18"/>
                        <w:szCs w:val="18"/>
                      </w:rPr>
                      <w:t>号集合资产管理计划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880901</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招商证券沪深</w:t>
                    </w:r>
                    <w:r w:rsidRPr="000A3997">
                      <w:rPr>
                        <w:rFonts w:ascii="Arial" w:hAnsi="Arial" w:cs="Arial"/>
                        <w:color w:val="000000"/>
                        <w:sz w:val="18"/>
                        <w:szCs w:val="18"/>
                      </w:rPr>
                      <w:t>300“</w:t>
                    </w:r>
                    <w:r w:rsidRPr="000A3997">
                      <w:rPr>
                        <w:rFonts w:ascii="Arial" w:hAnsi="Arial" w:cs="Arial"/>
                        <w:color w:val="000000"/>
                        <w:sz w:val="18"/>
                        <w:szCs w:val="18"/>
                      </w:rPr>
                      <w:t>一触即发</w:t>
                    </w:r>
                    <w:r w:rsidRPr="000A3997">
                      <w:rPr>
                        <w:rFonts w:ascii="Arial" w:hAnsi="Arial" w:cs="Arial"/>
                        <w:color w:val="000000"/>
                        <w:sz w:val="18"/>
                        <w:szCs w:val="18"/>
                      </w:rPr>
                      <w:t>”3</w:t>
                    </w:r>
                    <w:r w:rsidRPr="000A3997">
                      <w:rPr>
                        <w:rFonts w:ascii="Arial" w:hAnsi="Arial" w:cs="Arial"/>
                        <w:color w:val="000000"/>
                        <w:sz w:val="18"/>
                        <w:szCs w:val="18"/>
                      </w:rPr>
                      <w:t>期集合资产管理计划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881305</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招商证券沪深</w:t>
                    </w:r>
                    <w:r w:rsidRPr="000A3997">
                      <w:rPr>
                        <w:rFonts w:ascii="Arial" w:hAnsi="Arial" w:cs="Arial"/>
                        <w:color w:val="000000"/>
                        <w:sz w:val="18"/>
                        <w:szCs w:val="18"/>
                      </w:rPr>
                      <w:t>300“</w:t>
                    </w:r>
                    <w:r w:rsidRPr="000A3997">
                      <w:rPr>
                        <w:rFonts w:ascii="Arial" w:hAnsi="Arial" w:cs="Arial"/>
                        <w:color w:val="000000"/>
                        <w:sz w:val="18"/>
                        <w:szCs w:val="18"/>
                      </w:rPr>
                      <w:t>一触即发</w:t>
                    </w:r>
                    <w:r w:rsidRPr="000A3997">
                      <w:rPr>
                        <w:rFonts w:ascii="Arial" w:hAnsi="Arial" w:cs="Arial"/>
                        <w:color w:val="000000"/>
                        <w:sz w:val="18"/>
                        <w:szCs w:val="18"/>
                      </w:rPr>
                      <w:t>”5</w:t>
                    </w:r>
                    <w:r w:rsidRPr="000A3997">
                      <w:rPr>
                        <w:rFonts w:ascii="Arial" w:hAnsi="Arial" w:cs="Arial"/>
                        <w:color w:val="000000"/>
                        <w:sz w:val="18"/>
                        <w:szCs w:val="18"/>
                      </w:rPr>
                      <w:t>期集合资产管理计划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881505</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作为管理人承诺存续期内不退出</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lastRenderedPageBreak/>
                      <w:t>招商证券智融宝集合资产管理计划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eastAsia="Arial Unicode MS"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881601</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eastAsia="Arial Unicode MS"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招商证券智融宝</w:t>
                    </w:r>
                    <w:r w:rsidRPr="000A3997">
                      <w:rPr>
                        <w:rFonts w:ascii="Arial" w:hAnsi="Arial" w:cs="Arial"/>
                        <w:color w:val="000000"/>
                        <w:sz w:val="18"/>
                        <w:szCs w:val="18"/>
                      </w:rPr>
                      <w:t>2</w:t>
                    </w:r>
                    <w:r w:rsidRPr="000A3997">
                      <w:rPr>
                        <w:rFonts w:ascii="Arial" w:hAnsi="Arial" w:cs="Arial"/>
                        <w:color w:val="000000"/>
                        <w:sz w:val="18"/>
                        <w:szCs w:val="18"/>
                      </w:rPr>
                      <w:t>号集合资产管理计划</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eastAsia="Arial Unicode MS"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881901</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eastAsia="Arial Unicode MS"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华润信托</w:t>
                    </w:r>
                    <w:r w:rsidRPr="000A3997">
                      <w:rPr>
                        <w:rFonts w:ascii="Arial" w:hAnsi="Arial" w:cs="Arial"/>
                        <w:color w:val="000000"/>
                        <w:sz w:val="18"/>
                        <w:szCs w:val="18"/>
                      </w:rPr>
                      <w:t>.</w:t>
                    </w:r>
                    <w:r w:rsidRPr="000A3997">
                      <w:rPr>
                        <w:rFonts w:ascii="Arial" w:hAnsi="Arial" w:cs="Arial"/>
                        <w:color w:val="000000"/>
                        <w:sz w:val="18"/>
                        <w:szCs w:val="18"/>
                      </w:rPr>
                      <w:t>睿致</w:t>
                    </w:r>
                    <w:r w:rsidRPr="000A3997">
                      <w:rPr>
                        <w:rFonts w:ascii="Arial" w:hAnsi="Arial" w:cs="Arial"/>
                        <w:color w:val="000000"/>
                        <w:sz w:val="18"/>
                        <w:szCs w:val="18"/>
                      </w:rPr>
                      <w:t>1</w:t>
                    </w:r>
                    <w:r w:rsidRPr="000A3997">
                      <w:rPr>
                        <w:rFonts w:ascii="Arial" w:hAnsi="Arial" w:cs="Arial"/>
                        <w:color w:val="000000"/>
                        <w:sz w:val="18"/>
                        <w:szCs w:val="18"/>
                      </w:rPr>
                      <w:t>号信托</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eastAsia="Arial Unicode MS"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XT0004</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eastAsia="Arial Unicode MS"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华润信托</w:t>
                    </w:r>
                    <w:r w:rsidRPr="000A3997">
                      <w:rPr>
                        <w:rFonts w:ascii="Arial" w:hAnsi="Arial" w:cs="Arial"/>
                        <w:color w:val="000000"/>
                        <w:sz w:val="18"/>
                        <w:szCs w:val="18"/>
                      </w:rPr>
                      <w:t>·</w:t>
                    </w:r>
                    <w:r w:rsidRPr="000A3997">
                      <w:rPr>
                        <w:rFonts w:ascii="Arial" w:hAnsi="Arial" w:cs="Arial"/>
                        <w:color w:val="000000"/>
                        <w:sz w:val="18"/>
                        <w:szCs w:val="18"/>
                      </w:rPr>
                      <w:t>睿致</w:t>
                    </w:r>
                    <w:r w:rsidRPr="000A3997">
                      <w:rPr>
                        <w:rFonts w:ascii="Arial" w:hAnsi="Arial" w:cs="Arial"/>
                        <w:color w:val="000000"/>
                        <w:sz w:val="18"/>
                        <w:szCs w:val="18"/>
                      </w:rPr>
                      <w:t>8</w:t>
                    </w:r>
                    <w:r w:rsidRPr="000A3997">
                      <w:rPr>
                        <w:rFonts w:ascii="Arial" w:hAnsi="Arial" w:cs="Arial"/>
                        <w:color w:val="000000"/>
                        <w:sz w:val="18"/>
                        <w:szCs w:val="18"/>
                      </w:rPr>
                      <w:t>号信托</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XT0008</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313E71" w:rsidP="00DE031E">
                    <w:pPr>
                      <w:rPr>
                        <w:rFonts w:ascii="Arial" w:hAnsi="Arial" w:cs="Arial"/>
                        <w:color w:val="000000"/>
                        <w:sz w:val="18"/>
                        <w:szCs w:val="18"/>
                      </w:rPr>
                    </w:pPr>
                    <w:r>
                      <w:rPr>
                        <w:rFonts w:ascii="Arial" w:hAnsi="Arial" w:cs="Arial"/>
                        <w:color w:val="000000"/>
                        <w:sz w:val="18"/>
                        <w:szCs w:val="18"/>
                      </w:rPr>
                      <w:t>华润</w:t>
                    </w:r>
                    <w:r w:rsidR="001C1A59" w:rsidRPr="000A3997">
                      <w:rPr>
                        <w:rFonts w:ascii="Arial" w:hAnsi="Arial" w:cs="Arial"/>
                        <w:color w:val="000000"/>
                        <w:sz w:val="18"/>
                        <w:szCs w:val="18"/>
                      </w:rPr>
                      <w:t>信托</w:t>
                    </w:r>
                    <w:r w:rsidR="001C1A59" w:rsidRPr="000A3997">
                      <w:rPr>
                        <w:rFonts w:ascii="Arial" w:hAnsi="Arial" w:cs="Arial"/>
                        <w:color w:val="000000"/>
                        <w:sz w:val="18"/>
                        <w:szCs w:val="18"/>
                      </w:rPr>
                      <w:t>·</w:t>
                    </w:r>
                    <w:r w:rsidR="001C1A59" w:rsidRPr="000A3997">
                      <w:rPr>
                        <w:rFonts w:ascii="Arial" w:hAnsi="Arial" w:cs="Arial"/>
                        <w:color w:val="000000"/>
                        <w:sz w:val="18"/>
                        <w:szCs w:val="18"/>
                      </w:rPr>
                      <w:t>丰利</w:t>
                    </w:r>
                    <w:r w:rsidR="001C1A59" w:rsidRPr="000A3997">
                      <w:rPr>
                        <w:rFonts w:ascii="Arial" w:hAnsi="Arial" w:cs="Arial"/>
                        <w:color w:val="000000"/>
                        <w:sz w:val="18"/>
                        <w:szCs w:val="18"/>
                      </w:rPr>
                      <w:t>1</w:t>
                    </w:r>
                    <w:r w:rsidR="001C1A59" w:rsidRPr="000A3997">
                      <w:rPr>
                        <w:rFonts w:ascii="Arial" w:hAnsi="Arial" w:cs="Arial"/>
                        <w:color w:val="000000"/>
                        <w:sz w:val="18"/>
                        <w:szCs w:val="18"/>
                      </w:rPr>
                      <w:t>号</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XT0009</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长安信托</w:t>
                    </w:r>
                    <w:r w:rsidRPr="000A3997">
                      <w:rPr>
                        <w:rFonts w:ascii="Arial" w:hAnsi="Arial" w:cs="Arial"/>
                        <w:color w:val="000000"/>
                        <w:sz w:val="18"/>
                        <w:szCs w:val="18"/>
                      </w:rPr>
                      <w:t>·</w:t>
                    </w:r>
                    <w:r w:rsidRPr="000A3997">
                      <w:rPr>
                        <w:rFonts w:ascii="Arial" w:hAnsi="Arial" w:cs="Arial"/>
                        <w:color w:val="000000"/>
                        <w:sz w:val="18"/>
                        <w:szCs w:val="18"/>
                      </w:rPr>
                      <w:t>汇势通纯债投资</w:t>
                    </w:r>
                    <w:r w:rsidRPr="000A3997">
                      <w:rPr>
                        <w:rFonts w:ascii="Arial" w:hAnsi="Arial" w:cs="Arial"/>
                        <w:color w:val="000000"/>
                        <w:sz w:val="18"/>
                        <w:szCs w:val="18"/>
                      </w:rPr>
                      <w:t>2</w:t>
                    </w:r>
                    <w:r w:rsidRPr="000A3997">
                      <w:rPr>
                        <w:rFonts w:ascii="Arial" w:hAnsi="Arial" w:cs="Arial"/>
                        <w:color w:val="000000"/>
                        <w:sz w:val="18"/>
                        <w:szCs w:val="18"/>
                      </w:rPr>
                      <w:t>期</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XT0010</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华润信托</w:t>
                    </w:r>
                    <w:r w:rsidRPr="000A3997">
                      <w:rPr>
                        <w:rFonts w:ascii="Arial" w:hAnsi="Arial" w:cs="Arial"/>
                        <w:color w:val="000000"/>
                        <w:sz w:val="18"/>
                        <w:szCs w:val="18"/>
                      </w:rPr>
                      <w:t>·</w:t>
                    </w:r>
                    <w:r w:rsidRPr="000A3997">
                      <w:rPr>
                        <w:rFonts w:ascii="Arial" w:hAnsi="Arial" w:cs="Arial"/>
                        <w:color w:val="000000"/>
                        <w:sz w:val="18"/>
                        <w:szCs w:val="18"/>
                      </w:rPr>
                      <w:t>睿致</w:t>
                    </w:r>
                    <w:r w:rsidRPr="000A3997">
                      <w:rPr>
                        <w:rFonts w:ascii="Arial" w:hAnsi="Arial" w:cs="Arial"/>
                        <w:color w:val="000000"/>
                        <w:sz w:val="18"/>
                        <w:szCs w:val="18"/>
                      </w:rPr>
                      <w:t>17</w:t>
                    </w:r>
                    <w:r w:rsidRPr="000A3997">
                      <w:rPr>
                        <w:rFonts w:ascii="Arial" w:hAnsi="Arial" w:cs="Arial"/>
                        <w:color w:val="000000"/>
                        <w:sz w:val="18"/>
                        <w:szCs w:val="18"/>
                      </w:rPr>
                      <w:t>号</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XT0011</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外贸信托汇鑫</w:t>
                    </w:r>
                    <w:r w:rsidRPr="000A3997">
                      <w:rPr>
                        <w:rFonts w:ascii="Arial" w:hAnsi="Arial" w:cs="Arial"/>
                        <w:color w:val="000000"/>
                        <w:sz w:val="18"/>
                        <w:szCs w:val="18"/>
                      </w:rPr>
                      <w:t>91</w:t>
                    </w:r>
                    <w:r w:rsidRPr="000A3997">
                      <w:rPr>
                        <w:rFonts w:ascii="Arial" w:hAnsi="Arial" w:cs="Arial"/>
                        <w:color w:val="000000"/>
                        <w:sz w:val="18"/>
                        <w:szCs w:val="18"/>
                      </w:rPr>
                      <w:t>号第</w:t>
                    </w:r>
                    <w:r w:rsidRPr="000A3997">
                      <w:rPr>
                        <w:rFonts w:ascii="Arial" w:hAnsi="Arial" w:cs="Arial"/>
                        <w:color w:val="000000"/>
                        <w:sz w:val="18"/>
                        <w:szCs w:val="18"/>
                      </w:rPr>
                      <w:t>3</w:t>
                    </w:r>
                    <w:r w:rsidRPr="000A3997">
                      <w:rPr>
                        <w:rFonts w:ascii="Arial" w:hAnsi="Arial" w:cs="Arial"/>
                        <w:color w:val="000000"/>
                        <w:sz w:val="18"/>
                        <w:szCs w:val="18"/>
                      </w:rPr>
                      <w:t>期</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XT0013</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认购次级档承诺存续期内保持约定杠杆比例</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长亮科技</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300348</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 xml:space="preserve">2016 </w:t>
                    </w:r>
                    <w:r w:rsidRPr="000A3997">
                      <w:rPr>
                        <w:rFonts w:ascii="Arial" w:hAnsi="Arial" w:cs="Arial"/>
                        <w:color w:val="000000"/>
                        <w:sz w:val="18"/>
                        <w:szCs w:val="18"/>
                      </w:rPr>
                      <w:t>年</w:t>
                    </w:r>
                    <w:r w:rsidRPr="000A3997">
                      <w:rPr>
                        <w:rFonts w:ascii="Arial" w:hAnsi="Arial" w:cs="Arial"/>
                        <w:color w:val="000000"/>
                        <w:sz w:val="18"/>
                        <w:szCs w:val="18"/>
                      </w:rPr>
                      <w:t xml:space="preserve">2 </w:t>
                    </w:r>
                    <w:r w:rsidRPr="000A3997">
                      <w:rPr>
                        <w:rFonts w:ascii="Arial" w:hAnsi="Arial" w:cs="Arial"/>
                        <w:color w:val="000000"/>
                        <w:sz w:val="18"/>
                        <w:szCs w:val="18"/>
                      </w:rPr>
                      <w:t>月</w:t>
                    </w:r>
                    <w:r w:rsidRPr="000A3997">
                      <w:rPr>
                        <w:rFonts w:ascii="Arial" w:hAnsi="Arial" w:cs="Arial"/>
                        <w:color w:val="000000"/>
                        <w:sz w:val="18"/>
                        <w:szCs w:val="18"/>
                      </w:rPr>
                      <w:t xml:space="preserve">17 </w:t>
                    </w:r>
                    <w:r w:rsidRPr="000A3997">
                      <w:rPr>
                        <w:rFonts w:ascii="Arial" w:hAnsi="Arial" w:cs="Arial"/>
                        <w:color w:val="000000"/>
                        <w:sz w:val="18"/>
                        <w:szCs w:val="18"/>
                      </w:rPr>
                      <w:t>日</w:t>
                    </w:r>
                  </w:p>
                </w:tc>
              </w:tr>
              <w:tr w:rsidR="00DE031E" w:rsidRPr="000A3997" w:rsidTr="00DE031E">
                <w:trPr>
                  <w:trHeight w:val="340"/>
                </w:trPr>
                <w:tc>
                  <w:tcPr>
                    <w:tcW w:w="2519"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金贵银业</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456" w:type="pct"/>
                    <w:tcBorders>
                      <w:top w:val="nil"/>
                      <w:left w:val="nil"/>
                      <w:bottom w:val="nil"/>
                      <w:right w:val="nil"/>
                    </w:tcBorders>
                    <w:shd w:val="clear" w:color="auto" w:fill="auto"/>
                    <w:noWrap/>
                    <w:vAlign w:val="center"/>
                    <w:hideMark/>
                  </w:tcPr>
                  <w:p w:rsidR="00DE031E" w:rsidRPr="000A3997" w:rsidRDefault="001C1A59" w:rsidP="00DE031E">
                    <w:pPr>
                      <w:jc w:val="center"/>
                      <w:rPr>
                        <w:rFonts w:ascii="Arial" w:hAnsi="Arial" w:cs="Arial"/>
                        <w:color w:val="000000"/>
                        <w:sz w:val="18"/>
                        <w:szCs w:val="18"/>
                      </w:rPr>
                    </w:pPr>
                    <w:r w:rsidRPr="000A3997">
                      <w:rPr>
                        <w:rFonts w:ascii="Arial" w:hAnsi="Arial" w:cs="Arial"/>
                        <w:color w:val="000000"/>
                        <w:sz w:val="18"/>
                        <w:szCs w:val="18"/>
                      </w:rPr>
                      <w:t>002716</w:t>
                    </w:r>
                  </w:p>
                </w:tc>
                <w:tc>
                  <w:tcPr>
                    <w:tcW w:w="33" w:type="pct"/>
                    <w:tcBorders>
                      <w:top w:val="nil"/>
                      <w:left w:val="nil"/>
                      <w:bottom w:val="nil"/>
                      <w:right w:val="nil"/>
                    </w:tcBorders>
                    <w:shd w:val="clear" w:color="auto" w:fill="auto"/>
                    <w:noWrap/>
                    <w:tcMar>
                      <w:left w:w="28" w:type="dxa"/>
                      <w:right w:w="28" w:type="dxa"/>
                    </w:tcMar>
                    <w:vAlign w:val="center"/>
                    <w:hideMark/>
                  </w:tcPr>
                  <w:p w:rsidR="00DE031E" w:rsidRPr="000A3997" w:rsidRDefault="00DE031E" w:rsidP="00DE031E">
                    <w:pPr>
                      <w:spacing w:line="240" w:lineRule="exact"/>
                      <w:jc w:val="center"/>
                      <w:rPr>
                        <w:rFonts w:ascii="Arial" w:hAnsi="Arial" w:cs="Arial"/>
                        <w:sz w:val="18"/>
                        <w:szCs w:val="18"/>
                      </w:rPr>
                    </w:pPr>
                  </w:p>
                </w:tc>
                <w:tc>
                  <w:tcPr>
                    <w:tcW w:w="1958" w:type="pct"/>
                    <w:tcBorders>
                      <w:top w:val="nil"/>
                      <w:left w:val="nil"/>
                      <w:bottom w:val="nil"/>
                      <w:right w:val="nil"/>
                    </w:tcBorders>
                    <w:shd w:val="clear" w:color="auto" w:fill="auto"/>
                    <w:noWrap/>
                    <w:vAlign w:val="center"/>
                    <w:hideMark/>
                  </w:tcPr>
                  <w:p w:rsidR="00DE031E" w:rsidRPr="000A3997" w:rsidRDefault="001C1A59" w:rsidP="00DE031E">
                    <w:pPr>
                      <w:rPr>
                        <w:rFonts w:ascii="Arial" w:hAnsi="Arial" w:cs="Arial"/>
                        <w:color w:val="000000"/>
                        <w:sz w:val="18"/>
                        <w:szCs w:val="18"/>
                      </w:rPr>
                    </w:pPr>
                    <w:r w:rsidRPr="000A3997">
                      <w:rPr>
                        <w:rFonts w:ascii="Arial" w:hAnsi="Arial" w:cs="Arial"/>
                        <w:color w:val="000000"/>
                        <w:sz w:val="18"/>
                        <w:szCs w:val="18"/>
                      </w:rPr>
                      <w:t>2015</w:t>
                    </w:r>
                    <w:r w:rsidRPr="000A3997">
                      <w:rPr>
                        <w:rFonts w:ascii="Arial" w:hAnsi="Arial" w:cs="Arial"/>
                        <w:color w:val="000000"/>
                        <w:sz w:val="18"/>
                        <w:szCs w:val="18"/>
                      </w:rPr>
                      <w:t>年</w:t>
                    </w:r>
                    <w:r w:rsidRPr="000A3997">
                      <w:rPr>
                        <w:rFonts w:ascii="Arial" w:hAnsi="Arial" w:cs="Arial"/>
                        <w:color w:val="000000"/>
                        <w:sz w:val="18"/>
                        <w:szCs w:val="18"/>
                      </w:rPr>
                      <w:t>7</w:t>
                    </w:r>
                    <w:r w:rsidRPr="000A3997">
                      <w:rPr>
                        <w:rFonts w:ascii="Arial" w:hAnsi="Arial" w:cs="Arial"/>
                        <w:color w:val="000000"/>
                        <w:sz w:val="18"/>
                        <w:szCs w:val="18"/>
                      </w:rPr>
                      <w:t>月</w:t>
                    </w:r>
                    <w:r w:rsidRPr="000A3997">
                      <w:rPr>
                        <w:rFonts w:ascii="Arial" w:hAnsi="Arial" w:cs="Arial"/>
                        <w:color w:val="000000"/>
                        <w:sz w:val="18"/>
                        <w:szCs w:val="18"/>
                      </w:rPr>
                      <w:t>28</w:t>
                    </w:r>
                    <w:r w:rsidRPr="000A3997">
                      <w:rPr>
                        <w:rFonts w:ascii="Arial" w:hAnsi="Arial" w:cs="Arial"/>
                        <w:color w:val="000000"/>
                        <w:sz w:val="18"/>
                        <w:szCs w:val="18"/>
                      </w:rPr>
                      <w:t>日</w:t>
                    </w:r>
                    <w:r w:rsidRPr="000A3997">
                      <w:rPr>
                        <w:rFonts w:ascii="Arial" w:hAnsi="Arial" w:cs="Arial"/>
                        <w:color w:val="000000"/>
                        <w:sz w:val="18"/>
                        <w:szCs w:val="18"/>
                      </w:rPr>
                      <w:t>/2016</w:t>
                    </w:r>
                    <w:r w:rsidRPr="000A3997">
                      <w:rPr>
                        <w:rFonts w:ascii="Arial" w:hAnsi="Arial" w:cs="Arial"/>
                        <w:color w:val="000000"/>
                        <w:sz w:val="18"/>
                        <w:szCs w:val="18"/>
                      </w:rPr>
                      <w:t>年</w:t>
                    </w:r>
                    <w:r w:rsidRPr="000A3997">
                      <w:rPr>
                        <w:rFonts w:ascii="Arial" w:hAnsi="Arial" w:cs="Arial"/>
                        <w:color w:val="000000"/>
                        <w:sz w:val="18"/>
                        <w:szCs w:val="18"/>
                      </w:rPr>
                      <w:t>7</w:t>
                    </w:r>
                    <w:r w:rsidRPr="000A3997">
                      <w:rPr>
                        <w:rFonts w:ascii="Arial" w:hAnsi="Arial" w:cs="Arial"/>
                        <w:color w:val="000000"/>
                        <w:sz w:val="18"/>
                        <w:szCs w:val="18"/>
                      </w:rPr>
                      <w:t>月</w:t>
                    </w:r>
                    <w:r w:rsidRPr="000A3997">
                      <w:rPr>
                        <w:rFonts w:ascii="Arial" w:hAnsi="Arial" w:cs="Arial"/>
                        <w:color w:val="000000"/>
                        <w:sz w:val="18"/>
                        <w:szCs w:val="18"/>
                      </w:rPr>
                      <w:t>28</w:t>
                    </w:r>
                    <w:r w:rsidRPr="000A3997">
                      <w:rPr>
                        <w:rFonts w:ascii="Arial" w:hAnsi="Arial" w:cs="Arial"/>
                        <w:color w:val="000000"/>
                        <w:sz w:val="18"/>
                        <w:szCs w:val="18"/>
                      </w:rPr>
                      <w:t>日</w:t>
                    </w:r>
                  </w:p>
                </w:tc>
              </w:tr>
            </w:tbl>
            <w:p w:rsidR="00DE031E" w:rsidRPr="00480BD2" w:rsidRDefault="00422DCA">
              <w:pPr>
                <w:rPr>
                  <w:color w:val="000000" w:themeColor="text1"/>
                </w:rPr>
              </w:pPr>
            </w:p>
          </w:sdtContent>
        </w:sdt>
      </w:sdtContent>
    </w:sdt>
    <w:p w:rsidR="005A6509" w:rsidRDefault="001C1A59" w:rsidP="009950AC">
      <w:pPr>
        <w:pStyle w:val="3"/>
        <w:numPr>
          <w:ilvl w:val="0"/>
          <w:numId w:val="41"/>
        </w:numPr>
        <w:tabs>
          <w:tab w:val="left" w:pos="504"/>
        </w:tabs>
        <w:ind w:left="420"/>
        <w:rPr>
          <w:rFonts w:ascii="宋体" w:hAnsi="宋体"/>
          <w:szCs w:val="21"/>
        </w:rPr>
      </w:pPr>
      <w:r>
        <w:rPr>
          <w:rFonts w:ascii="宋体" w:hAnsi="宋体" w:hint="eastAsia"/>
          <w:szCs w:val="21"/>
        </w:rPr>
        <w:t>长期股权投资</w:t>
      </w:r>
    </w:p>
    <w:sdt>
      <w:sdtPr>
        <w:alias w:val="是否适用：长期股权投资"/>
        <w:tag w:val="_GBC_dd359881aba34fd784b714a23b845bd4"/>
        <w:id w:val="-1307781936"/>
        <w:lock w:val="sdtContentLocked"/>
      </w:sdtPr>
      <w:sdtContent>
        <w:p w:rsidR="005A6509" w:rsidRDefault="00422DCA">
          <w:r>
            <w:fldChar w:fldCharType="begin"/>
          </w:r>
          <w:r w:rsidR="005A6509">
            <w:instrText xml:space="preserve"> MACROBUTTON  SnrToggleCheckbox √适用 </w:instrText>
          </w:r>
          <w:r>
            <w:fldChar w:fldCharType="end"/>
          </w:r>
          <w:r>
            <w:fldChar w:fldCharType="begin"/>
          </w:r>
          <w:r w:rsidR="005A6509">
            <w:instrText xml:space="preserve"> MACROBUTTON  SnrToggleCheckbox □不适用 </w:instrText>
          </w:r>
          <w:r>
            <w:fldChar w:fldCharType="end"/>
          </w:r>
        </w:p>
      </w:sdtContent>
    </w:sdt>
    <w:p w:rsidR="00F6225B" w:rsidRDefault="00F6225B" w:rsidP="003A0284">
      <w:pPr>
        <w:pStyle w:val="Default"/>
        <w:numPr>
          <w:ilvl w:val="0"/>
          <w:numId w:val="83"/>
        </w:numPr>
        <w:spacing w:before="240" w:afterLines="50" w:line="360" w:lineRule="exact"/>
        <w:ind w:rightChars="20" w:right="42"/>
        <w:jc w:val="both"/>
        <w:rPr>
          <w:rFonts w:ascii="Arial" w:eastAsiaTheme="majorEastAsia" w:hAnsi="Arial" w:cs="Arial"/>
          <w:color w:val="auto"/>
          <w:kern w:val="2"/>
          <w:sz w:val="22"/>
          <w:szCs w:val="22"/>
        </w:rPr>
      </w:pPr>
      <w:r w:rsidRPr="00687C1B">
        <w:rPr>
          <w:rFonts w:ascii="Arial" w:eastAsiaTheme="majorEastAsia" w:hAnsi="Arial" w:cs="Arial"/>
          <w:color w:val="auto"/>
          <w:kern w:val="2"/>
          <w:sz w:val="22"/>
          <w:szCs w:val="22"/>
        </w:rPr>
        <w:t>按类别列示</w:t>
      </w:r>
    </w:p>
    <w:p w:rsidR="00F6225B" w:rsidRPr="00F6225B" w:rsidRDefault="00F6225B" w:rsidP="00F6225B">
      <w:pPr>
        <w:pStyle w:val="Default"/>
        <w:wordWrap w:val="0"/>
        <w:spacing w:before="240" w:line="360" w:lineRule="exact"/>
        <w:ind w:left="1162" w:rightChars="20" w:right="42"/>
        <w:jc w:val="right"/>
        <w:rPr>
          <w:rFonts w:ascii="宋体" w:eastAsia="宋体" w:hAnsi="宋体" w:cs="宋体"/>
          <w:color w:val="auto"/>
          <w:sz w:val="21"/>
          <w:szCs w:val="21"/>
        </w:rPr>
      </w:pPr>
      <w:r w:rsidRPr="00F6225B">
        <w:rPr>
          <w:rFonts w:ascii="宋体" w:eastAsia="宋体" w:hAnsi="宋体" w:cs="宋体" w:hint="eastAsia"/>
          <w:color w:val="auto"/>
          <w:sz w:val="21"/>
          <w:szCs w:val="21"/>
        </w:rPr>
        <w:t>单位：元  币种：人民币</w:t>
      </w:r>
    </w:p>
    <w:tbl>
      <w:tblPr>
        <w:tblW w:w="5000" w:type="pct"/>
        <w:tblLook w:val="04A0"/>
      </w:tblPr>
      <w:tblGrid>
        <w:gridCol w:w="3936"/>
        <w:gridCol w:w="2664"/>
        <w:gridCol w:w="2449"/>
      </w:tblGrid>
      <w:tr w:rsidR="00F6225B" w:rsidRPr="000A3997" w:rsidTr="00074DB6">
        <w:trPr>
          <w:trHeight w:val="270"/>
        </w:trPr>
        <w:tc>
          <w:tcPr>
            <w:tcW w:w="2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5B" w:rsidRPr="000A3997" w:rsidRDefault="00F6225B" w:rsidP="00074DB6">
            <w:pPr>
              <w:jc w:val="center"/>
              <w:rPr>
                <w:b/>
                <w:bCs/>
                <w:color w:val="000000"/>
                <w:sz w:val="18"/>
                <w:szCs w:val="18"/>
              </w:rPr>
            </w:pPr>
            <w:r w:rsidRPr="000A3997">
              <w:rPr>
                <w:rFonts w:hint="eastAsia"/>
                <w:b/>
                <w:bCs/>
                <w:color w:val="000000"/>
                <w:sz w:val="18"/>
                <w:szCs w:val="18"/>
              </w:rPr>
              <w:t>项目</w:t>
            </w:r>
          </w:p>
        </w:tc>
        <w:tc>
          <w:tcPr>
            <w:tcW w:w="1472" w:type="pct"/>
            <w:tcBorders>
              <w:top w:val="single" w:sz="4" w:space="0" w:color="auto"/>
              <w:left w:val="nil"/>
              <w:bottom w:val="single" w:sz="4" w:space="0" w:color="auto"/>
              <w:right w:val="single" w:sz="4" w:space="0" w:color="auto"/>
            </w:tcBorders>
            <w:shd w:val="clear" w:color="auto" w:fill="auto"/>
            <w:vAlign w:val="center"/>
            <w:hideMark/>
          </w:tcPr>
          <w:p w:rsidR="00F6225B" w:rsidRPr="000A3997" w:rsidRDefault="00F6225B" w:rsidP="00074DB6">
            <w:pPr>
              <w:jc w:val="center"/>
              <w:rPr>
                <w:rFonts w:ascii="Arial" w:hAnsi="Arial" w:cs="Arial"/>
                <w:b/>
                <w:bCs/>
                <w:color w:val="000000"/>
                <w:sz w:val="18"/>
                <w:szCs w:val="18"/>
              </w:rPr>
            </w:pPr>
            <w:r w:rsidRPr="000A3997">
              <w:rPr>
                <w:rFonts w:ascii="Arial" w:hAnsi="Arial" w:cs="Arial"/>
                <w:b/>
                <w:bCs/>
                <w:color w:val="000000"/>
                <w:sz w:val="18"/>
                <w:szCs w:val="18"/>
              </w:rPr>
              <w:t>2015</w:t>
            </w:r>
            <w:r w:rsidRPr="000A3997">
              <w:rPr>
                <w:rFonts w:ascii="Arial" w:hAnsi="Arial" w:cs="Arial"/>
                <w:b/>
                <w:bCs/>
                <w:color w:val="000000"/>
                <w:sz w:val="18"/>
                <w:szCs w:val="18"/>
              </w:rPr>
              <w:t>年</w:t>
            </w:r>
            <w:r w:rsidRPr="000A3997">
              <w:rPr>
                <w:rFonts w:ascii="Arial" w:hAnsi="Arial" w:cs="Arial"/>
                <w:b/>
                <w:bCs/>
                <w:color w:val="000000"/>
                <w:sz w:val="18"/>
                <w:szCs w:val="18"/>
              </w:rPr>
              <w:t>6</w:t>
            </w:r>
            <w:r w:rsidRPr="000A3997">
              <w:rPr>
                <w:rFonts w:ascii="Arial" w:hAnsi="Arial" w:cs="Arial"/>
                <w:b/>
                <w:bCs/>
                <w:color w:val="000000"/>
                <w:sz w:val="18"/>
                <w:szCs w:val="18"/>
              </w:rPr>
              <w:t>月</w:t>
            </w:r>
            <w:r w:rsidRPr="000A3997">
              <w:rPr>
                <w:rFonts w:ascii="Arial" w:hAnsi="Arial" w:cs="Arial"/>
                <w:b/>
                <w:bCs/>
                <w:color w:val="000000"/>
                <w:sz w:val="18"/>
                <w:szCs w:val="18"/>
              </w:rPr>
              <w:t>30</w:t>
            </w:r>
            <w:r w:rsidRPr="000A3997">
              <w:rPr>
                <w:rFonts w:ascii="Arial" w:hAnsi="Arial" w:cs="Arial"/>
                <w:b/>
                <w:bCs/>
                <w:color w:val="000000"/>
                <w:sz w:val="18"/>
                <w:szCs w:val="18"/>
              </w:rPr>
              <w:t>日</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rsidR="00F6225B" w:rsidRPr="000A3997" w:rsidRDefault="00F6225B" w:rsidP="00074DB6">
            <w:pPr>
              <w:jc w:val="center"/>
              <w:rPr>
                <w:rFonts w:ascii="Arial" w:hAnsi="Arial" w:cs="Arial"/>
                <w:b/>
                <w:bCs/>
                <w:color w:val="000000"/>
                <w:sz w:val="18"/>
                <w:szCs w:val="18"/>
              </w:rPr>
            </w:pPr>
            <w:r w:rsidRPr="000A3997">
              <w:rPr>
                <w:rFonts w:ascii="Arial" w:hAnsi="Arial" w:cs="Arial"/>
                <w:b/>
                <w:bCs/>
                <w:color w:val="000000"/>
                <w:sz w:val="18"/>
                <w:szCs w:val="18"/>
              </w:rPr>
              <w:t>2014</w:t>
            </w:r>
            <w:r w:rsidRPr="000A3997">
              <w:rPr>
                <w:rFonts w:ascii="Arial" w:hAnsi="Arial" w:cs="Arial"/>
                <w:b/>
                <w:bCs/>
                <w:color w:val="000000"/>
                <w:sz w:val="18"/>
                <w:szCs w:val="18"/>
              </w:rPr>
              <w:t>年</w:t>
            </w:r>
            <w:r w:rsidRPr="000A3997">
              <w:rPr>
                <w:rFonts w:ascii="Arial" w:hAnsi="Arial" w:cs="Arial"/>
                <w:b/>
                <w:bCs/>
                <w:color w:val="000000"/>
                <w:sz w:val="18"/>
                <w:szCs w:val="18"/>
              </w:rPr>
              <w:t>12</w:t>
            </w:r>
            <w:r w:rsidRPr="000A3997">
              <w:rPr>
                <w:rFonts w:ascii="Arial" w:hAnsi="Arial" w:cs="Arial"/>
                <w:b/>
                <w:bCs/>
                <w:color w:val="000000"/>
                <w:sz w:val="18"/>
                <w:szCs w:val="18"/>
              </w:rPr>
              <w:t>月</w:t>
            </w:r>
            <w:r w:rsidRPr="000A3997">
              <w:rPr>
                <w:rFonts w:ascii="Arial" w:hAnsi="Arial" w:cs="Arial"/>
                <w:b/>
                <w:bCs/>
                <w:color w:val="000000"/>
                <w:sz w:val="18"/>
                <w:szCs w:val="18"/>
              </w:rPr>
              <w:t>31</w:t>
            </w:r>
            <w:r w:rsidRPr="000A3997">
              <w:rPr>
                <w:rFonts w:ascii="Arial" w:hAnsi="Arial" w:cs="Arial"/>
                <w:b/>
                <w:bCs/>
                <w:color w:val="000000"/>
                <w:sz w:val="18"/>
                <w:szCs w:val="18"/>
              </w:rPr>
              <w:t>日</w:t>
            </w:r>
          </w:p>
        </w:tc>
      </w:tr>
      <w:tr w:rsidR="00F6225B" w:rsidRPr="000A3997" w:rsidTr="00074DB6">
        <w:trPr>
          <w:trHeight w:val="270"/>
        </w:trPr>
        <w:tc>
          <w:tcPr>
            <w:tcW w:w="2175" w:type="pct"/>
            <w:tcBorders>
              <w:top w:val="nil"/>
              <w:left w:val="single" w:sz="4" w:space="0" w:color="auto"/>
              <w:bottom w:val="single" w:sz="4" w:space="0" w:color="auto"/>
              <w:right w:val="single" w:sz="4" w:space="0" w:color="auto"/>
            </w:tcBorders>
            <w:shd w:val="clear" w:color="auto" w:fill="auto"/>
            <w:noWrap/>
            <w:vAlign w:val="center"/>
            <w:hideMark/>
          </w:tcPr>
          <w:p w:rsidR="00F6225B" w:rsidRPr="000A3997" w:rsidRDefault="00F6225B" w:rsidP="00074DB6">
            <w:pPr>
              <w:rPr>
                <w:color w:val="000000"/>
                <w:sz w:val="18"/>
                <w:szCs w:val="18"/>
              </w:rPr>
            </w:pPr>
            <w:r w:rsidRPr="000A3997">
              <w:rPr>
                <w:rFonts w:hint="eastAsia"/>
                <w:color w:val="000000"/>
                <w:sz w:val="18"/>
                <w:szCs w:val="18"/>
              </w:rPr>
              <w:t>对子公司投资</w:t>
            </w:r>
          </w:p>
        </w:tc>
        <w:tc>
          <w:tcPr>
            <w:tcW w:w="1472"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color w:val="000000"/>
                <w:sz w:val="18"/>
                <w:szCs w:val="18"/>
              </w:rPr>
            </w:pPr>
            <w:r w:rsidRPr="000A3997">
              <w:rPr>
                <w:rFonts w:ascii="Arial" w:hAnsi="Arial" w:cs="Arial"/>
                <w:color w:val="000000"/>
                <w:sz w:val="18"/>
                <w:szCs w:val="18"/>
              </w:rPr>
              <w:t xml:space="preserve">　</w:t>
            </w:r>
          </w:p>
        </w:tc>
        <w:tc>
          <w:tcPr>
            <w:tcW w:w="1353"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color w:val="000000"/>
                <w:sz w:val="18"/>
                <w:szCs w:val="18"/>
              </w:rPr>
            </w:pPr>
            <w:r w:rsidRPr="000A3997">
              <w:rPr>
                <w:rFonts w:ascii="Arial" w:hAnsi="Arial" w:cs="Arial"/>
                <w:color w:val="000000"/>
                <w:sz w:val="18"/>
                <w:szCs w:val="18"/>
              </w:rPr>
              <w:t xml:space="preserve">　</w:t>
            </w:r>
          </w:p>
        </w:tc>
      </w:tr>
      <w:tr w:rsidR="00F6225B" w:rsidRPr="000A3997" w:rsidTr="00074DB6">
        <w:trPr>
          <w:trHeight w:val="270"/>
        </w:trPr>
        <w:tc>
          <w:tcPr>
            <w:tcW w:w="2175" w:type="pct"/>
            <w:tcBorders>
              <w:top w:val="nil"/>
              <w:left w:val="single" w:sz="4" w:space="0" w:color="auto"/>
              <w:bottom w:val="single" w:sz="4" w:space="0" w:color="auto"/>
              <w:right w:val="single" w:sz="4" w:space="0" w:color="auto"/>
            </w:tcBorders>
            <w:shd w:val="clear" w:color="auto" w:fill="auto"/>
            <w:noWrap/>
            <w:vAlign w:val="center"/>
            <w:hideMark/>
          </w:tcPr>
          <w:p w:rsidR="00F6225B" w:rsidRPr="000A3997" w:rsidRDefault="00F6225B" w:rsidP="00074DB6">
            <w:pPr>
              <w:rPr>
                <w:color w:val="000000"/>
                <w:sz w:val="18"/>
                <w:szCs w:val="18"/>
              </w:rPr>
            </w:pPr>
            <w:r w:rsidRPr="000A3997">
              <w:rPr>
                <w:rFonts w:hint="eastAsia"/>
                <w:color w:val="000000"/>
                <w:sz w:val="18"/>
                <w:szCs w:val="18"/>
              </w:rPr>
              <w:t>对联营、合营企业投资</w:t>
            </w:r>
          </w:p>
        </w:tc>
        <w:tc>
          <w:tcPr>
            <w:tcW w:w="1472"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color w:val="000000"/>
                <w:sz w:val="18"/>
                <w:szCs w:val="18"/>
              </w:rPr>
            </w:pPr>
            <w:r w:rsidRPr="000A3997">
              <w:rPr>
                <w:rFonts w:ascii="Arial" w:hAnsi="Arial" w:cs="Arial"/>
                <w:color w:val="000000"/>
                <w:sz w:val="18"/>
                <w:szCs w:val="18"/>
              </w:rPr>
              <w:t>5,322,300,559.53</w:t>
            </w:r>
          </w:p>
        </w:tc>
        <w:tc>
          <w:tcPr>
            <w:tcW w:w="1353"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color w:val="000000"/>
                <w:sz w:val="18"/>
                <w:szCs w:val="18"/>
              </w:rPr>
            </w:pPr>
            <w:r w:rsidRPr="000A3997">
              <w:rPr>
                <w:rFonts w:ascii="Arial" w:hAnsi="Arial" w:cs="Arial"/>
                <w:color w:val="000000"/>
                <w:sz w:val="18"/>
                <w:szCs w:val="18"/>
              </w:rPr>
              <w:t>5,124,584,449.96</w:t>
            </w:r>
          </w:p>
        </w:tc>
      </w:tr>
      <w:tr w:rsidR="00F6225B" w:rsidRPr="000A3997" w:rsidTr="00074DB6">
        <w:trPr>
          <w:trHeight w:val="270"/>
        </w:trPr>
        <w:tc>
          <w:tcPr>
            <w:tcW w:w="2175" w:type="pct"/>
            <w:tcBorders>
              <w:top w:val="nil"/>
              <w:left w:val="single" w:sz="4" w:space="0" w:color="auto"/>
              <w:bottom w:val="single" w:sz="4" w:space="0" w:color="auto"/>
              <w:right w:val="single" w:sz="4" w:space="0" w:color="auto"/>
            </w:tcBorders>
            <w:shd w:val="clear" w:color="auto" w:fill="auto"/>
            <w:noWrap/>
            <w:vAlign w:val="center"/>
            <w:hideMark/>
          </w:tcPr>
          <w:p w:rsidR="00F6225B" w:rsidRPr="000A3997" w:rsidRDefault="00F6225B" w:rsidP="00074DB6">
            <w:pPr>
              <w:rPr>
                <w:b/>
                <w:bCs/>
                <w:color w:val="000000"/>
                <w:sz w:val="18"/>
                <w:szCs w:val="18"/>
              </w:rPr>
            </w:pPr>
            <w:r w:rsidRPr="000A3997">
              <w:rPr>
                <w:rFonts w:hint="eastAsia"/>
                <w:b/>
                <w:bCs/>
                <w:color w:val="000000"/>
                <w:sz w:val="18"/>
                <w:szCs w:val="18"/>
              </w:rPr>
              <w:t>长期股权投资合计</w:t>
            </w:r>
          </w:p>
        </w:tc>
        <w:tc>
          <w:tcPr>
            <w:tcW w:w="1472"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b/>
                <w:bCs/>
                <w:color w:val="000000"/>
                <w:sz w:val="18"/>
                <w:szCs w:val="18"/>
              </w:rPr>
            </w:pPr>
            <w:r w:rsidRPr="000A3997">
              <w:rPr>
                <w:rFonts w:ascii="Arial" w:hAnsi="Arial" w:cs="Arial"/>
                <w:b/>
                <w:bCs/>
                <w:color w:val="000000"/>
                <w:sz w:val="18"/>
                <w:szCs w:val="18"/>
              </w:rPr>
              <w:t>5,322,300,559.53</w:t>
            </w:r>
          </w:p>
        </w:tc>
        <w:tc>
          <w:tcPr>
            <w:tcW w:w="1353"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b/>
                <w:bCs/>
                <w:color w:val="000000"/>
                <w:sz w:val="18"/>
                <w:szCs w:val="18"/>
              </w:rPr>
            </w:pPr>
            <w:r w:rsidRPr="000A3997">
              <w:rPr>
                <w:rFonts w:ascii="Arial" w:hAnsi="Arial" w:cs="Arial"/>
                <w:b/>
                <w:bCs/>
                <w:color w:val="000000"/>
                <w:sz w:val="18"/>
                <w:szCs w:val="18"/>
              </w:rPr>
              <w:t>5,124,584,449.96</w:t>
            </w:r>
          </w:p>
        </w:tc>
      </w:tr>
      <w:tr w:rsidR="00F6225B" w:rsidRPr="000A3997" w:rsidTr="00074DB6">
        <w:trPr>
          <w:trHeight w:val="270"/>
        </w:trPr>
        <w:tc>
          <w:tcPr>
            <w:tcW w:w="2175" w:type="pct"/>
            <w:tcBorders>
              <w:top w:val="nil"/>
              <w:left w:val="single" w:sz="4" w:space="0" w:color="auto"/>
              <w:bottom w:val="single" w:sz="4" w:space="0" w:color="auto"/>
              <w:right w:val="single" w:sz="4" w:space="0" w:color="auto"/>
            </w:tcBorders>
            <w:shd w:val="clear" w:color="auto" w:fill="auto"/>
            <w:noWrap/>
            <w:vAlign w:val="center"/>
            <w:hideMark/>
          </w:tcPr>
          <w:p w:rsidR="00F6225B" w:rsidRPr="000A3997" w:rsidRDefault="00F6225B" w:rsidP="00074DB6">
            <w:pPr>
              <w:rPr>
                <w:color w:val="000000"/>
                <w:sz w:val="18"/>
                <w:szCs w:val="18"/>
              </w:rPr>
            </w:pPr>
            <w:r w:rsidRPr="000A3997">
              <w:rPr>
                <w:rFonts w:hint="eastAsia"/>
                <w:color w:val="000000"/>
                <w:sz w:val="18"/>
                <w:szCs w:val="18"/>
              </w:rPr>
              <w:t>减：长期股权投资减值准备</w:t>
            </w:r>
          </w:p>
        </w:tc>
        <w:tc>
          <w:tcPr>
            <w:tcW w:w="1472"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color w:val="000000"/>
                <w:sz w:val="18"/>
                <w:szCs w:val="18"/>
              </w:rPr>
            </w:pPr>
            <w:r w:rsidRPr="000A3997">
              <w:rPr>
                <w:rFonts w:ascii="Arial" w:hAnsi="Arial" w:cs="Arial"/>
                <w:color w:val="000000"/>
                <w:sz w:val="18"/>
                <w:szCs w:val="18"/>
              </w:rPr>
              <w:t>669,149,595.78</w:t>
            </w:r>
          </w:p>
        </w:tc>
        <w:tc>
          <w:tcPr>
            <w:tcW w:w="1353"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color w:val="000000"/>
                <w:sz w:val="18"/>
                <w:szCs w:val="18"/>
              </w:rPr>
            </w:pPr>
            <w:r w:rsidRPr="000A3997">
              <w:rPr>
                <w:rFonts w:ascii="Arial" w:hAnsi="Arial" w:cs="Arial"/>
                <w:color w:val="000000"/>
                <w:sz w:val="18"/>
                <w:szCs w:val="18"/>
              </w:rPr>
              <w:t>669,149,595.78</w:t>
            </w:r>
          </w:p>
        </w:tc>
      </w:tr>
      <w:tr w:rsidR="00F6225B" w:rsidRPr="000A3997" w:rsidTr="00074DB6">
        <w:trPr>
          <w:trHeight w:val="270"/>
        </w:trPr>
        <w:tc>
          <w:tcPr>
            <w:tcW w:w="2175" w:type="pct"/>
            <w:tcBorders>
              <w:top w:val="nil"/>
              <w:left w:val="single" w:sz="4" w:space="0" w:color="auto"/>
              <w:bottom w:val="single" w:sz="4" w:space="0" w:color="auto"/>
              <w:right w:val="single" w:sz="4" w:space="0" w:color="auto"/>
            </w:tcBorders>
            <w:shd w:val="clear" w:color="auto" w:fill="auto"/>
            <w:noWrap/>
            <w:vAlign w:val="center"/>
            <w:hideMark/>
          </w:tcPr>
          <w:p w:rsidR="00F6225B" w:rsidRPr="000A3997" w:rsidRDefault="00F6225B" w:rsidP="00074DB6">
            <w:pPr>
              <w:rPr>
                <w:b/>
                <w:bCs/>
                <w:color w:val="000000"/>
                <w:sz w:val="18"/>
                <w:szCs w:val="18"/>
              </w:rPr>
            </w:pPr>
            <w:r w:rsidRPr="000A3997">
              <w:rPr>
                <w:rFonts w:hint="eastAsia"/>
                <w:b/>
                <w:bCs/>
                <w:color w:val="000000"/>
                <w:sz w:val="18"/>
                <w:szCs w:val="18"/>
              </w:rPr>
              <w:t>长期股权投资账面价值</w:t>
            </w:r>
          </w:p>
        </w:tc>
        <w:tc>
          <w:tcPr>
            <w:tcW w:w="1472"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b/>
                <w:bCs/>
                <w:color w:val="000000"/>
                <w:sz w:val="18"/>
                <w:szCs w:val="18"/>
              </w:rPr>
            </w:pPr>
            <w:r w:rsidRPr="000A3997">
              <w:rPr>
                <w:rFonts w:ascii="Arial" w:hAnsi="Arial" w:cs="Arial"/>
                <w:b/>
                <w:bCs/>
                <w:color w:val="000000"/>
                <w:sz w:val="18"/>
                <w:szCs w:val="18"/>
              </w:rPr>
              <w:t>4,653,150,963.75</w:t>
            </w:r>
          </w:p>
        </w:tc>
        <w:tc>
          <w:tcPr>
            <w:tcW w:w="1353" w:type="pct"/>
            <w:tcBorders>
              <w:top w:val="nil"/>
              <w:left w:val="nil"/>
              <w:bottom w:val="single" w:sz="4" w:space="0" w:color="auto"/>
              <w:right w:val="single" w:sz="4" w:space="0" w:color="auto"/>
            </w:tcBorders>
            <w:shd w:val="clear" w:color="auto" w:fill="auto"/>
            <w:vAlign w:val="center"/>
            <w:hideMark/>
          </w:tcPr>
          <w:p w:rsidR="00F6225B" w:rsidRPr="000A3997" w:rsidRDefault="00F6225B" w:rsidP="00074DB6">
            <w:pPr>
              <w:jc w:val="right"/>
              <w:rPr>
                <w:rFonts w:ascii="Arial" w:hAnsi="Arial" w:cs="Arial"/>
                <w:b/>
                <w:bCs/>
                <w:color w:val="000000"/>
                <w:sz w:val="18"/>
                <w:szCs w:val="18"/>
              </w:rPr>
            </w:pPr>
            <w:r w:rsidRPr="000A3997">
              <w:rPr>
                <w:rFonts w:ascii="Arial" w:hAnsi="Arial" w:cs="Arial"/>
                <w:b/>
                <w:bCs/>
                <w:color w:val="000000"/>
                <w:sz w:val="18"/>
                <w:szCs w:val="18"/>
              </w:rPr>
              <w:t>4,455,434,854.18</w:t>
            </w:r>
          </w:p>
        </w:tc>
      </w:tr>
    </w:tbl>
    <w:p w:rsidR="00F6225B" w:rsidRDefault="00F6225B">
      <w:r>
        <w:br w:type="page"/>
      </w:r>
    </w:p>
    <w:p w:rsidR="00F6225B" w:rsidRDefault="00F6225B" w:rsidP="00F6225B">
      <w:pPr>
        <w:sectPr w:rsidR="00F6225B" w:rsidSect="000F6CCA">
          <w:headerReference w:type="default" r:id="rId21"/>
          <w:pgSz w:w="11906" w:h="16838"/>
          <w:pgMar w:top="1440" w:right="1797" w:bottom="1525" w:left="1276" w:header="856" w:footer="992" w:gutter="0"/>
          <w:cols w:space="425"/>
          <w:docGrid w:linePitch="312"/>
        </w:sectPr>
      </w:pPr>
    </w:p>
    <w:p w:rsidR="00F6225B" w:rsidRPr="00F6225B" w:rsidRDefault="00F6225B" w:rsidP="003A0284">
      <w:pPr>
        <w:pStyle w:val="Default"/>
        <w:numPr>
          <w:ilvl w:val="0"/>
          <w:numId w:val="83"/>
        </w:numPr>
        <w:spacing w:before="240" w:afterLines="50" w:line="360" w:lineRule="exact"/>
        <w:ind w:rightChars="20" w:right="42"/>
        <w:jc w:val="both"/>
        <w:rPr>
          <w:rFonts w:ascii="Arial" w:eastAsiaTheme="majorEastAsia" w:hAnsi="Arial" w:cs="Arial"/>
          <w:color w:val="auto"/>
          <w:kern w:val="2"/>
          <w:sz w:val="22"/>
          <w:szCs w:val="22"/>
        </w:rPr>
      </w:pPr>
      <w:r w:rsidRPr="00F6225B">
        <w:rPr>
          <w:rFonts w:ascii="Arial" w:eastAsiaTheme="majorEastAsia" w:hAnsi="Arial" w:cs="Arial"/>
          <w:color w:val="auto"/>
          <w:kern w:val="2"/>
          <w:sz w:val="22"/>
          <w:szCs w:val="22"/>
        </w:rPr>
        <w:lastRenderedPageBreak/>
        <w:t>对合营企业、联营企业投资情况</w:t>
      </w:r>
    </w:p>
    <w:sdt>
      <w:sdtPr>
        <w:rPr>
          <w:rFonts w:hint="eastAsia"/>
          <w:szCs w:val="21"/>
        </w:rPr>
        <w:tag w:val="_GBC_e68906ccea2845f1856fe89f4de6c229"/>
        <w:id w:val="1732424999"/>
        <w:lock w:val="sdtLocked"/>
      </w:sdtPr>
      <w:sdtContent>
        <w:p w:rsidR="005A6509" w:rsidRDefault="005A6509">
          <w:pPr>
            <w:jc w:val="right"/>
            <w:rPr>
              <w:szCs w:val="21"/>
            </w:rPr>
          </w:pPr>
          <w:r>
            <w:rPr>
              <w:rFonts w:hint="eastAsia"/>
              <w:szCs w:val="21"/>
            </w:rPr>
            <w:t>单位：</w:t>
          </w:r>
          <w:sdt>
            <w:sdtPr>
              <w:rPr>
                <w:rFonts w:hint="eastAsia"/>
                <w:szCs w:val="21"/>
              </w:rPr>
              <w:alias w:val="单位：财务附注：长期股权投资"/>
              <w:tag w:val="_GBC_63e30834d38e49658bec9056bc38e4e2"/>
              <w:id w:val="2810357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281035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91" w:type="pct"/>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2"/>
            <w:gridCol w:w="1729"/>
            <w:gridCol w:w="629"/>
            <w:gridCol w:w="644"/>
            <w:gridCol w:w="1625"/>
            <w:gridCol w:w="787"/>
            <w:gridCol w:w="1336"/>
            <w:gridCol w:w="1503"/>
            <w:gridCol w:w="713"/>
            <w:gridCol w:w="423"/>
            <w:gridCol w:w="1700"/>
            <w:gridCol w:w="1548"/>
          </w:tblGrid>
          <w:tr w:rsidR="00F6225B" w:rsidRPr="00F6225B" w:rsidTr="00F6225B">
            <w:trPr>
              <w:jc w:val="center"/>
            </w:trPr>
            <w:tc>
              <w:tcPr>
                <w:tcW w:w="762" w:type="pct"/>
                <w:vMerge w:val="restart"/>
                <w:tcBorders>
                  <w:top w:val="single" w:sz="4" w:space="0" w:color="auto"/>
                  <w:left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被投资单位</w:t>
                </w:r>
              </w:p>
            </w:tc>
            <w:tc>
              <w:tcPr>
                <w:tcW w:w="580" w:type="pct"/>
                <w:vMerge w:val="restart"/>
                <w:tcBorders>
                  <w:top w:val="single" w:sz="4" w:space="0" w:color="auto"/>
                  <w:left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期初</w:t>
                </w:r>
              </w:p>
              <w:p w:rsidR="00F6225B" w:rsidRPr="00F6225B" w:rsidRDefault="00F6225B" w:rsidP="00074DB6">
                <w:pPr>
                  <w:jc w:val="center"/>
                  <w:rPr>
                    <w:sz w:val="18"/>
                    <w:szCs w:val="18"/>
                  </w:rPr>
                </w:pPr>
                <w:r w:rsidRPr="00F6225B">
                  <w:rPr>
                    <w:rFonts w:hint="eastAsia"/>
                    <w:sz w:val="18"/>
                    <w:szCs w:val="18"/>
                  </w:rPr>
                  <w:t>余额</w:t>
                </w:r>
              </w:p>
            </w:tc>
            <w:tc>
              <w:tcPr>
                <w:tcW w:w="256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本期增减变动</w:t>
                </w:r>
              </w:p>
            </w:tc>
            <w:tc>
              <w:tcPr>
                <w:tcW w:w="570" w:type="pct"/>
                <w:vMerge w:val="restart"/>
                <w:tcBorders>
                  <w:top w:val="single" w:sz="4" w:space="0" w:color="auto"/>
                  <w:left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期末</w:t>
                </w:r>
              </w:p>
              <w:p w:rsidR="00F6225B" w:rsidRPr="00F6225B" w:rsidRDefault="00F6225B" w:rsidP="00074DB6">
                <w:pPr>
                  <w:jc w:val="center"/>
                  <w:rPr>
                    <w:sz w:val="18"/>
                    <w:szCs w:val="18"/>
                  </w:rPr>
                </w:pPr>
                <w:r w:rsidRPr="00F6225B">
                  <w:rPr>
                    <w:rFonts w:hint="eastAsia"/>
                    <w:sz w:val="18"/>
                    <w:szCs w:val="18"/>
                  </w:rPr>
                  <w:t>余额</w:t>
                </w:r>
              </w:p>
            </w:tc>
            <w:tc>
              <w:tcPr>
                <w:tcW w:w="519" w:type="pct"/>
                <w:vMerge w:val="restart"/>
                <w:tcBorders>
                  <w:top w:val="single" w:sz="4" w:space="0" w:color="auto"/>
                  <w:left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减值准备期末余额</w:t>
                </w:r>
              </w:p>
            </w:tc>
          </w:tr>
          <w:tr w:rsidR="00F6225B" w:rsidRPr="00F6225B" w:rsidTr="00F6225B">
            <w:trPr>
              <w:jc w:val="center"/>
            </w:trPr>
            <w:tc>
              <w:tcPr>
                <w:tcW w:w="762" w:type="pct"/>
                <w:vMerge/>
                <w:tcBorders>
                  <w:left w:val="single" w:sz="4" w:space="0" w:color="auto"/>
                  <w:bottom w:val="single" w:sz="4" w:space="0" w:color="auto"/>
                  <w:right w:val="single" w:sz="4" w:space="0" w:color="auto"/>
                </w:tcBorders>
                <w:shd w:val="clear" w:color="auto" w:fill="auto"/>
              </w:tcPr>
              <w:p w:rsidR="00F6225B" w:rsidRPr="00F6225B" w:rsidRDefault="00F6225B" w:rsidP="00074DB6">
                <w:pPr>
                  <w:jc w:val="center"/>
                  <w:rPr>
                    <w:sz w:val="18"/>
                    <w:szCs w:val="18"/>
                  </w:rPr>
                </w:pPr>
              </w:p>
            </w:tc>
            <w:tc>
              <w:tcPr>
                <w:tcW w:w="580" w:type="pct"/>
                <w:vMerge/>
                <w:tcBorders>
                  <w:left w:val="single" w:sz="4" w:space="0" w:color="auto"/>
                  <w:bottom w:val="single" w:sz="4" w:space="0" w:color="auto"/>
                  <w:right w:val="single" w:sz="4" w:space="0" w:color="auto"/>
                </w:tcBorders>
                <w:shd w:val="clear" w:color="auto" w:fill="auto"/>
              </w:tcPr>
              <w:p w:rsidR="00F6225B" w:rsidRPr="00F6225B" w:rsidRDefault="00F6225B" w:rsidP="00074DB6">
                <w:pPr>
                  <w:jc w:val="center"/>
                  <w:rPr>
                    <w:sz w:val="18"/>
                    <w:szCs w:val="18"/>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追加投资</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减少投资</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权益法下确认的投资损益</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其他综合收益调整</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其他权益变动</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宣告发放现金股利或利润</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计提减值准备</w:t>
                </w: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其他</w:t>
                </w:r>
              </w:p>
            </w:tc>
            <w:tc>
              <w:tcPr>
                <w:tcW w:w="570" w:type="pct"/>
                <w:vMerge/>
                <w:tcBorders>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p>
            </w:tc>
            <w:tc>
              <w:tcPr>
                <w:tcW w:w="519" w:type="pct"/>
                <w:vMerge/>
                <w:tcBorders>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p>
            </w:tc>
          </w:tr>
          <w:tr w:rsidR="00F6225B" w:rsidRPr="00F6225B" w:rsidTr="00F6225B">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一、合营企业</w:t>
                </w:r>
              </w:p>
            </w:tc>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r>
          <w:tr w:rsidR="00F6225B" w:rsidRPr="00F6225B" w:rsidTr="00F6225B">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小计</w:t>
                </w:r>
              </w:p>
            </w:tc>
            <w:sdt>
              <w:sdtPr>
                <w:rPr>
                  <w:sz w:val="18"/>
                  <w:szCs w:val="18"/>
                </w:rPr>
                <w:alias w:val="合营企业-余额小计"/>
                <w:tag w:val="_GBC_0505740aa7704549a61577650a3babc5"/>
                <w:id w:val="28105266"/>
                <w:lock w:val="sdtLocked"/>
                <w:showingPlcHdr/>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追加投资小计"/>
                <w:tag w:val="_GBC_9e6ee9a2c2e24db2afbc1da336850ac5"/>
                <w:id w:val="28105267"/>
                <w:lock w:val="sdtLocked"/>
                <w:showingPlcHdr/>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减少投资小计"/>
                <w:tag w:val="_GBC_7cf483a4089b4ee5bf261d966bc51b02"/>
                <w:id w:val="28105268"/>
                <w:lock w:val="sdtLocked"/>
                <w:showingPlcHdr/>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权益法下确认的投资损益小计"/>
                <w:tag w:val="_GBC_36176be425c346e4ac6b6eabadf074a7"/>
                <w:id w:val="28105269"/>
                <w:lock w:val="sdtLocked"/>
                <w:showingPlcHdr/>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其他综合收益调整小计"/>
                <w:tag w:val="_GBC_81a07dbf9513431a92a57993ffdd88ad"/>
                <w:id w:val="28105270"/>
                <w:lock w:val="sdtLocked"/>
                <w:showingPlcHdr/>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其他权益变动小计"/>
                <w:tag w:val="_GBC_762ffa89a1424957a509edb7e8c91a83"/>
                <w:id w:val="28105271"/>
                <w:lock w:val="sdtLocked"/>
                <w:showingPlcHdr/>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宣告发放现金股利或利润小计"/>
                <w:tag w:val="_GBC_3f499f87ad2b4e3c8e241eb75895a0d3"/>
                <w:id w:val="28105272"/>
                <w:lock w:val="sdtLocked"/>
                <w:showingPlcHdr/>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计提减值准备小计"/>
                <w:tag w:val="_GBC_b96aaeaa0c074c4cb505c84c2863eb2d"/>
                <w:id w:val="28105273"/>
                <w:lock w:val="sdtLocked"/>
                <w:showingPlcHdr/>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其他增减变动小计"/>
                <w:tag w:val="_GBC_c04baf0c68ec47a7ab10d39c402006fc"/>
                <w:id w:val="28105274"/>
                <w:lock w:val="sdtLocked"/>
                <w:showingPlcHdr/>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余额小计"/>
                <w:tag w:val="_GBC_85da3080e2a64d7aa34f4a297e669415"/>
                <w:id w:val="28105275"/>
                <w:lock w:val="sdtLocked"/>
                <w:showingPlcHdr/>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sdt>
              <w:sdtPr>
                <w:rPr>
                  <w:sz w:val="18"/>
                  <w:szCs w:val="18"/>
                </w:rPr>
                <w:alias w:val="合营企业-减值准备小计"/>
                <w:tag w:val="_GBC_7a2dd706e873499db5fe89f81cdc2dcd"/>
                <w:id w:val="28105276"/>
                <w:lock w:val="sdtLocked"/>
                <w:showingPlcHdr/>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rFonts w:hint="eastAsia"/>
                        <w:color w:val="333399"/>
                        <w:sz w:val="18"/>
                        <w:szCs w:val="18"/>
                      </w:rPr>
                      <w:t xml:space="preserve">　</w:t>
                    </w:r>
                  </w:p>
                </w:tc>
              </w:sdtContent>
            </w:sdt>
          </w:tr>
          <w:tr w:rsidR="00F6225B" w:rsidRPr="00F6225B" w:rsidTr="00F6225B">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二、联营企业</w:t>
                </w:r>
              </w:p>
            </w:tc>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tr>
          <w:sdt>
            <w:sdtPr>
              <w:rPr>
                <w:rFonts w:hint="eastAsia"/>
                <w:sz w:val="18"/>
                <w:szCs w:val="18"/>
              </w:rPr>
              <w:alias w:val="联营企业投资信息明细"/>
              <w:tag w:val="_GBC_49d1b98c49c34c26a2c4d55f0c1fdb21"/>
              <w:id w:val="28105289"/>
              <w:lock w:val="sdtLocked"/>
            </w:sdtPr>
            <w:sdtEndPr>
              <w:rPr>
                <w:rFonts w:hint="default"/>
              </w:rPr>
            </w:sdtEndPr>
            <w:sdtContent>
              <w:tr w:rsidR="00F6225B" w:rsidRPr="00F6225B" w:rsidTr="00F6225B">
                <w:trPr>
                  <w:jc w:val="center"/>
                </w:trPr>
                <w:sdt>
                  <w:sdtPr>
                    <w:rPr>
                      <w:rFonts w:hint="eastAsia"/>
                      <w:sz w:val="18"/>
                      <w:szCs w:val="18"/>
                    </w:rPr>
                    <w:alias w:val="联营企业投资信息明细－名称"/>
                    <w:tag w:val="_GBC_a4eb18bbc01043718dad4f3e4bfbaa56"/>
                    <w:id w:val="28105277"/>
                    <w:lock w:val="sdtLocked"/>
                  </w:sdt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博时基金管理有限公司（注1）</w:t>
                        </w:r>
                      </w:p>
                    </w:tc>
                  </w:sdtContent>
                </w:sdt>
                <w:sdt>
                  <w:sdtPr>
                    <w:rPr>
                      <w:sz w:val="18"/>
                      <w:szCs w:val="18"/>
                    </w:rPr>
                    <w:alias w:val="联营企业投资明细-余额"/>
                    <w:tag w:val="_GBC_0f83deb7f2814d0585a2f953a5acd4a5"/>
                    <w:id w:val="28105278"/>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3,763,140,847.87</w:t>
                        </w:r>
                      </w:p>
                    </w:tc>
                  </w:sdtContent>
                </w:sdt>
                <w:sdt>
                  <w:sdtPr>
                    <w:rPr>
                      <w:sz w:val="18"/>
                      <w:szCs w:val="18"/>
                    </w:rPr>
                    <w:alias w:val="联营企业投资明细-追加投资"/>
                    <w:tag w:val="_GBC_8aa6af8bb94a4a34af053a167eb8afda"/>
                    <w:id w:val="28105279"/>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少投资"/>
                    <w:tag w:val="_GBC_006cd52e170f40a9ae6ad85b8f3e193f"/>
                    <w:id w:val="28105280"/>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权益法下确认的投资损益"/>
                    <w:tag w:val="_GBC_3093c751ad654c5a8e60e9539355e4c8"/>
                    <w:id w:val="28105281"/>
                    <w:lock w:val="sdtLocked"/>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169,899,940.77</w:t>
                        </w:r>
                      </w:p>
                    </w:tc>
                  </w:sdtContent>
                </w:sdt>
                <w:sdt>
                  <w:sdtPr>
                    <w:rPr>
                      <w:sz w:val="18"/>
                      <w:szCs w:val="18"/>
                    </w:rPr>
                    <w:alias w:val="联营企业投资明细-其他综合收益调整"/>
                    <w:tag w:val="_GBC_2ed807b17874411886b14643c85732fc"/>
                    <w:id w:val="28105282"/>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权益变动"/>
                    <w:tag w:val="_GBC_5a4a8da2e0274b33a078931ed39fb3bb"/>
                    <w:id w:val="28105283"/>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2,747,829.35</w:t>
                        </w:r>
                      </w:p>
                    </w:tc>
                  </w:sdtContent>
                </w:sdt>
                <w:sdt>
                  <w:sdtPr>
                    <w:rPr>
                      <w:sz w:val="18"/>
                      <w:szCs w:val="18"/>
                    </w:rPr>
                    <w:alias w:val="联营企业投资明细-宣告发放现金股利或利润"/>
                    <w:tag w:val="_GBC_19a6ad6bff2d486fa4d99ccfbbb92857"/>
                    <w:id w:val="28105284"/>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83,300,000.00</w:t>
                        </w:r>
                      </w:p>
                    </w:tc>
                  </w:sdtContent>
                </w:sdt>
                <w:sdt>
                  <w:sdtPr>
                    <w:rPr>
                      <w:sz w:val="18"/>
                      <w:szCs w:val="18"/>
                    </w:rPr>
                    <w:alias w:val="联营企业投资明细-计提减值准备"/>
                    <w:tag w:val="_GBC_12ae6c8c8fe640f7b24cea0b6725d225"/>
                    <w:id w:val="28105285"/>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增减变动"/>
                    <w:tag w:val="_GBC_b148926756484adc9061d220c26559d5"/>
                    <w:id w:val="28105286"/>
                    <w:lock w:val="sdtLocked"/>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余额"/>
                    <w:tag w:val="_GBC_9d7aa5fead0045fcafd480e493c68f0a"/>
                    <w:id w:val="28105287"/>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3,852,488,617.99</w:t>
                        </w:r>
                      </w:p>
                    </w:tc>
                  </w:sdtContent>
                </w:sdt>
                <w:sdt>
                  <w:sdtPr>
                    <w:rPr>
                      <w:sz w:val="18"/>
                      <w:szCs w:val="18"/>
                    </w:rPr>
                    <w:alias w:val="联营企业投资明细-减值准备余额"/>
                    <w:tag w:val="_GBC_d789e489f11e46cea544577b2c08d57e"/>
                    <w:id w:val="28105288"/>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669,149,595.78</w:t>
                        </w:r>
                      </w:p>
                    </w:tc>
                  </w:sdtContent>
                </w:sdt>
              </w:tr>
            </w:sdtContent>
          </w:sdt>
          <w:sdt>
            <w:sdtPr>
              <w:rPr>
                <w:rFonts w:hint="eastAsia"/>
                <w:sz w:val="18"/>
                <w:szCs w:val="18"/>
              </w:rPr>
              <w:alias w:val="联营企业投资信息明细"/>
              <w:tag w:val="_GBC_49d1b98c49c34c26a2c4d55f0c1fdb21"/>
              <w:id w:val="28105302"/>
              <w:lock w:val="sdtLocked"/>
            </w:sdtPr>
            <w:sdtEndPr>
              <w:rPr>
                <w:rFonts w:hint="default"/>
              </w:rPr>
            </w:sdtEndPr>
            <w:sdtContent>
              <w:tr w:rsidR="00F6225B" w:rsidRPr="00F6225B" w:rsidTr="00F6225B">
                <w:trPr>
                  <w:jc w:val="center"/>
                </w:trPr>
                <w:sdt>
                  <w:sdtPr>
                    <w:rPr>
                      <w:rFonts w:hint="eastAsia"/>
                      <w:sz w:val="18"/>
                      <w:szCs w:val="18"/>
                    </w:rPr>
                    <w:alias w:val="联营企业投资信息明细－名称"/>
                    <w:tag w:val="_GBC_a4eb18bbc01043718dad4f3e4bfbaa56"/>
                    <w:id w:val="28105290"/>
                    <w:lock w:val="sdtLocked"/>
                  </w:sdt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招商基金管理有限公司</w:t>
                        </w:r>
                      </w:p>
                    </w:tc>
                  </w:sdtContent>
                </w:sdt>
                <w:sdt>
                  <w:sdtPr>
                    <w:rPr>
                      <w:sz w:val="18"/>
                      <w:szCs w:val="18"/>
                    </w:rPr>
                    <w:alias w:val="联营企业投资明细-余额"/>
                    <w:tag w:val="_GBC_0f83deb7f2814d0585a2f953a5acd4a5"/>
                    <w:id w:val="28105291"/>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628,086,464.89</w:t>
                        </w:r>
                      </w:p>
                    </w:tc>
                  </w:sdtContent>
                </w:sdt>
                <w:sdt>
                  <w:sdtPr>
                    <w:rPr>
                      <w:sz w:val="18"/>
                      <w:szCs w:val="18"/>
                    </w:rPr>
                    <w:alias w:val="联营企业投资明细-追加投资"/>
                    <w:tag w:val="_GBC_8aa6af8bb94a4a34af053a167eb8afda"/>
                    <w:id w:val="28105292"/>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少投资"/>
                    <w:tag w:val="_GBC_006cd52e170f40a9ae6ad85b8f3e193f"/>
                    <w:id w:val="28105293"/>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权益法下确认的投资损益"/>
                    <w:tag w:val="_GBC_3093c751ad654c5a8e60e9539355e4c8"/>
                    <w:id w:val="28105294"/>
                    <w:lock w:val="sdtLocked"/>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133,529,719.51</w:t>
                        </w:r>
                      </w:p>
                    </w:tc>
                  </w:sdtContent>
                </w:sdt>
                <w:sdt>
                  <w:sdtPr>
                    <w:rPr>
                      <w:sz w:val="18"/>
                      <w:szCs w:val="18"/>
                    </w:rPr>
                    <w:alias w:val="联营企业投资明细-其他综合收益调整"/>
                    <w:tag w:val="_GBC_2ed807b17874411886b14643c85732fc"/>
                    <w:id w:val="28105295"/>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权益变动"/>
                    <w:tag w:val="_GBC_5a4a8da2e0274b33a078931ed39fb3bb"/>
                    <w:id w:val="28105296"/>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918,397.53</w:t>
                        </w:r>
                      </w:p>
                    </w:tc>
                  </w:sdtContent>
                </w:sdt>
                <w:sdt>
                  <w:sdtPr>
                    <w:rPr>
                      <w:sz w:val="18"/>
                      <w:szCs w:val="18"/>
                    </w:rPr>
                    <w:alias w:val="联营企业投资明细-宣告发放现金股利或利润"/>
                    <w:tag w:val="_GBC_19a6ad6bff2d486fa4d99ccfbbb92857"/>
                    <w:id w:val="28105297"/>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28,774,968.65</w:t>
                        </w:r>
                      </w:p>
                    </w:tc>
                  </w:sdtContent>
                </w:sdt>
                <w:sdt>
                  <w:sdtPr>
                    <w:rPr>
                      <w:sz w:val="18"/>
                      <w:szCs w:val="18"/>
                    </w:rPr>
                    <w:alias w:val="联营企业投资明细-计提减值准备"/>
                    <w:tag w:val="_GBC_12ae6c8c8fe640f7b24cea0b6725d225"/>
                    <w:id w:val="28105298"/>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增减变动"/>
                    <w:tag w:val="_GBC_b148926756484adc9061d220c26559d5"/>
                    <w:id w:val="28105299"/>
                    <w:lock w:val="sdtLocked"/>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余额"/>
                    <w:tag w:val="_GBC_9d7aa5fead0045fcafd480e493c68f0a"/>
                    <w:id w:val="28105300"/>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733,759,613.28</w:t>
                        </w:r>
                      </w:p>
                    </w:tc>
                  </w:sdtContent>
                </w:sdt>
                <w:sdt>
                  <w:sdtPr>
                    <w:rPr>
                      <w:sz w:val="18"/>
                      <w:szCs w:val="18"/>
                    </w:rPr>
                    <w:alias w:val="联营企业投资明细-减值准备余额"/>
                    <w:tag w:val="_GBC_d789e489f11e46cea544577b2c08d57e"/>
                    <w:id w:val="28105301"/>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tr>
            </w:sdtContent>
          </w:sdt>
          <w:sdt>
            <w:sdtPr>
              <w:rPr>
                <w:rFonts w:hint="eastAsia"/>
                <w:sz w:val="18"/>
                <w:szCs w:val="18"/>
              </w:rPr>
              <w:alias w:val="联营企业投资信息明细"/>
              <w:tag w:val="_GBC_49d1b98c49c34c26a2c4d55f0c1fdb21"/>
              <w:id w:val="28105315"/>
              <w:lock w:val="sdtLocked"/>
            </w:sdtPr>
            <w:sdtEndPr>
              <w:rPr>
                <w:rFonts w:hint="default"/>
              </w:rPr>
            </w:sdtEndPr>
            <w:sdtContent>
              <w:tr w:rsidR="00F6225B" w:rsidRPr="00F6225B" w:rsidTr="00F6225B">
                <w:trPr>
                  <w:jc w:val="center"/>
                </w:trPr>
                <w:sdt>
                  <w:sdtPr>
                    <w:rPr>
                      <w:rFonts w:hint="eastAsia"/>
                      <w:sz w:val="18"/>
                      <w:szCs w:val="18"/>
                    </w:rPr>
                    <w:alias w:val="联营企业投资信息明细－名称"/>
                    <w:tag w:val="_GBC_a4eb18bbc01043718dad4f3e4bfbaa56"/>
                    <w:id w:val="28105303"/>
                    <w:lock w:val="sdtLocked"/>
                  </w:sdt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广东金融高新区股权交易中心有限公司</w:t>
                        </w:r>
                      </w:p>
                    </w:tc>
                  </w:sdtContent>
                </w:sdt>
                <w:sdt>
                  <w:sdtPr>
                    <w:rPr>
                      <w:sz w:val="18"/>
                      <w:szCs w:val="18"/>
                    </w:rPr>
                    <w:alias w:val="联营企业投资明细-余额"/>
                    <w:tag w:val="_GBC_0f83deb7f2814d0585a2f953a5acd4a5"/>
                    <w:id w:val="28105304"/>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32,056,320.01</w:t>
                        </w:r>
                      </w:p>
                    </w:tc>
                  </w:sdtContent>
                </w:sdt>
                <w:sdt>
                  <w:sdtPr>
                    <w:rPr>
                      <w:sz w:val="18"/>
                      <w:szCs w:val="18"/>
                    </w:rPr>
                    <w:alias w:val="联营企业投资明细-追加投资"/>
                    <w:tag w:val="_GBC_8aa6af8bb94a4a34af053a167eb8afda"/>
                    <w:id w:val="28105305"/>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少投资"/>
                    <w:tag w:val="_GBC_006cd52e170f40a9ae6ad85b8f3e193f"/>
                    <w:id w:val="28105306"/>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权益法下确认的投资损益"/>
                    <w:tag w:val="_GBC_3093c751ad654c5a8e60e9539355e4c8"/>
                    <w:id w:val="28105307"/>
                    <w:lock w:val="sdtLocked"/>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1,068,311.09</w:t>
                        </w:r>
                      </w:p>
                    </w:tc>
                  </w:sdtContent>
                </w:sdt>
                <w:sdt>
                  <w:sdtPr>
                    <w:rPr>
                      <w:sz w:val="18"/>
                      <w:szCs w:val="18"/>
                    </w:rPr>
                    <w:alias w:val="联营企业投资明细-其他综合收益调整"/>
                    <w:tag w:val="_GBC_2ed807b17874411886b14643c85732fc"/>
                    <w:id w:val="28105308"/>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权益变动"/>
                    <w:tag w:val="_GBC_5a4a8da2e0274b33a078931ed39fb3bb"/>
                    <w:id w:val="28105309"/>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宣告发放现金股利或利润"/>
                    <w:tag w:val="_GBC_19a6ad6bff2d486fa4d99ccfbbb92857"/>
                    <w:id w:val="28105310"/>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计提减值准备"/>
                    <w:tag w:val="_GBC_12ae6c8c8fe640f7b24cea0b6725d225"/>
                    <w:id w:val="28105311"/>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增减变动"/>
                    <w:tag w:val="_GBC_b148926756484adc9061d220c26559d5"/>
                    <w:id w:val="28105312"/>
                    <w:lock w:val="sdtLocked"/>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余额"/>
                    <w:tag w:val="_GBC_9d7aa5fead0045fcafd480e493c68f0a"/>
                    <w:id w:val="28105313"/>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33,124,631.10</w:t>
                        </w:r>
                      </w:p>
                    </w:tc>
                  </w:sdtContent>
                </w:sdt>
                <w:sdt>
                  <w:sdtPr>
                    <w:rPr>
                      <w:sz w:val="18"/>
                      <w:szCs w:val="18"/>
                    </w:rPr>
                    <w:alias w:val="联营企业投资明细-减值准备余额"/>
                    <w:tag w:val="_GBC_d789e489f11e46cea544577b2c08d57e"/>
                    <w:id w:val="28105314"/>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tr>
            </w:sdtContent>
          </w:sdt>
          <w:sdt>
            <w:sdtPr>
              <w:rPr>
                <w:rFonts w:hint="eastAsia"/>
                <w:sz w:val="18"/>
                <w:szCs w:val="18"/>
              </w:rPr>
              <w:alias w:val="联营企业投资信息明细"/>
              <w:tag w:val="_GBC_49d1b98c49c34c26a2c4d55f0c1fdb21"/>
              <w:id w:val="28105328"/>
              <w:lock w:val="sdtLocked"/>
            </w:sdtPr>
            <w:sdtEndPr>
              <w:rPr>
                <w:rFonts w:hint="default"/>
              </w:rPr>
            </w:sdtEndPr>
            <w:sdtContent>
              <w:tr w:rsidR="00F6225B" w:rsidRPr="00F6225B" w:rsidTr="00F6225B">
                <w:trPr>
                  <w:jc w:val="center"/>
                </w:trPr>
                <w:sdt>
                  <w:sdtPr>
                    <w:rPr>
                      <w:rFonts w:hint="eastAsia"/>
                      <w:sz w:val="18"/>
                      <w:szCs w:val="18"/>
                    </w:rPr>
                    <w:alias w:val="联营企业投资信息明细－名称"/>
                    <w:tag w:val="_GBC_a4eb18bbc01043718dad4f3e4bfbaa56"/>
                    <w:id w:val="28105316"/>
                    <w:lock w:val="sdtLocked"/>
                  </w:sdt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招商湘江产业投资管理有限公司</w:t>
                        </w:r>
                      </w:p>
                    </w:tc>
                  </w:sdtContent>
                </w:sdt>
                <w:sdt>
                  <w:sdtPr>
                    <w:rPr>
                      <w:sz w:val="18"/>
                      <w:szCs w:val="18"/>
                    </w:rPr>
                    <w:alias w:val="联营企业投资明细-余额"/>
                    <w:tag w:val="_GBC_0f83deb7f2814d0585a2f953a5acd4a5"/>
                    <w:id w:val="28105317"/>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32,151,221.41</w:t>
                        </w:r>
                      </w:p>
                    </w:tc>
                  </w:sdtContent>
                </w:sdt>
                <w:sdt>
                  <w:sdtPr>
                    <w:rPr>
                      <w:sz w:val="18"/>
                      <w:szCs w:val="18"/>
                    </w:rPr>
                    <w:alias w:val="联营企业投资明细-追加投资"/>
                    <w:tag w:val="_GBC_8aa6af8bb94a4a34af053a167eb8afda"/>
                    <w:id w:val="28105318"/>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少投资"/>
                    <w:tag w:val="_GBC_006cd52e170f40a9ae6ad85b8f3e193f"/>
                    <w:id w:val="28105319"/>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权益法下确认的投资损益"/>
                    <w:tag w:val="_GBC_3093c751ad654c5a8e60e9539355e4c8"/>
                    <w:id w:val="28105320"/>
                    <w:lock w:val="sdtLocked"/>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4,626,879.97</w:t>
                        </w:r>
                      </w:p>
                    </w:tc>
                  </w:sdtContent>
                </w:sdt>
                <w:sdt>
                  <w:sdtPr>
                    <w:rPr>
                      <w:sz w:val="18"/>
                      <w:szCs w:val="18"/>
                    </w:rPr>
                    <w:alias w:val="联营企业投资明细-其他综合收益调整"/>
                    <w:tag w:val="_GBC_2ed807b17874411886b14643c85732fc"/>
                    <w:id w:val="28105321"/>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权益变动"/>
                    <w:tag w:val="_GBC_5a4a8da2e0274b33a078931ed39fb3bb"/>
                    <w:id w:val="28105322"/>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宣告发放现金股利或利润"/>
                    <w:tag w:val="_GBC_19a6ad6bff2d486fa4d99ccfbbb92857"/>
                    <w:id w:val="28105323"/>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3,000,000.00</w:t>
                        </w:r>
                      </w:p>
                    </w:tc>
                  </w:sdtContent>
                </w:sdt>
                <w:sdt>
                  <w:sdtPr>
                    <w:rPr>
                      <w:sz w:val="18"/>
                      <w:szCs w:val="18"/>
                    </w:rPr>
                    <w:alias w:val="联营企业投资明细-计提减值准备"/>
                    <w:tag w:val="_GBC_12ae6c8c8fe640f7b24cea0b6725d225"/>
                    <w:id w:val="28105324"/>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增减变动"/>
                    <w:tag w:val="_GBC_b148926756484adc9061d220c26559d5"/>
                    <w:id w:val="28105325"/>
                    <w:lock w:val="sdtLocked"/>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余额"/>
                    <w:tag w:val="_GBC_9d7aa5fead0045fcafd480e493c68f0a"/>
                    <w:id w:val="28105326"/>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33,778,101.38</w:t>
                        </w:r>
                      </w:p>
                    </w:tc>
                  </w:sdtContent>
                </w:sdt>
                <w:sdt>
                  <w:sdtPr>
                    <w:rPr>
                      <w:sz w:val="18"/>
                      <w:szCs w:val="18"/>
                    </w:rPr>
                    <w:alias w:val="联营企业投资明细-减值准备余额"/>
                    <w:tag w:val="_GBC_d789e489f11e46cea544577b2c08d57e"/>
                    <w:id w:val="28105327"/>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tr>
            </w:sdtContent>
          </w:sdt>
          <w:sdt>
            <w:sdtPr>
              <w:rPr>
                <w:rFonts w:hint="eastAsia"/>
                <w:sz w:val="18"/>
                <w:szCs w:val="18"/>
              </w:rPr>
              <w:alias w:val="联营企业投资信息明细"/>
              <w:tag w:val="_GBC_49d1b98c49c34c26a2c4d55f0c1fdb21"/>
              <w:id w:val="28105341"/>
              <w:lock w:val="sdtLocked"/>
            </w:sdtPr>
            <w:sdtEndPr>
              <w:rPr>
                <w:rFonts w:hint="default"/>
              </w:rPr>
            </w:sdtEndPr>
            <w:sdtContent>
              <w:tr w:rsidR="00F6225B" w:rsidRPr="00F6225B" w:rsidTr="00F6225B">
                <w:trPr>
                  <w:jc w:val="center"/>
                </w:trPr>
                <w:sdt>
                  <w:sdtPr>
                    <w:rPr>
                      <w:rFonts w:hint="eastAsia"/>
                      <w:sz w:val="18"/>
                      <w:szCs w:val="18"/>
                    </w:rPr>
                    <w:alias w:val="联营企业投资信息明细－名称"/>
                    <w:tag w:val="_GBC_a4eb18bbc01043718dad4f3e4bfbaa56"/>
                    <w:id w:val="28105329"/>
                    <w:lock w:val="sdtLocked"/>
                  </w:sdt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二十一世纪科技投资有限责任公司（注2）</w:t>
                        </w:r>
                      </w:p>
                    </w:tc>
                  </w:sdtContent>
                </w:sdt>
                <w:sdt>
                  <w:sdtPr>
                    <w:rPr>
                      <w:sz w:val="18"/>
                      <w:szCs w:val="18"/>
                    </w:rPr>
                    <w:alias w:val="联营企业投资明细-余额"/>
                    <w:tag w:val="_GBC_0f83deb7f2814d0585a2f953a5acd4a5"/>
                    <w:id w:val="28105330"/>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追加投资"/>
                    <w:tag w:val="_GBC_8aa6af8bb94a4a34af053a167eb8afda"/>
                    <w:id w:val="28105331"/>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少投资"/>
                    <w:tag w:val="_GBC_006cd52e170f40a9ae6ad85b8f3e193f"/>
                    <w:id w:val="28105332"/>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权益法下确认的投资损益"/>
                    <w:tag w:val="_GBC_3093c751ad654c5a8e60e9539355e4c8"/>
                    <w:id w:val="28105333"/>
                    <w:lock w:val="sdtLocked"/>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综合收益调整"/>
                    <w:tag w:val="_GBC_2ed807b17874411886b14643c85732fc"/>
                    <w:id w:val="28105334"/>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权益变动"/>
                    <w:tag w:val="_GBC_5a4a8da2e0274b33a078931ed39fb3bb"/>
                    <w:id w:val="28105335"/>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宣告发放现金股利或利润"/>
                    <w:tag w:val="_GBC_19a6ad6bff2d486fa4d99ccfbbb92857"/>
                    <w:id w:val="28105336"/>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计提减值准备"/>
                    <w:tag w:val="_GBC_12ae6c8c8fe640f7b24cea0b6725d225"/>
                    <w:id w:val="28105337"/>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增减变动"/>
                    <w:tag w:val="_GBC_b148926756484adc9061d220c26559d5"/>
                    <w:id w:val="28105338"/>
                    <w:lock w:val="sdtLocked"/>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余额"/>
                    <w:tag w:val="_GBC_9d7aa5fead0045fcafd480e493c68f0a"/>
                    <w:id w:val="28105339"/>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值准备余额"/>
                    <w:tag w:val="_GBC_d789e489f11e46cea544577b2c08d57e"/>
                    <w:id w:val="28105340"/>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tr>
            </w:sdtContent>
          </w:sdt>
          <w:sdt>
            <w:sdtPr>
              <w:rPr>
                <w:rFonts w:hint="eastAsia"/>
                <w:sz w:val="18"/>
                <w:szCs w:val="18"/>
              </w:rPr>
              <w:alias w:val="联营企业投资信息明细"/>
              <w:tag w:val="_GBC_49d1b98c49c34c26a2c4d55f0c1fdb21"/>
              <w:id w:val="28105354"/>
              <w:lock w:val="sdtLocked"/>
            </w:sdtPr>
            <w:sdtEndPr>
              <w:rPr>
                <w:rFonts w:hint="default"/>
              </w:rPr>
            </w:sdtEndPr>
            <w:sdtContent>
              <w:tr w:rsidR="00F6225B" w:rsidRPr="00F6225B" w:rsidTr="00F6225B">
                <w:trPr>
                  <w:jc w:val="center"/>
                </w:trPr>
                <w:sdt>
                  <w:sdtPr>
                    <w:rPr>
                      <w:rFonts w:hint="eastAsia"/>
                      <w:sz w:val="18"/>
                      <w:szCs w:val="18"/>
                    </w:rPr>
                    <w:alias w:val="联营企业投资信息明细－名称"/>
                    <w:tag w:val="_GBC_a4eb18bbc01043718dad4f3e4bfbaa56"/>
                    <w:id w:val="28105342"/>
                    <w:lock w:val="sdtLocked"/>
                  </w:sdtPr>
                  <w:sdtContent>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华美金融公司（注3）</w:t>
                        </w:r>
                      </w:p>
                    </w:tc>
                  </w:sdtContent>
                </w:sdt>
                <w:sdt>
                  <w:sdtPr>
                    <w:rPr>
                      <w:sz w:val="18"/>
                      <w:szCs w:val="18"/>
                    </w:rPr>
                    <w:alias w:val="联营企业投资明细-余额"/>
                    <w:tag w:val="_GBC_0f83deb7f2814d0585a2f953a5acd4a5"/>
                    <w:id w:val="28105343"/>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追加投资"/>
                    <w:tag w:val="_GBC_8aa6af8bb94a4a34af053a167eb8afda"/>
                    <w:id w:val="28105344"/>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少投资"/>
                    <w:tag w:val="_GBC_006cd52e170f40a9ae6ad85b8f3e193f"/>
                    <w:id w:val="28105345"/>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权益法下确认的投资损益"/>
                    <w:tag w:val="_GBC_3093c751ad654c5a8e60e9539355e4c8"/>
                    <w:id w:val="28105346"/>
                    <w:lock w:val="sdtLocked"/>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综合收益调整"/>
                    <w:tag w:val="_GBC_2ed807b17874411886b14643c85732fc"/>
                    <w:id w:val="28105347"/>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权益变动"/>
                    <w:tag w:val="_GBC_5a4a8da2e0274b33a078931ed39fb3bb"/>
                    <w:id w:val="28105348"/>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宣告发放现金股利或利润"/>
                    <w:tag w:val="_GBC_19a6ad6bff2d486fa4d99ccfbbb92857"/>
                    <w:id w:val="28105349"/>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计提减值准备"/>
                    <w:tag w:val="_GBC_12ae6c8c8fe640f7b24cea0b6725d225"/>
                    <w:id w:val="28105350"/>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其他增减变动"/>
                    <w:tag w:val="_GBC_b148926756484adc9061d220c26559d5"/>
                    <w:id w:val="28105351"/>
                    <w:lock w:val="sdtLocked"/>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余额"/>
                    <w:tag w:val="_GBC_9d7aa5fead0045fcafd480e493c68f0a"/>
                    <w:id w:val="28105352"/>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投资明细-减值准备余额"/>
                    <w:tag w:val="_GBC_d789e489f11e46cea544577b2c08d57e"/>
                    <w:id w:val="28105353"/>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tr>
            </w:sdtContent>
          </w:sdt>
          <w:tr w:rsidR="00F6225B" w:rsidRPr="00F6225B" w:rsidTr="00F6225B">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rPr>
                    <w:sz w:val="18"/>
                    <w:szCs w:val="18"/>
                  </w:rPr>
                </w:pPr>
                <w:r w:rsidRPr="00F6225B">
                  <w:rPr>
                    <w:rFonts w:hint="eastAsia"/>
                    <w:sz w:val="18"/>
                    <w:szCs w:val="18"/>
                  </w:rPr>
                  <w:t>小计</w:t>
                </w:r>
              </w:p>
            </w:tc>
            <w:sdt>
              <w:sdtPr>
                <w:rPr>
                  <w:sz w:val="18"/>
                  <w:szCs w:val="18"/>
                </w:rPr>
                <w:alias w:val="联营企业-余额小计"/>
                <w:tag w:val="_GBC_1eccfcb85f74482ea6ff8956334fcad5"/>
                <w:id w:val="28105355"/>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4,455,434,854.18</w:t>
                    </w:r>
                  </w:p>
                </w:tc>
              </w:sdtContent>
            </w:sdt>
            <w:sdt>
              <w:sdtPr>
                <w:rPr>
                  <w:sz w:val="18"/>
                  <w:szCs w:val="18"/>
                </w:rPr>
                <w:alias w:val="联营企业-追加投资小计"/>
                <w:tag w:val="_GBC_3bd9b14cad504d36bd88f76049a7d69e"/>
                <w:id w:val="28105356"/>
                <w:lock w:val="sdtLocked"/>
              </w:sdtPr>
              <w:sdtConten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减少投资小计"/>
                <w:tag w:val="_GBC_fc42c6e4b0cc4b17afa5502c6fdc3a61"/>
                <w:id w:val="28105357"/>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权益法下确认的投资损益小计"/>
                <w:tag w:val="_GBC_bed56f50c8f847c7895297635314004f"/>
                <w:id w:val="28105358"/>
                <w:lock w:val="sdtLocked"/>
              </w:sdtPr>
              <w:sdtConten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309,124,851.34</w:t>
                    </w:r>
                  </w:p>
                </w:tc>
              </w:sdtContent>
            </w:sdt>
            <w:sdt>
              <w:sdtPr>
                <w:rPr>
                  <w:sz w:val="18"/>
                  <w:szCs w:val="18"/>
                </w:rPr>
                <w:alias w:val="联营企业-其他综合收益调整小计"/>
                <w:tag w:val="_GBC_58eb6755b22f48fcba306d32bd40c261"/>
                <w:id w:val="28105359"/>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其他权益变动小计"/>
                <w:tag w:val="_GBC_d116865a33044700a499062f559a69bc"/>
                <w:id w:val="28105360"/>
                <w:lock w:val="sdtLocked"/>
              </w:sdtPr>
              <w:sdtContent>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3,666,226.88</w:t>
                    </w:r>
                  </w:p>
                </w:tc>
              </w:sdtContent>
            </w:sdt>
            <w:sdt>
              <w:sdtPr>
                <w:rPr>
                  <w:sz w:val="18"/>
                  <w:szCs w:val="18"/>
                </w:rPr>
                <w:alias w:val="联营企业-宣告发放现金股利或利润小计"/>
                <w:tag w:val="_GBC_0349262d721f42339347cc932aa2dd14"/>
                <w:id w:val="28105361"/>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115,074,968.65</w:t>
                    </w:r>
                  </w:p>
                </w:tc>
              </w:sdtContent>
            </w:sdt>
            <w:sdt>
              <w:sdtPr>
                <w:rPr>
                  <w:sz w:val="18"/>
                  <w:szCs w:val="18"/>
                </w:rPr>
                <w:alias w:val="联营企业-计提减值准备小计"/>
                <w:tag w:val="_GBC_fc00139c16784ea68fde0eaca6ecb174"/>
                <w:id w:val="28105362"/>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其他增减变动小计"/>
                <w:tag w:val="_GBC_8cf36d100ec44503beda9c4dc0eb7212"/>
                <w:id w:val="28105363"/>
                <w:lock w:val="sdtLocked"/>
              </w:sdtPr>
              <w:sdtConten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sdt>
              <w:sdtPr>
                <w:rPr>
                  <w:sz w:val="18"/>
                  <w:szCs w:val="18"/>
                </w:rPr>
                <w:alias w:val="联营企业-余额小计"/>
                <w:tag w:val="_GBC_9e2652aa7f83482aa3387a8a5338cce1"/>
                <w:id w:val="28105364"/>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4,653,150,963.75</w:t>
                    </w:r>
                  </w:p>
                </w:tc>
              </w:sdtContent>
            </w:sdt>
            <w:sdt>
              <w:sdtPr>
                <w:rPr>
                  <w:sz w:val="18"/>
                  <w:szCs w:val="18"/>
                </w:rPr>
                <w:alias w:val="联营企业-减值准备小计"/>
                <w:tag w:val="_GBC_75f6baa20f094c439497ec4091770753"/>
                <w:id w:val="28105365"/>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669,149,595.78</w:t>
                    </w:r>
                  </w:p>
                </w:tc>
              </w:sdtContent>
            </w:sdt>
          </w:tr>
          <w:tr w:rsidR="00F6225B" w:rsidRPr="00F6225B" w:rsidTr="00F6225B">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F6225B" w:rsidRPr="00F6225B" w:rsidRDefault="00F6225B" w:rsidP="00074DB6">
                <w:pPr>
                  <w:jc w:val="center"/>
                  <w:rPr>
                    <w:sz w:val="18"/>
                    <w:szCs w:val="18"/>
                  </w:rPr>
                </w:pPr>
                <w:r w:rsidRPr="00F6225B">
                  <w:rPr>
                    <w:rFonts w:hint="eastAsia"/>
                    <w:sz w:val="18"/>
                    <w:szCs w:val="18"/>
                  </w:rPr>
                  <w:t>合计</w:t>
                </w:r>
              </w:p>
            </w:tc>
            <w:sdt>
              <w:sdtPr>
                <w:rPr>
                  <w:sz w:val="18"/>
                  <w:szCs w:val="18"/>
                </w:rPr>
                <w:alias w:val="长期股权投资合计"/>
                <w:tag w:val="_GBC_116ff8dbdb1a4ddd917c94fb7cde37da"/>
                <w:id w:val="28105366"/>
                <w:lock w:val="sdtLocked"/>
              </w:sdtPr>
              <w:sdtContent>
                <w:tc>
                  <w:tcPr>
                    <w:tcW w:w="58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4,455,434,854.18</w:t>
                    </w:r>
                  </w:p>
                </w:tc>
              </w:sdtContent>
            </w:sdt>
            <w:tc>
              <w:tcPr>
                <w:tcW w:w="211"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422DCA" w:rsidP="00074DB6">
                <w:pPr>
                  <w:jc w:val="right"/>
                  <w:rPr>
                    <w:sz w:val="18"/>
                    <w:szCs w:val="18"/>
                  </w:rPr>
                </w:pPr>
                <w:sdt>
                  <w:sdtPr>
                    <w:rPr>
                      <w:sz w:val="18"/>
                      <w:szCs w:val="18"/>
                    </w:rPr>
                    <w:alias w:val="长期股权投资本期增加-追加投资合计"/>
                    <w:tag w:val="_GBC_4d7d5701344c424abb2d8218a3713bb7"/>
                    <w:id w:val="28105367"/>
                    <w:lock w:val="sdtLocked"/>
                  </w:sdtPr>
                  <w:sdtContent/>
                </w:sdt>
              </w:p>
            </w:tc>
            <w:sdt>
              <w:sdtPr>
                <w:rPr>
                  <w:sz w:val="18"/>
                  <w:szCs w:val="18"/>
                </w:rPr>
                <w:alias w:val="长期股权投资本期减少-减少投资合计"/>
                <w:tag w:val="_GBC_dd576bd203f64d968a23ec1662363877"/>
                <w:id w:val="28105368"/>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tc>
              <w:tcPr>
                <w:tcW w:w="545"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422DCA" w:rsidP="00074DB6">
                <w:pPr>
                  <w:jc w:val="right"/>
                  <w:rPr>
                    <w:sz w:val="18"/>
                    <w:szCs w:val="18"/>
                  </w:rPr>
                </w:pPr>
                <w:sdt>
                  <w:sdtPr>
                    <w:rPr>
                      <w:sz w:val="18"/>
                      <w:szCs w:val="18"/>
                    </w:rPr>
                    <w:alias w:val="长期股权投资本期增加-权益法下确认的投资收益合计"/>
                    <w:tag w:val="_GBC_df9c3ed5681646bd94f5894b79dd4935"/>
                    <w:id w:val="28105369"/>
                    <w:lock w:val="sdtLocked"/>
                  </w:sdtPr>
                  <w:sdtContent>
                    <w:r w:rsidR="00F6225B" w:rsidRPr="00F6225B">
                      <w:rPr>
                        <w:sz w:val="18"/>
                        <w:szCs w:val="18"/>
                      </w:rPr>
                      <w:t>309,124,851.34</w:t>
                    </w:r>
                  </w:sdtContent>
                </w:sdt>
              </w:p>
            </w:tc>
            <w:tc>
              <w:tcPr>
                <w:tcW w:w="26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422DCA" w:rsidP="00074DB6">
                <w:pPr>
                  <w:jc w:val="right"/>
                  <w:rPr>
                    <w:sz w:val="18"/>
                    <w:szCs w:val="18"/>
                  </w:rPr>
                </w:pPr>
                <w:sdt>
                  <w:sdtPr>
                    <w:rPr>
                      <w:sz w:val="18"/>
                      <w:szCs w:val="18"/>
                    </w:rPr>
                    <w:alias w:val="长期股权投资本期增加-其他综合收益调整合计"/>
                    <w:tag w:val="_GBC_23af98dc8b2c41e4822a877562b1df7a"/>
                    <w:id w:val="28105370"/>
                    <w:lock w:val="sdtLocked"/>
                  </w:sdtPr>
                  <w:sdtContent/>
                </w:sdt>
              </w:p>
            </w:tc>
            <w:tc>
              <w:tcPr>
                <w:tcW w:w="448"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422DCA" w:rsidP="00074DB6">
                <w:pPr>
                  <w:jc w:val="right"/>
                  <w:rPr>
                    <w:sz w:val="18"/>
                    <w:szCs w:val="18"/>
                  </w:rPr>
                </w:pPr>
                <w:sdt>
                  <w:sdtPr>
                    <w:rPr>
                      <w:sz w:val="18"/>
                      <w:szCs w:val="18"/>
                    </w:rPr>
                    <w:alias w:val="长期股权投资本期增加-其他权益变动合计"/>
                    <w:tag w:val="_GBC_f1421a511340443da16b9ec231cef47e"/>
                    <w:id w:val="28105371"/>
                    <w:lock w:val="sdtLocked"/>
                  </w:sdtPr>
                  <w:sdtContent>
                    <w:r w:rsidR="00F6225B" w:rsidRPr="00F6225B">
                      <w:rPr>
                        <w:sz w:val="18"/>
                        <w:szCs w:val="18"/>
                      </w:rPr>
                      <w:t>3,666,226.88</w:t>
                    </w:r>
                  </w:sdtContent>
                </w:sdt>
              </w:p>
            </w:tc>
            <w:sdt>
              <w:sdtPr>
                <w:rPr>
                  <w:sz w:val="18"/>
                  <w:szCs w:val="18"/>
                </w:rPr>
                <w:alias w:val="长期股权投资宣告发放现金股利或利润合计"/>
                <w:tag w:val="_GBC_36f7988ba9154e29aff48c5d98c95191"/>
                <w:id w:val="28105372"/>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115,074,968.65</w:t>
                    </w:r>
                  </w:p>
                </w:tc>
              </w:sdtContent>
            </w:sdt>
            <w:sdt>
              <w:sdtPr>
                <w:rPr>
                  <w:sz w:val="18"/>
                  <w:szCs w:val="18"/>
                </w:rPr>
                <w:alias w:val="长期股权投资减值准备_本期增加数"/>
                <w:tag w:val="_GBC_adf7bceeb1054f2fb29666b07b2a1401"/>
                <w:id w:val="28105373"/>
                <w:lock w:val="sdtLocked"/>
              </w:sdtPr>
              <w:sdtContent>
                <w:tc>
                  <w:tcPr>
                    <w:tcW w:w="23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p>
                </w:tc>
              </w:sdtContent>
            </w:sdt>
            <w:tc>
              <w:tcPr>
                <w:tcW w:w="142"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422DCA" w:rsidP="00074DB6">
                <w:pPr>
                  <w:jc w:val="right"/>
                  <w:rPr>
                    <w:sz w:val="18"/>
                    <w:szCs w:val="18"/>
                  </w:rPr>
                </w:pPr>
                <w:sdt>
                  <w:sdtPr>
                    <w:rPr>
                      <w:sz w:val="18"/>
                      <w:szCs w:val="18"/>
                    </w:rPr>
                    <w:alias w:val="长期股权投资本期其他增减变动合计"/>
                    <w:tag w:val="_GBC_181b4e2f80d84c85af5cfc6cd46b1c5d"/>
                    <w:id w:val="28105374"/>
                    <w:lock w:val="sdtLocked"/>
                  </w:sdtPr>
                  <w:sdtContent/>
                </w:sdt>
              </w:p>
            </w:tc>
            <w:sdt>
              <w:sdtPr>
                <w:rPr>
                  <w:sz w:val="18"/>
                  <w:szCs w:val="18"/>
                </w:rPr>
                <w:alias w:val="长期股权投资合计"/>
                <w:tag w:val="_GBC_b8d6a3b536204a5b9bbcaef085ac45b4"/>
                <w:id w:val="28105375"/>
                <w:lock w:val="sdtLocked"/>
              </w:sdtPr>
              <w:sdtContent>
                <w:tc>
                  <w:tcPr>
                    <w:tcW w:w="570"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4,653,150,963.75</w:t>
                    </w:r>
                  </w:p>
                </w:tc>
              </w:sdtContent>
            </w:sdt>
            <w:sdt>
              <w:sdtPr>
                <w:rPr>
                  <w:sz w:val="18"/>
                  <w:szCs w:val="18"/>
                </w:rPr>
                <w:alias w:val="长期股权投资减值准备余额"/>
                <w:tag w:val="_GBC_23d57936f736453a80e85522c6e1c933"/>
                <w:id w:val="28105376"/>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tcPr>
                  <w:p w:rsidR="00F6225B" w:rsidRPr="00F6225B" w:rsidRDefault="00F6225B" w:rsidP="00074DB6">
                    <w:pPr>
                      <w:jc w:val="right"/>
                      <w:rPr>
                        <w:sz w:val="18"/>
                        <w:szCs w:val="18"/>
                      </w:rPr>
                    </w:pPr>
                    <w:r w:rsidRPr="00F6225B">
                      <w:rPr>
                        <w:sz w:val="18"/>
                        <w:szCs w:val="18"/>
                      </w:rPr>
                      <w:t>669,149,595.78</w:t>
                    </w:r>
                  </w:p>
                </w:tc>
              </w:sdtContent>
            </w:sdt>
          </w:tr>
        </w:tbl>
        <w:p w:rsidR="005A6509" w:rsidRDefault="005A6509">
          <w:pPr>
            <w:snapToGrid w:val="0"/>
            <w:spacing w:line="240" w:lineRule="atLeast"/>
            <w:rPr>
              <w:szCs w:val="21"/>
            </w:rPr>
          </w:pPr>
        </w:p>
        <w:sdt>
          <w:sdtPr>
            <w:rPr>
              <w:rFonts w:hint="eastAsia"/>
              <w:szCs w:val="21"/>
            </w:rPr>
            <w:tag w:val="_GBC_ccc3d8feeab24d0e8e4139f2a19cfa7c"/>
            <w:id w:val="28103633"/>
            <w:lock w:val="sdtLocked"/>
          </w:sdtPr>
          <w:sdtEndPr>
            <w:rPr>
              <w:rFonts w:hint="default"/>
            </w:rPr>
          </w:sdtEndPr>
          <w:sdtContent>
            <w:sdt>
              <w:sdtPr>
                <w:rPr>
                  <w:szCs w:val="21"/>
                </w:rPr>
                <w:alias w:val="长期股票投资的说明"/>
                <w:tag w:val="_GBC_492b53d02462408a924f069c70a16ce9"/>
                <w:id w:val="28103634"/>
                <w:lock w:val="sdtLocked"/>
              </w:sdtPr>
              <w:sdtContent>
                <w:p w:rsidR="00F6225B" w:rsidRPr="00496F28" w:rsidRDefault="00F6225B" w:rsidP="003A0284">
                  <w:pPr>
                    <w:snapToGrid w:val="0"/>
                    <w:spacing w:beforeLines="50" w:line="360" w:lineRule="auto"/>
                    <w:rPr>
                      <w:rFonts w:ascii="Arial" w:eastAsiaTheme="majorEastAsia" w:hAnsi="Arial" w:cs="Arial"/>
                      <w:kern w:val="2"/>
                      <w:sz w:val="22"/>
                      <w:szCs w:val="22"/>
                    </w:rPr>
                  </w:pPr>
                  <w:r>
                    <w:rPr>
                      <w:rFonts w:hint="eastAsia"/>
                      <w:szCs w:val="21"/>
                    </w:rPr>
                    <w:t>注1：</w:t>
                  </w:r>
                  <w:r>
                    <w:rPr>
                      <w:rFonts w:ascii="Arial" w:eastAsiaTheme="majorEastAsia" w:hAnsi="Arial" w:cs="Arial" w:hint="eastAsia"/>
                      <w:kern w:val="2"/>
                      <w:sz w:val="22"/>
                      <w:szCs w:val="22"/>
                    </w:rPr>
                    <w:t>截至</w:t>
                  </w:r>
                  <w:r>
                    <w:rPr>
                      <w:rFonts w:ascii="Arial" w:eastAsiaTheme="majorEastAsia" w:hAnsi="Arial" w:cs="Arial" w:hint="eastAsia"/>
                      <w:kern w:val="2"/>
                      <w:sz w:val="22"/>
                      <w:szCs w:val="22"/>
                    </w:rPr>
                    <w:t>2015</w:t>
                  </w:r>
                  <w:r>
                    <w:rPr>
                      <w:rFonts w:ascii="Arial" w:eastAsiaTheme="majorEastAsia" w:hAnsi="Arial" w:cs="Arial" w:hint="eastAsia"/>
                      <w:kern w:val="2"/>
                      <w:sz w:val="22"/>
                      <w:szCs w:val="22"/>
                    </w:rPr>
                    <w:t>年</w:t>
                  </w:r>
                  <w:r>
                    <w:rPr>
                      <w:rFonts w:ascii="Arial" w:eastAsiaTheme="majorEastAsia" w:hAnsi="Arial" w:cs="Arial" w:hint="eastAsia"/>
                      <w:kern w:val="2"/>
                      <w:sz w:val="22"/>
                      <w:szCs w:val="22"/>
                    </w:rPr>
                    <w:t>6</w:t>
                  </w:r>
                  <w:r>
                    <w:rPr>
                      <w:rFonts w:ascii="Arial" w:eastAsiaTheme="majorEastAsia" w:hAnsi="Arial" w:cs="Arial" w:hint="eastAsia"/>
                      <w:kern w:val="2"/>
                      <w:sz w:val="22"/>
                      <w:szCs w:val="22"/>
                    </w:rPr>
                    <w:t>月</w:t>
                  </w:r>
                  <w:r>
                    <w:rPr>
                      <w:rFonts w:ascii="Arial" w:eastAsiaTheme="majorEastAsia" w:hAnsi="Arial" w:cs="Arial" w:hint="eastAsia"/>
                      <w:kern w:val="2"/>
                      <w:sz w:val="22"/>
                      <w:szCs w:val="22"/>
                    </w:rPr>
                    <w:t>30</w:t>
                  </w:r>
                  <w:r>
                    <w:rPr>
                      <w:rFonts w:ascii="Arial" w:eastAsiaTheme="majorEastAsia" w:hAnsi="Arial" w:cs="Arial" w:hint="eastAsia"/>
                      <w:kern w:val="2"/>
                      <w:sz w:val="22"/>
                      <w:szCs w:val="22"/>
                    </w:rPr>
                    <w:t>日，本公司</w:t>
                  </w:r>
                  <w:r w:rsidRPr="00496F28">
                    <w:rPr>
                      <w:rFonts w:ascii="Arial" w:eastAsiaTheme="majorEastAsia" w:hAnsi="Arial" w:cs="Arial" w:hint="eastAsia"/>
                      <w:kern w:val="2"/>
                      <w:sz w:val="22"/>
                      <w:szCs w:val="22"/>
                    </w:rPr>
                    <w:t>对博时基金</w:t>
                  </w:r>
                  <w:r>
                    <w:rPr>
                      <w:rFonts w:ascii="Arial" w:eastAsiaTheme="majorEastAsia" w:hAnsi="Arial" w:cs="Arial" w:hint="eastAsia"/>
                      <w:kern w:val="2"/>
                      <w:sz w:val="22"/>
                      <w:szCs w:val="22"/>
                    </w:rPr>
                    <w:t>管理有限公司的长期</w:t>
                  </w:r>
                  <w:r w:rsidRPr="00496F28">
                    <w:rPr>
                      <w:rFonts w:ascii="Arial" w:eastAsiaTheme="majorEastAsia" w:hAnsi="Arial" w:cs="Arial" w:hint="eastAsia"/>
                      <w:kern w:val="2"/>
                      <w:sz w:val="22"/>
                      <w:szCs w:val="22"/>
                    </w:rPr>
                    <w:t>股权投资</w:t>
                  </w:r>
                  <w:r>
                    <w:rPr>
                      <w:rFonts w:ascii="Arial" w:eastAsiaTheme="majorEastAsia" w:hAnsi="Arial" w:cs="Arial" w:hint="eastAsia"/>
                      <w:kern w:val="2"/>
                      <w:sz w:val="22"/>
                      <w:szCs w:val="22"/>
                    </w:rPr>
                    <w:t>账面价值为</w:t>
                  </w:r>
                  <w:r>
                    <w:rPr>
                      <w:rFonts w:ascii="Arial" w:eastAsiaTheme="majorEastAsia" w:hAnsi="Arial" w:cs="Arial" w:hint="eastAsia"/>
                      <w:kern w:val="2"/>
                      <w:sz w:val="22"/>
                      <w:szCs w:val="22"/>
                    </w:rPr>
                    <w:t>3,852,488,617.99</w:t>
                  </w:r>
                  <w:r>
                    <w:rPr>
                      <w:rFonts w:ascii="Arial" w:eastAsiaTheme="majorEastAsia" w:hAnsi="Arial" w:cs="Arial" w:hint="eastAsia"/>
                      <w:kern w:val="2"/>
                      <w:sz w:val="22"/>
                      <w:szCs w:val="22"/>
                    </w:rPr>
                    <w:t>元，经减值测试，未发现减值情形。</w:t>
                  </w:r>
                </w:p>
                <w:p w:rsidR="00F6225B" w:rsidRPr="00496F28" w:rsidRDefault="00F6225B" w:rsidP="00F6225B">
                  <w:pPr>
                    <w:snapToGrid w:val="0"/>
                    <w:spacing w:line="360" w:lineRule="auto"/>
                    <w:rPr>
                      <w:rFonts w:hAnsi="Calibri"/>
                      <w:sz w:val="22"/>
                      <w:szCs w:val="22"/>
                    </w:rPr>
                  </w:pPr>
                  <w:r w:rsidRPr="00496F28">
                    <w:rPr>
                      <w:rFonts w:ascii="Arial" w:eastAsiaTheme="majorEastAsia" w:hAnsi="Arial" w:cs="Arial" w:hint="eastAsia"/>
                      <w:kern w:val="2"/>
                      <w:sz w:val="22"/>
                      <w:szCs w:val="22"/>
                    </w:rPr>
                    <w:t>注</w:t>
                  </w:r>
                  <w:r w:rsidRPr="00496F28">
                    <w:rPr>
                      <w:rFonts w:ascii="Arial" w:eastAsiaTheme="majorEastAsia" w:hAnsi="Arial" w:cs="Arial" w:hint="eastAsia"/>
                      <w:kern w:val="2"/>
                      <w:sz w:val="22"/>
                      <w:szCs w:val="22"/>
                    </w:rPr>
                    <w:t>2</w:t>
                  </w:r>
                  <w:r w:rsidRPr="00496F28">
                    <w:rPr>
                      <w:rFonts w:ascii="Arial" w:eastAsiaTheme="majorEastAsia" w:hAnsi="Arial" w:cs="Arial" w:hint="eastAsia"/>
                      <w:kern w:val="2"/>
                      <w:sz w:val="22"/>
                      <w:szCs w:val="22"/>
                    </w:rPr>
                    <w:t>：</w:t>
                  </w:r>
                  <w:r w:rsidRPr="00496F28">
                    <w:rPr>
                      <w:rFonts w:hAnsi="Calibri" w:hint="eastAsia"/>
                      <w:sz w:val="22"/>
                      <w:szCs w:val="22"/>
                    </w:rPr>
                    <w:t>二十一世纪科技投资有限责任公司停业清理，本公司已全额确认投资损失。</w:t>
                  </w:r>
                </w:p>
                <w:p w:rsidR="005A6509" w:rsidRDefault="00F6225B" w:rsidP="00F6225B">
                  <w:pPr>
                    <w:snapToGrid w:val="0"/>
                    <w:spacing w:line="240" w:lineRule="atLeast"/>
                    <w:rPr>
                      <w:szCs w:val="21"/>
                    </w:rPr>
                  </w:pPr>
                  <w:r w:rsidRPr="00496F28">
                    <w:rPr>
                      <w:rFonts w:hAnsi="Calibri" w:hint="eastAsia"/>
                      <w:sz w:val="22"/>
                      <w:szCs w:val="22"/>
                    </w:rPr>
                    <w:t>注3：华美金融公司无正常业务开展，本公司正在组</w:t>
                  </w:r>
                  <w:r>
                    <w:rPr>
                      <w:rFonts w:hAnsi="Calibri" w:hint="eastAsia"/>
                      <w:sz w:val="22"/>
                      <w:szCs w:val="22"/>
                    </w:rPr>
                    <w:t>织清算，已全额确认投资损失。</w:t>
                  </w:r>
                </w:p>
              </w:sdtContent>
            </w:sdt>
          </w:sdtContent>
        </w:sdt>
      </w:sdtContent>
    </w:sdt>
    <w:p w:rsidR="00DE031E" w:rsidRPr="00892AAB" w:rsidRDefault="00DE031E" w:rsidP="00892AAB"/>
    <w:p w:rsidR="00DE031E" w:rsidRDefault="001C1A59">
      <w:pPr>
        <w:rPr>
          <w:szCs w:val="21"/>
        </w:rPr>
      </w:pPr>
      <w:r>
        <w:rPr>
          <w:szCs w:val="21"/>
        </w:rPr>
        <w:br w:type="page"/>
      </w:r>
    </w:p>
    <w:p w:rsidR="00DE031E" w:rsidRDefault="00DE031E">
      <w:pPr>
        <w:rPr>
          <w:szCs w:val="21"/>
        </w:rPr>
        <w:sectPr w:rsidR="00DE031E" w:rsidSect="00DE031E">
          <w:headerReference w:type="default" r:id="rId22"/>
          <w:pgSz w:w="16838" w:h="11906" w:orient="landscape"/>
          <w:pgMar w:top="1276" w:right="1440" w:bottom="1797" w:left="1525" w:header="856" w:footer="992" w:gutter="0"/>
          <w:cols w:space="425"/>
          <w:docGrid w:linePitch="312"/>
        </w:sectPr>
      </w:pPr>
    </w:p>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lastRenderedPageBreak/>
        <w:t>投资性房地产</w:t>
      </w:r>
    </w:p>
    <w:sdt>
      <w:sdtPr>
        <w:alias w:val="是否适用：投资性房地产"/>
        <w:tag w:val="_GBC_43340fe7c05f4425bd76de6d4e077615"/>
        <w:id w:val="24724293"/>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r>
        <w:t>投资性房地产</w:t>
      </w:r>
      <w:r>
        <w:rPr>
          <w:rFonts w:hint="eastAsia"/>
        </w:rPr>
        <w:t>计量模式</w:t>
      </w:r>
    </w:p>
    <w:sdt>
      <w:sdtPr>
        <w:rPr>
          <w:rFonts w:hint="eastAsia"/>
          <w:b/>
          <w:bCs/>
          <w:szCs w:val="21"/>
        </w:rPr>
        <w:tag w:val="_GBC_f6dac261d9a74df7a48db85ed7768fd1"/>
        <w:id w:val="24724397"/>
        <w:lock w:val="sdtLocked"/>
        <w:placeholder>
          <w:docPart w:val="GBC22222222222222222222222222222"/>
        </w:placeholder>
      </w:sdtPr>
      <w:sdtEndPr>
        <w:rPr>
          <w:rFonts w:cstheme="minorBidi"/>
          <w:b w:val="0"/>
          <w:bCs w:val="0"/>
          <w:kern w:val="2"/>
        </w:rPr>
      </w:sdtEndPr>
      <w:sdtContent>
        <w:sdt>
          <w:sdtPr>
            <w:alias w:val="是否适用：财务附注：按成本计量的投资性房地产"/>
            <w:tag w:val="_GBC_e0f2477019d94de0929bcc7f5ae7b5bb"/>
            <w:id w:val="24724294"/>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投资性房地产"/>
              <w:tag w:val="_GBC_3315dd1b9cb743c786e01b4b9e91b10d"/>
              <w:id w:val="24724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24724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3"/>
            <w:gridCol w:w="1581"/>
            <w:gridCol w:w="1554"/>
            <w:gridCol w:w="1540"/>
            <w:gridCol w:w="1581"/>
          </w:tblGrid>
          <w:tr w:rsidR="00DE031E" w:rsidRPr="004F6159" w:rsidTr="00F96B3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4F6159" w:rsidRDefault="001C1A59">
                <w:pPr>
                  <w:jc w:val="center"/>
                  <w:rPr>
                    <w:rFonts w:asciiTheme="minorEastAsia" w:eastAsiaTheme="minorEastAsia" w:hAnsiTheme="minorEastAsia"/>
                    <w:szCs w:val="21"/>
                  </w:rPr>
                </w:pPr>
                <w:r w:rsidRPr="004F6159">
                  <w:rPr>
                    <w:rFonts w:asciiTheme="minorEastAsia" w:eastAsiaTheme="minorEastAsia" w:hAnsiTheme="minorEastAsia" w:hint="eastAsia"/>
                    <w:szCs w:val="21"/>
                  </w:rPr>
                  <w:t>项目</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4F6159" w:rsidRDefault="001C1A59">
                <w:pPr>
                  <w:jc w:val="center"/>
                  <w:rPr>
                    <w:rFonts w:asciiTheme="minorEastAsia" w:eastAsiaTheme="minorEastAsia" w:hAnsiTheme="minorEastAsia"/>
                    <w:szCs w:val="21"/>
                  </w:rPr>
                </w:pPr>
                <w:r w:rsidRPr="004F6159">
                  <w:rPr>
                    <w:rFonts w:asciiTheme="minorEastAsia" w:eastAsiaTheme="minorEastAsia" w:hAnsiTheme="minorEastAsia" w:hint="eastAsia"/>
                    <w:szCs w:val="21"/>
                  </w:rPr>
                  <w:t>房屋、建筑物</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4F6159" w:rsidRDefault="001C1A59">
                <w:pPr>
                  <w:jc w:val="center"/>
                  <w:rPr>
                    <w:rFonts w:asciiTheme="minorEastAsia" w:eastAsiaTheme="minorEastAsia" w:hAnsiTheme="minorEastAsia"/>
                    <w:szCs w:val="21"/>
                  </w:rPr>
                </w:pPr>
                <w:r w:rsidRPr="004F6159">
                  <w:rPr>
                    <w:rFonts w:asciiTheme="minorEastAsia" w:eastAsiaTheme="minorEastAsia" w:hAnsiTheme="minorEastAsia" w:hint="eastAsia"/>
                    <w:szCs w:val="21"/>
                  </w:rPr>
                  <w:t>土地使用权</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4F6159" w:rsidRDefault="001C1A59">
                <w:pPr>
                  <w:jc w:val="center"/>
                  <w:rPr>
                    <w:rFonts w:asciiTheme="minorEastAsia" w:eastAsiaTheme="minorEastAsia" w:hAnsiTheme="minorEastAsia"/>
                    <w:szCs w:val="21"/>
                  </w:rPr>
                </w:pPr>
                <w:r w:rsidRPr="004F6159">
                  <w:rPr>
                    <w:rFonts w:asciiTheme="minorEastAsia" w:eastAsiaTheme="minorEastAsia" w:hAnsiTheme="minorEastAsia" w:hint="eastAsia"/>
                    <w:szCs w:val="21"/>
                  </w:rPr>
                  <w:t>在建工程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4F6159" w:rsidRDefault="001C1A59">
                <w:pPr>
                  <w:jc w:val="center"/>
                  <w:rPr>
                    <w:rFonts w:asciiTheme="minorEastAsia" w:eastAsiaTheme="minorEastAsia" w:hAnsiTheme="minorEastAsia"/>
                    <w:szCs w:val="21"/>
                  </w:rPr>
                </w:pPr>
                <w:r w:rsidRPr="004F6159">
                  <w:rPr>
                    <w:rFonts w:asciiTheme="minorEastAsia" w:eastAsiaTheme="minorEastAsia" w:hAnsiTheme="minorEastAsia" w:hint="eastAsia"/>
                    <w:szCs w:val="21"/>
                  </w:rPr>
                  <w:t>合计</w:t>
                </w:r>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rPr>
                    <w:rFonts w:asciiTheme="minorEastAsia" w:eastAsiaTheme="minorEastAsia" w:hAnsiTheme="minorEastAsia"/>
                    <w:szCs w:val="21"/>
                  </w:rPr>
                </w:pPr>
                <w:r w:rsidRPr="004F6159">
                  <w:rPr>
                    <w:rFonts w:asciiTheme="minorEastAsia" w:eastAsiaTheme="minorEastAsia" w:hAnsiTheme="minorEastAsia" w:hint="eastAsia"/>
                    <w:szCs w:val="21"/>
                  </w:rPr>
                  <w:t>一、账面原值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szCs w:val="21"/>
                  </w:rPr>
                  <w:t>1.</w:t>
                </w:r>
                <w:r w:rsidRPr="004F6159">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房屋及建筑物原价账面余额"/>
                <w:tag w:val="_GBC_dfa2db7b6cf94c58bc03c164897c1c5b"/>
                <w:id w:val="2472429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25,889,377.46</w:t>
                    </w:r>
                  </w:p>
                </w:tc>
              </w:sdtContent>
            </w:sdt>
            <w:sdt>
              <w:sdtPr>
                <w:rPr>
                  <w:rFonts w:asciiTheme="minorEastAsia" w:eastAsiaTheme="minorEastAsia" w:hAnsiTheme="minorEastAsia"/>
                  <w:szCs w:val="21"/>
                </w:rPr>
                <w:alias w:val="土地使用权原价账面余额"/>
                <w:tag w:val="_GBC_dc92747194a8462db007fe57f2c0e4aa"/>
                <w:id w:val="24724298"/>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
                    <w:tag w:val="_GBC_a430adeddc4745a1b9413b04b68fe238"/>
                    <w:id w:val="2472429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账面余额"/>
                <w:tag w:val="_GBC_ab0738ca386a4afc9dc82aa54065bc81"/>
                <w:id w:val="2472430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25,889,377.46</w:t>
                    </w:r>
                  </w:p>
                </w:tc>
              </w:sdtContent>
            </w:sdt>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szCs w:val="21"/>
                  </w:rPr>
                  <w:t>2.</w:t>
                </w:r>
                <w:r w:rsidRPr="004F6159">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房屋及建筑物原价增加额"/>
                <w:tag w:val="_GBC_94f3e4c65b174f6981ae0672eb7cd845"/>
                <w:id w:val="24724301"/>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原价增加额"/>
                <w:tag w:val="_GBC_a66199c3be284b6ab31f6ccbcf12ede1"/>
                <w:id w:val="24724302"/>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本期增加额"/>
                    <w:tag w:val="_GBC_e9ab279dda2b4cf2851941e85290e347"/>
                    <w:id w:val="24724303"/>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增加额"/>
                <w:tag w:val="_GBC_f9cee7ba5a03416696a53725117145eb"/>
                <w:id w:val="24724304"/>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（1）外购</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房屋、建筑物增加额"/>
                    <w:tag w:val="_GBC_c5cd64a3327046e2a22a4e41365cdd00"/>
                    <w:id w:val="24724305"/>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土地使用权增加额"/>
                    <w:tag w:val="_GBC_77330fd4afa741a58b5bb32cca5ae186"/>
                    <w:id w:val="24724306"/>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外购"/>
                    <w:tag w:val="_GBC_75c1d4f317b2435cbaf5d69368522c62"/>
                    <w:id w:val="24724307"/>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采用成本计量模式的投资性房地产增加额合计"/>
                    <w:tag w:val="_GBC_eff9d8947ad242128c86a51086cb18db"/>
                    <w:id w:val="24724308"/>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（2）存货\固定资产\在建工程转入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房屋、建筑物增加额"/>
                    <w:tag w:val="_GBC_3145734df2d84a549afc8922fc86aff9"/>
                    <w:id w:val="2472430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土地使用权增加额"/>
                    <w:tag w:val="_GBC_6dbe70cf8cb3476ea6b292d1b75ed811"/>
                    <w:id w:val="24724310"/>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存货或固定资产转入"/>
                    <w:tag w:val="_GBC_68103409f5df482a9cb3d0810438b5d0"/>
                    <w:id w:val="24724311"/>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采用成本计量模式的投资性房地产增加额合计"/>
                    <w:tag w:val="_GBC_e98fbc68024643f693557acaa260bced"/>
                    <w:id w:val="24724312"/>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54"/>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（3）企业合并增加</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房屋、建筑物增加额"/>
                    <w:tag w:val="_GBC_50f2a8c6786f45688c6bfc12459e5afe"/>
                    <w:id w:val="24724313"/>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土地使用权增加额"/>
                    <w:tag w:val="_GBC_9aff30cdd9d14f0a9ff8a8f974ab6fff"/>
                    <w:id w:val="24724314"/>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企业合并增加额"/>
                    <w:tag w:val="_GBC_fe5490cd778743cd819149e193e686e9"/>
                    <w:id w:val="24724315"/>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采用成本计量模式的投资性房地产增加额合计"/>
                    <w:tag w:val="_GBC_f6b5bc4b1ec24db5b290b68f9efb86b3"/>
                    <w:id w:val="24724316"/>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3.本期减少金额</w:t>
                </w:r>
              </w:p>
            </w:tc>
            <w:sdt>
              <w:sdtPr>
                <w:rPr>
                  <w:rFonts w:asciiTheme="minorEastAsia" w:eastAsiaTheme="minorEastAsia" w:hAnsiTheme="minorEastAsia"/>
                  <w:szCs w:val="21"/>
                </w:rPr>
                <w:alias w:val="房屋及建筑物原价减少额"/>
                <w:tag w:val="_GBC_0685b0a440d74d37aea52df23f854e19"/>
                <w:id w:val="24724317"/>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原价减少额"/>
                <w:tag w:val="_GBC_40b4419197d942c1b741cbfeba2e7686"/>
                <w:id w:val="24724318"/>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本期减少额"/>
                    <w:tag w:val="_GBC_c03bacbb07334ed3810ae441e110a1e1"/>
                    <w:id w:val="2472431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减少额"/>
                <w:tag w:val="_GBC_5feb4ea2e0284906b99e2883c2eb287f"/>
                <w:id w:val="24724320"/>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房屋、建筑物减少额"/>
                    <w:tag w:val="_GBC_8f4441062792480a956c3504b6269b92"/>
                    <w:id w:val="24724321"/>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土地使用权减少额"/>
                    <w:tag w:val="_GBC_56bbfea6f3154ffbb9d90db96f01aeec"/>
                    <w:id w:val="24724322"/>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处置"/>
                    <w:tag w:val="_GBC_97ab34727410435a87b62def8a59b7bf"/>
                    <w:id w:val="24724323"/>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采用成本计量模式的投资性房地产减少额合计"/>
                    <w:tag w:val="_GBC_bcda2d7d668b42918f224e44614e2e2f"/>
                    <w:id w:val="24724324"/>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房屋、建筑物减少额"/>
                    <w:tag w:val="_GBC_de94f4746f1743b696d8fdf36f27ae43"/>
                    <w:id w:val="24724325"/>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土地使用权减少额"/>
                    <w:tag w:val="_GBC_6fb9fe87662e4491b8c5b536cc785501"/>
                    <w:id w:val="24724326"/>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其他转出"/>
                    <w:tag w:val="_GBC_ef918e76adb44cf28fed0ea332ba9d3f"/>
                    <w:id w:val="24724327"/>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采用成本计量模式的投资性房地产减少额合计"/>
                    <w:tag w:val="_GBC_3bb4dc62fec14c049efd7254467570cb"/>
                    <w:id w:val="24724328"/>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房屋及建筑物原价账面余额"/>
                <w:tag w:val="_GBC_2aaf08af0a00425fa8e08ea82f1813d0"/>
                <w:id w:val="2472432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25,889,377.46</w:t>
                    </w:r>
                  </w:p>
                </w:tc>
              </w:sdtContent>
            </w:sdt>
            <w:sdt>
              <w:sdtPr>
                <w:rPr>
                  <w:rFonts w:asciiTheme="minorEastAsia" w:eastAsiaTheme="minorEastAsia" w:hAnsiTheme="minorEastAsia"/>
                  <w:szCs w:val="21"/>
                </w:rPr>
                <w:alias w:val="土地使用权原价账面余额"/>
                <w:tag w:val="_GBC_1ec65fd6a3894742ac9b2cf1e493e153"/>
                <w:id w:val="24724330"/>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
                    <w:tag w:val="_GBC_bb42b5fbff624abfaa22c3059d1afbdb"/>
                    <w:id w:val="24724331"/>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账面余额"/>
                <w:tag w:val="_GBC_83c98b0ffbf04e04bdb9bc2124854157"/>
                <w:id w:val="2472433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25,889,377.46</w:t>
                    </w:r>
                  </w:p>
                </w:tc>
              </w:sdtContent>
            </w:sdt>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rPr>
                    <w:rFonts w:asciiTheme="minorEastAsia" w:eastAsiaTheme="minorEastAsia" w:hAnsiTheme="minorEastAsia"/>
                    <w:szCs w:val="21"/>
                  </w:rPr>
                </w:pPr>
                <w:r w:rsidRPr="004F6159">
                  <w:rPr>
                    <w:rFonts w:asciiTheme="minorEastAsia" w:eastAsiaTheme="minorEastAsia" w:hAnsiTheme="minorEastAsia" w:hint="eastAsia"/>
                    <w:szCs w:val="21"/>
                  </w:rPr>
                  <w:t>二、累计折旧和累计摊销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szCs w:val="21"/>
                  </w:rPr>
                  <w:t>1.</w:t>
                </w:r>
                <w:r w:rsidRPr="004F6159">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房屋及建筑物累计折旧和累计摊销账面余额"/>
                <w:tag w:val="_GBC_68ffef02317b4598a82ce5003a38e9e9"/>
                <w:id w:val="24724333"/>
                <w:lock w:val="sdtLocked"/>
              </w:sdtPr>
              <w:sdtEndPr>
                <w:rPr>
                  <w:highlight w:val="yellow"/>
                </w:r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rsidP="00DE031E">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12,205,822.63</w:t>
                    </w:r>
                  </w:p>
                </w:tc>
              </w:sdtContent>
            </w:sdt>
            <w:sdt>
              <w:sdtPr>
                <w:rPr>
                  <w:rFonts w:asciiTheme="minorEastAsia" w:eastAsiaTheme="minorEastAsia" w:hAnsiTheme="minorEastAsia"/>
                  <w:szCs w:val="21"/>
                </w:rPr>
                <w:alias w:val="土地使用权累计折旧和累计摊销账面余额"/>
                <w:tag w:val="_GBC_fa95e99ddf65476eb5c8c8a9d7883528"/>
                <w:id w:val="24724334"/>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
                    <w:tag w:val="_GBC_c1cc4c8d04184132a96b244f8db0b41e"/>
                    <w:id w:val="24724335"/>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账面余额"/>
                <w:tag w:val="_GBC_22c4852a674e4da2807bec6ddf2034cb"/>
                <w:id w:val="24724336"/>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rsidP="00DE031E">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12,205,822.63</w:t>
                    </w:r>
                  </w:p>
                </w:tc>
              </w:sdtContent>
            </w:sdt>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szCs w:val="21"/>
                  </w:rPr>
                  <w:t>2.</w:t>
                </w:r>
                <w:r w:rsidRPr="004F6159">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房屋及建筑物累计折旧和累计摊销增加额"/>
                <w:tag w:val="_GBC_c8cc05c0e2b14d448fc9e5e3a44ff91a"/>
                <w:id w:val="2472433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szCs w:val="21"/>
                      </w:rPr>
                      <w:t>409,915.14</w:t>
                    </w:r>
                  </w:p>
                </w:tc>
              </w:sdtContent>
            </w:sdt>
            <w:sdt>
              <w:sdtPr>
                <w:rPr>
                  <w:rFonts w:asciiTheme="minorEastAsia" w:eastAsiaTheme="minorEastAsia" w:hAnsiTheme="minorEastAsia"/>
                  <w:szCs w:val="21"/>
                </w:rPr>
                <w:alias w:val="土地使用权累计折旧和累计摊销增加额"/>
                <w:tag w:val="_GBC_45ea376043994f50827b05f22d9bfe25"/>
                <w:id w:val="24724338"/>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本期增加额"/>
                    <w:tag w:val="_GBC_1516ecac18a94d65a5b2e4236d31532c"/>
                    <w:id w:val="2472433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增加额"/>
                <w:tag w:val="_GBC_791965f16dc04133b5269a07f4c06896"/>
                <w:id w:val="2472434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szCs w:val="21"/>
                      </w:rPr>
                      <w:t>409,915.14</w:t>
                    </w:r>
                  </w:p>
                </w:tc>
              </w:sdtContent>
            </w:sdt>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（1）计提或摊销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房屋、建筑物累计折旧和累计摊销增加额"/>
                    <w:tag w:val="_GBC_a0d54ed5c83d4529b197286ba94cf150"/>
                    <w:id w:val="24724341"/>
                    <w:lock w:val="sdtLocked"/>
                  </w:sdtPr>
                  <w:sdtContent>
                    <w:r w:rsidR="001C1A59" w:rsidRPr="004F6159">
                      <w:rPr>
                        <w:rFonts w:asciiTheme="minorEastAsia" w:eastAsiaTheme="minorEastAsia" w:hAnsiTheme="minorEastAsia"/>
                        <w:szCs w:val="21"/>
                      </w:rPr>
                      <w:t>409,915.14</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土地使用权累计折旧和累计摊销增加额"/>
                    <w:tag w:val="_GBC_6f86cc7a78fc469e842190e518b7ae3a"/>
                    <w:id w:val="24724342"/>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计提或摊销"/>
                    <w:tag w:val="_GBC_33fb74f1e4874d70813de3b329acb7f4"/>
                    <w:id w:val="24724343"/>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采用成本计量模式的投资性房地产累计折旧和累计摊销增加额"/>
                    <w:tag w:val="_GBC_952ada378a014581aaff319549e976f7"/>
                    <w:id w:val="24724344"/>
                    <w:lock w:val="sdtLocked"/>
                  </w:sdtPr>
                  <w:sdtContent>
                    <w:r w:rsidR="001C1A59" w:rsidRPr="004F6159">
                      <w:rPr>
                        <w:rFonts w:asciiTheme="minorEastAsia" w:eastAsiaTheme="minorEastAsia" w:hAnsiTheme="minorEastAsia"/>
                        <w:szCs w:val="21"/>
                      </w:rPr>
                      <w:t>409,915.14</w:t>
                    </w:r>
                  </w:sdtContent>
                </w:sdt>
              </w:p>
            </w:tc>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hint="eastAsia"/>
                    <w:szCs w:val="21"/>
                  </w:rPr>
                  <w:t>3.本期减少金额</w:t>
                </w:r>
              </w:p>
            </w:tc>
            <w:sdt>
              <w:sdtPr>
                <w:rPr>
                  <w:rFonts w:asciiTheme="minorEastAsia" w:eastAsiaTheme="minorEastAsia" w:hAnsiTheme="minorEastAsia"/>
                  <w:szCs w:val="21"/>
                </w:rPr>
                <w:alias w:val="房屋及建筑物累计折旧和累计摊销减少额"/>
                <w:tag w:val="_GBC_83c31b40109a4b7393f7fc8d85606ca9"/>
                <w:id w:val="24724345"/>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累计折旧和累计摊销减少额"/>
                <w:tag w:val="_GBC_51ce2b2481da49bea10b683127a2fab6"/>
                <w:id w:val="2472434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本期减少额"/>
                    <w:tag w:val="_GBC_73161a3a35354c03925971ff305cea8a"/>
                    <w:id w:val="24724347"/>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减少额"/>
                <w:tag w:val="_GBC_ba2bdbe45578448eb7360a8cae707c40"/>
                <w:id w:val="24724348"/>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房屋、建筑物累计折旧和累计摊销减少额"/>
                    <w:tag w:val="_GBC_2219e0a742424e4eac517daf47cc3552"/>
                    <w:id w:val="2472434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土地使用权累计折旧和累计摊销减少额"/>
                    <w:tag w:val="_GBC_616996c134044ea69ae5a3cfa3b85c4f"/>
                    <w:id w:val="24724350"/>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处置"/>
                    <w:tag w:val="_GBC_d7ce1ab8ad054251bf5544753bb80527"/>
                    <w:id w:val="24724351"/>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采用成本计量模式的投资性房地产累计折旧和累计摊销减少额"/>
                    <w:tag w:val="_GBC_bdd0a4fa09dd49149952430771a74002"/>
                    <w:id w:val="24724352"/>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房屋、建筑物累计折旧和累计摊销减少额"/>
                    <w:tag w:val="_GBC_4b275942183b4801a3c11d54bbd9f17c"/>
                    <w:id w:val="24724353"/>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土地使用权累计折旧和累计摊销减少额"/>
                    <w:tag w:val="_GBC_e79355fd8020416b80867d857d825a2a"/>
                    <w:id w:val="24724354"/>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其他转出"/>
                    <w:tag w:val="_GBC_880a01b6e2144bb494d0a8504eafb374"/>
                    <w:id w:val="24724355"/>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采用成本计量模式的投资性房地产累计折旧和累计摊销减少额"/>
                    <w:tag w:val="_GBC_74923a61253b4b1490dc35006d93030d"/>
                    <w:id w:val="24724356"/>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房屋及建筑物累计折旧和累计摊销账面余额"/>
                <w:tag w:val="_GBC_c64b8f8fe46c4321ba09023e1734453d"/>
                <w:id w:val="2472435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rsidP="00DE031E">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12,615,737.77</w:t>
                    </w:r>
                  </w:p>
                </w:tc>
              </w:sdtContent>
            </w:sdt>
            <w:sdt>
              <w:sdtPr>
                <w:rPr>
                  <w:rFonts w:asciiTheme="minorEastAsia" w:eastAsiaTheme="minorEastAsia" w:hAnsiTheme="minorEastAsia"/>
                  <w:szCs w:val="21"/>
                </w:rPr>
                <w:alias w:val="土地使用权累计折旧和累计摊销账面余额"/>
                <w:tag w:val="_GBC_0f22cd671a4e4b839cf5222882105d88"/>
                <w:id w:val="24724358"/>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
                    <w:tag w:val="_GBC_a91d4be8de604affaaf0cfa35fcbc394"/>
                    <w:id w:val="2472435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账面余额"/>
                <w:tag w:val="_GBC_6c38076e17ec41cea0510adeebfa3c8b"/>
                <w:id w:val="2472436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12,615,737.77</w:t>
                    </w:r>
                  </w:p>
                </w:tc>
              </w:sdtContent>
            </w:sdt>
          </w:tr>
          <w:tr w:rsidR="00DE031E" w:rsidRPr="004F6159" w:rsidTr="00F96290">
            <w:trPr>
              <w:trHeight w:val="237"/>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rPr>
                    <w:rFonts w:asciiTheme="minorEastAsia" w:eastAsiaTheme="minorEastAsia" w:hAnsiTheme="minorEastAsia"/>
                    <w:szCs w:val="21"/>
                  </w:rPr>
                </w:pPr>
                <w:r w:rsidRPr="004F6159">
                  <w:rPr>
                    <w:rFonts w:asciiTheme="minorEastAsia" w:eastAsiaTheme="minorEastAsia" w:hAnsiTheme="minorEastAsia" w:hint="eastAsia"/>
                    <w:szCs w:val="21"/>
                  </w:rPr>
                  <w:t>三、减值准备</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szCs w:val="21"/>
                  </w:rPr>
                  <w:t>1.</w:t>
                </w:r>
                <w:r w:rsidRPr="004F6159">
                  <w:rPr>
                    <w:rFonts w:asciiTheme="minorEastAsia" w:eastAsiaTheme="minorEastAsia" w:hAnsiTheme="minorEastAsia" w:hint="eastAsia"/>
                    <w:szCs w:val="21"/>
                  </w:rPr>
                  <w:t>期初余额</w:t>
                </w:r>
              </w:p>
            </w:tc>
            <w:sdt>
              <w:sdtPr>
                <w:rPr>
                  <w:rFonts w:asciiTheme="minorEastAsia" w:eastAsiaTheme="minorEastAsia" w:hAnsiTheme="minorEastAsia"/>
                  <w:szCs w:val="21"/>
                </w:rPr>
                <w:alias w:val="房屋及建筑物减值准备累计金额账面余额"/>
                <w:tag w:val="_GBC_86f88a92b1e444bf806d43154932fd60"/>
                <w:id w:val="24724361"/>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7,893,588.80</w:t>
                    </w:r>
                  </w:p>
                </w:tc>
              </w:sdtContent>
            </w:sdt>
            <w:sdt>
              <w:sdtPr>
                <w:rPr>
                  <w:rFonts w:asciiTheme="minorEastAsia" w:eastAsiaTheme="minorEastAsia" w:hAnsiTheme="minorEastAsia"/>
                  <w:szCs w:val="21"/>
                </w:rPr>
                <w:alias w:val="土地使用权减值准备累计金额账面余额"/>
                <w:tag w:val="_GBC_e6f7c44fc50049f59a9abe0b762660fb"/>
                <w:id w:val="24724362"/>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
                    <w:tag w:val="_GBC_828c8042425f47459c8014ae9ffad3c6"/>
                    <w:id w:val="24724363"/>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余额合计"/>
                <w:tag w:val="_GBC_a59a291e4ae042cc87667e1c152c7359"/>
                <w:id w:val="2472436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7,893,588.80</w:t>
                    </w:r>
                  </w:p>
                </w:tc>
              </w:sdtContent>
            </w:sdt>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szCs w:val="21"/>
                  </w:rPr>
                  <w:t>2.</w:t>
                </w:r>
                <w:r w:rsidRPr="004F6159">
                  <w:rPr>
                    <w:rFonts w:asciiTheme="minorEastAsia" w:eastAsiaTheme="minorEastAsia" w:hAnsiTheme="minorEastAsia" w:hint="eastAsia"/>
                    <w:szCs w:val="21"/>
                  </w:rPr>
                  <w:t>本期增加金额</w:t>
                </w:r>
              </w:p>
            </w:tc>
            <w:sdt>
              <w:sdtPr>
                <w:rPr>
                  <w:rFonts w:asciiTheme="minorEastAsia" w:eastAsiaTheme="minorEastAsia" w:hAnsiTheme="minorEastAsia"/>
                  <w:szCs w:val="21"/>
                </w:rPr>
                <w:alias w:val="房屋及建筑物减值准备累计金额增加额"/>
                <w:tag w:val="_GBC_90c3cbfef9654c93afe59c659a56e3a7"/>
                <w:id w:val="24724365"/>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减值准备累计金额增加额"/>
                <w:tag w:val="_GBC_85db04a365764bc3a3737b1995f39ccb"/>
                <w:id w:val="2472436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本期增加额"/>
                    <w:tag w:val="_GBC_cfd8a690550245c4bc17eeda1d1b9ad2"/>
                    <w:id w:val="24724367"/>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增加数"/>
                <w:tag w:val="_GBC_fbe6e6f2cc8d4230afcd1cc3a081fac0"/>
                <w:id w:val="24724368"/>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hint="eastAsia"/>
                    <w:szCs w:val="21"/>
                  </w:rPr>
                  <w:t>（1）计提</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计提导致的房屋、建筑物减值准备增加"/>
                    <w:tag w:val="_GBC_c89447c5bb0449e5bce8987977e6c96e"/>
                    <w:id w:val="2472436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计提导致的土地使用权减值准备增加"/>
                    <w:tag w:val="_GBC_7a1c082df0014ce4b71e4f0c03d98543"/>
                    <w:id w:val="24724370"/>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计提"/>
                    <w:tag w:val="_GBC_6ca74a2e15754fae890ba45ff57115c2"/>
                    <w:id w:val="24724371"/>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计提导致的采用成本计量模式的投资性房地产减值准备增加"/>
                    <w:tag w:val="_GBC_c228702a9ccd4331856f6a56929ac3e6"/>
                    <w:id w:val="24724372"/>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hint="eastAsia"/>
                    <w:szCs w:val="21"/>
                  </w:rPr>
                  <w:t>3、本期减少金额</w:t>
                </w:r>
              </w:p>
            </w:tc>
            <w:sdt>
              <w:sdtPr>
                <w:rPr>
                  <w:rFonts w:asciiTheme="minorEastAsia" w:eastAsiaTheme="minorEastAsia" w:hAnsiTheme="minorEastAsia"/>
                  <w:szCs w:val="21"/>
                </w:rPr>
                <w:alias w:val="房屋及建筑物减值准备累计金额减少额"/>
                <w:tag w:val="_GBC_fb0e05d4f3ca4d14b840cf847f320d79"/>
                <w:id w:val="24724373"/>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减值准备累计金额减少额"/>
                <w:tag w:val="_GBC_6b3a32601a09456e9baf35d1f955cb2c"/>
                <w:id w:val="24724374"/>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本期减少额"/>
                    <w:tag w:val="_GBC_dbfbc654db9b4ca19359bbd7c1886d70"/>
                    <w:id w:val="24724375"/>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减少额合计"/>
                <w:tag w:val="_GBC_1ed7b2bdbd87420ea147bc2f6c775dae"/>
                <w:id w:val="24724376"/>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房屋、建筑物减值准备减少额"/>
                    <w:tag w:val="_GBC_0b768e803b8f4423ab621fa4391f7f68"/>
                    <w:id w:val="24724377"/>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土地使用权减值准备减少额"/>
                    <w:tag w:val="_GBC_75eef6bfa1af409484fe634c9d204ea9"/>
                    <w:id w:val="24724378"/>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处置"/>
                    <w:tag w:val="_GBC_133bf10e26fd44ffbb7fa8eaa1a17d85"/>
                    <w:id w:val="24724379"/>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采用成本计量模式的投资性房地产减值准备减少额"/>
                    <w:tag w:val="_GBC_37ae7aed990448edb8b0f7ba3d76561f"/>
                    <w:id w:val="24724380"/>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房屋、建筑物减值准备减少额"/>
                    <w:tag w:val="_GBC_01bc6f9a95ad4dcc9ab297f98f50fd69"/>
                    <w:id w:val="24724381"/>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土地使用权减值准备减少额"/>
                    <w:tag w:val="_GBC_625ed56d001c40e99af62653d95816f7"/>
                    <w:id w:val="24724382"/>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其他转出"/>
                    <w:tag w:val="_GBC_286c981c41164b11bb43bcd2399f6505"/>
                    <w:id w:val="24724383"/>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采用成本计量模式的投资性房地产减值准备减少额"/>
                    <w:tag w:val="_GBC_63ed8491a59c4948a64af776dadefee3"/>
                    <w:id w:val="24724384"/>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200" w:firstLine="420"/>
                  <w:rPr>
                    <w:rFonts w:asciiTheme="minorEastAsia" w:eastAsiaTheme="minorEastAsia" w:hAnsiTheme="minorEastAsia"/>
                    <w:szCs w:val="21"/>
                  </w:rPr>
                </w:pPr>
                <w:r w:rsidRPr="004F6159">
                  <w:rPr>
                    <w:rFonts w:asciiTheme="minorEastAsia" w:eastAsiaTheme="minorEastAsia" w:hAnsiTheme="minorEastAsia" w:hint="eastAsia"/>
                    <w:szCs w:val="21"/>
                  </w:rPr>
                  <w:t>4.期末余额</w:t>
                </w:r>
              </w:p>
            </w:tc>
            <w:sdt>
              <w:sdtPr>
                <w:rPr>
                  <w:rFonts w:asciiTheme="minorEastAsia" w:eastAsiaTheme="minorEastAsia" w:hAnsiTheme="minorEastAsia"/>
                  <w:szCs w:val="21"/>
                </w:rPr>
                <w:alias w:val="房屋及建筑物减值准备累计金额账面余额"/>
                <w:tag w:val="_GBC_73e7bf93bfdb4d8dbfab8e16a17c0cd4"/>
                <w:id w:val="24724385"/>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7,893,588.80</w:t>
                    </w:r>
                  </w:p>
                </w:tc>
              </w:sdtContent>
            </w:sdt>
            <w:sdt>
              <w:sdtPr>
                <w:rPr>
                  <w:rFonts w:asciiTheme="minorEastAsia" w:eastAsiaTheme="minorEastAsia" w:hAnsiTheme="minorEastAsia"/>
                  <w:szCs w:val="21"/>
                </w:rPr>
                <w:alias w:val="土地使用权减值准备累计金额账面余额"/>
                <w:tag w:val="_GBC_021b033c9ba24f85956188a1593b9418"/>
                <w:id w:val="2472438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
                    <w:tag w:val="_GBC_74bc9ec7bd644074a0a56145216b8a96"/>
                    <w:id w:val="24724387"/>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余额合计"/>
                <w:tag w:val="_GBC_977b36d994fa4feea2532b140b4c918c"/>
                <w:id w:val="24724388"/>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bCs/>
                        <w:szCs w:val="21"/>
                      </w:rPr>
                      <w:t>7,893,588.80</w:t>
                    </w:r>
                  </w:p>
                </w:tc>
              </w:sdtContent>
            </w:sdt>
          </w:tr>
          <w:tr w:rsidR="00DE031E" w:rsidRPr="004F6159" w:rsidTr="00F96290">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rPr>
                    <w:rFonts w:asciiTheme="minorEastAsia" w:eastAsiaTheme="minorEastAsia" w:hAnsiTheme="minorEastAsia"/>
                    <w:szCs w:val="21"/>
                  </w:rPr>
                </w:pPr>
                <w:r w:rsidRPr="004F6159">
                  <w:rPr>
                    <w:rFonts w:asciiTheme="minorEastAsia" w:eastAsiaTheme="minorEastAsia" w:hAnsiTheme="minorEastAsia" w:hint="eastAsia"/>
                    <w:szCs w:val="21"/>
                  </w:rPr>
                  <w:t>四、账面价值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DE031E">
                <w:pPr>
                  <w:rPr>
                    <w:rFonts w:asciiTheme="minorEastAsia" w:eastAsiaTheme="minorEastAsia" w:hAnsiTheme="minorEastAsia"/>
                    <w:szCs w:val="21"/>
                  </w:rPr>
                </w:pPr>
              </w:p>
            </w:tc>
          </w:tr>
          <w:tr w:rsidR="00DE031E" w:rsidRPr="004F6159" w:rsidTr="00F96290">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szCs w:val="21"/>
                  </w:rPr>
                  <w:t>1.</w:t>
                </w:r>
                <w:r w:rsidRPr="004F6159">
                  <w:rPr>
                    <w:rFonts w:asciiTheme="minorEastAsia" w:eastAsiaTheme="minorEastAsia" w:hAnsiTheme="minorEastAsia" w:hint="eastAsia"/>
                    <w:szCs w:val="21"/>
                  </w:rPr>
                  <w:t>期末账面价值</w:t>
                </w:r>
              </w:p>
            </w:tc>
            <w:sdt>
              <w:sdtPr>
                <w:rPr>
                  <w:rFonts w:asciiTheme="minorEastAsia" w:eastAsiaTheme="minorEastAsia" w:hAnsiTheme="minorEastAsia"/>
                  <w:szCs w:val="21"/>
                </w:rPr>
                <w:alias w:val="房屋及建筑物账面价值账面余额"/>
                <w:tag w:val="_GBC_063a96f07c814173bbb4434ed582402b"/>
                <w:id w:val="2472438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5,380,050.89</w:t>
                    </w:r>
                  </w:p>
                </w:tc>
              </w:sdtContent>
            </w:sdt>
            <w:sdt>
              <w:sdtPr>
                <w:rPr>
                  <w:rFonts w:asciiTheme="minorEastAsia" w:eastAsiaTheme="minorEastAsia" w:hAnsiTheme="minorEastAsia"/>
                  <w:szCs w:val="21"/>
                </w:rPr>
                <w:alias w:val="土地使用权账面价值账面余额"/>
                <w:tag w:val="_GBC_3575f2f6a7c149ae91dd254a61f453dd"/>
                <w:id w:val="24724390"/>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价值"/>
                    <w:tag w:val="_GBC_513fd0ab96c54458a4eb75027d2fbbb8"/>
                    <w:id w:val="24724391"/>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
                <w:tag w:val="_GBC_203ef76d7d9c42bdb85d92597ae14e57"/>
                <w:id w:val="2472439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5,380,050.89</w:t>
                    </w:r>
                  </w:p>
                </w:tc>
              </w:sdtContent>
            </w:sdt>
          </w:tr>
          <w:tr w:rsidR="00DE031E" w:rsidRPr="004F6159" w:rsidTr="00B2063E">
            <w:trPr>
              <w:trHeight w:val="290"/>
            </w:trPr>
            <w:tc>
              <w:tcPr>
                <w:tcW w:w="1559"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ind w:firstLineChars="150" w:firstLine="315"/>
                  <w:rPr>
                    <w:rFonts w:asciiTheme="minorEastAsia" w:eastAsiaTheme="minorEastAsia" w:hAnsiTheme="minorEastAsia"/>
                    <w:szCs w:val="21"/>
                  </w:rPr>
                </w:pPr>
                <w:r w:rsidRPr="004F6159">
                  <w:rPr>
                    <w:rFonts w:asciiTheme="minorEastAsia" w:eastAsiaTheme="minorEastAsia" w:hAnsiTheme="minorEastAsia"/>
                    <w:szCs w:val="21"/>
                  </w:rPr>
                  <w:t>2.</w:t>
                </w:r>
                <w:r w:rsidRPr="004F6159">
                  <w:rPr>
                    <w:rFonts w:asciiTheme="minorEastAsia" w:eastAsiaTheme="minorEastAsia" w:hAnsiTheme="minorEastAsia" w:hint="eastAsia"/>
                    <w:szCs w:val="21"/>
                  </w:rPr>
                  <w:t>期初账面价值</w:t>
                </w:r>
              </w:p>
            </w:tc>
            <w:sdt>
              <w:sdtPr>
                <w:rPr>
                  <w:rFonts w:asciiTheme="minorEastAsia" w:eastAsiaTheme="minorEastAsia" w:hAnsiTheme="minorEastAsia"/>
                  <w:szCs w:val="21"/>
                </w:rPr>
                <w:alias w:val="房屋及建筑物账面价值账面余额"/>
                <w:tag w:val="_GBC_c1bd39c2133744adafeb95eb567f0cf8"/>
                <w:id w:val="24724393"/>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5,789,966.03</w:t>
                    </w:r>
                  </w:p>
                </w:tc>
              </w:sdtContent>
            </w:sdt>
            <w:sdt>
              <w:sdtPr>
                <w:rPr>
                  <w:rFonts w:asciiTheme="minorEastAsia" w:eastAsiaTheme="minorEastAsia" w:hAnsiTheme="minorEastAsia"/>
                  <w:szCs w:val="21"/>
                </w:rPr>
                <w:alias w:val="土地使用权账面价值账面余额"/>
                <w:tag w:val="_GBC_529ba98878684aaba7b0d2b48f551feb"/>
                <w:id w:val="24724394"/>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价值"/>
                    <w:tag w:val="_GBC_30cf79e374d74f74a5ba1f9979964d7d"/>
                    <w:id w:val="24724395"/>
                    <w:lock w:val="sdtLocked"/>
                    <w:showingPlcHdr/>
                  </w:sdtPr>
                  <w:sdtContent>
                    <w:r w:rsidR="001C1A59" w:rsidRPr="004F6159">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
                <w:tag w:val="_GBC_5ce70054d83d4d30b79671984ff26e62"/>
                <w:id w:val="24724396"/>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DE031E" w:rsidRPr="004F6159" w:rsidRDefault="001C1A59">
                    <w:pPr>
                      <w:jc w:val="right"/>
                      <w:rPr>
                        <w:rFonts w:asciiTheme="minorEastAsia" w:eastAsiaTheme="minorEastAsia" w:hAnsiTheme="minorEastAsia"/>
                        <w:szCs w:val="21"/>
                      </w:rPr>
                    </w:pPr>
                    <w:r w:rsidRPr="004F6159">
                      <w:rPr>
                        <w:rFonts w:asciiTheme="minorEastAsia" w:eastAsiaTheme="minorEastAsia" w:hAnsiTheme="minorEastAsia" w:cs="Arial"/>
                        <w:color w:val="000000"/>
                        <w:szCs w:val="21"/>
                      </w:rPr>
                      <w:t>5,789,966.03</w:t>
                    </w:r>
                  </w:p>
                </w:tc>
              </w:sdtContent>
            </w:sdt>
          </w:tr>
        </w:tbl>
        <w:p w:rsidR="00DE031E" w:rsidRDefault="00422DCA" w:rsidP="00DE031E">
          <w:pPr>
            <w:rPr>
              <w:szCs w:val="21"/>
            </w:rPr>
          </w:pPr>
        </w:p>
      </w:sdtContent>
    </w:sdt>
    <w:sdt>
      <w:sdtPr>
        <w:rPr>
          <w:rFonts w:hint="eastAsia"/>
          <w:szCs w:val="21"/>
        </w:rPr>
        <w:tag w:val="_GBC_4ee7b149e6034738877e91cb3a681ea2"/>
        <w:id w:val="24724399"/>
        <w:lock w:val="sdtLocked"/>
        <w:placeholder>
          <w:docPart w:val="GBC22222222222222222222222222222"/>
        </w:placeholder>
      </w:sdtPr>
      <w:sdtContent>
        <w:p w:rsidR="00DE031E" w:rsidRDefault="00422DCA" w:rsidP="00DE031E">
          <w:pPr>
            <w:spacing w:line="360" w:lineRule="auto"/>
            <w:rPr>
              <w:szCs w:val="21"/>
            </w:rPr>
          </w:pPr>
          <w:sdt>
            <w:sdtPr>
              <w:rPr>
                <w:rFonts w:hint="eastAsia"/>
                <w:szCs w:val="21"/>
              </w:rPr>
              <w:alias w:val="投资性房地产的说明"/>
              <w:tag w:val="_GBC_3685f8f5a1e7472caac9f55db7ab18a0"/>
              <w:id w:val="24724398"/>
              <w:lock w:val="sdtLocked"/>
              <w:placeholder>
                <w:docPart w:val="GBC22222222222222222222222222222"/>
              </w:placeholder>
            </w:sdtPr>
            <w:sdtContent>
              <w:r w:rsidR="001C1A59" w:rsidRPr="004F6159">
                <w:rPr>
                  <w:rFonts w:asciiTheme="minorEastAsia" w:eastAsiaTheme="minorEastAsia" w:hAnsiTheme="minorEastAsia" w:hint="eastAsia"/>
                  <w:szCs w:val="21"/>
                </w:rPr>
                <w:t>本年计提的投资性房地产折旧额为</w:t>
              </w:r>
              <w:r w:rsidR="001C1A59" w:rsidRPr="004F6159">
                <w:rPr>
                  <w:rFonts w:asciiTheme="minorEastAsia" w:eastAsiaTheme="minorEastAsia" w:hAnsiTheme="minorEastAsia" w:cs="Arial" w:hint="eastAsia"/>
                  <w:szCs w:val="21"/>
                </w:rPr>
                <w:t>409,915.14</w:t>
              </w:r>
              <w:r w:rsidR="001C1A59" w:rsidRPr="004F6159">
                <w:rPr>
                  <w:rFonts w:asciiTheme="minorEastAsia" w:eastAsiaTheme="minorEastAsia" w:hAnsiTheme="minorEastAsia" w:hint="eastAsia"/>
                  <w:szCs w:val="21"/>
                </w:rPr>
                <w:t>元。</w:t>
              </w:r>
            </w:sdtContent>
          </w:sdt>
        </w:p>
      </w:sdtContent>
    </w:sdt>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lastRenderedPageBreak/>
        <w:t>固定资产</w:t>
      </w:r>
    </w:p>
    <w:sdt>
      <w:sdtPr>
        <w:rPr>
          <w:rFonts w:ascii="宋体" w:hAnsi="宋体" w:cs="宋体" w:hint="eastAsia"/>
          <w:b w:val="0"/>
          <w:bCs w:val="0"/>
          <w:kern w:val="0"/>
          <w:szCs w:val="21"/>
        </w:rPr>
        <w:tag w:val="_GBC_6b764c2f9af049ba98fb55c66fe083a9"/>
        <w:id w:val="24724534"/>
        <w:lock w:val="sdtLocked"/>
        <w:placeholder>
          <w:docPart w:val="GBC22222222222222222222222222222"/>
        </w:placeholder>
      </w:sdtPr>
      <w:sdtEndPr>
        <w:rPr>
          <w:rFonts w:cstheme="minorBidi"/>
          <w:kern w:val="2"/>
        </w:rPr>
      </w:sdtEndPr>
      <w:sdtContent>
        <w:p w:rsidR="00DE031E" w:rsidRDefault="001C1A59" w:rsidP="009950AC">
          <w:pPr>
            <w:pStyle w:val="4"/>
            <w:numPr>
              <w:ilvl w:val="0"/>
              <w:numId w:val="48"/>
            </w:numPr>
            <w:tabs>
              <w:tab w:val="left" w:pos="588"/>
            </w:tabs>
            <w:spacing w:line="360" w:lineRule="auto"/>
            <w:rPr>
              <w:rFonts w:ascii="宋体" w:hAnsi="宋体"/>
              <w:szCs w:val="21"/>
            </w:rPr>
          </w:pPr>
          <w:r>
            <w:rPr>
              <w:rFonts w:ascii="宋体" w:hAnsi="宋体" w:hint="eastAsia"/>
              <w:szCs w:val="21"/>
            </w:rPr>
            <w:t>固定资产情况</w:t>
          </w:r>
        </w:p>
        <w:p w:rsidR="00DE031E" w:rsidRDefault="001C1A5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47244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24724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77" w:type="pct"/>
            <w:jc w:val="center"/>
            <w:tblInd w:w="-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298"/>
            <w:gridCol w:w="1531"/>
            <w:gridCol w:w="1426"/>
            <w:gridCol w:w="1531"/>
            <w:gridCol w:w="1425"/>
            <w:gridCol w:w="1530"/>
          </w:tblGrid>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项目</w:t>
                </w: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422DCA" w:rsidP="00DE031E">
                <w:pPr>
                  <w:jc w:val="center"/>
                </w:pPr>
                <w:sdt>
                  <w:sdtPr>
                    <w:rPr>
                      <w:rFonts w:hint="eastAsia"/>
                    </w:rPr>
                    <w:alias w:val="固定资产情况明细-项目名称"/>
                    <w:tag w:val="_GBC_936a8499167f477aab1a2942b2fdbdaf"/>
                    <w:id w:val="24724402"/>
                    <w:lock w:val="sdtLocked"/>
                    <w:text/>
                  </w:sdtPr>
                  <w:sdtContent>
                    <w:r w:rsidR="001C1A59">
                      <w:rPr>
                        <w:rFonts w:hint="eastAsia"/>
                      </w:rPr>
                      <w:t>房屋及建筑物</w:t>
                    </w:r>
                  </w:sdtContent>
                </w:sdt>
              </w:p>
            </w:tc>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422DCA" w:rsidP="00DE031E">
                <w:pPr>
                  <w:jc w:val="center"/>
                </w:pPr>
                <w:sdt>
                  <w:sdtPr>
                    <w:rPr>
                      <w:rFonts w:hint="eastAsia"/>
                    </w:rPr>
                    <w:alias w:val="固定资产情况明细-项目名称"/>
                    <w:tag w:val="_GBC_936a8499167f477aab1a2942b2fdbdaf"/>
                    <w:id w:val="24724403"/>
                    <w:lock w:val="sdtLocked"/>
                    <w:text/>
                  </w:sdtPr>
                  <w:sdtContent>
                    <w:r w:rsidR="001C1A59">
                      <w:rPr>
                        <w:rFonts w:hint="eastAsia"/>
                      </w:rPr>
                      <w:t>运输工具</w:t>
                    </w:r>
                  </w:sdtContent>
                </w:sdt>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422DCA" w:rsidP="00DE031E">
                <w:pPr>
                  <w:jc w:val="center"/>
                </w:pPr>
                <w:sdt>
                  <w:sdtPr>
                    <w:rPr>
                      <w:rFonts w:hint="eastAsia"/>
                    </w:rPr>
                    <w:alias w:val="固定资产情况明细-项目名称"/>
                    <w:tag w:val="_GBC_936a8499167f477aab1a2942b2fdbdaf"/>
                    <w:id w:val="24724404"/>
                    <w:lock w:val="sdtLocked"/>
                    <w:text/>
                  </w:sdtPr>
                  <w:sdtContent>
                    <w:r w:rsidR="001C1A59">
                      <w:rPr>
                        <w:rFonts w:hint="eastAsia"/>
                      </w:rPr>
                      <w:t>电子设备</w:t>
                    </w:r>
                  </w:sdtContent>
                </w:sdt>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422DCA" w:rsidP="00DE031E">
                <w:pPr>
                  <w:jc w:val="center"/>
                </w:pPr>
                <w:sdt>
                  <w:sdtPr>
                    <w:rPr>
                      <w:rFonts w:hint="eastAsia"/>
                    </w:rPr>
                    <w:alias w:val="固定资产情况明细-项目名称"/>
                    <w:tag w:val="_GBC_936a8499167f477aab1a2942b2fdbdaf"/>
                    <w:id w:val="24724405"/>
                    <w:lock w:val="sdtLocked"/>
                    <w:text/>
                  </w:sdtPr>
                  <w:sdtContent>
                    <w:r w:rsidR="001C1A59">
                      <w:rPr>
                        <w:rFonts w:hint="eastAsia"/>
                      </w:rPr>
                      <w:t>其他</w:t>
                    </w:r>
                  </w:sdtContent>
                </w:sdt>
              </w:p>
            </w:tc>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合计</w:t>
                </w:r>
              </w:p>
            </w:tc>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一、账面原值：</w:t>
                </w: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t>1.</w:t>
                </w:r>
                <w:r>
                  <w:rPr>
                    <w:rFonts w:hint="eastAsia"/>
                  </w:rPr>
                  <w:t>期初余额</w:t>
                </w:r>
              </w:p>
            </w:tc>
            <w:sdt>
              <w:sdtPr>
                <w:alias w:val="固定资产情况明细-账面原值"/>
                <w:tag w:val="_GBC_fdb12b9524f749d5bc2a8298f5467522"/>
                <w:id w:val="24724406"/>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302,452,192.07</w:t>
                    </w:r>
                  </w:p>
                </w:tc>
              </w:sdtContent>
            </w:sdt>
            <w:sdt>
              <w:sdtPr>
                <w:alias w:val="固定资产情况明细-账面原值"/>
                <w:tag w:val="_GBC_fdb12b9524f749d5bc2a8298f5467522"/>
                <w:id w:val="24724407"/>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56,875,963.07</w:t>
                    </w:r>
                  </w:p>
                </w:tc>
              </w:sdtContent>
            </w:sdt>
            <w:sdt>
              <w:sdtPr>
                <w:alias w:val="固定资产情况明细-账面原值"/>
                <w:tag w:val="_GBC_fdb12b9524f749d5bc2a8298f5467522"/>
                <w:id w:val="24724408"/>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348,228,372.50</w:t>
                    </w:r>
                  </w:p>
                </w:tc>
              </w:sdtContent>
            </w:sdt>
            <w:sdt>
              <w:sdtPr>
                <w:alias w:val="固定资产情况明细-账面原值"/>
                <w:tag w:val="_GBC_fdb12b9524f749d5bc2a8298f5467522"/>
                <w:id w:val="24724409"/>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79,732,284.20</w:t>
                    </w:r>
                  </w:p>
                </w:tc>
              </w:sdtContent>
            </w:sdt>
            <w:sdt>
              <w:sdtPr>
                <w:alias w:val="固定资产原价"/>
                <w:tag w:val="_GBC_8cc80c706a2f4873b00ef96d83cfc608"/>
                <w:id w:val="24724410"/>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787,288,811.84</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t>2.</w:t>
                </w:r>
                <w:r>
                  <w:rPr>
                    <w:rFonts w:hint="eastAsia"/>
                  </w:rPr>
                  <w:t>本期增加金额</w:t>
                </w:r>
              </w:p>
            </w:tc>
            <w:sdt>
              <w:sdtPr>
                <w:alias w:val="固定资产情况明细-原值本期增加"/>
                <w:tag w:val="_GBC_1a237c31cdbf44199ea75b7e72cca64a"/>
                <w:id w:val="24724411"/>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原值本期增加"/>
                <w:tag w:val="_GBC_1a237c31cdbf44199ea75b7e72cca64a"/>
                <w:id w:val="24724412"/>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330,275.00</w:t>
                    </w:r>
                  </w:p>
                </w:tc>
              </w:sdtContent>
            </w:sdt>
            <w:sdt>
              <w:sdtPr>
                <w:alias w:val="固定资产情况明细-原值本期增加"/>
                <w:tag w:val="_GBC_1a237c31cdbf44199ea75b7e72cca64a"/>
                <w:id w:val="24724413"/>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48,483,629.39</w:t>
                    </w:r>
                  </w:p>
                </w:tc>
              </w:sdtContent>
            </w:sdt>
            <w:sdt>
              <w:sdtPr>
                <w:alias w:val="固定资产情况明细-原值本期增加"/>
                <w:tag w:val="_GBC_1a237c31cdbf44199ea75b7e72cca64a"/>
                <w:id w:val="24724414"/>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4,706,126.42</w:t>
                    </w:r>
                  </w:p>
                </w:tc>
              </w:sdtContent>
            </w:sdt>
            <w:sdt>
              <w:sdtPr>
                <w:alias w:val="固定资产原价合计增加数"/>
                <w:tag w:val="_GBC_654b01ad3c1a4e9285c6e05765d1bc38"/>
                <w:id w:val="24724415"/>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53,520,030.81</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（1）购置</w:t>
                </w:r>
              </w:p>
            </w:tc>
            <w:sdt>
              <w:sdtPr>
                <w:alias w:val="固定资产情况明细-购置"/>
                <w:tag w:val="_GBC_ede2785556d64a79bbd34040351834a2"/>
                <w:id w:val="24724416"/>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购置"/>
                <w:tag w:val="_GBC_ede2785556d64a79bbd34040351834a2"/>
                <w:id w:val="24724417"/>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330,275.00</w:t>
                    </w:r>
                  </w:p>
                </w:tc>
              </w:sdtContent>
            </w:sdt>
            <w:sdt>
              <w:sdtPr>
                <w:alias w:val="固定资产情况明细-购置"/>
                <w:tag w:val="_GBC_ede2785556d64a79bbd34040351834a2"/>
                <w:id w:val="24724418"/>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48,483,629.39</w:t>
                    </w:r>
                  </w:p>
                </w:tc>
              </w:sdtContent>
            </w:sdt>
            <w:sdt>
              <w:sdtPr>
                <w:alias w:val="固定资产情况明细-购置"/>
                <w:tag w:val="_GBC_ede2785556d64a79bbd34040351834a2"/>
                <w:id w:val="24724419"/>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4,706,126.42</w:t>
                    </w:r>
                  </w:p>
                </w:tc>
              </w:sdtContent>
            </w:sdt>
            <w:sdt>
              <w:sdtPr>
                <w:alias w:val="购置导致的固定资产原值本期增加合计"/>
                <w:tag w:val="_GBC_13c07a1d1f9f45e5920009a6afe410c6"/>
                <w:id w:val="24724420"/>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53,520,030.81</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（2）在建工程转入</w:t>
                </w:r>
              </w:p>
            </w:tc>
            <w:sdt>
              <w:sdtPr>
                <w:alias w:val="固定资产情况明细-在建工程转入"/>
                <w:tag w:val="_GBC_ea84dadfe66446b183bcd5e129e67533"/>
                <w:id w:val="24724421"/>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在建工程转入"/>
                <w:tag w:val="_GBC_ea84dadfe66446b183bcd5e129e67533"/>
                <w:id w:val="24724422"/>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在建工程转入"/>
                <w:tag w:val="_GBC_ea84dadfe66446b183bcd5e129e67533"/>
                <w:id w:val="24724423"/>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在建工程转入"/>
                <w:tag w:val="_GBC_ea84dadfe66446b183bcd5e129e67533"/>
                <w:id w:val="24724424"/>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在建工程转入导致的固定资产原值本期增加合计"/>
                <w:tag w:val="_GBC_6da9f3b8ff3f4caea581c2cf1ee24ba8"/>
                <w:id w:val="24724425"/>
                <w:lock w:val="sdtLocked"/>
                <w:showingPlcHdr/>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（3）企业合并增加</w:t>
                </w:r>
              </w:p>
            </w:tc>
            <w:sdt>
              <w:sdtPr>
                <w:alias w:val="固定资产情况明细-企业合并增加"/>
                <w:tag w:val="_GBC_4e16228c05ca4231becef71afcd9de59"/>
                <w:id w:val="24724426"/>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企业合并增加"/>
                <w:tag w:val="_GBC_4e16228c05ca4231becef71afcd9de59"/>
                <w:id w:val="24724427"/>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企业合并增加"/>
                <w:tag w:val="_GBC_4e16228c05ca4231becef71afcd9de59"/>
                <w:id w:val="24724428"/>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企业合并增加"/>
                <w:tag w:val="_GBC_4e16228c05ca4231becef71afcd9de59"/>
                <w:id w:val="24724429"/>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企业合并增加导致的固定资产原值本期增加合计"/>
                <w:tag w:val="_GBC_363399ea6c25434d938bc8e25fc85706"/>
                <w:id w:val="24724430"/>
                <w:lock w:val="sdtLocked"/>
                <w:showingPlcHdr/>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50" w:firstLine="525"/>
                </w:pPr>
                <w:r>
                  <w:rPr>
                    <w:rFonts w:hint="eastAsia"/>
                  </w:rPr>
                  <w:t>3.本期减少金额</w:t>
                </w:r>
              </w:p>
            </w:tc>
            <w:sdt>
              <w:sdtPr>
                <w:alias w:val="固定资产情况明细-原值本期减少"/>
                <w:tag w:val="_GBC_bba2eb02b7c845aeac2541e0d892e8a1"/>
                <w:id w:val="24724431"/>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原值本期减少"/>
                <w:tag w:val="_GBC_bba2eb02b7c845aeac2541e0d892e8a1"/>
                <w:id w:val="24724432"/>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1,422,838.82</w:t>
                    </w:r>
                  </w:p>
                </w:tc>
              </w:sdtContent>
            </w:sdt>
            <w:sdt>
              <w:sdtPr>
                <w:alias w:val="固定资产情况明细-原值本期减少"/>
                <w:tag w:val="_GBC_bba2eb02b7c845aeac2541e0d892e8a1"/>
                <w:id w:val="24724433"/>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379,419.00</w:t>
                    </w:r>
                  </w:p>
                </w:tc>
              </w:sdtContent>
            </w:sdt>
            <w:sdt>
              <w:sdtPr>
                <w:alias w:val="固定资产情况明细-原值本期减少"/>
                <w:tag w:val="_GBC_bba2eb02b7c845aeac2541e0d892e8a1"/>
                <w:id w:val="24724434"/>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18,954.10</w:t>
                    </w:r>
                  </w:p>
                </w:tc>
              </w:sdtContent>
            </w:sdt>
            <w:sdt>
              <w:sdtPr>
                <w:alias w:val="固定资产原价合计减少数"/>
                <w:tag w:val="_GBC_218a61684e4b423d8b56b054b3fd5ee4"/>
                <w:id w:val="24724435"/>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1,821,211.92</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（1）处置或报废</w:t>
                </w:r>
              </w:p>
            </w:tc>
            <w:sdt>
              <w:sdtPr>
                <w:alias w:val="固定资产情况明细-原值处置或报废"/>
                <w:tag w:val="_GBC_0e5821b8e0bb4582be47d7948aa2f358"/>
                <w:id w:val="24724436"/>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原值处置或报废"/>
                <w:tag w:val="_GBC_0e5821b8e0bb4582be47d7948aa2f358"/>
                <w:id w:val="24724437"/>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1,422,111.00</w:t>
                    </w:r>
                  </w:p>
                </w:tc>
              </w:sdtContent>
            </w:sdt>
            <w:sdt>
              <w:sdtPr>
                <w:alias w:val="固定资产情况明细-原值处置或报废"/>
                <w:tag w:val="_GBC_0e5821b8e0bb4582be47d7948aa2f358"/>
                <w:id w:val="24724438"/>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366,839.00</w:t>
                    </w:r>
                  </w:p>
                </w:tc>
              </w:sdtContent>
            </w:sdt>
            <w:sdt>
              <w:sdtPr>
                <w:alias w:val="固定资产情况明细-原值处置或报废"/>
                <w:tag w:val="_GBC_0e5821b8e0bb4582be47d7948aa2f358"/>
                <w:id w:val="24724439"/>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4,280.00</w:t>
                    </w:r>
                  </w:p>
                </w:tc>
              </w:sdtContent>
            </w:sdt>
            <w:sdt>
              <w:sdtPr>
                <w:alias w:val="处置或报废导致的固定资产原值本期减少合计"/>
                <w:tag w:val="_GBC_17b5ddaa5138418297825f6b267e3995"/>
                <w:id w:val="24724440"/>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1,793,230.00</w:t>
                    </w:r>
                  </w:p>
                </w:tc>
              </w:sdtContent>
            </w:sdt>
          </w:tr>
          <w:tr w:rsidR="00DE031E" w:rsidTr="00DE031E">
            <w:trPr>
              <w:jc w:val="center"/>
            </w:trPr>
            <w:sdt>
              <w:sdtPr>
                <w:rPr>
                  <w:rFonts w:hint="eastAsia"/>
                </w:rPr>
                <w:alias w:val="固定资产账面原值减少项目名称"/>
                <w:tag w:val="_GBC_2f4e09d586974d5099e26de2e9f2268e"/>
                <w:id w:val="24724441"/>
                <w:lock w:val="sdtLocked"/>
              </w:sdtPr>
              <w:sdtContent>
                <w:tc>
                  <w:tcPr>
                    <w:tcW w:w="118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r>
                      <w:rPr>
                        <w:rFonts w:hint="eastAsia"/>
                      </w:rPr>
                      <w:t>（2）外币报表折算差额</w:t>
                    </w:r>
                  </w:p>
                </w:tc>
              </w:sdtContent>
            </w:sdt>
            <w:sdt>
              <w:sdtPr>
                <w:rPr>
                  <w:rFonts w:hint="eastAsia"/>
                </w:rPr>
                <w:alias w:val="固定资产账面原值减少项目金额"/>
                <w:tag w:val="_GBC_86b298d954344511b012e84c48d4404f"/>
                <w:id w:val="24724442"/>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rPr>
                  <w:rFonts w:hint="eastAsia"/>
                </w:rPr>
                <w:alias w:val="固定资产账面原值减少项目金额"/>
                <w:tag w:val="_GBC_86b298d954344511b012e84c48d4404f"/>
                <w:id w:val="24724443"/>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727.82</w:t>
                    </w:r>
                  </w:p>
                </w:tc>
              </w:sdtContent>
            </w:sdt>
            <w:sdt>
              <w:sdtPr>
                <w:rPr>
                  <w:rFonts w:hint="eastAsia"/>
                </w:rPr>
                <w:alias w:val="固定资产账面原值减少项目金额"/>
                <w:tag w:val="_GBC_86b298d954344511b012e84c48d4404f"/>
                <w:id w:val="24724444"/>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12,580.00</w:t>
                    </w:r>
                  </w:p>
                </w:tc>
              </w:sdtContent>
            </w:sdt>
            <w:sdt>
              <w:sdtPr>
                <w:rPr>
                  <w:rFonts w:hint="eastAsia"/>
                </w:rPr>
                <w:alias w:val="固定资产账面原值减少项目金额"/>
                <w:tag w:val="_GBC_86b298d954344511b012e84c48d4404f"/>
                <w:id w:val="24724445"/>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14,674.10</w:t>
                    </w:r>
                  </w:p>
                </w:tc>
              </w:sdtContent>
            </w:sdt>
            <w:sdt>
              <w:sdtPr>
                <w:rPr>
                  <w:rFonts w:hint="eastAsia"/>
                </w:rPr>
                <w:alias w:val="固定资产账面原值减少项目合计金额"/>
                <w:tag w:val="_GBC_b75b8542395b4972ad2d3a1ea5c4c1d9"/>
                <w:id w:val="24724446"/>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27,981.92</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rPr>
                    <w:rFonts w:hint="eastAsia"/>
                  </w:rPr>
                  <w:t>4.期末余额</w:t>
                </w:r>
              </w:p>
            </w:tc>
            <w:sdt>
              <w:sdtPr>
                <w:alias w:val="固定资产情况明细-账面原值"/>
                <w:tag w:val="_GBC_ae4301c555384883ad2cdc7cd57b6f8e"/>
                <w:id w:val="24724447"/>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302,452,192.07</w:t>
                    </w:r>
                  </w:p>
                </w:tc>
              </w:sdtContent>
            </w:sdt>
            <w:sdt>
              <w:sdtPr>
                <w:alias w:val="固定资产情况明细-账面原值"/>
                <w:tag w:val="_GBC_ae4301c555384883ad2cdc7cd57b6f8e"/>
                <w:id w:val="24724448"/>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55,783,399.25</w:t>
                    </w:r>
                  </w:p>
                </w:tc>
              </w:sdtContent>
            </w:sdt>
            <w:sdt>
              <w:sdtPr>
                <w:alias w:val="固定资产情况明细-账面原值"/>
                <w:tag w:val="_GBC_ae4301c555384883ad2cdc7cd57b6f8e"/>
                <w:id w:val="24724449"/>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396,332,582.89</w:t>
                    </w:r>
                  </w:p>
                </w:tc>
              </w:sdtContent>
            </w:sdt>
            <w:sdt>
              <w:sdtPr>
                <w:alias w:val="固定资产情况明细-账面原值"/>
                <w:tag w:val="_GBC_ae4301c555384883ad2cdc7cd57b6f8e"/>
                <w:id w:val="24724450"/>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84,419,456.52</w:t>
                    </w:r>
                  </w:p>
                </w:tc>
              </w:sdtContent>
            </w:sdt>
            <w:sdt>
              <w:sdtPr>
                <w:alias w:val="固定资产原价"/>
                <w:tag w:val="_GBC_6df68d53bb1c42b0b8288c726103aa56"/>
                <w:id w:val="24724451"/>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838,987,630.73</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二、累计折旧</w:t>
                </w: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t>1.</w:t>
                </w:r>
                <w:r>
                  <w:rPr>
                    <w:rFonts w:hint="eastAsia"/>
                  </w:rPr>
                  <w:t>期初余额</w:t>
                </w:r>
              </w:p>
            </w:tc>
            <w:sdt>
              <w:sdtPr>
                <w:alias w:val="固定资产情况明细-累计折旧"/>
                <w:tag w:val="_GBC_ad39a009e8014af3978c2943b2c9ca11"/>
                <w:id w:val="24724452"/>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132,465,499.53</w:t>
                    </w:r>
                  </w:p>
                </w:tc>
              </w:sdtContent>
            </w:sdt>
            <w:sdt>
              <w:sdtPr>
                <w:alias w:val="固定资产情况明细-累计折旧"/>
                <w:tag w:val="_GBC_ad39a009e8014af3978c2943b2c9ca11"/>
                <w:id w:val="24724453"/>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34,002,348.01</w:t>
                    </w:r>
                  </w:p>
                </w:tc>
              </w:sdtContent>
            </w:sdt>
            <w:sdt>
              <w:sdtPr>
                <w:alias w:val="固定资产情况明细-累计折旧"/>
                <w:tag w:val="_GBC_ad39a009e8014af3978c2943b2c9ca11"/>
                <w:id w:val="24724454"/>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202,138,158.31</w:t>
                    </w:r>
                  </w:p>
                </w:tc>
              </w:sdtContent>
            </w:sdt>
            <w:sdt>
              <w:sdtPr>
                <w:alias w:val="固定资产情况明细-累计折旧"/>
                <w:tag w:val="_GBC_ad39a009e8014af3978c2943b2c9ca11"/>
                <w:id w:val="24724455"/>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41,336,311.61</w:t>
                    </w:r>
                  </w:p>
                </w:tc>
              </w:sdtContent>
            </w:sdt>
            <w:sdt>
              <w:sdtPr>
                <w:alias w:val="累计折旧"/>
                <w:tag w:val="_GBC_7b3686383a1f4fc3ace0f36e24be6558"/>
                <w:id w:val="24724456"/>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409,942,317.46</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t>2.</w:t>
                </w:r>
                <w:r>
                  <w:rPr>
                    <w:rFonts w:hint="eastAsia"/>
                  </w:rPr>
                  <w:t>本期增加金额</w:t>
                </w:r>
              </w:p>
            </w:tc>
            <w:sdt>
              <w:sdtPr>
                <w:alias w:val="固定资产情况明细-累计折旧本期增加"/>
                <w:tag w:val="_GBC_ee69c5ac0bca40419ac231cd08138a9c"/>
                <w:id w:val="24724457"/>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4,788,816.60</w:t>
                    </w:r>
                  </w:p>
                </w:tc>
              </w:sdtContent>
            </w:sdt>
            <w:sdt>
              <w:sdtPr>
                <w:alias w:val="固定资产情况明细-累计折旧本期增加"/>
                <w:tag w:val="_GBC_ee69c5ac0bca40419ac231cd08138a9c"/>
                <w:id w:val="24724458"/>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3,348,190.85</w:t>
                    </w:r>
                  </w:p>
                </w:tc>
              </w:sdtContent>
            </w:sdt>
            <w:sdt>
              <w:sdtPr>
                <w:alias w:val="固定资产情况明细-累计折旧本期增加"/>
                <w:tag w:val="_GBC_ee69c5ac0bca40419ac231cd08138a9c"/>
                <w:id w:val="24724459"/>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25,183,736.62</w:t>
                    </w:r>
                  </w:p>
                </w:tc>
              </w:sdtContent>
            </w:sdt>
            <w:sdt>
              <w:sdtPr>
                <w:alias w:val="固定资产情况明细-累计折旧本期增加"/>
                <w:tag w:val="_GBC_ee69c5ac0bca40419ac231cd08138a9c"/>
                <w:id w:val="24724460"/>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7,169,703.12</w:t>
                    </w:r>
                  </w:p>
                </w:tc>
              </w:sdtContent>
            </w:sdt>
            <w:sdt>
              <w:sdtPr>
                <w:alias w:val="固定资产累计折旧增加数"/>
                <w:tag w:val="_GBC_40a3bbb5a0ed47a086f18b27e8d533f4"/>
                <w:id w:val="24724461"/>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40,490,447.19</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300" w:firstLine="630"/>
                </w:pPr>
                <w:r>
                  <w:rPr>
                    <w:rFonts w:hint="eastAsia"/>
                  </w:rPr>
                  <w:t>（1）计提</w:t>
                </w:r>
              </w:p>
            </w:tc>
            <w:sdt>
              <w:sdtPr>
                <w:alias w:val="固定资产情况明细-累计折旧计提"/>
                <w:tag w:val="_GBC_0418a1f1004541aeb387886cb94ff2fa"/>
                <w:id w:val="24724462"/>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4,788,816.60</w:t>
                    </w:r>
                  </w:p>
                </w:tc>
              </w:sdtContent>
            </w:sdt>
            <w:sdt>
              <w:sdtPr>
                <w:alias w:val="固定资产情况明细-累计折旧计提"/>
                <w:tag w:val="_GBC_0418a1f1004541aeb387886cb94ff2fa"/>
                <w:id w:val="24724463"/>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3,348,190.85</w:t>
                    </w:r>
                  </w:p>
                </w:tc>
              </w:sdtContent>
            </w:sdt>
            <w:sdt>
              <w:sdtPr>
                <w:alias w:val="固定资产情况明细-累计折旧计提"/>
                <w:tag w:val="_GBC_0418a1f1004541aeb387886cb94ff2fa"/>
                <w:id w:val="24724464"/>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25,183,736.62</w:t>
                    </w:r>
                  </w:p>
                </w:tc>
              </w:sdtContent>
            </w:sdt>
            <w:sdt>
              <w:sdtPr>
                <w:alias w:val="固定资产情况明细-累计折旧计提"/>
                <w:tag w:val="_GBC_0418a1f1004541aeb387886cb94ff2fa"/>
                <w:id w:val="24724465"/>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7,169,703.12</w:t>
                    </w:r>
                  </w:p>
                </w:tc>
              </w:sdtContent>
            </w:sdt>
            <w:sdt>
              <w:sdtPr>
                <w:alias w:val="固定资产累计折旧计提数"/>
                <w:tag w:val="_GBC_4bbe73d7ed664dddbcb899d48d203871"/>
                <w:id w:val="24724466"/>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40,490,447.19</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rPr>
                    <w:rFonts w:hint="eastAsia"/>
                  </w:rPr>
                  <w:t>3.本期减少金额</w:t>
                </w:r>
              </w:p>
            </w:tc>
            <w:sdt>
              <w:sdtPr>
                <w:alias w:val="固定资产情况明细-累计折旧本期减少"/>
                <w:tag w:val="_GBC_436c919be5634a12910f34cb543417d1"/>
                <w:id w:val="24724467"/>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累计折旧本期减少"/>
                <w:tag w:val="_GBC_436c919be5634a12910f34cb543417d1"/>
                <w:id w:val="24724468"/>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1,351,434.4</w:t>
                    </w:r>
                    <w:r>
                      <w:rPr>
                        <w:rFonts w:hint="eastAsia"/>
                      </w:rPr>
                      <w:t>7</w:t>
                    </w:r>
                  </w:p>
                </w:tc>
              </w:sdtContent>
            </w:sdt>
            <w:sdt>
              <w:sdtPr>
                <w:alias w:val="固定资产情况明细-累计折旧本期减少"/>
                <w:tag w:val="_GBC_436c919be5634a12910f34cb543417d1"/>
                <w:id w:val="24724469"/>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273,714.69</w:t>
                    </w:r>
                  </w:p>
                </w:tc>
              </w:sdtContent>
            </w:sdt>
            <w:sdt>
              <w:sdtPr>
                <w:alias w:val="固定资产情况明细-累计折旧本期减少"/>
                <w:tag w:val="_GBC_436c919be5634a12910f34cb543417d1"/>
                <w:id w:val="24724470"/>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9,518.3</w:t>
                    </w:r>
                    <w:r>
                      <w:rPr>
                        <w:rFonts w:hint="eastAsia"/>
                      </w:rPr>
                      <w:t>5</w:t>
                    </w:r>
                  </w:p>
                </w:tc>
              </w:sdtContent>
            </w:sdt>
            <w:sdt>
              <w:sdtPr>
                <w:alias w:val="固定资产累计折旧减少数"/>
                <w:tag w:val="_GBC_d065d08ab55a4db395c4907b80e3b47d"/>
                <w:id w:val="24724471"/>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1,634,667.51</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（1）处置或报废</w:t>
                </w:r>
              </w:p>
            </w:tc>
            <w:sdt>
              <w:sdtPr>
                <w:alias w:val="固定资产情况明细-累计折旧处置或报废"/>
                <w:tag w:val="_GBC_d0e1df142f454c7c9246e13250e1d7ef"/>
                <w:id w:val="24724472"/>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累计折旧处置或报废"/>
                <w:tag w:val="_GBC_d0e1df142f454c7c9246e13250e1d7ef"/>
                <w:id w:val="24724473"/>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1,351,005.45</w:t>
                    </w:r>
                  </w:p>
                </w:tc>
              </w:sdtContent>
            </w:sdt>
            <w:sdt>
              <w:sdtPr>
                <w:alias w:val="固定资产情况明细-累计折旧处置或报废"/>
                <w:tag w:val="_GBC_d0e1df142f454c7c9246e13250e1d7ef"/>
                <w:id w:val="24724474"/>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265,692.63</w:t>
                    </w:r>
                  </w:p>
                </w:tc>
              </w:sdtContent>
            </w:sdt>
            <w:sdt>
              <w:sdtPr>
                <w:alias w:val="固定资产情况明细-累计折旧处置或报废"/>
                <w:tag w:val="_GBC_d0e1df142f454c7c9246e13250e1d7ef"/>
                <w:id w:val="24724475"/>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2,292.23</w:t>
                    </w:r>
                  </w:p>
                </w:tc>
              </w:sdtContent>
            </w:sdt>
            <w:sdt>
              <w:sdtPr>
                <w:alias w:val="处置或报废导致的固定资产累计折旧本期减少合计"/>
                <w:tag w:val="_GBC_8d7e58021b6c42b19f7283487b61c9d9"/>
                <w:id w:val="24724476"/>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1,618,990.31</w:t>
                    </w:r>
                  </w:p>
                </w:tc>
              </w:sdtContent>
            </w:sdt>
          </w:tr>
          <w:tr w:rsidR="00DE031E" w:rsidTr="00DE031E">
            <w:trPr>
              <w:jc w:val="center"/>
            </w:trPr>
            <w:sdt>
              <w:sdtPr>
                <w:rPr>
                  <w:rFonts w:hint="eastAsia"/>
                </w:rPr>
                <w:alias w:val="固定资产累计折旧减少项目名称"/>
                <w:tag w:val="_GBC_4c9ad176f9f549d79f1ea8e8285e4304"/>
                <w:id w:val="24724477"/>
                <w:lock w:val="sdtLocked"/>
              </w:sdtPr>
              <w:sdtContent>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（2）外币报表折算差额</w:t>
                    </w:r>
                  </w:p>
                </w:tc>
              </w:sdtContent>
            </w:sdt>
            <w:sdt>
              <w:sdtPr>
                <w:rPr>
                  <w:rFonts w:hint="eastAsia"/>
                </w:rPr>
                <w:alias w:val="固定资产累计折旧减少项目金额"/>
                <w:tag w:val="_GBC_0475795030724aa4838f00440a8fdfe1"/>
                <w:id w:val="24724478"/>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color w:val="333399"/>
                      </w:rPr>
                      <w:t xml:space="preserve">　</w:t>
                    </w:r>
                  </w:p>
                </w:tc>
              </w:sdtContent>
            </w:sdt>
            <w:sdt>
              <w:sdtPr>
                <w:rPr>
                  <w:rFonts w:hint="eastAsia"/>
                </w:rPr>
                <w:alias w:val="固定资产累计折旧减少项目金额"/>
                <w:tag w:val="_GBC_0475795030724aa4838f00440a8fdfe1"/>
                <w:id w:val="24724479"/>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rPr>
                      <w:t>429.02</w:t>
                    </w:r>
                  </w:p>
                </w:tc>
              </w:sdtContent>
            </w:sdt>
            <w:sdt>
              <w:sdtPr>
                <w:rPr>
                  <w:rFonts w:hint="eastAsia"/>
                </w:rPr>
                <w:alias w:val="固定资产累计折旧减少项目金额"/>
                <w:tag w:val="_GBC_0475795030724aa4838f00440a8fdfe1"/>
                <w:id w:val="24724480"/>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rPr>
                      <w:t>8,022.06</w:t>
                    </w:r>
                  </w:p>
                </w:tc>
              </w:sdtContent>
            </w:sdt>
            <w:sdt>
              <w:sdtPr>
                <w:rPr>
                  <w:rFonts w:hint="eastAsia"/>
                </w:rPr>
                <w:alias w:val="固定资产累计折旧减少项目金额"/>
                <w:tag w:val="_GBC_0475795030724aa4838f00440a8fdfe1"/>
                <w:id w:val="24724481"/>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rPr>
                      <w:t>7,226.12</w:t>
                    </w:r>
                  </w:p>
                </w:tc>
              </w:sdtContent>
            </w:sdt>
            <w:sdt>
              <w:sdtPr>
                <w:rPr>
                  <w:rFonts w:hint="eastAsia"/>
                </w:rPr>
                <w:alias w:val="固定资产累计折旧减少项目合计金额"/>
                <w:tag w:val="_GBC_11178a6044164f9abd685ae39ec93217"/>
                <w:id w:val="24724482"/>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rPr>
                      <w:t>15,677.20</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rPr>
                    <w:rFonts w:hint="eastAsia"/>
                  </w:rPr>
                  <w:t>4.期末余额</w:t>
                </w:r>
              </w:p>
            </w:tc>
            <w:sdt>
              <w:sdtPr>
                <w:alias w:val="固定资产情况明细-累计折旧"/>
                <w:tag w:val="_GBC_1db984dbce634ada8b937a03368ec0a0"/>
                <w:id w:val="24724483"/>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137,254,316.13</w:t>
                    </w:r>
                  </w:p>
                </w:tc>
              </w:sdtContent>
            </w:sdt>
            <w:sdt>
              <w:sdtPr>
                <w:alias w:val="固定资产情况明细-累计折旧"/>
                <w:tag w:val="_GBC_1db984dbce634ada8b937a03368ec0a0"/>
                <w:id w:val="24724484"/>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35,999,104.</w:t>
                    </w:r>
                    <w:r>
                      <w:rPr>
                        <w:rFonts w:hint="eastAsia"/>
                      </w:rPr>
                      <w:t>39</w:t>
                    </w:r>
                  </w:p>
                </w:tc>
              </w:sdtContent>
            </w:sdt>
            <w:sdt>
              <w:sdtPr>
                <w:alias w:val="固定资产情况明细-累计折旧"/>
                <w:tag w:val="_GBC_1db984dbce634ada8b937a03368ec0a0"/>
                <w:id w:val="24724485"/>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227,048,180.24</w:t>
                    </w:r>
                  </w:p>
                </w:tc>
              </w:sdtContent>
            </w:sdt>
            <w:sdt>
              <w:sdtPr>
                <w:alias w:val="固定资产情况明细-累计折旧"/>
                <w:tag w:val="_GBC_1db984dbce634ada8b937a03368ec0a0"/>
                <w:id w:val="24724486"/>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48,496,496.3</w:t>
                    </w:r>
                    <w:r>
                      <w:rPr>
                        <w:rFonts w:hint="eastAsia"/>
                      </w:rPr>
                      <w:t>8</w:t>
                    </w:r>
                  </w:p>
                </w:tc>
              </w:sdtContent>
            </w:sdt>
            <w:sdt>
              <w:sdtPr>
                <w:alias w:val="累计折旧"/>
                <w:tag w:val="_GBC_c9387c26f97342eeae8ebab93c3854f5"/>
                <w:id w:val="24724487"/>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448,798,097.14</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三、减值准备</w:t>
                </w: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t>1.</w:t>
                </w:r>
                <w:r>
                  <w:rPr>
                    <w:rFonts w:hint="eastAsia"/>
                  </w:rPr>
                  <w:t>期初余额</w:t>
                </w:r>
              </w:p>
            </w:tc>
            <w:sdt>
              <w:sdtPr>
                <w:alias w:val="固定资产情况明细-减值准备"/>
                <w:tag w:val="_GBC_e5bec7f4c39c42f6a24e75d5b5c93c1a"/>
                <w:id w:val="24724488"/>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9,793,588.79</w:t>
                    </w:r>
                  </w:p>
                </w:tc>
              </w:sdtContent>
            </w:sdt>
            <w:sdt>
              <w:sdtPr>
                <w:alias w:val="固定资产情况明细-减值准备"/>
                <w:tag w:val="_GBC_e5bec7f4c39c42f6a24e75d5b5c93c1a"/>
                <w:id w:val="24724489"/>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right"/>
                    </w:pPr>
                  </w:p>
                </w:tc>
              </w:sdtContent>
            </w:sdt>
            <w:sdt>
              <w:sdtPr>
                <w:alias w:val="固定资产情况明细-减值准备"/>
                <w:tag w:val="_GBC_e5bec7f4c39c42f6a24e75d5b5c93c1a"/>
                <w:id w:val="24724490"/>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right"/>
                    </w:pPr>
                  </w:p>
                </w:tc>
              </w:sdtContent>
            </w:sdt>
            <w:sdt>
              <w:sdtPr>
                <w:alias w:val="固定资产情况明细-减值准备"/>
                <w:tag w:val="_GBC_e5bec7f4c39c42f6a24e75d5b5c93c1a"/>
                <w:id w:val="24724491"/>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right"/>
                    </w:pPr>
                  </w:p>
                </w:tc>
              </w:sdtContent>
            </w:sdt>
            <w:sdt>
              <w:sdtPr>
                <w:alias w:val="固定资产减值准备"/>
                <w:tag w:val="_GBC_447390a2687d47609551e0b23667a7c4"/>
                <w:id w:val="24724492"/>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9,793,588.79</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t>2.</w:t>
                </w:r>
                <w:r>
                  <w:rPr>
                    <w:rFonts w:hint="eastAsia"/>
                  </w:rPr>
                  <w:t>本期增加金额</w:t>
                </w:r>
              </w:p>
            </w:tc>
            <w:sdt>
              <w:sdtPr>
                <w:alias w:val="固定资产情况明细-减值准备本期增加"/>
                <w:tag w:val="_GBC_f792b674da2540b8a21ccb5996caa3be"/>
                <w:id w:val="24724493"/>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减值准备本期增加"/>
                <w:tag w:val="_GBC_f792b674da2540b8a21ccb5996caa3be"/>
                <w:id w:val="24724494"/>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本期增加"/>
                <w:tag w:val="_GBC_f792b674da2540b8a21ccb5996caa3be"/>
                <w:id w:val="24724495"/>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本期增加"/>
                <w:tag w:val="_GBC_f792b674da2540b8a21ccb5996caa3be"/>
                <w:id w:val="24724496"/>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减值准备本期增加合计"/>
                <w:tag w:val="_GBC_c9d1a31c42d0477ab8acf3b0ee132488"/>
                <w:id w:val="24724497"/>
                <w:lock w:val="sdtLocked"/>
                <w:showingPlcHdr/>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300" w:firstLine="630"/>
                </w:pPr>
                <w:r>
                  <w:rPr>
                    <w:rFonts w:hint="eastAsia"/>
                  </w:rPr>
                  <w:t>（1）计提</w:t>
                </w:r>
              </w:p>
            </w:tc>
            <w:sdt>
              <w:sdtPr>
                <w:alias w:val="固定资产情况明细-减值准备计提"/>
                <w:tag w:val="_GBC_787ca8b9655148c68a386b2f4ce1a6f0"/>
                <w:id w:val="24724498"/>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减值准备计提"/>
                <w:tag w:val="_GBC_787ca8b9655148c68a386b2f4ce1a6f0"/>
                <w:id w:val="24724499"/>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计提"/>
                <w:tag w:val="_GBC_787ca8b9655148c68a386b2f4ce1a6f0"/>
                <w:id w:val="24724500"/>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计提"/>
                <w:tag w:val="_GBC_787ca8b9655148c68a386b2f4ce1a6f0"/>
                <w:id w:val="24724501"/>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计提导致的固定资产减值准备本期增加合计"/>
                <w:tag w:val="_GBC_92eff5eaacb94df1822880094b921013"/>
                <w:id w:val="24724502"/>
                <w:lock w:val="sdtLocked"/>
                <w:showingPlcHdr/>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rPr>
                    <w:rFonts w:hint="eastAsia"/>
                  </w:rPr>
                  <w:t>3.本期减少金额</w:t>
                </w:r>
              </w:p>
            </w:tc>
            <w:sdt>
              <w:sdtPr>
                <w:alias w:val="固定资产情况明细-减值准备本期减少"/>
                <w:tag w:val="_GBC_dd439d9aabf14fb5b93b63090baf5a41"/>
                <w:id w:val="24724503"/>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减值准备本期减少"/>
                <w:tag w:val="_GBC_dd439d9aabf14fb5b93b63090baf5a41"/>
                <w:id w:val="24724504"/>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本期减少"/>
                <w:tag w:val="_GBC_dd439d9aabf14fb5b93b63090baf5a41"/>
                <w:id w:val="24724505"/>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本期减少"/>
                <w:tag w:val="_GBC_dd439d9aabf14fb5b93b63090baf5a41"/>
                <w:id w:val="24724506"/>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减值准备本期减少合计"/>
                <w:tag w:val="_GBC_f17bf994396741afbdf5ee6310d56f38"/>
                <w:id w:val="24724507"/>
                <w:lock w:val="sdtLocked"/>
                <w:showingPlcHdr/>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（1）处置或报废</w:t>
                </w:r>
              </w:p>
            </w:tc>
            <w:sdt>
              <w:sdtPr>
                <w:alias w:val="固定资产情况明细-减值准备处置或报废"/>
                <w:tag w:val="_GBC_42880e0006ba4dea89bba29698a138f8"/>
                <w:id w:val="24724508"/>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sdt>
              <w:sdtPr>
                <w:alias w:val="固定资产情况明细-减值准备处置或报废"/>
                <w:tag w:val="_GBC_42880e0006ba4dea89bba29698a138f8"/>
                <w:id w:val="24724509"/>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处置或报废"/>
                <w:tag w:val="_GBC_42880e0006ba4dea89bba29698a138f8"/>
                <w:id w:val="24724510"/>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固定资产情况明细-减值准备处置或报废"/>
                <w:tag w:val="_GBC_42880e0006ba4dea89bba29698a138f8"/>
                <w:id w:val="24724511"/>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rPr>
                      <w:t xml:space="preserve">　</w:t>
                    </w:r>
                  </w:p>
                </w:tc>
              </w:sdtContent>
            </w:sdt>
            <w:sdt>
              <w:sdtPr>
                <w:alias w:val="处置或报废导致的固定资产减值准备本期减少合计"/>
                <w:tag w:val="_GBC_4c170bb042a44bc3b50be1e0f65c410a"/>
                <w:id w:val="24724512"/>
                <w:lock w:val="sdtLocked"/>
                <w:showingPlcHdr/>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rPr>
                        <w:rFonts w:hint="eastAsia"/>
                        <w:color w:val="333399"/>
                      </w:rPr>
                      <w:t xml:space="preserve">　</w:t>
                    </w:r>
                  </w:p>
                </w:tc>
              </w:sdtContent>
            </w:sdt>
          </w:tr>
          <w:tr w:rsidR="00DE031E" w:rsidTr="00DE031E">
            <w:trPr>
              <w:jc w:val="center"/>
            </w:trPr>
            <w:sdt>
              <w:sdtPr>
                <w:rPr>
                  <w:rFonts w:hint="eastAsia"/>
                </w:rPr>
                <w:alias w:val="固定资产减值准备减少项目名称"/>
                <w:tag w:val="_GBC_93191e5a7f9541baa313dc06935eacfa"/>
                <w:id w:val="24724513"/>
                <w:lock w:val="sdtLocked"/>
              </w:sdtPr>
              <w:sdtContent>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（2）外币报表折算差额</w:t>
                    </w:r>
                  </w:p>
                </w:tc>
              </w:sdtContent>
            </w:sdt>
            <w:sdt>
              <w:sdtPr>
                <w:rPr>
                  <w:rFonts w:hint="eastAsia"/>
                </w:rPr>
                <w:alias w:val="固定资产减值准备减少项目金额"/>
                <w:tag w:val="_GBC_0fab043e13824e84b5ce3df5dc1f6117"/>
                <w:id w:val="24724514"/>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color w:val="333399"/>
                      </w:rPr>
                      <w:t xml:space="preserve">　</w:t>
                    </w:r>
                  </w:p>
                </w:tc>
              </w:sdtContent>
            </w:sdt>
            <w:sdt>
              <w:sdtPr>
                <w:rPr>
                  <w:rFonts w:hint="eastAsia"/>
                </w:rPr>
                <w:alias w:val="固定资产减值准备减少项目金额"/>
                <w:tag w:val="_GBC_0fab043e13824e84b5ce3df5dc1f6117"/>
                <w:id w:val="24724515"/>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rPr>
                      <w:t xml:space="preserve">　</w:t>
                    </w:r>
                  </w:p>
                </w:tc>
              </w:sdtContent>
            </w:sdt>
            <w:sdt>
              <w:sdtPr>
                <w:rPr>
                  <w:rFonts w:hint="eastAsia"/>
                </w:rPr>
                <w:alias w:val="固定资产减值准备减少项目金额"/>
                <w:tag w:val="_GBC_0fab043e13824e84b5ce3df5dc1f6117"/>
                <w:id w:val="24724516"/>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rPr>
                      <w:t xml:space="preserve">　</w:t>
                    </w:r>
                  </w:p>
                </w:tc>
              </w:sdtContent>
            </w:sdt>
            <w:sdt>
              <w:sdtPr>
                <w:rPr>
                  <w:rFonts w:hint="eastAsia"/>
                </w:rPr>
                <w:alias w:val="固定资产减值准备减少项目金额"/>
                <w:tag w:val="_GBC_0fab043e13824e84b5ce3df5dc1f6117"/>
                <w:id w:val="24724517"/>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rPr>
                      <w:t xml:space="preserve">　</w:t>
                    </w:r>
                  </w:p>
                </w:tc>
              </w:sdtContent>
            </w:sdt>
            <w:sdt>
              <w:sdtPr>
                <w:rPr>
                  <w:rFonts w:hint="eastAsia"/>
                </w:rPr>
                <w:alias w:val="固定资产减值准备减少项目合计金额"/>
                <w:tag w:val="_GBC_f2b67b2f05f642f1a1a4741a8fd1878c"/>
                <w:id w:val="24724518"/>
                <w:lock w:val="sdtLocked"/>
                <w:showingPlcHdr/>
              </w:sdtPr>
              <w:sdtContent>
                <w:tc>
                  <w:tcPr>
                    <w:tcW w:w="785"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pPr>
                    <w:r>
                      <w:rPr>
                        <w:rFonts w:hint="eastAsia"/>
                        <w:color w:val="333399"/>
                      </w:rPr>
                      <w:t xml:space="preserve">　</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rPr>
                    <w:rFonts w:hint="eastAsia"/>
                  </w:rPr>
                  <w:t>4.期末余额</w:t>
                </w:r>
              </w:p>
            </w:tc>
            <w:sdt>
              <w:sdtPr>
                <w:alias w:val="固定资产情况明细-减值准备"/>
                <w:tag w:val="_GBC_0b7fdd62fa294d7786d1bb9ab92b6c87"/>
                <w:id w:val="24724519"/>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9,793,588.79</w:t>
                    </w:r>
                  </w:p>
                </w:tc>
              </w:sdtContent>
            </w:sdt>
            <w:sdt>
              <w:sdtPr>
                <w:alias w:val="固定资产情况明细-减值准备"/>
                <w:tag w:val="_GBC_0b7fdd62fa294d7786d1bb9ab92b6c87"/>
                <w:id w:val="24724520"/>
                <w:lock w:val="sdtLocked"/>
                <w:showingPlcHdr/>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right"/>
                    </w:pPr>
                  </w:p>
                </w:tc>
              </w:sdtContent>
            </w:sdt>
            <w:sdt>
              <w:sdtPr>
                <w:alias w:val="固定资产情况明细-减值准备"/>
                <w:tag w:val="_GBC_0b7fdd62fa294d7786d1bb9ab92b6c87"/>
                <w:id w:val="24724521"/>
                <w:lock w:val="sdtLocked"/>
                <w:showingPlcHdr/>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right"/>
                    </w:pPr>
                  </w:p>
                </w:tc>
              </w:sdtContent>
            </w:sdt>
            <w:sdt>
              <w:sdtPr>
                <w:alias w:val="固定资产情况明细-减值准备"/>
                <w:tag w:val="_GBC_0b7fdd62fa294d7786d1bb9ab92b6c87"/>
                <w:id w:val="24724522"/>
                <w:lock w:val="sdtLocked"/>
                <w:showingPlcHdr/>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right"/>
                    </w:pPr>
                  </w:p>
                </w:tc>
              </w:sdtContent>
            </w:sdt>
            <w:sdt>
              <w:sdtPr>
                <w:alias w:val="固定资产减值准备"/>
                <w:tag w:val="_GBC_4e82c161f0154c69b7650cabb7a5afad"/>
                <w:id w:val="24724523"/>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9,793,588.79</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四、账面价值</w:t>
                </w: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DE031E" w:rsidP="00DE031E">
                <w:pPr>
                  <w:jc w:val="center"/>
                </w:pPr>
              </w:p>
            </w:tc>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rPr>
                    <w:rFonts w:hint="eastAsia"/>
                  </w:rPr>
                  <w:t>1.期末账面价值</w:t>
                </w:r>
              </w:p>
            </w:tc>
            <w:sdt>
              <w:sdtPr>
                <w:alias w:val="固定资产情况明细-账面价值"/>
                <w:tag w:val="_GBC_168316aba1ef465484d8dc876dd10dbe"/>
                <w:id w:val="24724524"/>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155,404,287.15</w:t>
                    </w:r>
                  </w:p>
                </w:tc>
              </w:sdtContent>
            </w:sdt>
            <w:sdt>
              <w:sdtPr>
                <w:alias w:val="固定资产情况明细-账面价值"/>
                <w:tag w:val="_GBC_168316aba1ef465484d8dc876dd10dbe"/>
                <w:id w:val="24724525"/>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19,784,294.86</w:t>
                    </w:r>
                  </w:p>
                </w:tc>
              </w:sdtContent>
            </w:sdt>
            <w:sdt>
              <w:sdtPr>
                <w:alias w:val="固定资产情况明细-账面价值"/>
                <w:tag w:val="_GBC_168316aba1ef465484d8dc876dd10dbe"/>
                <w:id w:val="24724526"/>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169,284,402.65</w:t>
                    </w:r>
                  </w:p>
                </w:tc>
              </w:sdtContent>
            </w:sdt>
            <w:sdt>
              <w:sdtPr>
                <w:alias w:val="固定资产情况明细-账面价值"/>
                <w:tag w:val="_GBC_168316aba1ef465484d8dc876dd10dbe"/>
                <w:id w:val="24724527"/>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35,922,960.14</w:t>
                    </w:r>
                  </w:p>
                </w:tc>
              </w:sdtContent>
            </w:sdt>
            <w:sdt>
              <w:sdtPr>
                <w:alias w:val="固定资产净额"/>
                <w:tag w:val="_GBC_103b4437bf3049c6b906939270e77728"/>
                <w:id w:val="24724528"/>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380,395,944.80</w:t>
                    </w:r>
                  </w:p>
                </w:tc>
              </w:sdtContent>
            </w:sdt>
          </w:tr>
          <w:tr w:rsidR="00DE031E" w:rsidTr="00DE031E">
            <w:trPr>
              <w:jc w:val="center"/>
            </w:trPr>
            <w:tc>
              <w:tcPr>
                <w:tcW w:w="118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firstLineChars="200" w:firstLine="420"/>
                </w:pPr>
                <w:r>
                  <w:rPr>
                    <w:rFonts w:hint="eastAsia"/>
                  </w:rPr>
                  <w:t>2.期初账面价值</w:t>
                </w:r>
              </w:p>
            </w:tc>
            <w:sdt>
              <w:sdtPr>
                <w:alias w:val="固定资产情况明细-账面价值"/>
                <w:tag w:val="_GBC_9c84846127284c01a018f29e304736b5"/>
                <w:id w:val="24724529"/>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160,193,103.75</w:t>
                    </w:r>
                  </w:p>
                </w:tc>
              </w:sdtContent>
            </w:sdt>
            <w:sdt>
              <w:sdtPr>
                <w:alias w:val="固定资产情况明细-账面价值"/>
                <w:tag w:val="_GBC_9c84846127284c01a018f29e304736b5"/>
                <w:id w:val="24724530"/>
                <w:lock w:val="sdtLocked"/>
              </w:sdtPr>
              <w:sdtContent>
                <w:tc>
                  <w:tcPr>
                    <w:tcW w:w="7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22,873,615.06</w:t>
                    </w:r>
                  </w:p>
                </w:tc>
              </w:sdtContent>
            </w:sdt>
            <w:sdt>
              <w:sdtPr>
                <w:alias w:val="固定资产情况明细-账面价值"/>
                <w:tag w:val="_GBC_9c84846127284c01a018f29e304736b5"/>
                <w:id w:val="24724531"/>
                <w:lock w:val="sdtLocked"/>
              </w:sdtPr>
              <w:sdtContent>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146,090,214.19</w:t>
                    </w:r>
                  </w:p>
                </w:tc>
              </w:sdtContent>
            </w:sdt>
            <w:sdt>
              <w:sdtPr>
                <w:alias w:val="固定资产情况明细-账面价值"/>
                <w:tag w:val="_GBC_9c84846127284c01a018f29e304736b5"/>
                <w:id w:val="24724532"/>
                <w:lock w:val="sdtLocked"/>
              </w:sdtPr>
              <w:sdtContent>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38,395,972.59</w:t>
                    </w:r>
                  </w:p>
                </w:tc>
              </w:sdtContent>
            </w:sdt>
            <w:sdt>
              <w:sdtPr>
                <w:alias w:val="固定资产净额"/>
                <w:tag w:val="_GBC_51f53c66f9f6487e9d52c830e591b9e4"/>
                <w:id w:val="24724533"/>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right"/>
                    </w:pPr>
                    <w:r>
                      <w:t>367,552,905.59</w:t>
                    </w:r>
                  </w:p>
                </w:tc>
              </w:sdtContent>
            </w:sdt>
          </w:tr>
        </w:tbl>
        <w:p w:rsidR="00DE031E" w:rsidRPr="008D2835" w:rsidRDefault="00422DCA" w:rsidP="00DE031E">
          <w:pPr>
            <w:rPr>
              <w:szCs w:val="21"/>
            </w:rPr>
          </w:pPr>
        </w:p>
      </w:sdtContent>
    </w:sdt>
    <w:sdt>
      <w:sdtPr>
        <w:rPr>
          <w:rFonts w:ascii="宋体" w:hAnsi="宋体" w:cs="宋体" w:hint="eastAsia"/>
          <w:b w:val="0"/>
          <w:bCs w:val="0"/>
          <w:kern w:val="0"/>
          <w:szCs w:val="21"/>
        </w:rPr>
        <w:tag w:val="_GBC_5b357259936442c38f67f17b533c7085"/>
        <w:id w:val="24724556"/>
        <w:lock w:val="sdtLocked"/>
        <w:placeholder>
          <w:docPart w:val="GBC22222222222222222222222222222"/>
        </w:placeholder>
      </w:sdtPr>
      <w:sdtEndPr>
        <w:rPr>
          <w:rFonts w:hint="default"/>
          <w:szCs w:val="24"/>
        </w:rPr>
      </w:sdtEndPr>
      <w:sdtContent>
        <w:p w:rsidR="00DE031E" w:rsidRDefault="001C1A59" w:rsidP="009950AC">
          <w:pPr>
            <w:pStyle w:val="4"/>
            <w:numPr>
              <w:ilvl w:val="0"/>
              <w:numId w:val="48"/>
            </w:numPr>
            <w:tabs>
              <w:tab w:val="left" w:pos="588"/>
            </w:tabs>
            <w:spacing w:line="360" w:lineRule="auto"/>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
            <w:tag w:val="_GBC_3f5c134eb04243f6b077969f44b475f4"/>
            <w:id w:val="24724535"/>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DE031E" w:rsidTr="00DE031E">
            <w:tc>
              <w:tcPr>
                <w:tcW w:w="1629" w:type="pct"/>
                <w:vAlign w:val="center"/>
              </w:tcPr>
              <w:p w:rsidR="00DE031E" w:rsidRDefault="001C1A59" w:rsidP="00DE031E">
                <w:pPr>
                  <w:jc w:val="center"/>
                  <w:rPr>
                    <w:szCs w:val="21"/>
                  </w:rPr>
                </w:pPr>
                <w:r>
                  <w:rPr>
                    <w:rFonts w:hint="eastAsia"/>
                    <w:szCs w:val="21"/>
                  </w:rPr>
                  <w:t>项目</w:t>
                </w:r>
              </w:p>
            </w:tc>
            <w:tc>
              <w:tcPr>
                <w:tcW w:w="1681" w:type="pct"/>
                <w:vAlign w:val="center"/>
              </w:tcPr>
              <w:p w:rsidR="00DE031E" w:rsidRDefault="001C1A59" w:rsidP="00DE031E">
                <w:pPr>
                  <w:jc w:val="center"/>
                  <w:rPr>
                    <w:szCs w:val="21"/>
                  </w:rPr>
                </w:pPr>
                <w:r>
                  <w:rPr>
                    <w:rFonts w:hint="eastAsia"/>
                    <w:szCs w:val="21"/>
                  </w:rPr>
                  <w:t>账面价值</w:t>
                </w:r>
              </w:p>
            </w:tc>
            <w:tc>
              <w:tcPr>
                <w:tcW w:w="1690" w:type="pct"/>
                <w:vAlign w:val="center"/>
              </w:tcPr>
              <w:p w:rsidR="00DE031E" w:rsidRDefault="001C1A59" w:rsidP="00DE031E">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24724539"/>
              <w:lock w:val="sdtLocked"/>
            </w:sdtPr>
            <w:sdtContent>
              <w:tr w:rsidR="00DE031E" w:rsidTr="00DE031E">
                <w:sdt>
                  <w:sdtPr>
                    <w:rPr>
                      <w:rFonts w:hint="eastAsia"/>
                      <w:szCs w:val="21"/>
                    </w:rPr>
                    <w:alias w:val="未办妥产权证书的固定资产情况明细-项目"/>
                    <w:tag w:val="_GBC_a3f30dd23b5545f88be56e78771b4ef2"/>
                    <w:id w:val="24724536"/>
                    <w:lock w:val="sdtLocked"/>
                  </w:sdtPr>
                  <w:sdtContent>
                    <w:tc>
                      <w:tcPr>
                        <w:tcW w:w="1629" w:type="pct"/>
                      </w:tcPr>
                      <w:p w:rsidR="00DE031E" w:rsidRDefault="001C1A59" w:rsidP="00DE031E">
                        <w:pPr>
                          <w:rPr>
                            <w:szCs w:val="21"/>
                          </w:rPr>
                        </w:pPr>
                        <w:r>
                          <w:rPr>
                            <w:rFonts w:hint="eastAsia"/>
                            <w:szCs w:val="21"/>
                          </w:rPr>
                          <w:t>新能源大厦房产</w:t>
                        </w:r>
                      </w:p>
                    </w:tc>
                  </w:sdtContent>
                </w:sdt>
                <w:sdt>
                  <w:sdtPr>
                    <w:rPr>
                      <w:szCs w:val="21"/>
                    </w:rPr>
                    <w:alias w:val="未办妥产权证书的固定资产情况明细-证书账面价值"/>
                    <w:tag w:val="_GBC_8f87f9afc4ef44d7b333a4d4cb5921a0"/>
                    <w:id w:val="24724537"/>
                    <w:lock w:val="sdtLocked"/>
                  </w:sdtPr>
                  <w:sdtContent>
                    <w:tc>
                      <w:tcPr>
                        <w:tcW w:w="1681" w:type="pct"/>
                      </w:tcPr>
                      <w:p w:rsidR="00DE031E" w:rsidRDefault="001C1A59" w:rsidP="00DE031E">
                        <w:pPr>
                          <w:jc w:val="right"/>
                          <w:rPr>
                            <w:szCs w:val="21"/>
                          </w:rPr>
                        </w:pPr>
                        <w:r>
                          <w:rPr>
                            <w:szCs w:val="21"/>
                          </w:rPr>
                          <w:t>993,807.69</w:t>
                        </w:r>
                      </w:p>
                    </w:tc>
                  </w:sdtContent>
                </w:sdt>
                <w:sdt>
                  <w:sdtPr>
                    <w:rPr>
                      <w:szCs w:val="21"/>
                    </w:rPr>
                    <w:alias w:val="未办妥产权证书的固定资产情况明细-原因"/>
                    <w:tag w:val="_GBC_c5fad4ac76d14989bb9187b7f3a46bda"/>
                    <w:id w:val="24724538"/>
                    <w:lock w:val="sdtLocked"/>
                  </w:sdtPr>
                  <w:sdtContent>
                    <w:tc>
                      <w:tcPr>
                        <w:tcW w:w="1690" w:type="pct"/>
                      </w:tcPr>
                      <w:p w:rsidR="00DE031E" w:rsidRDefault="001C1A59" w:rsidP="00DE031E">
                        <w:pPr>
                          <w:rPr>
                            <w:szCs w:val="21"/>
                          </w:rPr>
                        </w:pPr>
                        <w:r>
                          <w:rPr>
                            <w:rFonts w:hint="eastAsia"/>
                            <w:szCs w:val="21"/>
                          </w:rPr>
                          <w:t>历史原因未办妥</w:t>
                        </w:r>
                      </w:p>
                    </w:tc>
                  </w:sdtContent>
                </w:sdt>
              </w:tr>
            </w:sdtContent>
          </w:sdt>
          <w:sdt>
            <w:sdtPr>
              <w:rPr>
                <w:rFonts w:hint="eastAsia"/>
                <w:szCs w:val="21"/>
              </w:rPr>
              <w:alias w:val="未办妥产权证书的固定资产情况明细"/>
              <w:tag w:val="_GBC_197aee8b2edc4ea19721e86529111007"/>
              <w:id w:val="24724543"/>
              <w:lock w:val="sdtLocked"/>
            </w:sdtPr>
            <w:sdtContent>
              <w:tr w:rsidR="00DE031E" w:rsidTr="00DE031E">
                <w:sdt>
                  <w:sdtPr>
                    <w:rPr>
                      <w:rFonts w:hint="eastAsia"/>
                      <w:szCs w:val="21"/>
                    </w:rPr>
                    <w:alias w:val="未办妥产权证书的固定资产情况明细-项目"/>
                    <w:tag w:val="_GBC_a3f30dd23b5545f88be56e78771b4ef2"/>
                    <w:id w:val="24724540"/>
                    <w:lock w:val="sdtLocked"/>
                  </w:sdtPr>
                  <w:sdtContent>
                    <w:tc>
                      <w:tcPr>
                        <w:tcW w:w="1629" w:type="pct"/>
                      </w:tcPr>
                      <w:p w:rsidR="00DE031E" w:rsidRDefault="001C1A59" w:rsidP="00DE031E">
                        <w:pPr>
                          <w:rPr>
                            <w:szCs w:val="21"/>
                          </w:rPr>
                        </w:pPr>
                        <w:r>
                          <w:rPr>
                            <w:rFonts w:hint="eastAsia"/>
                            <w:szCs w:val="21"/>
                          </w:rPr>
                          <w:t>远东商务中心二楼</w:t>
                        </w:r>
                      </w:p>
                    </w:tc>
                  </w:sdtContent>
                </w:sdt>
                <w:sdt>
                  <w:sdtPr>
                    <w:rPr>
                      <w:szCs w:val="21"/>
                    </w:rPr>
                    <w:alias w:val="未办妥产权证书的固定资产情况明细-证书账面价值"/>
                    <w:tag w:val="_GBC_8f87f9afc4ef44d7b333a4d4cb5921a0"/>
                    <w:id w:val="24724541"/>
                    <w:lock w:val="sdtLocked"/>
                  </w:sdtPr>
                  <w:sdtContent>
                    <w:tc>
                      <w:tcPr>
                        <w:tcW w:w="1681" w:type="pct"/>
                      </w:tcPr>
                      <w:p w:rsidR="00DE031E" w:rsidRDefault="001C1A59" w:rsidP="00DE031E">
                        <w:pPr>
                          <w:jc w:val="right"/>
                          <w:rPr>
                            <w:szCs w:val="21"/>
                          </w:rPr>
                        </w:pPr>
                        <w:r>
                          <w:rPr>
                            <w:szCs w:val="21"/>
                          </w:rPr>
                          <w:t>4,327,908.39</w:t>
                        </w:r>
                      </w:p>
                    </w:tc>
                  </w:sdtContent>
                </w:sdt>
                <w:sdt>
                  <w:sdtPr>
                    <w:rPr>
                      <w:szCs w:val="21"/>
                    </w:rPr>
                    <w:alias w:val="未办妥产权证书的固定资产情况明细-原因"/>
                    <w:tag w:val="_GBC_c5fad4ac76d14989bb9187b7f3a46bda"/>
                    <w:id w:val="24724542"/>
                    <w:lock w:val="sdtLocked"/>
                  </w:sdtPr>
                  <w:sdtContent>
                    <w:tc>
                      <w:tcPr>
                        <w:tcW w:w="1690" w:type="pct"/>
                      </w:tcPr>
                      <w:p w:rsidR="00DE031E" w:rsidRDefault="001C1A59" w:rsidP="00DE031E">
                        <w:pPr>
                          <w:rPr>
                            <w:szCs w:val="21"/>
                          </w:rPr>
                        </w:pPr>
                        <w:r>
                          <w:rPr>
                            <w:rFonts w:hint="eastAsia"/>
                            <w:szCs w:val="21"/>
                          </w:rPr>
                          <w:t>尚未更名（注）</w:t>
                        </w:r>
                      </w:p>
                    </w:tc>
                  </w:sdtContent>
                </w:sdt>
              </w:tr>
            </w:sdtContent>
          </w:sdt>
          <w:sdt>
            <w:sdtPr>
              <w:rPr>
                <w:rFonts w:hint="eastAsia"/>
                <w:szCs w:val="21"/>
              </w:rPr>
              <w:alias w:val="未办妥产权证书的固定资产情况明细"/>
              <w:tag w:val="_GBC_197aee8b2edc4ea19721e86529111007"/>
              <w:id w:val="24724547"/>
              <w:lock w:val="sdtLocked"/>
            </w:sdtPr>
            <w:sdtContent>
              <w:tr w:rsidR="00DE031E" w:rsidTr="00DE031E">
                <w:sdt>
                  <w:sdtPr>
                    <w:rPr>
                      <w:rFonts w:hint="eastAsia"/>
                      <w:szCs w:val="21"/>
                    </w:rPr>
                    <w:alias w:val="未办妥产权证书的固定资产情况明细-项目"/>
                    <w:tag w:val="_GBC_a3f30dd23b5545f88be56e78771b4ef2"/>
                    <w:id w:val="24724544"/>
                    <w:lock w:val="sdtLocked"/>
                  </w:sdtPr>
                  <w:sdtContent>
                    <w:tc>
                      <w:tcPr>
                        <w:tcW w:w="1629" w:type="pct"/>
                      </w:tcPr>
                      <w:p w:rsidR="00DE031E" w:rsidRDefault="001C1A59" w:rsidP="00DE031E">
                        <w:pPr>
                          <w:rPr>
                            <w:szCs w:val="21"/>
                          </w:rPr>
                        </w:pPr>
                        <w:r>
                          <w:rPr>
                            <w:rFonts w:hint="eastAsia"/>
                            <w:szCs w:val="21"/>
                          </w:rPr>
                          <w:t>红树福苑</w:t>
                        </w:r>
                        <w:r>
                          <w:rPr>
                            <w:szCs w:val="21"/>
                          </w:rPr>
                          <w:t>5栋A座房产</w:t>
                        </w:r>
                      </w:p>
                    </w:tc>
                  </w:sdtContent>
                </w:sdt>
                <w:sdt>
                  <w:sdtPr>
                    <w:rPr>
                      <w:szCs w:val="21"/>
                    </w:rPr>
                    <w:alias w:val="未办妥产权证书的固定资产情况明细-证书账面价值"/>
                    <w:tag w:val="_GBC_8f87f9afc4ef44d7b333a4d4cb5921a0"/>
                    <w:id w:val="24724545"/>
                    <w:lock w:val="sdtLocked"/>
                  </w:sdtPr>
                  <w:sdtContent>
                    <w:tc>
                      <w:tcPr>
                        <w:tcW w:w="1681" w:type="pct"/>
                      </w:tcPr>
                      <w:p w:rsidR="00DE031E" w:rsidRDefault="001C1A59" w:rsidP="00DE031E">
                        <w:pPr>
                          <w:jc w:val="right"/>
                          <w:rPr>
                            <w:szCs w:val="21"/>
                          </w:rPr>
                        </w:pPr>
                        <w:r>
                          <w:rPr>
                            <w:szCs w:val="21"/>
                          </w:rPr>
                          <w:t>3,082,524.20</w:t>
                        </w:r>
                      </w:p>
                    </w:tc>
                  </w:sdtContent>
                </w:sdt>
                <w:sdt>
                  <w:sdtPr>
                    <w:rPr>
                      <w:szCs w:val="21"/>
                    </w:rPr>
                    <w:alias w:val="未办妥产权证书的固定资产情况明细-原因"/>
                    <w:tag w:val="_GBC_c5fad4ac76d14989bb9187b7f3a46bda"/>
                    <w:id w:val="24724546"/>
                    <w:lock w:val="sdtLocked"/>
                  </w:sdtPr>
                  <w:sdtContent>
                    <w:tc>
                      <w:tcPr>
                        <w:tcW w:w="1690" w:type="pct"/>
                      </w:tcPr>
                      <w:p w:rsidR="00DE031E" w:rsidRDefault="001C1A59" w:rsidP="00DE031E">
                        <w:pPr>
                          <w:rPr>
                            <w:szCs w:val="21"/>
                          </w:rPr>
                        </w:pPr>
                        <w:r>
                          <w:rPr>
                            <w:rFonts w:hint="eastAsia"/>
                            <w:szCs w:val="21"/>
                          </w:rPr>
                          <w:t>新楼盘，尚未办妥</w:t>
                        </w:r>
                      </w:p>
                    </w:tc>
                  </w:sdtContent>
                </w:sdt>
              </w:tr>
            </w:sdtContent>
          </w:sdt>
          <w:sdt>
            <w:sdtPr>
              <w:rPr>
                <w:rFonts w:hint="eastAsia"/>
                <w:szCs w:val="21"/>
              </w:rPr>
              <w:alias w:val="未办妥产权证书的固定资产情况明细"/>
              <w:tag w:val="_GBC_197aee8b2edc4ea19721e86529111007"/>
              <w:id w:val="24724551"/>
              <w:lock w:val="sdtLocked"/>
            </w:sdtPr>
            <w:sdtContent>
              <w:tr w:rsidR="00DE031E" w:rsidRPr="00F55F9A" w:rsidTr="00DE031E">
                <w:sdt>
                  <w:sdtPr>
                    <w:rPr>
                      <w:rFonts w:hint="eastAsia"/>
                      <w:szCs w:val="21"/>
                    </w:rPr>
                    <w:alias w:val="未办妥产权证书的固定资产情况明细-项目"/>
                    <w:tag w:val="_GBC_a3f30dd23b5545f88be56e78771b4ef2"/>
                    <w:id w:val="24724548"/>
                    <w:lock w:val="sdtLocked"/>
                  </w:sdtPr>
                  <w:sdtContent>
                    <w:tc>
                      <w:tcPr>
                        <w:tcW w:w="1629" w:type="pct"/>
                      </w:tcPr>
                      <w:p w:rsidR="00DE031E" w:rsidRDefault="001C1A59" w:rsidP="00DE031E">
                        <w:pPr>
                          <w:rPr>
                            <w:szCs w:val="21"/>
                          </w:rPr>
                        </w:pPr>
                        <w:r>
                          <w:rPr>
                            <w:rFonts w:hint="eastAsia"/>
                            <w:szCs w:val="21"/>
                          </w:rPr>
                          <w:t>松坪村三期西区</w:t>
                        </w:r>
                        <w:r>
                          <w:rPr>
                            <w:szCs w:val="21"/>
                          </w:rPr>
                          <w:t>2栋</w:t>
                        </w:r>
                      </w:p>
                    </w:tc>
                  </w:sdtContent>
                </w:sdt>
                <w:sdt>
                  <w:sdtPr>
                    <w:rPr>
                      <w:szCs w:val="21"/>
                    </w:rPr>
                    <w:alias w:val="未办妥产权证书的固定资产情况明细-证书账面价值"/>
                    <w:tag w:val="_GBC_8f87f9afc4ef44d7b333a4d4cb5921a0"/>
                    <w:id w:val="24724549"/>
                    <w:lock w:val="sdtLocked"/>
                  </w:sdtPr>
                  <w:sdtContent>
                    <w:tc>
                      <w:tcPr>
                        <w:tcW w:w="1681" w:type="pct"/>
                      </w:tcPr>
                      <w:p w:rsidR="00DE031E" w:rsidRDefault="001C1A59" w:rsidP="00DE031E">
                        <w:pPr>
                          <w:jc w:val="right"/>
                          <w:rPr>
                            <w:szCs w:val="21"/>
                          </w:rPr>
                        </w:pPr>
                        <w:r>
                          <w:rPr>
                            <w:szCs w:val="21"/>
                          </w:rPr>
                          <w:t>888,450.92</w:t>
                        </w:r>
                      </w:p>
                    </w:tc>
                  </w:sdtContent>
                </w:sdt>
                <w:sdt>
                  <w:sdtPr>
                    <w:rPr>
                      <w:szCs w:val="21"/>
                    </w:rPr>
                    <w:alias w:val="未办妥产权证书的固定资产情况明细-原因"/>
                    <w:tag w:val="_GBC_c5fad4ac76d14989bb9187b7f3a46bda"/>
                    <w:id w:val="24724550"/>
                    <w:lock w:val="sdtLocked"/>
                  </w:sdtPr>
                  <w:sdtContent>
                    <w:tc>
                      <w:tcPr>
                        <w:tcW w:w="1690" w:type="pct"/>
                      </w:tcPr>
                      <w:p w:rsidR="00DE031E" w:rsidRDefault="001C1A59" w:rsidP="00DE031E">
                        <w:pPr>
                          <w:rPr>
                            <w:szCs w:val="21"/>
                          </w:rPr>
                        </w:pPr>
                        <w:r>
                          <w:rPr>
                            <w:rFonts w:hint="eastAsia"/>
                            <w:szCs w:val="21"/>
                          </w:rPr>
                          <w:t>新楼盘，尚未办妥</w:t>
                        </w:r>
                      </w:p>
                    </w:tc>
                  </w:sdtContent>
                </w:sdt>
              </w:tr>
            </w:sdtContent>
          </w:sdt>
          <w:sdt>
            <w:sdtPr>
              <w:rPr>
                <w:rFonts w:hint="eastAsia"/>
                <w:szCs w:val="21"/>
              </w:rPr>
              <w:alias w:val="未办妥产权证书的固定资产情况明细"/>
              <w:tag w:val="_GBC_197aee8b2edc4ea19721e86529111007"/>
              <w:id w:val="24724555"/>
              <w:lock w:val="sdtLocked"/>
            </w:sdtPr>
            <w:sdtContent>
              <w:tr w:rsidR="00DE031E" w:rsidRPr="00F55F9A" w:rsidTr="00DE031E">
                <w:sdt>
                  <w:sdtPr>
                    <w:rPr>
                      <w:rFonts w:hint="eastAsia"/>
                      <w:szCs w:val="21"/>
                    </w:rPr>
                    <w:alias w:val="未办妥产权证书的固定资产情况明细-项目"/>
                    <w:tag w:val="_GBC_a3f30dd23b5545f88be56e78771b4ef2"/>
                    <w:id w:val="24724552"/>
                    <w:lock w:val="sdtLocked"/>
                  </w:sdtPr>
                  <w:sdtContent>
                    <w:tc>
                      <w:tcPr>
                        <w:tcW w:w="1629" w:type="pct"/>
                      </w:tcPr>
                      <w:p w:rsidR="00DE031E" w:rsidRDefault="001C1A59" w:rsidP="00DE031E">
                        <w:pPr>
                          <w:rPr>
                            <w:szCs w:val="21"/>
                          </w:rPr>
                        </w:pPr>
                        <w:r>
                          <w:rPr>
                            <w:rFonts w:hint="eastAsia"/>
                            <w:szCs w:val="21"/>
                          </w:rPr>
                          <w:t>合计</w:t>
                        </w:r>
                      </w:p>
                    </w:tc>
                  </w:sdtContent>
                </w:sdt>
                <w:sdt>
                  <w:sdtPr>
                    <w:rPr>
                      <w:szCs w:val="21"/>
                    </w:rPr>
                    <w:alias w:val="未办妥产权证书的固定资产情况明细-证书账面价值"/>
                    <w:tag w:val="_GBC_8f87f9afc4ef44d7b333a4d4cb5921a0"/>
                    <w:id w:val="24724553"/>
                    <w:lock w:val="sdtLocked"/>
                  </w:sdtPr>
                  <w:sdtContent>
                    <w:tc>
                      <w:tcPr>
                        <w:tcW w:w="1681" w:type="pct"/>
                      </w:tcPr>
                      <w:p w:rsidR="00DE031E" w:rsidRDefault="001C1A59" w:rsidP="00DE031E">
                        <w:pPr>
                          <w:jc w:val="right"/>
                          <w:rPr>
                            <w:szCs w:val="21"/>
                          </w:rPr>
                        </w:pPr>
                        <w:r>
                          <w:rPr>
                            <w:szCs w:val="21"/>
                          </w:rPr>
                          <w:t>9,292,691.20</w:t>
                        </w:r>
                      </w:p>
                    </w:tc>
                  </w:sdtContent>
                </w:sdt>
                <w:sdt>
                  <w:sdtPr>
                    <w:rPr>
                      <w:szCs w:val="21"/>
                    </w:rPr>
                    <w:alias w:val="未办妥产权证书的固定资产情况明细-原因"/>
                    <w:tag w:val="_GBC_c5fad4ac76d14989bb9187b7f3a46bda"/>
                    <w:id w:val="24724554"/>
                    <w:lock w:val="sdtLocked"/>
                    <w:showingPlcHdr/>
                  </w:sdtPr>
                  <w:sdtContent>
                    <w:tc>
                      <w:tcPr>
                        <w:tcW w:w="1690" w:type="pct"/>
                      </w:tcPr>
                      <w:p w:rsidR="00DE031E" w:rsidRDefault="001C1A59" w:rsidP="00DE031E">
                        <w:pPr>
                          <w:rPr>
                            <w:szCs w:val="21"/>
                          </w:rPr>
                        </w:pPr>
                        <w:r>
                          <w:rPr>
                            <w:rFonts w:hint="eastAsia"/>
                            <w:szCs w:val="21"/>
                          </w:rPr>
                          <w:t xml:space="preserve">　</w:t>
                        </w:r>
                      </w:p>
                    </w:tc>
                  </w:sdtContent>
                </w:sdt>
              </w:tr>
            </w:sdtContent>
          </w:sdt>
        </w:tbl>
        <w:p w:rsidR="00DE031E" w:rsidRPr="00F55F9A" w:rsidRDefault="00422DCA" w:rsidP="00DE031E"/>
      </w:sdtContent>
    </w:sdt>
    <w:sdt>
      <w:sdtPr>
        <w:rPr>
          <w:rFonts w:hint="eastAsia"/>
          <w:szCs w:val="21"/>
        </w:rPr>
        <w:tag w:val="_GBC_c93a179f84504ae59ee71556bc9afb64"/>
        <w:id w:val="24724558"/>
        <w:lock w:val="sdtLocked"/>
        <w:placeholder>
          <w:docPart w:val="GBC22222222222222222222222222222"/>
        </w:placeholder>
      </w:sdtPr>
      <w:sdtEndPr>
        <w:rPr>
          <w:rFonts w:hint="default"/>
          <w:szCs w:val="24"/>
        </w:rPr>
      </w:sdtEndPr>
      <w:sdtContent>
        <w:sdt>
          <w:sdtPr>
            <w:rPr>
              <w:szCs w:val="21"/>
            </w:rPr>
            <w:alias w:val="固定资产的说明"/>
            <w:tag w:val="_GBC_1cd9f478e6f24b25af00fb54ff820976"/>
            <w:id w:val="24724557"/>
            <w:lock w:val="sdtLocked"/>
            <w:placeholder>
              <w:docPart w:val="GBC22222222222222222222222222222"/>
            </w:placeholder>
          </w:sdtPr>
          <w:sdtEndPr>
            <w:rPr>
              <w:szCs w:val="24"/>
            </w:rPr>
          </w:sdtEndPr>
          <w:sdtContent>
            <w:p w:rsidR="00DE031E" w:rsidRPr="00AE0698" w:rsidRDefault="001C1A59" w:rsidP="00DE031E">
              <w:pPr>
                <w:spacing w:line="276" w:lineRule="auto"/>
                <w:rPr>
                  <w:rFonts w:hAnsi="Calibri"/>
                  <w:sz w:val="22"/>
                  <w:szCs w:val="22"/>
                </w:rPr>
              </w:pPr>
              <w:r>
                <w:rPr>
                  <w:rFonts w:hint="eastAsia"/>
                  <w:szCs w:val="21"/>
                </w:rPr>
                <w:t>1）</w:t>
              </w:r>
              <w:r w:rsidRPr="00AE0698">
                <w:rPr>
                  <w:rFonts w:hAnsi="Calibri" w:hint="eastAsia"/>
                  <w:sz w:val="22"/>
                  <w:szCs w:val="22"/>
                </w:rPr>
                <w:t>本年计提的固定资产折旧额为</w:t>
              </w:r>
              <w:r>
                <w:rPr>
                  <w:rFonts w:ascii="Arial" w:hAnsi="Arial" w:cs="Arial" w:hint="eastAsia"/>
                  <w:sz w:val="20"/>
                  <w:szCs w:val="20"/>
                </w:rPr>
                <w:t>40</w:t>
              </w:r>
              <w:r w:rsidRPr="00AE0698">
                <w:rPr>
                  <w:rFonts w:ascii="Arial" w:hAnsi="Arial" w:cs="Arial"/>
                  <w:sz w:val="20"/>
                  <w:szCs w:val="20"/>
                </w:rPr>
                <w:t>,</w:t>
              </w:r>
              <w:r>
                <w:rPr>
                  <w:rFonts w:ascii="Arial" w:hAnsi="Arial" w:cs="Arial" w:hint="eastAsia"/>
                  <w:sz w:val="20"/>
                  <w:szCs w:val="20"/>
                </w:rPr>
                <w:t>490</w:t>
              </w:r>
              <w:r w:rsidRPr="00AE0698">
                <w:rPr>
                  <w:rFonts w:ascii="Arial" w:hAnsi="Arial" w:cs="Arial"/>
                  <w:sz w:val="20"/>
                  <w:szCs w:val="20"/>
                </w:rPr>
                <w:t>,</w:t>
              </w:r>
              <w:r>
                <w:rPr>
                  <w:rFonts w:ascii="Arial" w:hAnsi="Arial" w:cs="Arial" w:hint="eastAsia"/>
                  <w:sz w:val="20"/>
                  <w:szCs w:val="20"/>
                </w:rPr>
                <w:t>447</w:t>
              </w:r>
              <w:r w:rsidRPr="00AE0698">
                <w:rPr>
                  <w:rFonts w:ascii="Arial" w:hAnsi="Arial" w:cs="Arial"/>
                  <w:sz w:val="20"/>
                  <w:szCs w:val="20"/>
                </w:rPr>
                <w:t>.</w:t>
              </w:r>
              <w:r>
                <w:rPr>
                  <w:rFonts w:ascii="Arial" w:hAnsi="Arial" w:cs="Arial" w:hint="eastAsia"/>
                  <w:sz w:val="20"/>
                  <w:szCs w:val="20"/>
                </w:rPr>
                <w:t>19</w:t>
              </w:r>
              <w:r w:rsidRPr="00AE0698">
                <w:rPr>
                  <w:rFonts w:hAnsi="Calibri" w:hint="eastAsia"/>
                  <w:sz w:val="22"/>
                  <w:szCs w:val="22"/>
                </w:rPr>
                <w:t>元。</w:t>
              </w:r>
            </w:p>
            <w:p w:rsidR="00DE031E" w:rsidRPr="00AE0698" w:rsidRDefault="001C1A59" w:rsidP="00DE031E">
              <w:pPr>
                <w:widowControl w:val="0"/>
                <w:autoSpaceDE w:val="0"/>
                <w:autoSpaceDN w:val="0"/>
                <w:adjustRightInd w:val="0"/>
                <w:spacing w:line="276" w:lineRule="auto"/>
                <w:rPr>
                  <w:szCs w:val="21"/>
                </w:rPr>
              </w:pPr>
              <w:r>
                <w:rPr>
                  <w:rFonts w:hint="eastAsia"/>
                  <w:szCs w:val="21"/>
                </w:rPr>
                <w:t>2）</w:t>
              </w:r>
              <w:r>
                <w:rPr>
                  <w:rFonts w:hAnsi="Calibri" w:hint="eastAsia"/>
                  <w:sz w:val="22"/>
                  <w:szCs w:val="22"/>
                </w:rPr>
                <w:t>远东商务中心二楼的房产登记在国通证券股份有限公司（公司前身）名下，目前公司正在办理更名手续。</w:t>
              </w:r>
            </w:p>
          </w:sdtContent>
        </w:sdt>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lastRenderedPageBreak/>
        <w:t>在建工程</w:t>
      </w:r>
    </w:p>
    <w:sdt>
      <w:sdtPr>
        <w:alias w:val="是否适用：在建工程"/>
        <w:tag w:val="_GBC_6bf013f446824b0a8aea8449f714824e"/>
        <w:id w:val="24724559"/>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b w:val="0"/>
          <w:bCs w:val="0"/>
          <w:kern w:val="0"/>
          <w:szCs w:val="21"/>
        </w:rPr>
        <w:tag w:val="_GBC_88cd7483eb15414d84d17f5cc1a4bf78"/>
        <w:id w:val="24724592"/>
        <w:lock w:val="sdtLocked"/>
        <w:placeholder>
          <w:docPart w:val="GBC22222222222222222222222222222"/>
        </w:placeholder>
      </w:sdtPr>
      <w:sdtEndPr>
        <w:rPr>
          <w:szCs w:val="24"/>
        </w:rPr>
      </w:sdtEndPr>
      <w:sdtContent>
        <w:p w:rsidR="00DE031E" w:rsidRDefault="001C1A59" w:rsidP="009950AC">
          <w:pPr>
            <w:pStyle w:val="4"/>
            <w:numPr>
              <w:ilvl w:val="0"/>
              <w:numId w:val="49"/>
            </w:numPr>
            <w:tabs>
              <w:tab w:val="left" w:pos="588"/>
            </w:tabs>
            <w:spacing w:line="360" w:lineRule="auto"/>
            <w:rPr>
              <w:rFonts w:ascii="宋体" w:hAnsi="宋体"/>
              <w:szCs w:val="21"/>
            </w:rPr>
          </w:pPr>
          <w:r>
            <w:rPr>
              <w:rFonts w:ascii="宋体" w:hAnsi="宋体" w:hint="eastAsia"/>
              <w:szCs w:val="21"/>
            </w:rPr>
            <w:t>在建工程情况</w:t>
          </w:r>
        </w:p>
        <w:p w:rsidR="00DE031E" w:rsidRDefault="001C1A59">
          <w:pPr>
            <w:jc w:val="right"/>
            <w:rPr>
              <w:szCs w:val="21"/>
            </w:rPr>
          </w:pPr>
          <w:r>
            <w:rPr>
              <w:rFonts w:hint="eastAsia"/>
              <w:szCs w:val="21"/>
            </w:rPr>
            <w:t>单位：</w:t>
          </w:r>
          <w:sdt>
            <w:sdtPr>
              <w:rPr>
                <w:rFonts w:hint="eastAsia"/>
                <w:szCs w:val="21"/>
              </w:rPr>
              <w:alias w:val="单位：财务附注：在建工程"/>
              <w:tag w:val="_GBC_d20598ce3f5b4d21a9055de674936a9a"/>
              <w:id w:val="247245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24724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07" w:type="pct"/>
            <w:jc w:val="center"/>
            <w:tblInd w:w="-9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11"/>
            <w:gridCol w:w="1637"/>
            <w:gridCol w:w="637"/>
            <w:gridCol w:w="1611"/>
            <w:gridCol w:w="1532"/>
            <w:gridCol w:w="637"/>
            <w:gridCol w:w="1532"/>
          </w:tblGrid>
          <w:tr w:rsidR="00DE031E" w:rsidRPr="000F2A29" w:rsidTr="00DE031E">
            <w:trPr>
              <w:cantSplit/>
              <w:jc w:val="center"/>
            </w:trPr>
            <w:tc>
              <w:tcPr>
                <w:tcW w:w="1129" w:type="pct"/>
                <w:vMerge w:val="restar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center"/>
                  <w:rPr>
                    <w:rFonts w:asciiTheme="minorEastAsia" w:eastAsiaTheme="minorEastAsia" w:hAnsiTheme="minorEastAsia"/>
                    <w:szCs w:val="21"/>
                  </w:rPr>
                </w:pPr>
                <w:r w:rsidRPr="000F2A29">
                  <w:rPr>
                    <w:rFonts w:asciiTheme="minorEastAsia" w:eastAsiaTheme="minorEastAsia" w:hAnsiTheme="minorEastAsia" w:hint="eastAsia"/>
                    <w:szCs w:val="21"/>
                  </w:rPr>
                  <w:t>项目</w:t>
                </w:r>
              </w:p>
            </w:tc>
            <w:tc>
              <w:tcPr>
                <w:tcW w:w="1982" w:type="pct"/>
                <w:gridSpan w:val="3"/>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center"/>
                  <w:rPr>
                    <w:rFonts w:asciiTheme="minorEastAsia" w:eastAsiaTheme="minorEastAsia" w:hAnsiTheme="minorEastAsia"/>
                    <w:szCs w:val="21"/>
                  </w:rPr>
                </w:pPr>
                <w:r w:rsidRPr="000F2A29">
                  <w:rPr>
                    <w:rFonts w:asciiTheme="minorEastAsia" w:eastAsiaTheme="minorEastAsia" w:hAnsiTheme="minorEastAsia" w:hint="eastAsia"/>
                    <w:szCs w:val="21"/>
                  </w:rPr>
                  <w:t>期末余额</w:t>
                </w:r>
              </w:p>
            </w:tc>
            <w:tc>
              <w:tcPr>
                <w:tcW w:w="1889" w:type="pct"/>
                <w:gridSpan w:val="3"/>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center"/>
                  <w:rPr>
                    <w:rFonts w:asciiTheme="minorEastAsia" w:eastAsiaTheme="minorEastAsia" w:hAnsiTheme="minorEastAsia"/>
                    <w:szCs w:val="21"/>
                  </w:rPr>
                </w:pPr>
                <w:r w:rsidRPr="000F2A29">
                  <w:rPr>
                    <w:rFonts w:asciiTheme="minorEastAsia" w:eastAsiaTheme="minorEastAsia" w:hAnsiTheme="minorEastAsia" w:hint="eastAsia"/>
                    <w:szCs w:val="21"/>
                  </w:rPr>
                  <w:t>期初余额</w:t>
                </w:r>
              </w:p>
            </w:tc>
          </w:tr>
          <w:tr w:rsidR="00DE031E" w:rsidRPr="000F2A29" w:rsidTr="00DE031E">
            <w:trPr>
              <w:cantSplit/>
              <w:jc w:val="center"/>
            </w:trPr>
            <w:tc>
              <w:tcPr>
                <w:tcW w:w="1129" w:type="pct"/>
                <w:vMerge/>
                <w:tcBorders>
                  <w:top w:val="single" w:sz="6" w:space="0" w:color="auto"/>
                  <w:left w:val="single" w:sz="6" w:space="0" w:color="auto"/>
                  <w:bottom w:val="single" w:sz="6" w:space="0" w:color="auto"/>
                  <w:right w:val="single" w:sz="6" w:space="0" w:color="auto"/>
                </w:tcBorders>
                <w:vAlign w:val="center"/>
              </w:tcPr>
              <w:p w:rsidR="00DE031E" w:rsidRPr="000F2A29" w:rsidRDefault="00DE031E" w:rsidP="00DE031E">
                <w:pPr>
                  <w:tabs>
                    <w:tab w:val="left" w:pos="420"/>
                  </w:tabs>
                  <w:ind w:left="420" w:hanging="420"/>
                  <w:jc w:val="center"/>
                  <w:rPr>
                    <w:rFonts w:asciiTheme="minorEastAsia" w:eastAsiaTheme="minorEastAsia" w:hAnsiTheme="minorEastAsia"/>
                    <w:szCs w:val="21"/>
                  </w:rPr>
                </w:pPr>
              </w:p>
            </w:tc>
            <w:tc>
              <w:tcPr>
                <w:tcW w:w="83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tabs>
                    <w:tab w:val="left" w:pos="420"/>
                  </w:tabs>
                  <w:ind w:left="420" w:hanging="420"/>
                  <w:jc w:val="center"/>
                  <w:rPr>
                    <w:rFonts w:asciiTheme="minorEastAsia" w:eastAsiaTheme="minorEastAsia" w:hAnsiTheme="minorEastAsia"/>
                    <w:szCs w:val="21"/>
                  </w:rPr>
                </w:pPr>
                <w:r w:rsidRPr="000F2A29">
                  <w:rPr>
                    <w:rFonts w:asciiTheme="minorEastAsia" w:eastAsiaTheme="minorEastAsia" w:hAnsiTheme="minorEastAsia" w:hint="eastAsia"/>
                    <w:szCs w:val="21"/>
                  </w:rPr>
                  <w:t>账面余额</w:t>
                </w:r>
              </w:p>
            </w:tc>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pStyle w:val="11"/>
                  <w:jc w:val="center"/>
                  <w:rPr>
                    <w:rFonts w:asciiTheme="minorEastAsia" w:eastAsiaTheme="minorEastAsia" w:hAnsiTheme="minorEastAsia"/>
                    <w:kern w:val="0"/>
                  </w:rPr>
                </w:pPr>
                <w:r w:rsidRPr="000F2A29">
                  <w:rPr>
                    <w:rFonts w:asciiTheme="minorEastAsia" w:eastAsiaTheme="minorEastAsia" w:hAnsiTheme="minorEastAsia" w:hint="eastAsia"/>
                    <w:kern w:val="0"/>
                  </w:rPr>
                  <w:t>减值准备</w:t>
                </w:r>
              </w:p>
            </w:tc>
            <w:tc>
              <w:tcPr>
                <w:tcW w:w="821"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pStyle w:val="11"/>
                  <w:jc w:val="center"/>
                  <w:rPr>
                    <w:rFonts w:asciiTheme="minorEastAsia" w:eastAsiaTheme="minorEastAsia" w:hAnsiTheme="minorEastAsia"/>
                    <w:kern w:val="0"/>
                  </w:rPr>
                </w:pPr>
                <w:r w:rsidRPr="000F2A29">
                  <w:rPr>
                    <w:rFonts w:asciiTheme="minorEastAsia" w:eastAsiaTheme="minorEastAsia" w:hAnsiTheme="minorEastAsia" w:hint="eastAsia"/>
                    <w:kern w:val="0"/>
                  </w:rPr>
                  <w:t>账面价值</w:t>
                </w:r>
              </w:p>
            </w:tc>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tabs>
                    <w:tab w:val="left" w:pos="420"/>
                  </w:tabs>
                  <w:ind w:left="420" w:hanging="420"/>
                  <w:jc w:val="center"/>
                  <w:rPr>
                    <w:rFonts w:asciiTheme="minorEastAsia" w:eastAsiaTheme="minorEastAsia" w:hAnsiTheme="minorEastAsia"/>
                    <w:szCs w:val="21"/>
                  </w:rPr>
                </w:pPr>
                <w:r w:rsidRPr="000F2A29">
                  <w:rPr>
                    <w:rFonts w:asciiTheme="minorEastAsia" w:eastAsiaTheme="minorEastAsia" w:hAnsiTheme="minorEastAsia" w:hint="eastAsia"/>
                    <w:szCs w:val="21"/>
                  </w:rPr>
                  <w:t>账面余额</w:t>
                </w:r>
              </w:p>
            </w:tc>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pStyle w:val="11"/>
                  <w:jc w:val="center"/>
                  <w:rPr>
                    <w:rFonts w:asciiTheme="minorEastAsia" w:eastAsiaTheme="minorEastAsia" w:hAnsiTheme="minorEastAsia"/>
                    <w:kern w:val="0"/>
                  </w:rPr>
                </w:pPr>
                <w:r w:rsidRPr="000F2A29">
                  <w:rPr>
                    <w:rFonts w:asciiTheme="minorEastAsia" w:eastAsiaTheme="minorEastAsia" w:hAnsiTheme="minorEastAsia" w:hint="eastAsia"/>
                    <w:kern w:val="0"/>
                  </w:rPr>
                  <w:t>减值准备</w:t>
                </w:r>
              </w:p>
            </w:tc>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pStyle w:val="11"/>
                  <w:jc w:val="center"/>
                  <w:rPr>
                    <w:rFonts w:asciiTheme="minorEastAsia" w:eastAsiaTheme="minorEastAsia" w:hAnsiTheme="minorEastAsia"/>
                    <w:kern w:val="0"/>
                  </w:rPr>
                </w:pPr>
                <w:r w:rsidRPr="000F2A29">
                  <w:rPr>
                    <w:rFonts w:asciiTheme="minorEastAsia" w:eastAsiaTheme="minorEastAsia" w:hAnsiTheme="minorEastAsia" w:hint="eastAsia"/>
                    <w:kern w:val="0"/>
                  </w:rPr>
                  <w:t>账面价值</w:t>
                </w:r>
              </w:p>
            </w:tc>
          </w:tr>
          <w:sdt>
            <w:sdtPr>
              <w:rPr>
                <w:rFonts w:asciiTheme="minorEastAsia" w:eastAsiaTheme="minorEastAsia" w:hAnsiTheme="minorEastAsia"/>
                <w:szCs w:val="21"/>
              </w:rPr>
              <w:alias w:val="在建工程情况明细"/>
              <w:tag w:val="_GBC_5f073fecf2ff4f9ba33e687f80450c77"/>
              <w:id w:val="24724569"/>
              <w:lock w:val="sdtLocked"/>
            </w:sdtPr>
            <w:sdtContent>
              <w:tr w:rsidR="00DE031E" w:rsidRPr="000F2A29" w:rsidTr="00DE031E">
                <w:trPr>
                  <w:cantSplit/>
                  <w:jc w:val="center"/>
                </w:trPr>
                <w:sdt>
                  <w:sdtPr>
                    <w:rPr>
                      <w:rFonts w:asciiTheme="minorEastAsia" w:eastAsiaTheme="minorEastAsia" w:hAnsiTheme="minorEastAsia"/>
                      <w:szCs w:val="21"/>
                    </w:rPr>
                    <w:alias w:val="在建工程情况明细－项目"/>
                    <w:tag w:val="_GBC_d66706bd026f4853bbc6b7af2859bef6"/>
                    <w:id w:val="24724562"/>
                    <w:lock w:val="sdtLocked"/>
                  </w:sdtPr>
                  <w:sdtContent>
                    <w:tc>
                      <w:tcPr>
                        <w:tcW w:w="1129" w:type="pct"/>
                        <w:tcBorders>
                          <w:top w:val="single" w:sz="6" w:space="0" w:color="auto"/>
                          <w:left w:val="single" w:sz="6" w:space="0" w:color="auto"/>
                          <w:bottom w:val="single" w:sz="6" w:space="0" w:color="auto"/>
                          <w:right w:val="single" w:sz="6" w:space="0" w:color="auto"/>
                        </w:tcBorders>
                      </w:tcPr>
                      <w:p w:rsidR="00DE031E" w:rsidRPr="000F2A29" w:rsidRDefault="001C1A59" w:rsidP="00DE031E">
                        <w:pPr>
                          <w:rPr>
                            <w:rFonts w:asciiTheme="minorEastAsia" w:eastAsiaTheme="minorEastAsia" w:hAnsiTheme="minorEastAsia"/>
                            <w:szCs w:val="21"/>
                          </w:rPr>
                        </w:pPr>
                        <w:r w:rsidRPr="000F2A29">
                          <w:rPr>
                            <w:rFonts w:asciiTheme="minorEastAsia" w:eastAsiaTheme="minorEastAsia" w:hAnsiTheme="minorEastAsia" w:hint="eastAsia"/>
                            <w:szCs w:val="21"/>
                          </w:rPr>
                          <w:t>招商证券大厦工程</w:t>
                        </w:r>
                      </w:p>
                    </w:tc>
                  </w:sdtContent>
                </w:sdt>
                <w:sdt>
                  <w:sdtPr>
                    <w:rPr>
                      <w:rFonts w:asciiTheme="minorEastAsia" w:eastAsiaTheme="minorEastAsia" w:hAnsiTheme="minorEastAsia"/>
                      <w:szCs w:val="21"/>
                    </w:rPr>
                    <w:alias w:val="在建工程情况明细－账面原值"/>
                    <w:tag w:val="_GBC_0f9ca475d5c742eab7e658673f97ba10"/>
                    <w:id w:val="24724563"/>
                    <w:lock w:val="sdtLocked"/>
                  </w:sdtPr>
                  <w:sdtContent>
                    <w:tc>
                      <w:tcPr>
                        <w:tcW w:w="83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105"/>
                          <w:jc w:val="right"/>
                          <w:rPr>
                            <w:rFonts w:asciiTheme="minorEastAsia" w:eastAsiaTheme="minorEastAsia" w:hAnsiTheme="minorEastAsia"/>
                            <w:szCs w:val="21"/>
                          </w:rPr>
                        </w:pPr>
                        <w:r w:rsidRPr="000F2A29">
                          <w:rPr>
                            <w:rFonts w:asciiTheme="minorEastAsia" w:eastAsiaTheme="minorEastAsia" w:hAnsiTheme="minorEastAsia"/>
                            <w:szCs w:val="21"/>
                          </w:rPr>
                          <w:t>970,731,732.34</w:t>
                        </w:r>
                      </w:p>
                    </w:tc>
                  </w:sdtContent>
                </w:sdt>
                <w:sdt>
                  <w:sdtPr>
                    <w:rPr>
                      <w:rFonts w:asciiTheme="minorEastAsia" w:eastAsiaTheme="minorEastAsia" w:hAnsiTheme="minorEastAsia"/>
                      <w:szCs w:val="21"/>
                    </w:rPr>
                    <w:alias w:val="在建工程情况明细－跌价准备"/>
                    <w:tag w:val="_GBC_33dda012913d4809ac56bacd0c1409e7"/>
                    <w:id w:val="24724564"/>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73"/>
                          <w:jc w:val="right"/>
                          <w:rPr>
                            <w:rFonts w:asciiTheme="minorEastAsia" w:eastAsiaTheme="minorEastAsia" w:hAnsiTheme="minorEastAsia"/>
                            <w:szCs w:val="21"/>
                          </w:rPr>
                        </w:pPr>
                        <w:r w:rsidRPr="000F2A2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4724565"/>
                    <w:lock w:val="sdtLocked"/>
                  </w:sdtPr>
                  <w:sdtContent>
                    <w:tc>
                      <w:tcPr>
                        <w:tcW w:w="821"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73"/>
                          <w:jc w:val="right"/>
                          <w:rPr>
                            <w:rFonts w:asciiTheme="minorEastAsia" w:eastAsiaTheme="minorEastAsia" w:hAnsiTheme="minorEastAsia"/>
                            <w:szCs w:val="21"/>
                          </w:rPr>
                        </w:pPr>
                        <w:r w:rsidRPr="000F2A29">
                          <w:rPr>
                            <w:rFonts w:asciiTheme="minorEastAsia" w:eastAsiaTheme="minorEastAsia" w:hAnsiTheme="minorEastAsia"/>
                            <w:szCs w:val="21"/>
                          </w:rPr>
                          <w:t>970,731,732.34</w:t>
                        </w:r>
                      </w:p>
                    </w:tc>
                  </w:sdtContent>
                </w:sdt>
                <w:sdt>
                  <w:sdtPr>
                    <w:rPr>
                      <w:rFonts w:asciiTheme="minorEastAsia" w:eastAsiaTheme="minorEastAsia" w:hAnsiTheme="minorEastAsia"/>
                      <w:szCs w:val="21"/>
                    </w:rPr>
                    <w:alias w:val="在建工程情况明细－账面原值"/>
                    <w:tag w:val="_GBC_1eca25f3cd8c44a1a8fca3ffe7d88e3d"/>
                    <w:id w:val="24724566"/>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cs="Arial"/>
                            <w:bCs/>
                            <w:szCs w:val="21"/>
                          </w:rPr>
                          <w:t>925,522,279.60</w:t>
                        </w:r>
                      </w:p>
                    </w:tc>
                  </w:sdtContent>
                </w:sdt>
                <w:sdt>
                  <w:sdtPr>
                    <w:rPr>
                      <w:rFonts w:asciiTheme="minorEastAsia" w:eastAsiaTheme="minorEastAsia" w:hAnsiTheme="minorEastAsia"/>
                      <w:szCs w:val="21"/>
                    </w:rPr>
                    <w:alias w:val="在建工程情况明细－跌价准备"/>
                    <w:tag w:val="_GBC_10aaae6c8e5740218121cb96b1904d71"/>
                    <w:id w:val="24724567"/>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4724568"/>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cs="Arial"/>
                            <w:bCs/>
                            <w:szCs w:val="21"/>
                          </w:rPr>
                          <w:t>925,522,279.60</w:t>
                        </w:r>
                      </w:p>
                    </w:tc>
                  </w:sdtContent>
                </w:sdt>
              </w:tr>
            </w:sdtContent>
          </w:sdt>
          <w:sdt>
            <w:sdtPr>
              <w:rPr>
                <w:rFonts w:asciiTheme="minorEastAsia" w:eastAsiaTheme="minorEastAsia" w:hAnsiTheme="minorEastAsia"/>
                <w:szCs w:val="21"/>
              </w:rPr>
              <w:alias w:val="在建工程情况明细"/>
              <w:tag w:val="_GBC_5f073fecf2ff4f9ba33e687f80450c77"/>
              <w:id w:val="24724577"/>
              <w:lock w:val="sdtLocked"/>
            </w:sdtPr>
            <w:sdtContent>
              <w:tr w:rsidR="00DE031E" w:rsidRPr="000F2A29" w:rsidTr="00DE031E">
                <w:trPr>
                  <w:cantSplit/>
                  <w:jc w:val="center"/>
                </w:trPr>
                <w:sdt>
                  <w:sdtPr>
                    <w:rPr>
                      <w:rFonts w:asciiTheme="minorEastAsia" w:eastAsiaTheme="minorEastAsia" w:hAnsiTheme="minorEastAsia"/>
                      <w:szCs w:val="21"/>
                    </w:rPr>
                    <w:alias w:val="在建工程情况明细－项目"/>
                    <w:tag w:val="_GBC_d66706bd026f4853bbc6b7af2859bef6"/>
                    <w:id w:val="24724570"/>
                    <w:lock w:val="sdtLocked"/>
                  </w:sdtPr>
                  <w:sdtContent>
                    <w:tc>
                      <w:tcPr>
                        <w:tcW w:w="1129" w:type="pct"/>
                        <w:tcBorders>
                          <w:top w:val="single" w:sz="6" w:space="0" w:color="auto"/>
                          <w:left w:val="single" w:sz="6" w:space="0" w:color="auto"/>
                          <w:bottom w:val="single" w:sz="6" w:space="0" w:color="auto"/>
                          <w:right w:val="single" w:sz="6" w:space="0" w:color="auto"/>
                        </w:tcBorders>
                      </w:tcPr>
                      <w:p w:rsidR="00DE031E" w:rsidRPr="000F2A29" w:rsidRDefault="001C1A59" w:rsidP="00DE031E">
                        <w:pPr>
                          <w:rPr>
                            <w:rFonts w:asciiTheme="minorEastAsia" w:eastAsiaTheme="minorEastAsia" w:hAnsiTheme="minorEastAsia"/>
                            <w:szCs w:val="21"/>
                          </w:rPr>
                        </w:pPr>
                        <w:r w:rsidRPr="000F2A29">
                          <w:rPr>
                            <w:rFonts w:asciiTheme="minorEastAsia" w:eastAsiaTheme="minorEastAsia" w:hAnsiTheme="minorEastAsia" w:hint="eastAsia"/>
                            <w:szCs w:val="21"/>
                          </w:rPr>
                          <w:t>招商香港</w:t>
                        </w:r>
                        <w:r w:rsidRPr="000F2A29">
                          <w:rPr>
                            <w:rFonts w:asciiTheme="minorEastAsia" w:eastAsiaTheme="minorEastAsia" w:hAnsiTheme="minorEastAsia"/>
                            <w:szCs w:val="21"/>
                          </w:rPr>
                          <w:t>IT系统工程</w:t>
                        </w:r>
                      </w:p>
                    </w:tc>
                  </w:sdtContent>
                </w:sdt>
                <w:sdt>
                  <w:sdtPr>
                    <w:rPr>
                      <w:rFonts w:asciiTheme="minorEastAsia" w:eastAsiaTheme="minorEastAsia" w:hAnsiTheme="minorEastAsia"/>
                      <w:szCs w:val="21"/>
                    </w:rPr>
                    <w:alias w:val="在建工程情况明细－账面原值"/>
                    <w:tag w:val="_GBC_0f9ca475d5c742eab7e658673f97ba10"/>
                    <w:id w:val="24724571"/>
                    <w:lock w:val="sdtLocked"/>
                  </w:sdtPr>
                  <w:sdtContent>
                    <w:tc>
                      <w:tcPr>
                        <w:tcW w:w="83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105"/>
                          <w:jc w:val="right"/>
                          <w:rPr>
                            <w:rFonts w:asciiTheme="minorEastAsia" w:eastAsiaTheme="minorEastAsia" w:hAnsiTheme="minorEastAsia"/>
                            <w:szCs w:val="21"/>
                          </w:rPr>
                        </w:pPr>
                        <w:r w:rsidRPr="000F2A29">
                          <w:rPr>
                            <w:rFonts w:asciiTheme="minorEastAsia" w:eastAsiaTheme="minorEastAsia" w:hAnsiTheme="minorEastAsia"/>
                            <w:szCs w:val="21"/>
                          </w:rPr>
                          <w:t>3,441,067.32</w:t>
                        </w:r>
                      </w:p>
                    </w:tc>
                  </w:sdtContent>
                </w:sdt>
                <w:sdt>
                  <w:sdtPr>
                    <w:rPr>
                      <w:rFonts w:asciiTheme="minorEastAsia" w:eastAsiaTheme="minorEastAsia" w:hAnsiTheme="minorEastAsia"/>
                      <w:szCs w:val="21"/>
                    </w:rPr>
                    <w:alias w:val="在建工程情况明细－跌价准备"/>
                    <w:tag w:val="_GBC_33dda012913d4809ac56bacd0c1409e7"/>
                    <w:id w:val="24724572"/>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DE031E" w:rsidP="00DE031E">
                        <w:pPr>
                          <w:ind w:right="73"/>
                          <w:jc w:val="right"/>
                          <w:rPr>
                            <w:rFonts w:asciiTheme="minorEastAsia" w:eastAsiaTheme="minorEastAsia" w:hAnsiTheme="minorEastAsia"/>
                            <w:szCs w:val="21"/>
                          </w:rPr>
                        </w:pPr>
                      </w:p>
                    </w:tc>
                  </w:sdtContent>
                </w:sdt>
                <w:sdt>
                  <w:sdtPr>
                    <w:rPr>
                      <w:rFonts w:asciiTheme="minorEastAsia" w:eastAsiaTheme="minorEastAsia" w:hAnsiTheme="minorEastAsia"/>
                      <w:szCs w:val="21"/>
                    </w:rPr>
                    <w:alias w:val="在建工程情况明细－账面净值"/>
                    <w:tag w:val="_GBC_03cad967bd1041f3bf9cceba76a67028"/>
                    <w:id w:val="24724573"/>
                    <w:lock w:val="sdtLocked"/>
                  </w:sdtPr>
                  <w:sdtContent>
                    <w:tc>
                      <w:tcPr>
                        <w:tcW w:w="821"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73"/>
                          <w:jc w:val="right"/>
                          <w:rPr>
                            <w:rFonts w:asciiTheme="minorEastAsia" w:eastAsiaTheme="minorEastAsia" w:hAnsiTheme="minorEastAsia"/>
                            <w:szCs w:val="21"/>
                          </w:rPr>
                        </w:pPr>
                        <w:r w:rsidRPr="000F2A29">
                          <w:rPr>
                            <w:rFonts w:asciiTheme="minorEastAsia" w:eastAsiaTheme="minorEastAsia" w:hAnsiTheme="minorEastAsia"/>
                            <w:szCs w:val="21"/>
                          </w:rPr>
                          <w:t>3,441,067.32</w:t>
                        </w:r>
                      </w:p>
                    </w:tc>
                  </w:sdtContent>
                </w:sdt>
                <w:sdt>
                  <w:sdtPr>
                    <w:rPr>
                      <w:rFonts w:asciiTheme="minorEastAsia" w:eastAsiaTheme="minorEastAsia" w:hAnsiTheme="minorEastAsia"/>
                      <w:szCs w:val="21"/>
                    </w:rPr>
                    <w:alias w:val="在建工程情况明细－账面原值"/>
                    <w:tag w:val="_GBC_1eca25f3cd8c44a1a8fca3ffe7d88e3d"/>
                    <w:id w:val="24724574"/>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szCs w:val="21"/>
                          </w:rPr>
                          <w:t>3,745,498.66</w:t>
                        </w:r>
                      </w:p>
                    </w:tc>
                  </w:sdtContent>
                </w:sdt>
                <w:sdt>
                  <w:sdtPr>
                    <w:rPr>
                      <w:rFonts w:asciiTheme="minorEastAsia" w:eastAsiaTheme="minorEastAsia" w:hAnsiTheme="minorEastAsia"/>
                      <w:szCs w:val="21"/>
                    </w:rPr>
                    <w:alias w:val="在建工程情况明细－跌价准备"/>
                    <w:tag w:val="_GBC_10aaae6c8e5740218121cb96b1904d71"/>
                    <w:id w:val="24724575"/>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4724576"/>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szCs w:val="21"/>
                          </w:rPr>
                          <w:t>3,745,498.66</w:t>
                        </w:r>
                      </w:p>
                    </w:tc>
                  </w:sdtContent>
                </w:sdt>
              </w:tr>
            </w:sdtContent>
          </w:sdt>
          <w:sdt>
            <w:sdtPr>
              <w:rPr>
                <w:rFonts w:asciiTheme="minorEastAsia" w:eastAsiaTheme="minorEastAsia" w:hAnsiTheme="minorEastAsia"/>
                <w:szCs w:val="21"/>
              </w:rPr>
              <w:alias w:val="在建工程情况明细"/>
              <w:tag w:val="_GBC_5f073fecf2ff4f9ba33e687f80450c77"/>
              <w:id w:val="24724585"/>
              <w:lock w:val="sdtLocked"/>
            </w:sdtPr>
            <w:sdtContent>
              <w:tr w:rsidR="00DE031E" w:rsidRPr="000F2A29" w:rsidTr="00DE031E">
                <w:trPr>
                  <w:cantSplit/>
                  <w:jc w:val="center"/>
                </w:trPr>
                <w:sdt>
                  <w:sdtPr>
                    <w:rPr>
                      <w:rFonts w:asciiTheme="minorEastAsia" w:eastAsiaTheme="minorEastAsia" w:hAnsiTheme="minorEastAsia"/>
                      <w:szCs w:val="21"/>
                    </w:rPr>
                    <w:alias w:val="在建工程情况明细－项目"/>
                    <w:tag w:val="_GBC_d66706bd026f4853bbc6b7af2859bef6"/>
                    <w:id w:val="24724578"/>
                    <w:lock w:val="sdtLocked"/>
                  </w:sdtPr>
                  <w:sdtContent>
                    <w:tc>
                      <w:tcPr>
                        <w:tcW w:w="1129" w:type="pct"/>
                        <w:tcBorders>
                          <w:top w:val="single" w:sz="6" w:space="0" w:color="auto"/>
                          <w:left w:val="single" w:sz="6" w:space="0" w:color="auto"/>
                          <w:bottom w:val="single" w:sz="6" w:space="0" w:color="auto"/>
                          <w:right w:val="single" w:sz="6" w:space="0" w:color="auto"/>
                        </w:tcBorders>
                      </w:tcPr>
                      <w:p w:rsidR="00DE031E" w:rsidRPr="000F2A29" w:rsidRDefault="001C1A59" w:rsidP="00DE031E">
                        <w:pPr>
                          <w:rPr>
                            <w:rFonts w:asciiTheme="minorEastAsia" w:eastAsiaTheme="minorEastAsia" w:hAnsiTheme="minorEastAsia"/>
                            <w:szCs w:val="21"/>
                          </w:rPr>
                        </w:pPr>
                        <w:r w:rsidRPr="000F2A29">
                          <w:rPr>
                            <w:rFonts w:asciiTheme="minorEastAsia" w:eastAsiaTheme="minorEastAsia" w:hAnsiTheme="minorEastAsia" w:hint="eastAsia"/>
                            <w:szCs w:val="21"/>
                          </w:rPr>
                          <w:t>其他零星工程</w:t>
                        </w:r>
                      </w:p>
                    </w:tc>
                  </w:sdtContent>
                </w:sdt>
                <w:sdt>
                  <w:sdtPr>
                    <w:rPr>
                      <w:rFonts w:asciiTheme="minorEastAsia" w:eastAsiaTheme="minorEastAsia" w:hAnsiTheme="minorEastAsia"/>
                      <w:szCs w:val="21"/>
                    </w:rPr>
                    <w:alias w:val="在建工程情况明细－账面原值"/>
                    <w:tag w:val="_GBC_0f9ca475d5c742eab7e658673f97ba10"/>
                    <w:id w:val="24724579"/>
                    <w:lock w:val="sdtLocked"/>
                  </w:sdtPr>
                  <w:sdtContent>
                    <w:tc>
                      <w:tcPr>
                        <w:tcW w:w="83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105"/>
                          <w:jc w:val="right"/>
                          <w:rPr>
                            <w:rFonts w:asciiTheme="minorEastAsia" w:eastAsiaTheme="minorEastAsia" w:hAnsiTheme="minorEastAsia"/>
                            <w:szCs w:val="21"/>
                          </w:rPr>
                        </w:pPr>
                        <w:r w:rsidRPr="000F2A29">
                          <w:rPr>
                            <w:rFonts w:asciiTheme="minorEastAsia" w:eastAsiaTheme="minorEastAsia" w:hAnsiTheme="minorEastAsia" w:cs="Arial"/>
                            <w:color w:val="000000"/>
                            <w:szCs w:val="21"/>
                          </w:rPr>
                          <w:t>4,688,790.54</w:t>
                        </w:r>
                      </w:p>
                    </w:tc>
                  </w:sdtContent>
                </w:sdt>
                <w:sdt>
                  <w:sdtPr>
                    <w:rPr>
                      <w:rFonts w:asciiTheme="minorEastAsia" w:eastAsiaTheme="minorEastAsia" w:hAnsiTheme="minorEastAsia"/>
                      <w:szCs w:val="21"/>
                    </w:rPr>
                    <w:alias w:val="在建工程情况明细－跌价准备"/>
                    <w:tag w:val="_GBC_33dda012913d4809ac56bacd0c1409e7"/>
                    <w:id w:val="24724580"/>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73"/>
                          <w:jc w:val="right"/>
                          <w:rPr>
                            <w:rFonts w:asciiTheme="minorEastAsia" w:eastAsiaTheme="minorEastAsia" w:hAnsiTheme="minorEastAsia"/>
                            <w:szCs w:val="21"/>
                          </w:rPr>
                        </w:pPr>
                        <w:r w:rsidRPr="000F2A29">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净值"/>
                    <w:tag w:val="_GBC_03cad967bd1041f3bf9cceba76a67028"/>
                    <w:id w:val="24724581"/>
                    <w:lock w:val="sdtLocked"/>
                  </w:sdtPr>
                  <w:sdtContent>
                    <w:tc>
                      <w:tcPr>
                        <w:tcW w:w="821"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73"/>
                          <w:jc w:val="right"/>
                          <w:rPr>
                            <w:rFonts w:asciiTheme="minorEastAsia" w:eastAsiaTheme="minorEastAsia" w:hAnsiTheme="minorEastAsia"/>
                            <w:szCs w:val="21"/>
                          </w:rPr>
                        </w:pPr>
                        <w:r w:rsidRPr="000F2A29">
                          <w:rPr>
                            <w:rFonts w:asciiTheme="minorEastAsia" w:eastAsiaTheme="minorEastAsia" w:hAnsiTheme="minorEastAsia" w:cs="Arial"/>
                            <w:color w:val="000000"/>
                            <w:szCs w:val="21"/>
                          </w:rPr>
                          <w:t>4,688,790.54</w:t>
                        </w:r>
                      </w:p>
                    </w:tc>
                  </w:sdtContent>
                </w:sdt>
                <w:sdt>
                  <w:sdtPr>
                    <w:rPr>
                      <w:rFonts w:asciiTheme="minorEastAsia" w:eastAsiaTheme="minorEastAsia" w:hAnsiTheme="minorEastAsia"/>
                      <w:szCs w:val="21"/>
                    </w:rPr>
                    <w:alias w:val="在建工程情况明细－账面原值"/>
                    <w:tag w:val="_GBC_1eca25f3cd8c44a1a8fca3ffe7d88e3d"/>
                    <w:id w:val="24724582"/>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szCs w:val="21"/>
                          </w:rPr>
                          <w:t>1,145,896.33</w:t>
                        </w:r>
                      </w:p>
                    </w:tc>
                  </w:sdtContent>
                </w:sdt>
                <w:sdt>
                  <w:sdtPr>
                    <w:rPr>
                      <w:rFonts w:asciiTheme="minorEastAsia" w:eastAsiaTheme="minorEastAsia" w:hAnsiTheme="minorEastAsia"/>
                      <w:szCs w:val="21"/>
                    </w:rPr>
                    <w:alias w:val="在建工程情况明细－跌价准备"/>
                    <w:tag w:val="_GBC_10aaae6c8e5740218121cb96b1904d71"/>
                    <w:id w:val="24724583"/>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在建工程情况明细－账面价值"/>
                    <w:tag w:val="_GBC_e332cb077270441094620464bf4d6cd6"/>
                    <w:id w:val="24724584"/>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szCs w:val="21"/>
                          </w:rPr>
                          <w:t>1,145,896.33</w:t>
                        </w:r>
                      </w:p>
                    </w:tc>
                  </w:sdtContent>
                </w:sdt>
              </w:tr>
            </w:sdtContent>
          </w:sdt>
          <w:tr w:rsidR="00DE031E" w:rsidRPr="000F2A29" w:rsidTr="00DE031E">
            <w:trPr>
              <w:cantSplit/>
              <w:jc w:val="center"/>
            </w:trPr>
            <w:tc>
              <w:tcPr>
                <w:tcW w:w="1129"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center"/>
                  <w:rPr>
                    <w:rFonts w:asciiTheme="minorEastAsia" w:eastAsiaTheme="minorEastAsia" w:hAnsiTheme="minorEastAsia"/>
                    <w:szCs w:val="21"/>
                  </w:rPr>
                </w:pPr>
                <w:r w:rsidRPr="000F2A29">
                  <w:rPr>
                    <w:rFonts w:asciiTheme="minorEastAsia" w:eastAsiaTheme="minorEastAsia" w:hAnsiTheme="minorEastAsia" w:hint="eastAsia"/>
                    <w:szCs w:val="21"/>
                  </w:rPr>
                  <w:t>合计</w:t>
                </w:r>
              </w:p>
            </w:tc>
            <w:sdt>
              <w:sdtPr>
                <w:rPr>
                  <w:rFonts w:asciiTheme="minorEastAsia" w:eastAsiaTheme="minorEastAsia" w:hAnsiTheme="minorEastAsia"/>
                  <w:szCs w:val="21"/>
                </w:rPr>
                <w:alias w:val="在建工程合计"/>
                <w:tag w:val="_GBC_5cc98e29ca064f5c9a7342bafe4a71f5"/>
                <w:id w:val="24724586"/>
                <w:lock w:val="sdtLocked"/>
              </w:sdtPr>
              <w:sdtContent>
                <w:tc>
                  <w:tcPr>
                    <w:tcW w:w="83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105"/>
                      <w:jc w:val="right"/>
                      <w:rPr>
                        <w:rFonts w:asciiTheme="minorEastAsia" w:eastAsiaTheme="minorEastAsia" w:hAnsiTheme="minorEastAsia"/>
                        <w:szCs w:val="21"/>
                      </w:rPr>
                    </w:pPr>
                    <w:r w:rsidRPr="000F2A29">
                      <w:rPr>
                        <w:rFonts w:asciiTheme="minorEastAsia" w:eastAsiaTheme="minorEastAsia" w:hAnsiTheme="minorEastAsia"/>
                        <w:szCs w:val="21"/>
                      </w:rPr>
                      <w:t>978,861,590.20</w:t>
                    </w:r>
                  </w:p>
                </w:tc>
              </w:sdtContent>
            </w:sdt>
            <w:sdt>
              <w:sdtPr>
                <w:rPr>
                  <w:rFonts w:asciiTheme="minorEastAsia" w:eastAsiaTheme="minorEastAsia" w:hAnsiTheme="minorEastAsia"/>
                  <w:szCs w:val="21"/>
                </w:rPr>
                <w:alias w:val="在建工程减值准备合计余额"/>
                <w:tag w:val="_GBC_b4bc34bac1de49b5b7371fb6f84f07f7"/>
                <w:id w:val="24724587"/>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73"/>
                      <w:jc w:val="right"/>
                      <w:rPr>
                        <w:rFonts w:asciiTheme="minorEastAsia" w:eastAsiaTheme="minorEastAsia" w:hAnsiTheme="minorEastAsia"/>
                        <w:szCs w:val="21"/>
                      </w:rPr>
                    </w:pPr>
                    <w:r w:rsidRPr="000F2A2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
                <w:tag w:val="_GBC_f56f32e4dfe64301b1a618b54169c545"/>
                <w:id w:val="24724588"/>
                <w:lock w:val="sdtLocked"/>
              </w:sdtPr>
              <w:sdtContent>
                <w:tc>
                  <w:tcPr>
                    <w:tcW w:w="821"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ind w:right="73"/>
                      <w:jc w:val="right"/>
                      <w:rPr>
                        <w:rFonts w:asciiTheme="minorEastAsia" w:eastAsiaTheme="minorEastAsia" w:hAnsiTheme="minorEastAsia"/>
                        <w:szCs w:val="21"/>
                      </w:rPr>
                    </w:pPr>
                    <w:r w:rsidRPr="000F2A29">
                      <w:rPr>
                        <w:rFonts w:asciiTheme="minorEastAsia" w:eastAsiaTheme="minorEastAsia" w:hAnsiTheme="minorEastAsia"/>
                        <w:szCs w:val="21"/>
                      </w:rPr>
                      <w:t>978,861,590.20</w:t>
                    </w:r>
                  </w:p>
                </w:tc>
              </w:sdtContent>
            </w:sdt>
            <w:sdt>
              <w:sdtPr>
                <w:rPr>
                  <w:rFonts w:asciiTheme="minorEastAsia" w:eastAsiaTheme="minorEastAsia" w:hAnsiTheme="minorEastAsia"/>
                  <w:szCs w:val="21"/>
                </w:rPr>
                <w:alias w:val="在建工程合计"/>
                <w:tag w:val="_GBC_3938a3cfea384231b30b8e149530b919"/>
                <w:id w:val="24724589"/>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szCs w:val="21"/>
                      </w:rPr>
                      <w:t>930,413,674.59</w:t>
                    </w:r>
                  </w:p>
                </w:tc>
              </w:sdtContent>
            </w:sdt>
            <w:sdt>
              <w:sdtPr>
                <w:rPr>
                  <w:rFonts w:asciiTheme="minorEastAsia" w:eastAsiaTheme="minorEastAsia" w:hAnsiTheme="minorEastAsia"/>
                  <w:szCs w:val="21"/>
                </w:rPr>
                <w:alias w:val="在建工程减值准备合计余额"/>
                <w:tag w:val="_GBC_5272a3f809b3467d8aba8fdf5b040084"/>
                <w:id w:val="24724590"/>
                <w:lock w:val="sdtLocked"/>
                <w:showingPlcHdr/>
              </w:sdtPr>
              <w:sdtContent>
                <w:tc>
                  <w:tcPr>
                    <w:tcW w:w="325"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
                <w:tag w:val="_GBC_0ff27c25f904418b807e90b3251b0c4e"/>
                <w:id w:val="24724591"/>
                <w:lock w:val="sdtLocked"/>
              </w:sdtPr>
              <w:sdtContent>
                <w:tc>
                  <w:tcPr>
                    <w:tcW w:w="782" w:type="pct"/>
                    <w:tcBorders>
                      <w:top w:val="single" w:sz="6" w:space="0" w:color="auto"/>
                      <w:left w:val="single" w:sz="6" w:space="0" w:color="auto"/>
                      <w:bottom w:val="single" w:sz="6" w:space="0" w:color="auto"/>
                      <w:right w:val="single" w:sz="6" w:space="0" w:color="auto"/>
                    </w:tcBorders>
                    <w:vAlign w:val="center"/>
                  </w:tcPr>
                  <w:p w:rsidR="00DE031E" w:rsidRPr="000F2A29" w:rsidRDefault="001C1A59" w:rsidP="00DE031E">
                    <w:pPr>
                      <w:jc w:val="right"/>
                      <w:rPr>
                        <w:rFonts w:asciiTheme="minorEastAsia" w:eastAsiaTheme="minorEastAsia" w:hAnsiTheme="minorEastAsia"/>
                        <w:szCs w:val="21"/>
                      </w:rPr>
                    </w:pPr>
                    <w:r w:rsidRPr="000F2A29">
                      <w:rPr>
                        <w:rFonts w:asciiTheme="minorEastAsia" w:eastAsiaTheme="minorEastAsia" w:hAnsiTheme="minorEastAsia"/>
                        <w:szCs w:val="21"/>
                      </w:rPr>
                      <w:t>930,413,674.59</w:t>
                    </w:r>
                  </w:p>
                </w:tc>
              </w:sdtContent>
            </w:sdt>
          </w:tr>
        </w:tbl>
        <w:p w:rsidR="00DE031E" w:rsidRPr="008D2835" w:rsidRDefault="00422DCA" w:rsidP="00DE031E"/>
      </w:sdtContent>
    </w:sdt>
    <w:sdt>
      <w:sdtPr>
        <w:rPr>
          <w:rFonts w:ascii="宋体" w:hAnsi="宋体" w:cs="宋体" w:hint="eastAsia"/>
          <w:b w:val="0"/>
          <w:bCs w:val="0"/>
          <w:kern w:val="0"/>
          <w:szCs w:val="21"/>
        </w:rPr>
        <w:tag w:val="_GBC_b1eb75f465d7494995f17407201cfca9"/>
        <w:id w:val="24724618"/>
        <w:lock w:val="sdtLocked"/>
        <w:placeholder>
          <w:docPart w:val="GBC22222222222222222222222222222"/>
        </w:placeholder>
      </w:sdtPr>
      <w:sdtEndPr>
        <w:rPr>
          <w:rFonts w:cstheme="minorBidi" w:hint="default"/>
        </w:rPr>
      </w:sdtEndPr>
      <w:sdtContent>
        <w:p w:rsidR="00DE031E" w:rsidRDefault="001C1A59" w:rsidP="009950AC">
          <w:pPr>
            <w:pStyle w:val="4"/>
            <w:numPr>
              <w:ilvl w:val="0"/>
              <w:numId w:val="49"/>
            </w:numPr>
            <w:tabs>
              <w:tab w:val="left" w:pos="588"/>
            </w:tabs>
            <w:spacing w:line="360" w:lineRule="auto"/>
            <w:rPr>
              <w:rFonts w:ascii="宋体" w:hAnsi="宋体"/>
              <w:szCs w:val="21"/>
            </w:rPr>
          </w:pPr>
          <w:r>
            <w:rPr>
              <w:rFonts w:ascii="宋体" w:hAnsi="宋体" w:hint="eastAsia"/>
              <w:szCs w:val="21"/>
            </w:rPr>
            <w:t>重要在建工程项目本期变动情况</w:t>
          </w:r>
        </w:p>
        <w:sdt>
          <w:sdtPr>
            <w:alias w:val="是否适用：重要在建工程项目本期变动情况"/>
            <w:tag w:val="_GBC_db906b3cd19f4828b877aff7230c8bb8"/>
            <w:id w:val="24724593"/>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247245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247245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2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1224"/>
            <w:gridCol w:w="904"/>
            <w:gridCol w:w="1316"/>
            <w:gridCol w:w="1298"/>
            <w:gridCol w:w="313"/>
            <w:gridCol w:w="313"/>
            <w:gridCol w:w="1346"/>
            <w:gridCol w:w="598"/>
            <w:gridCol w:w="324"/>
            <w:gridCol w:w="1225"/>
            <w:gridCol w:w="1137"/>
            <w:gridCol w:w="510"/>
            <w:gridCol w:w="527"/>
          </w:tblGrid>
          <w:tr w:rsidR="00DE031E" w:rsidRPr="00E816AA" w:rsidTr="00AC78F5">
            <w:trPr>
              <w:cantSplit/>
              <w:jc w:val="center"/>
            </w:trPr>
            <w:tc>
              <w:tcPr>
                <w:tcW w:w="554"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ind w:right="105"/>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项目名称</w:t>
                </w:r>
              </w:p>
            </w:tc>
            <w:tc>
              <w:tcPr>
                <w:tcW w:w="409"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ind w:right="105"/>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预算数</w:t>
                </w:r>
              </w:p>
            </w:tc>
            <w:tc>
              <w:tcPr>
                <w:tcW w:w="59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ind w:right="105"/>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期初</w:t>
                </w:r>
              </w:p>
              <w:p w:rsidR="00DE031E" w:rsidRPr="00E816AA" w:rsidRDefault="001C1A59">
                <w:pPr>
                  <w:ind w:right="105"/>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余额</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ind w:right="105"/>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本期增加金额</w:t>
                </w:r>
              </w:p>
            </w:tc>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ind w:right="73"/>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本期转入固定资产金额</w:t>
                </w:r>
              </w:p>
            </w:tc>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ind w:right="73"/>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本期其他减少金额</w:t>
                </w:r>
              </w:p>
            </w:tc>
            <w:tc>
              <w:tcPr>
                <w:tcW w:w="610" w:type="pct"/>
                <w:tcBorders>
                  <w:top w:val="single" w:sz="6" w:space="0" w:color="auto"/>
                  <w:left w:val="single" w:sz="6" w:space="0" w:color="auto"/>
                  <w:bottom w:val="single" w:sz="6" w:space="0" w:color="auto"/>
                  <w:right w:val="single" w:sz="6" w:space="0" w:color="auto"/>
                </w:tcBorders>
                <w:vAlign w:val="center"/>
              </w:tcPr>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期末</w:t>
                </w:r>
              </w:p>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余额</w:t>
                </w:r>
              </w:p>
            </w:tc>
            <w:tc>
              <w:tcPr>
                <w:tcW w:w="27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工程累计投入占预算比例(%)</w:t>
                </w:r>
              </w:p>
            </w:tc>
            <w:tc>
              <w:tcPr>
                <w:tcW w:w="14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工程进度</w:t>
                </w: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利息资本化累计金额</w:t>
                </w:r>
              </w:p>
            </w:tc>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其中：本期利息资本化金额</w:t>
                </w:r>
              </w:p>
            </w:tc>
            <w:tc>
              <w:tcPr>
                <w:tcW w:w="2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本期利息资本化率(%)</w:t>
                </w: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资金来源</w:t>
                </w:r>
              </w:p>
            </w:tc>
          </w:tr>
          <w:sdt>
            <w:sdtPr>
              <w:rPr>
                <w:rFonts w:asciiTheme="minorEastAsia" w:eastAsiaTheme="minorEastAsia" w:hAnsiTheme="minorEastAsia" w:hint="eastAsia"/>
                <w:sz w:val="18"/>
                <w:szCs w:val="18"/>
              </w:rPr>
              <w:alias w:val="在建工程明细"/>
              <w:tag w:val="_GBC_b84d9018f52b45beabeca7c2371cdc18"/>
              <w:id w:val="24724609"/>
              <w:lock w:val="sdtLocked"/>
            </w:sdtPr>
            <w:sdtContent>
              <w:tr w:rsidR="00DE031E" w:rsidRPr="00E816AA" w:rsidTr="00AC78F5">
                <w:trPr>
                  <w:cantSplit/>
                  <w:jc w:val="center"/>
                </w:trPr>
                <w:sdt>
                  <w:sdtPr>
                    <w:rPr>
                      <w:rFonts w:asciiTheme="minorEastAsia" w:eastAsiaTheme="minorEastAsia" w:hAnsiTheme="minorEastAsia" w:hint="eastAsia"/>
                      <w:sz w:val="18"/>
                      <w:szCs w:val="18"/>
                    </w:rPr>
                    <w:alias w:val="在建工程项目名称"/>
                    <w:tag w:val="_GBC_cb285d56275840a19db40590398e9f1e"/>
                    <w:id w:val="24724596"/>
                    <w:lock w:val="sdtLocked"/>
                  </w:sdtPr>
                  <w:sdtContent>
                    <w:tc>
                      <w:tcPr>
                        <w:tcW w:w="554"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105"/>
                          <w:jc w:val="both"/>
                          <w:rPr>
                            <w:rFonts w:asciiTheme="minorEastAsia" w:eastAsiaTheme="minorEastAsia" w:hAnsiTheme="minorEastAsia"/>
                            <w:sz w:val="18"/>
                            <w:szCs w:val="18"/>
                          </w:rPr>
                        </w:pPr>
                        <w:r w:rsidRPr="00E816AA">
                          <w:rPr>
                            <w:rFonts w:asciiTheme="minorEastAsia" w:eastAsiaTheme="minorEastAsia" w:hAnsiTheme="minorEastAsia" w:cs="Arial" w:hint="eastAsia"/>
                            <w:sz w:val="18"/>
                            <w:szCs w:val="18"/>
                          </w:rPr>
                          <w:t>招商证券大厦</w:t>
                        </w:r>
                      </w:p>
                    </w:tc>
                  </w:sdtContent>
                </w:sdt>
                <w:tc>
                  <w:tcPr>
                    <w:tcW w:w="409"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heme="minorEastAsia" w:eastAsiaTheme="minorEastAsia" w:hAnsiTheme="minorEastAsia"/>
                        <w:sz w:val="18"/>
                        <w:szCs w:val="18"/>
                      </w:rPr>
                      <w:alias w:val="在建工程预算数"/>
                      <w:tag w:val="_GBC_ca29eb19d70547b7a620d3b7e5ff2da4"/>
                      <w:id w:val="24724597"/>
                      <w:lock w:val="sdtLocked"/>
                    </w:sdtPr>
                    <w:sdtContent>
                      <w:p w:rsidR="00DE031E" w:rsidRPr="00E816AA" w:rsidRDefault="001C1A59" w:rsidP="00DE031E">
                        <w:pPr>
                          <w:ind w:right="105"/>
                          <w:jc w:val="right"/>
                          <w:rPr>
                            <w:rFonts w:asciiTheme="minorEastAsia" w:eastAsiaTheme="minorEastAsia" w:hAnsiTheme="minorEastAsia"/>
                            <w:sz w:val="18"/>
                            <w:szCs w:val="18"/>
                          </w:rPr>
                        </w:pPr>
                        <w:r w:rsidRPr="00E816AA">
                          <w:rPr>
                            <w:rFonts w:asciiTheme="minorEastAsia" w:eastAsiaTheme="minorEastAsia" w:hAnsiTheme="minorEastAsia" w:cs="Arial"/>
                            <w:color w:val="000000"/>
                            <w:sz w:val="18"/>
                            <w:szCs w:val="18"/>
                          </w:rPr>
                          <w:t>13.26亿</w:t>
                        </w:r>
                      </w:p>
                    </w:sdtContent>
                  </w:sdt>
                </w:tc>
                <w:sdt>
                  <w:sdtPr>
                    <w:rPr>
                      <w:rFonts w:asciiTheme="minorEastAsia" w:eastAsiaTheme="minorEastAsia" w:hAnsiTheme="minorEastAsia"/>
                      <w:sz w:val="18"/>
                      <w:szCs w:val="18"/>
                    </w:rPr>
                    <w:alias w:val="在建工程项目金额"/>
                    <w:tag w:val="_GBC_a3e1de36b8fe4fcbaa654eb7c7e84309"/>
                    <w:id w:val="24724598"/>
                    <w:lock w:val="sdtLocked"/>
                  </w:sdtPr>
                  <w:sdtContent>
                    <w:tc>
                      <w:tcPr>
                        <w:tcW w:w="59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cs="Arial"/>
                            <w:color w:val="000000"/>
                            <w:sz w:val="18"/>
                            <w:szCs w:val="18"/>
                          </w:rPr>
                          <w:t>925,522,279.60</w:t>
                        </w:r>
                      </w:p>
                    </w:tc>
                  </w:sdtContent>
                </w:sdt>
                <w:sdt>
                  <w:sdtPr>
                    <w:rPr>
                      <w:rFonts w:asciiTheme="minorEastAsia" w:eastAsiaTheme="minorEastAsia" w:hAnsiTheme="minorEastAsia"/>
                      <w:sz w:val="18"/>
                      <w:szCs w:val="18"/>
                    </w:rPr>
                    <w:alias w:val="在建工程项目金额增加数"/>
                    <w:tag w:val="_GBC_e08da6ba6e2f4173a525e39357b220bc"/>
                    <w:id w:val="24724599"/>
                    <w:lock w:val="sdtLocked"/>
                  </w:sdtPr>
                  <w:sdtContent>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73"/>
                          <w:jc w:val="right"/>
                          <w:rPr>
                            <w:rFonts w:asciiTheme="minorEastAsia" w:eastAsiaTheme="minorEastAsia" w:hAnsiTheme="minorEastAsia"/>
                            <w:sz w:val="18"/>
                            <w:szCs w:val="18"/>
                          </w:rPr>
                        </w:pPr>
                        <w:r w:rsidRPr="00E816AA">
                          <w:rPr>
                            <w:rFonts w:asciiTheme="minorEastAsia" w:eastAsiaTheme="minorEastAsia" w:hAnsiTheme="minorEastAsia" w:cs="Arial"/>
                            <w:color w:val="000000"/>
                            <w:sz w:val="18"/>
                            <w:szCs w:val="18"/>
                          </w:rPr>
                          <w:t>45,209,452.74</w:t>
                        </w:r>
                      </w:p>
                    </w:tc>
                  </w:sdtContent>
                </w:sdt>
                <w:sdt>
                  <w:sdtPr>
                    <w:rPr>
                      <w:rFonts w:asciiTheme="minorEastAsia" w:eastAsiaTheme="minorEastAsia" w:hAnsiTheme="minorEastAsia"/>
                      <w:sz w:val="18"/>
                      <w:szCs w:val="18"/>
                    </w:rPr>
                    <w:alias w:val="在建工程项目转入固定资产"/>
                    <w:tag w:val="_GBC_9ae837dcda3a4fe68dcb69205e66942a"/>
                    <w:id w:val="24724600"/>
                    <w:lock w:val="sdtLocked"/>
                    <w:showingPlcHdr/>
                  </w:sdtPr>
                  <w:sdtContent>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73"/>
                          <w:jc w:val="right"/>
                          <w:rPr>
                            <w:rFonts w:asciiTheme="minorEastAsia" w:eastAsiaTheme="minorEastAsia" w:hAnsiTheme="minorEastAsia"/>
                            <w:sz w:val="18"/>
                            <w:szCs w:val="18"/>
                          </w:rPr>
                        </w:pPr>
                        <w:r w:rsidRPr="00E816A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在建工程明细－其他减少"/>
                    <w:tag w:val="_GBC_e77381c97d044bdb967f5cac7a999f8d"/>
                    <w:id w:val="24724601"/>
                    <w:lock w:val="sdtLocked"/>
                    <w:showingPlcHdr/>
                  </w:sdtPr>
                  <w:sdtContent>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在建工程项目金额"/>
                    <w:tag w:val="_GBC_1fd301de0c794ef9b814ee779fe148df"/>
                    <w:id w:val="24724602"/>
                    <w:lock w:val="sdtLocked"/>
                  </w:sdtPr>
                  <w:sdtContent>
                    <w:tc>
                      <w:tcPr>
                        <w:tcW w:w="610" w:type="pct"/>
                        <w:tcBorders>
                          <w:top w:val="single" w:sz="6" w:space="0" w:color="auto"/>
                          <w:left w:val="single" w:sz="6" w:space="0" w:color="auto"/>
                          <w:bottom w:val="single" w:sz="6" w:space="0" w:color="auto"/>
                          <w:right w:val="single" w:sz="6" w:space="0" w:color="auto"/>
                        </w:tcBorders>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cs="Arial"/>
                            <w:color w:val="000000"/>
                            <w:sz w:val="18"/>
                            <w:szCs w:val="18"/>
                          </w:rPr>
                          <w:t>970,731,732.34</w:t>
                        </w:r>
                      </w:p>
                    </w:tc>
                  </w:sdtContent>
                </w:sdt>
                <w:sdt>
                  <w:sdtPr>
                    <w:rPr>
                      <w:rFonts w:asciiTheme="minorEastAsia" w:eastAsiaTheme="minorEastAsia" w:hAnsiTheme="minorEastAsia"/>
                      <w:sz w:val="18"/>
                      <w:szCs w:val="18"/>
                    </w:rPr>
                    <w:alias w:val="在建工程项目工程投入占预算比例"/>
                    <w:tag w:val="_GBC_5eed7db3b3c940c1b8274243afa3c68c"/>
                    <w:id w:val="24724603"/>
                    <w:lock w:val="sdtLocked"/>
                  </w:sdtPr>
                  <w:sdtContent>
                    <w:tc>
                      <w:tcPr>
                        <w:tcW w:w="27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73.21%</w:t>
                        </w:r>
                      </w:p>
                    </w:tc>
                  </w:sdtContent>
                </w:sdt>
                <w:sdt>
                  <w:sdtPr>
                    <w:rPr>
                      <w:rFonts w:asciiTheme="minorEastAsia" w:eastAsiaTheme="minorEastAsia" w:hAnsiTheme="minorEastAsia"/>
                      <w:sz w:val="18"/>
                      <w:szCs w:val="18"/>
                    </w:rPr>
                    <w:alias w:val="在建工程项目工程进度"/>
                    <w:tag w:val="_GBC_27e1d62c8ebd4b05bb1dccb64ac98bb9"/>
                    <w:id w:val="24724604"/>
                    <w:lock w:val="sdtLocked"/>
                  </w:sdtPr>
                  <w:sdtContent>
                    <w:tc>
                      <w:tcPr>
                        <w:tcW w:w="14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已封顶</w:t>
                        </w:r>
                      </w:p>
                    </w:tc>
                  </w:sdtContent>
                </w:sdt>
                <w:sdt>
                  <w:sdtPr>
                    <w:rPr>
                      <w:rFonts w:asciiTheme="minorEastAsia" w:eastAsiaTheme="minorEastAsia" w:hAnsiTheme="minorEastAsia"/>
                      <w:sz w:val="18"/>
                      <w:szCs w:val="18"/>
                    </w:rPr>
                    <w:alias w:val="在建工程利息资本化金额"/>
                    <w:tag w:val="_GBC_280d99bee6f74ba49cca95aee46d6669"/>
                    <w:id w:val="24724605"/>
                    <w:lock w:val="sdtLocked"/>
                  </w:sdt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27,074,756.76</w:t>
                        </w:r>
                      </w:p>
                    </w:tc>
                  </w:sdtContent>
                </w:sdt>
                <w:sdt>
                  <w:sdtPr>
                    <w:rPr>
                      <w:rFonts w:asciiTheme="minorEastAsia" w:eastAsiaTheme="minorEastAsia" w:hAnsiTheme="minorEastAsia"/>
                      <w:sz w:val="18"/>
                      <w:szCs w:val="18"/>
                    </w:rPr>
                    <w:alias w:val="在建工程明细－当期利息资本化金额"/>
                    <w:tag w:val="_GBC_4106b641b25741ccae8b84231b62fce4"/>
                    <w:id w:val="24724606"/>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8,519,703.68</w:t>
                        </w:r>
                      </w:p>
                    </w:tc>
                  </w:sdtContent>
                </w:sdt>
                <w:sdt>
                  <w:sdtPr>
                    <w:rPr>
                      <w:rFonts w:asciiTheme="minorEastAsia" w:eastAsiaTheme="minorEastAsia" w:hAnsiTheme="minorEastAsia"/>
                      <w:sz w:val="18"/>
                      <w:szCs w:val="18"/>
                    </w:rPr>
                    <w:alias w:val="在建工程明细－当期利息资本化率"/>
                    <w:tag w:val="_GBC_731999b1ce004acebf4383500d031329"/>
                    <w:id w:val="24724607"/>
                    <w:lock w:val="sdtLocked"/>
                  </w:sdtPr>
                  <w:sdtContent>
                    <w:tc>
                      <w:tcPr>
                        <w:tcW w:w="2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2.76%</w:t>
                        </w:r>
                      </w:p>
                    </w:tc>
                  </w:sdtContent>
                </w:sdt>
                <w:sdt>
                  <w:sdtPr>
                    <w:rPr>
                      <w:rFonts w:asciiTheme="minorEastAsia" w:eastAsiaTheme="minorEastAsia" w:hAnsiTheme="minorEastAsia"/>
                      <w:sz w:val="18"/>
                      <w:szCs w:val="18"/>
                    </w:rPr>
                    <w:alias w:val="在建工程项目资金来源"/>
                    <w:tag w:val="_GBC_5e1a67af1d0e43a2bb766dee9c33ebef"/>
                    <w:id w:val="24724608"/>
                    <w:lock w:val="sdtLocked"/>
                  </w:sdtPr>
                  <w:sdtContent>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自筹及借款</w:t>
                        </w:r>
                      </w:p>
                    </w:tc>
                  </w:sdtContent>
                </w:sdt>
              </w:tr>
            </w:sdtContent>
          </w:sdt>
          <w:tr w:rsidR="00DE031E" w:rsidRPr="00E816AA" w:rsidTr="00AC78F5">
            <w:trPr>
              <w:cantSplit/>
              <w:jc w:val="center"/>
            </w:trPr>
            <w:tc>
              <w:tcPr>
                <w:tcW w:w="554"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pPr>
                  <w:ind w:right="105"/>
                  <w:jc w:val="center"/>
                  <w:rPr>
                    <w:rFonts w:asciiTheme="minorEastAsia" w:eastAsiaTheme="minorEastAsia" w:hAnsiTheme="minorEastAsia"/>
                    <w:sz w:val="18"/>
                    <w:szCs w:val="18"/>
                  </w:rPr>
                </w:pPr>
                <w:r w:rsidRPr="00E816AA">
                  <w:rPr>
                    <w:rFonts w:asciiTheme="minorEastAsia" w:eastAsiaTheme="minorEastAsia" w:hAnsiTheme="minorEastAsia" w:hint="eastAsia"/>
                    <w:sz w:val="18"/>
                    <w:szCs w:val="18"/>
                  </w:rPr>
                  <w:t>合计</w:t>
                </w:r>
              </w:p>
            </w:tc>
            <w:tc>
              <w:tcPr>
                <w:tcW w:w="409"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heme="minorEastAsia" w:eastAsiaTheme="minorEastAsia" w:hAnsiTheme="minorEastAsia"/>
                    <w:sz w:val="18"/>
                    <w:szCs w:val="18"/>
                  </w:rPr>
                  <w:alias w:val="在建工程预算数合计"/>
                  <w:tag w:val="_GBC_3a7beae1cbd147c1834ebd1a6baa6b74"/>
                  <w:id w:val="24724610"/>
                  <w:lock w:val="sdtLocked"/>
                </w:sdtPr>
                <w:sdtContent>
                  <w:p w:rsidR="00DE031E" w:rsidRPr="00E816AA" w:rsidRDefault="001C1A59" w:rsidP="00DE031E">
                    <w:pPr>
                      <w:ind w:right="105"/>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13.26亿</w:t>
                    </w:r>
                  </w:p>
                </w:sdtContent>
              </w:sdt>
            </w:tc>
            <w:sdt>
              <w:sdtPr>
                <w:rPr>
                  <w:rFonts w:asciiTheme="minorEastAsia" w:eastAsiaTheme="minorEastAsia" w:hAnsiTheme="minorEastAsia"/>
                  <w:sz w:val="18"/>
                  <w:szCs w:val="18"/>
                </w:rPr>
                <w:alias w:val="重大在建工程合计"/>
                <w:tag w:val="_GBC_a0a6932c81de48baac2aa586d0ae1c5f"/>
                <w:id w:val="24724611"/>
                <w:lock w:val="sdtLocked"/>
              </w:sdtPr>
              <w:sdtContent>
                <w:tc>
                  <w:tcPr>
                    <w:tcW w:w="59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925,522,279.60</w:t>
                    </w:r>
                  </w:p>
                </w:tc>
              </w:sdtContent>
            </w:sdt>
            <w:sdt>
              <w:sdtPr>
                <w:rPr>
                  <w:rFonts w:asciiTheme="minorEastAsia" w:eastAsiaTheme="minorEastAsia" w:hAnsiTheme="minorEastAsia"/>
                  <w:sz w:val="18"/>
                  <w:szCs w:val="18"/>
                </w:rPr>
                <w:alias w:val="在建工程合计增加数"/>
                <w:tag w:val="_GBC_dbb4148eaa2d461e9bc3e0deb27c454b"/>
                <w:id w:val="24724612"/>
                <w:lock w:val="sdtLocked"/>
              </w:sdtPr>
              <w:sdtContent>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73"/>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45,209,452.74</w:t>
                    </w:r>
                  </w:p>
                </w:tc>
              </w:sdtContent>
            </w:sdt>
            <w:sdt>
              <w:sdtPr>
                <w:rPr>
                  <w:rFonts w:asciiTheme="minorEastAsia" w:eastAsiaTheme="minorEastAsia" w:hAnsiTheme="minorEastAsia"/>
                  <w:sz w:val="18"/>
                  <w:szCs w:val="18"/>
                </w:rPr>
                <w:alias w:val="在建工程转入固定资产合计"/>
                <w:tag w:val="_GBC_7d88aec46b1244149e8c9b19fcbacb82"/>
                <w:id w:val="24724613"/>
                <w:lock w:val="sdtLocked"/>
                <w:showingPlcHdr/>
              </w:sdtPr>
              <w:sdtContent>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DE031E" w:rsidP="00DE031E">
                    <w:pPr>
                      <w:ind w:right="73"/>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在建工程其他减少合计"/>
                <w:tag w:val="_GBC_6022cf4522c84123a4a039984ffb9168"/>
                <w:id w:val="24724614"/>
                <w:lock w:val="sdtLocked"/>
                <w:showingPlcHdr/>
              </w:sdtPr>
              <w:sdtContent>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大在建工程合计"/>
                <w:tag w:val="_GBC_b93827ae81c34a07ae43b3752ef1f4d1"/>
                <w:id w:val="24724615"/>
                <w:lock w:val="sdtLocked"/>
              </w:sdtPr>
              <w:sdtContent>
                <w:tc>
                  <w:tcPr>
                    <w:tcW w:w="610" w:type="pct"/>
                    <w:tcBorders>
                      <w:top w:val="single" w:sz="6" w:space="0" w:color="auto"/>
                      <w:left w:val="single" w:sz="6" w:space="0" w:color="auto"/>
                      <w:bottom w:val="single" w:sz="6" w:space="0" w:color="auto"/>
                      <w:right w:val="single" w:sz="6" w:space="0" w:color="auto"/>
                    </w:tcBorders>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970,731,732.34</w:t>
                    </w:r>
                  </w:p>
                </w:tc>
              </w:sdtContent>
            </w:sdt>
            <w:tc>
              <w:tcPr>
                <w:tcW w:w="27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174"/>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w:t>
                </w:r>
              </w:p>
            </w:tc>
            <w:tc>
              <w:tcPr>
                <w:tcW w:w="14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174"/>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w:t>
                </w:r>
              </w:p>
            </w:tc>
            <w:sdt>
              <w:sdtPr>
                <w:rPr>
                  <w:rFonts w:asciiTheme="minorEastAsia" w:eastAsiaTheme="minorEastAsia" w:hAnsiTheme="minorEastAsia"/>
                  <w:sz w:val="18"/>
                  <w:szCs w:val="18"/>
                </w:rPr>
                <w:alias w:val="在建工程利息资本化金额合计"/>
                <w:tag w:val="_GBC_33a7eebb5833465c8e5f841ffcffe01f"/>
                <w:id w:val="24724616"/>
                <w:lock w:val="sdtLocked"/>
              </w:sdt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27,074,756.76</w:t>
                    </w:r>
                  </w:p>
                </w:tc>
              </w:sdtContent>
            </w:sdt>
            <w:sdt>
              <w:sdtPr>
                <w:rPr>
                  <w:rFonts w:asciiTheme="minorEastAsia" w:eastAsiaTheme="minorEastAsia" w:hAnsiTheme="minorEastAsia"/>
                  <w:sz w:val="18"/>
                  <w:szCs w:val="18"/>
                </w:rPr>
                <w:alias w:val="在建工程当期利息资本化金额合计"/>
                <w:tag w:val="_GBC_4522f2d0e1f74a6e94e2af3836a05dbb"/>
                <w:id w:val="2472461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8,519,703.68</w:t>
                    </w:r>
                  </w:p>
                </w:tc>
              </w:sdtContent>
            </w:sdt>
            <w:tc>
              <w:tcPr>
                <w:tcW w:w="2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174"/>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w:t>
                </w:r>
              </w:p>
            </w:tc>
            <w:tc>
              <w:tcPr>
                <w:tcW w:w="239"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E816AA" w:rsidRDefault="001C1A59" w:rsidP="00DE031E">
                <w:pPr>
                  <w:ind w:right="174"/>
                  <w:jc w:val="right"/>
                  <w:rPr>
                    <w:rFonts w:asciiTheme="minorEastAsia" w:eastAsiaTheme="minorEastAsia" w:hAnsiTheme="minorEastAsia"/>
                    <w:sz w:val="18"/>
                    <w:szCs w:val="18"/>
                  </w:rPr>
                </w:pPr>
                <w:r w:rsidRPr="00E816AA">
                  <w:rPr>
                    <w:rFonts w:asciiTheme="minorEastAsia" w:eastAsiaTheme="minorEastAsia" w:hAnsiTheme="minorEastAsia"/>
                    <w:sz w:val="18"/>
                    <w:szCs w:val="18"/>
                  </w:rPr>
                  <w:t>/</w:t>
                </w:r>
              </w:p>
            </w:tc>
          </w:tr>
        </w:tbl>
        <w:p w:rsidR="00DE031E" w:rsidRPr="00703B1B" w:rsidRDefault="00422DCA" w:rsidP="00DE031E">
          <w:pPr>
            <w:snapToGrid w:val="0"/>
            <w:spacing w:line="240" w:lineRule="atLeast"/>
            <w:rPr>
              <w:szCs w:val="21"/>
            </w:rPr>
          </w:pPr>
        </w:p>
      </w:sdtContent>
    </w:sdt>
    <w:sdt>
      <w:sdtPr>
        <w:rPr>
          <w:rFonts w:hint="eastAsia"/>
          <w:szCs w:val="21"/>
        </w:rPr>
        <w:tag w:val="_GBC_d5aec612c6334d1b8a827f3f39a2781d"/>
        <w:id w:val="24724620"/>
        <w:lock w:val="sdtLocked"/>
        <w:placeholder>
          <w:docPart w:val="GBC22222222222222222222222222222"/>
        </w:placeholder>
      </w:sdtPr>
      <w:sdtEndPr>
        <w:rPr>
          <w:rFonts w:hint="default"/>
        </w:rPr>
      </w:sdtEndPr>
      <w:sdtContent>
        <w:sdt>
          <w:sdtPr>
            <w:alias w:val="在建工程的说明"/>
            <w:tag w:val="_GBC_eaac445d9f29415cb063476e51d4f873"/>
            <w:id w:val="24724619"/>
            <w:lock w:val="sdtLocked"/>
            <w:placeholder>
              <w:docPart w:val="GBC22222222222222222222222222222"/>
            </w:placeholder>
          </w:sdtPr>
          <w:sdtContent>
            <w:p w:rsidR="00DE031E" w:rsidRDefault="001C1A59" w:rsidP="00DE031E">
              <w:pPr>
                <w:spacing w:line="360" w:lineRule="auto"/>
                <w:rPr>
                  <w:rFonts w:ascii="Arial" w:hAnsi="Arial" w:cs="Arial"/>
                  <w:sz w:val="22"/>
                  <w:szCs w:val="22"/>
                </w:rPr>
              </w:pPr>
              <w:r w:rsidRPr="00687C1B">
                <w:rPr>
                  <w:rFonts w:ascii="Arial" w:hAnsi="Arial" w:cs="Arial"/>
                  <w:sz w:val="22"/>
                  <w:szCs w:val="22"/>
                </w:rPr>
                <w:t>（</w:t>
              </w:r>
              <w:r w:rsidRPr="00687C1B">
                <w:rPr>
                  <w:rFonts w:ascii="Arial" w:hAnsi="Arial" w:cs="Arial"/>
                  <w:sz w:val="22"/>
                  <w:szCs w:val="22"/>
                </w:rPr>
                <w:t>3</w:t>
              </w:r>
              <w:r w:rsidRPr="00687C1B">
                <w:rPr>
                  <w:rFonts w:ascii="Arial" w:hAnsi="Arial" w:cs="Arial"/>
                  <w:sz w:val="22"/>
                  <w:szCs w:val="22"/>
                </w:rPr>
                <w:t>）</w:t>
              </w:r>
              <w:r>
                <w:rPr>
                  <w:rFonts w:ascii="Arial" w:hAnsi="Arial" w:cs="Arial" w:hint="eastAsia"/>
                  <w:sz w:val="22"/>
                  <w:szCs w:val="22"/>
                </w:rPr>
                <w:t>在以上各财务报表截止日，</w:t>
              </w:r>
              <w:r w:rsidRPr="00687C1B">
                <w:rPr>
                  <w:rFonts w:ascii="Arial" w:hAnsi="Arial" w:cs="Arial"/>
                  <w:sz w:val="22"/>
                  <w:szCs w:val="22"/>
                </w:rPr>
                <w:t>在建工程中包含招商证券大厦项目建设用地</w:t>
              </w:r>
              <w:r w:rsidRPr="00687C1B">
                <w:rPr>
                  <w:rFonts w:ascii="Arial" w:hAnsi="Arial" w:cs="Arial"/>
                  <w:sz w:val="22"/>
                  <w:szCs w:val="22"/>
                </w:rPr>
                <w:t>4.2</w:t>
              </w:r>
              <w:r w:rsidRPr="00687C1B">
                <w:rPr>
                  <w:rFonts w:ascii="Arial" w:hAnsi="Arial" w:cs="Arial"/>
                  <w:sz w:val="22"/>
                  <w:szCs w:val="22"/>
                </w:rPr>
                <w:t>亿元</w:t>
              </w:r>
              <w:r>
                <w:rPr>
                  <w:rFonts w:ascii="Arial" w:hAnsi="Arial" w:cs="Arial" w:hint="eastAsia"/>
                  <w:sz w:val="22"/>
                  <w:szCs w:val="22"/>
                </w:rPr>
                <w:t>的</w:t>
              </w:r>
              <w:r w:rsidRPr="00687C1B">
                <w:rPr>
                  <w:rFonts w:ascii="Arial" w:hAnsi="Arial" w:cs="Arial"/>
                  <w:sz w:val="22"/>
                  <w:szCs w:val="22"/>
                </w:rPr>
                <w:t>建设用地作为抵押物向招商银行股份有限公司申请办理专项借款。</w:t>
              </w: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DE031E">
              <w:pPr>
                <w:rPr>
                  <w:szCs w:val="21"/>
                </w:rPr>
              </w:pPr>
            </w:p>
            <w:p w:rsidR="00DE031E" w:rsidRDefault="00422DCA">
              <w:pPr>
                <w:rPr>
                  <w:szCs w:val="21"/>
                </w:rPr>
              </w:pPr>
            </w:p>
          </w:sdtContent>
        </w:sdt>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lastRenderedPageBreak/>
        <w:t>无形资产</w:t>
      </w:r>
    </w:p>
    <w:p w:rsidR="00DE031E" w:rsidRDefault="001C1A59" w:rsidP="009950AC">
      <w:pPr>
        <w:pStyle w:val="4"/>
        <w:numPr>
          <w:ilvl w:val="0"/>
          <w:numId w:val="50"/>
        </w:numPr>
        <w:tabs>
          <w:tab w:val="left" w:pos="602"/>
        </w:tabs>
        <w:spacing w:line="360" w:lineRule="auto"/>
        <w:rPr>
          <w:rFonts w:ascii="宋体" w:hAnsi="宋体"/>
          <w:szCs w:val="21"/>
        </w:rPr>
      </w:pPr>
      <w:r>
        <w:rPr>
          <w:rFonts w:ascii="宋体" w:hAnsi="宋体" w:hint="eastAsia"/>
          <w:szCs w:val="21"/>
        </w:rPr>
        <w:t>无形资产情况</w:t>
      </w:r>
    </w:p>
    <w:sdt>
      <w:sdtPr>
        <w:rPr>
          <w:rFonts w:hint="eastAsia"/>
          <w:szCs w:val="21"/>
        </w:rPr>
        <w:tag w:val="_GBC_799ffdb131784d33a2db94a85018c927"/>
        <w:id w:val="24724699"/>
        <w:lock w:val="sdtLocked"/>
        <w:placeholder>
          <w:docPart w:val="GBC22222222222222222222222222222"/>
        </w:placeholder>
      </w:sdtPr>
      <w:sdtEndPr>
        <w:rPr>
          <w:rFonts w:hint="default"/>
        </w:rPr>
      </w:sdtEndPr>
      <w:sdtContent>
        <w:p w:rsidR="00DE031E" w:rsidRDefault="001C1A5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247246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24724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4"/>
            <w:gridCol w:w="2079"/>
            <w:gridCol w:w="2170"/>
            <w:gridCol w:w="2116"/>
          </w:tblGrid>
          <w:tr w:rsidR="00DE031E" w:rsidTr="00DE031E">
            <w:trPr>
              <w:trHeight w:val="340"/>
            </w:trPr>
            <w:tc>
              <w:tcPr>
                <w:tcW w:w="1483" w:type="pct"/>
                <w:shd w:val="clear" w:color="auto" w:fill="auto"/>
                <w:vAlign w:val="center"/>
              </w:tcPr>
              <w:p w:rsidR="00DE031E" w:rsidRDefault="001C1A59" w:rsidP="00DE031E">
                <w:pPr>
                  <w:jc w:val="center"/>
                  <w:rPr>
                    <w:szCs w:val="21"/>
                  </w:rPr>
                </w:pPr>
                <w:r>
                  <w:rPr>
                    <w:rFonts w:hint="eastAsia"/>
                    <w:szCs w:val="21"/>
                  </w:rPr>
                  <w:t>项目</w:t>
                </w:r>
              </w:p>
            </w:tc>
            <w:sdt>
              <w:sdtPr>
                <w:rPr>
                  <w:szCs w:val="21"/>
                </w:rPr>
                <w:alias w:val="无形资产明细－项目"/>
                <w:tag w:val="_GBC_ee2531f58c0a420e83919cd1efe46139"/>
                <w:id w:val="24724623"/>
                <w:lock w:val="sdtLocked"/>
              </w:sdtPr>
              <w:sdtEndPr>
                <w:rPr>
                  <w:rFonts w:hint="eastAsia"/>
                </w:rPr>
              </w:sdtEndPr>
              <w:sdtContent>
                <w:tc>
                  <w:tcPr>
                    <w:tcW w:w="1149" w:type="pct"/>
                    <w:shd w:val="clear" w:color="auto" w:fill="auto"/>
                    <w:vAlign w:val="center"/>
                  </w:tcPr>
                  <w:p w:rsidR="00DE031E" w:rsidRDefault="001C1A59" w:rsidP="00DE031E">
                    <w:pPr>
                      <w:jc w:val="center"/>
                      <w:rPr>
                        <w:szCs w:val="21"/>
                      </w:rPr>
                    </w:pPr>
                    <w:r>
                      <w:rPr>
                        <w:rFonts w:hint="eastAsia"/>
                        <w:szCs w:val="21"/>
                      </w:rPr>
                      <w:t>交易席位费</w:t>
                    </w:r>
                  </w:p>
                </w:tc>
              </w:sdtContent>
            </w:sdt>
            <w:sdt>
              <w:sdtPr>
                <w:rPr>
                  <w:szCs w:val="21"/>
                </w:rPr>
                <w:alias w:val="无形资产明细－项目"/>
                <w:tag w:val="_GBC_ee2531f58c0a420e83919cd1efe46139"/>
                <w:id w:val="24724624"/>
                <w:lock w:val="sdtLocked"/>
              </w:sdtPr>
              <w:sdtEndPr>
                <w:rPr>
                  <w:rFonts w:hint="eastAsia"/>
                </w:rPr>
              </w:sdtEndPr>
              <w:sdtContent>
                <w:tc>
                  <w:tcPr>
                    <w:tcW w:w="1199" w:type="pct"/>
                    <w:shd w:val="clear" w:color="auto" w:fill="auto"/>
                    <w:vAlign w:val="center"/>
                  </w:tcPr>
                  <w:p w:rsidR="00DE031E" w:rsidRDefault="001C1A59" w:rsidP="00DE031E">
                    <w:pPr>
                      <w:jc w:val="center"/>
                      <w:rPr>
                        <w:szCs w:val="21"/>
                      </w:rPr>
                    </w:pPr>
                    <w:r>
                      <w:rPr>
                        <w:rFonts w:hint="eastAsia"/>
                        <w:szCs w:val="21"/>
                      </w:rPr>
                      <w:t>其他</w:t>
                    </w:r>
                  </w:p>
                </w:tc>
              </w:sdtContent>
            </w:sdt>
            <w:tc>
              <w:tcPr>
                <w:tcW w:w="1169" w:type="pct"/>
                <w:shd w:val="clear" w:color="auto" w:fill="auto"/>
                <w:vAlign w:val="center"/>
              </w:tcPr>
              <w:p w:rsidR="00DE031E" w:rsidRDefault="001C1A59" w:rsidP="00DE031E">
                <w:pPr>
                  <w:jc w:val="center"/>
                  <w:rPr>
                    <w:szCs w:val="21"/>
                  </w:rPr>
                </w:pPr>
                <w:r>
                  <w:rPr>
                    <w:szCs w:val="21"/>
                  </w:rPr>
                  <w:t>合计</w:t>
                </w:r>
              </w:p>
            </w:tc>
          </w:tr>
          <w:tr w:rsidR="00DE031E" w:rsidTr="00DE031E">
            <w:trPr>
              <w:trHeight w:val="340"/>
            </w:trPr>
            <w:tc>
              <w:tcPr>
                <w:tcW w:w="1483" w:type="pct"/>
                <w:shd w:val="clear" w:color="auto" w:fill="auto"/>
                <w:vAlign w:val="center"/>
              </w:tcPr>
              <w:p w:rsidR="00DE031E" w:rsidRDefault="001C1A59" w:rsidP="00DE031E">
                <w:pPr>
                  <w:rPr>
                    <w:szCs w:val="21"/>
                  </w:rPr>
                </w:pPr>
                <w:r>
                  <w:rPr>
                    <w:szCs w:val="21"/>
                  </w:rPr>
                  <w:t>一、</w:t>
                </w:r>
                <w:r>
                  <w:rPr>
                    <w:rFonts w:hint="eastAsia"/>
                    <w:szCs w:val="21"/>
                  </w:rPr>
                  <w:t>账面原值</w:t>
                </w:r>
              </w:p>
            </w:tc>
            <w:tc>
              <w:tcPr>
                <w:tcW w:w="1149" w:type="pct"/>
                <w:shd w:val="clear" w:color="auto" w:fill="auto"/>
              </w:tcPr>
              <w:p w:rsidR="00DE031E" w:rsidRDefault="00DE031E" w:rsidP="00DE031E">
                <w:pPr>
                  <w:rPr>
                    <w:szCs w:val="21"/>
                  </w:rPr>
                </w:pPr>
              </w:p>
            </w:tc>
            <w:tc>
              <w:tcPr>
                <w:tcW w:w="1199" w:type="pct"/>
                <w:shd w:val="clear" w:color="auto" w:fill="auto"/>
              </w:tcPr>
              <w:p w:rsidR="00DE031E" w:rsidRDefault="00DE031E" w:rsidP="00DE031E">
                <w:pPr>
                  <w:rPr>
                    <w:szCs w:val="21"/>
                  </w:rPr>
                </w:pPr>
              </w:p>
            </w:tc>
            <w:tc>
              <w:tcPr>
                <w:tcW w:w="1169" w:type="pct"/>
                <w:shd w:val="clear" w:color="auto" w:fill="auto"/>
              </w:tcPr>
              <w:p w:rsidR="00DE031E" w:rsidRDefault="00DE031E" w:rsidP="00DE031E">
                <w:pPr>
                  <w:rPr>
                    <w:szCs w:val="21"/>
                  </w:rPr>
                </w:pPr>
              </w:p>
            </w:tc>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1.</w:t>
                </w:r>
                <w:r>
                  <w:rPr>
                    <w:rFonts w:hint="eastAsia"/>
                    <w:szCs w:val="21"/>
                  </w:rPr>
                  <w:t>期</w:t>
                </w:r>
                <w:r>
                  <w:rPr>
                    <w:szCs w:val="21"/>
                  </w:rPr>
                  <w:t>初余额</w:t>
                </w:r>
              </w:p>
            </w:tc>
            <w:sdt>
              <w:sdtPr>
                <w:rPr>
                  <w:rFonts w:hint="eastAsia"/>
                  <w:szCs w:val="21"/>
                </w:rPr>
                <w:alias w:val="无形资产明细－账面余额"/>
                <w:tag w:val="_GBC_8ed1b843ec96488c8cfebd82c238ebba"/>
                <w:id w:val="24724625"/>
                <w:lock w:val="sdtLocked"/>
              </w:sdtPr>
              <w:sdtContent>
                <w:tc>
                  <w:tcPr>
                    <w:tcW w:w="1149" w:type="pct"/>
                    <w:shd w:val="clear" w:color="auto" w:fill="auto"/>
                  </w:tcPr>
                  <w:p w:rsidR="00DE031E" w:rsidRDefault="001C1A59" w:rsidP="00DE031E">
                    <w:pPr>
                      <w:jc w:val="right"/>
                      <w:rPr>
                        <w:szCs w:val="21"/>
                      </w:rPr>
                    </w:pPr>
                    <w:r>
                      <w:rPr>
                        <w:szCs w:val="21"/>
                      </w:rPr>
                      <w:t>77,980,647.88</w:t>
                    </w:r>
                  </w:p>
                </w:tc>
              </w:sdtContent>
            </w:sdt>
            <w:sdt>
              <w:sdtPr>
                <w:rPr>
                  <w:rFonts w:hint="eastAsia"/>
                  <w:szCs w:val="21"/>
                </w:rPr>
                <w:alias w:val="无形资产明细－账面余额"/>
                <w:tag w:val="_GBC_8ed1b843ec96488c8cfebd82c238ebba"/>
                <w:id w:val="24724626"/>
                <w:lock w:val="sdtLocked"/>
              </w:sdtPr>
              <w:sdtContent>
                <w:tc>
                  <w:tcPr>
                    <w:tcW w:w="1199" w:type="pct"/>
                    <w:shd w:val="clear" w:color="auto" w:fill="auto"/>
                  </w:tcPr>
                  <w:p w:rsidR="00DE031E" w:rsidRDefault="001C1A59" w:rsidP="00DE031E">
                    <w:pPr>
                      <w:jc w:val="right"/>
                      <w:rPr>
                        <w:szCs w:val="21"/>
                      </w:rPr>
                    </w:pPr>
                    <w:r>
                      <w:rPr>
                        <w:szCs w:val="21"/>
                      </w:rPr>
                      <w:t>1,597,217.50</w:t>
                    </w:r>
                  </w:p>
                </w:tc>
              </w:sdtContent>
            </w:sdt>
            <w:sdt>
              <w:sdtPr>
                <w:rPr>
                  <w:szCs w:val="21"/>
                </w:rPr>
                <w:alias w:val="无形资产原价"/>
                <w:tag w:val="_GBC_68af9123af3e492898f486cf5049e1e7"/>
                <w:id w:val="24724627"/>
                <w:lock w:val="sdtLocked"/>
              </w:sdtPr>
              <w:sdtContent>
                <w:tc>
                  <w:tcPr>
                    <w:tcW w:w="1169" w:type="pct"/>
                    <w:shd w:val="clear" w:color="auto" w:fill="auto"/>
                  </w:tcPr>
                  <w:p w:rsidR="00DE031E" w:rsidRDefault="001C1A59" w:rsidP="00DE031E">
                    <w:pPr>
                      <w:jc w:val="right"/>
                      <w:rPr>
                        <w:szCs w:val="21"/>
                      </w:rPr>
                    </w:pPr>
                    <w:r>
                      <w:rPr>
                        <w:szCs w:val="21"/>
                      </w:rPr>
                      <w:t>79,577,865.38</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2.本期增加</w:t>
                </w:r>
                <w:r>
                  <w:rPr>
                    <w:rFonts w:hint="eastAsia"/>
                    <w:szCs w:val="21"/>
                  </w:rPr>
                  <w:t>金额</w:t>
                </w:r>
              </w:p>
            </w:tc>
            <w:sdt>
              <w:sdtPr>
                <w:rPr>
                  <w:rFonts w:hint="eastAsia"/>
                  <w:szCs w:val="21"/>
                </w:rPr>
                <w:alias w:val="无形资产明细－增加额"/>
                <w:tag w:val="_GBC_905ba25b782f4a7082c8b3e700b7f969"/>
                <w:id w:val="24724628"/>
                <w:lock w:val="sdtLocked"/>
              </w:sdtPr>
              <w:sdtContent>
                <w:tc>
                  <w:tcPr>
                    <w:tcW w:w="1149" w:type="pct"/>
                    <w:shd w:val="clear" w:color="auto" w:fill="auto"/>
                  </w:tcPr>
                  <w:p w:rsidR="00DE031E" w:rsidRDefault="001C1A59" w:rsidP="00DE031E">
                    <w:pPr>
                      <w:jc w:val="right"/>
                      <w:rPr>
                        <w:szCs w:val="21"/>
                      </w:rPr>
                    </w:pPr>
                    <w:r>
                      <w:rPr>
                        <w:szCs w:val="21"/>
                      </w:rPr>
                      <w:t>2,500,000.00</w:t>
                    </w:r>
                  </w:p>
                </w:tc>
              </w:sdtContent>
            </w:sdt>
            <w:sdt>
              <w:sdtPr>
                <w:rPr>
                  <w:rFonts w:hint="eastAsia"/>
                  <w:szCs w:val="21"/>
                </w:rPr>
                <w:alias w:val="无形资产明细－增加额"/>
                <w:tag w:val="_GBC_905ba25b782f4a7082c8b3e700b7f969"/>
                <w:id w:val="24724629"/>
                <w:lock w:val="sdtLocked"/>
                <w:showingPlcHdr/>
              </w:sdtPr>
              <w:sdtContent>
                <w:tc>
                  <w:tcPr>
                    <w:tcW w:w="1199" w:type="pct"/>
                    <w:shd w:val="clear" w:color="auto" w:fill="auto"/>
                  </w:tcPr>
                  <w:p w:rsidR="00DE031E" w:rsidRDefault="00DE031E" w:rsidP="00DE031E">
                    <w:pPr>
                      <w:jc w:val="right"/>
                      <w:rPr>
                        <w:szCs w:val="21"/>
                      </w:rPr>
                    </w:pPr>
                  </w:p>
                </w:tc>
              </w:sdtContent>
            </w:sdt>
            <w:sdt>
              <w:sdtPr>
                <w:rPr>
                  <w:szCs w:val="21"/>
                </w:rPr>
                <w:alias w:val="无形资产原价（增加额）"/>
                <w:tag w:val="_GBC_a0ddbba821054ece8a919407e8bb4c9a"/>
                <w:id w:val="24724630"/>
                <w:lock w:val="sdtLocked"/>
              </w:sdtPr>
              <w:sdtContent>
                <w:tc>
                  <w:tcPr>
                    <w:tcW w:w="1169" w:type="pct"/>
                    <w:shd w:val="clear" w:color="auto" w:fill="auto"/>
                  </w:tcPr>
                  <w:p w:rsidR="00DE031E" w:rsidRDefault="001C1A59" w:rsidP="00DE031E">
                    <w:pPr>
                      <w:jc w:val="right"/>
                      <w:rPr>
                        <w:szCs w:val="21"/>
                      </w:rPr>
                    </w:pPr>
                    <w:r>
                      <w:rPr>
                        <w:szCs w:val="21"/>
                      </w:rPr>
                      <w:t>2,500,000.00</w:t>
                    </w:r>
                  </w:p>
                </w:tc>
              </w:sdtContent>
            </w:sdt>
          </w:tr>
          <w:tr w:rsidR="00DE031E" w:rsidTr="00DE031E">
            <w:trPr>
              <w:trHeight w:val="340"/>
            </w:trPr>
            <w:tc>
              <w:tcPr>
                <w:tcW w:w="1483" w:type="pct"/>
                <w:shd w:val="clear" w:color="auto" w:fill="auto"/>
                <w:vAlign w:val="center"/>
              </w:tcPr>
              <w:p w:rsidR="00DE031E" w:rsidRDefault="001C1A59" w:rsidP="00DE031E">
                <w:pPr>
                  <w:ind w:firstLineChars="300" w:firstLine="630"/>
                  <w:rPr>
                    <w:szCs w:val="21"/>
                  </w:rPr>
                </w:pPr>
                <w:r>
                  <w:rPr>
                    <w:szCs w:val="21"/>
                  </w:rPr>
                  <w:t>(1)</w:t>
                </w:r>
                <w:r>
                  <w:rPr>
                    <w:rFonts w:hint="eastAsia"/>
                    <w:szCs w:val="21"/>
                  </w:rPr>
                  <w:t>购置</w:t>
                </w:r>
              </w:p>
            </w:tc>
            <w:sdt>
              <w:sdtPr>
                <w:rPr>
                  <w:rFonts w:hint="eastAsia"/>
                  <w:szCs w:val="21"/>
                </w:rPr>
                <w:alias w:val="无形资产明细-外购导致的原值增加"/>
                <w:tag w:val="_GBC_061adecadeb547209c5e5f50531f645d"/>
                <w:id w:val="24724631"/>
                <w:lock w:val="sdtLocked"/>
              </w:sdtPr>
              <w:sdtContent>
                <w:tc>
                  <w:tcPr>
                    <w:tcW w:w="1149" w:type="pct"/>
                    <w:shd w:val="clear" w:color="auto" w:fill="auto"/>
                  </w:tcPr>
                  <w:p w:rsidR="00DE031E" w:rsidRDefault="001C1A59" w:rsidP="00DE031E">
                    <w:pPr>
                      <w:jc w:val="right"/>
                      <w:rPr>
                        <w:szCs w:val="21"/>
                      </w:rPr>
                    </w:pPr>
                    <w:r>
                      <w:rPr>
                        <w:szCs w:val="21"/>
                      </w:rPr>
                      <w:t>2,500,000.00</w:t>
                    </w:r>
                  </w:p>
                </w:tc>
              </w:sdtContent>
            </w:sdt>
            <w:sdt>
              <w:sdtPr>
                <w:rPr>
                  <w:rFonts w:hint="eastAsia"/>
                  <w:szCs w:val="21"/>
                </w:rPr>
                <w:alias w:val="无形资产明细-外购导致的原值增加"/>
                <w:tag w:val="_GBC_061adecadeb547209c5e5f50531f645d"/>
                <w:id w:val="24724632"/>
                <w:lock w:val="sdtLocked"/>
                <w:showingPlcHdr/>
              </w:sdtPr>
              <w:sdtContent>
                <w:tc>
                  <w:tcPr>
                    <w:tcW w:w="1199" w:type="pct"/>
                    <w:shd w:val="clear" w:color="auto" w:fill="auto"/>
                  </w:tcPr>
                  <w:p w:rsidR="00DE031E" w:rsidRDefault="00DE031E" w:rsidP="00DE031E">
                    <w:pPr>
                      <w:jc w:val="right"/>
                      <w:rPr>
                        <w:szCs w:val="21"/>
                      </w:rPr>
                    </w:pPr>
                  </w:p>
                </w:tc>
              </w:sdtContent>
            </w:sdt>
            <w:sdt>
              <w:sdtPr>
                <w:rPr>
                  <w:szCs w:val="21"/>
                </w:rPr>
                <w:alias w:val="外购导致的无形资产账面原值增加额"/>
                <w:tag w:val="_GBC_3b54166a98d6430892ede08e3ea1368f"/>
                <w:id w:val="24724633"/>
                <w:lock w:val="sdtLocked"/>
              </w:sdtPr>
              <w:sdtEndPr>
                <w:rPr>
                  <w:rFonts w:hint="eastAsia"/>
                </w:rPr>
              </w:sdtEndPr>
              <w:sdtContent>
                <w:tc>
                  <w:tcPr>
                    <w:tcW w:w="1169" w:type="pct"/>
                    <w:shd w:val="clear" w:color="auto" w:fill="auto"/>
                  </w:tcPr>
                  <w:p w:rsidR="00DE031E" w:rsidRDefault="001C1A59" w:rsidP="00DE031E">
                    <w:pPr>
                      <w:jc w:val="right"/>
                      <w:rPr>
                        <w:szCs w:val="21"/>
                      </w:rPr>
                    </w:pPr>
                    <w:r>
                      <w:rPr>
                        <w:szCs w:val="21"/>
                      </w:rPr>
                      <w:t>2,500,000.00</w:t>
                    </w:r>
                  </w:p>
                </w:tc>
              </w:sdtContent>
            </w:sdt>
          </w:tr>
          <w:tr w:rsidR="00DE031E" w:rsidTr="00DE031E">
            <w:trPr>
              <w:trHeight w:val="340"/>
            </w:trPr>
            <w:tc>
              <w:tcPr>
                <w:tcW w:w="1483" w:type="pct"/>
                <w:shd w:val="clear" w:color="auto" w:fill="auto"/>
                <w:vAlign w:val="center"/>
              </w:tcPr>
              <w:p w:rsidR="00DE031E" w:rsidRDefault="001C1A59" w:rsidP="00DE031E">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无形资产明细-内部研发导致的原值增加"/>
                <w:tag w:val="_GBC_363a3fe997ac41db92e0efaf59508e3b"/>
                <w:id w:val="24724634"/>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363a3fe997ac41db92e0efaf59508e3b"/>
                <w:id w:val="24724635"/>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rFonts w:hint="eastAsia"/>
                  <w:szCs w:val="21"/>
                </w:rPr>
                <w:alias w:val="内部研发导致的无形资产账面原值增加额"/>
                <w:tag w:val="_GBC_026315d867d5429ca6cbe162f61d9b26"/>
                <w:id w:val="24724636"/>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tc>
              <w:tcPr>
                <w:tcW w:w="1483" w:type="pct"/>
                <w:shd w:val="clear" w:color="auto" w:fill="auto"/>
              </w:tcPr>
              <w:p w:rsidR="00DE031E" w:rsidRDefault="001C1A59" w:rsidP="00DE031E">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无形资产明细-企业合并增加导致的原值增加"/>
                <w:tag w:val="_GBC_4bfbae9913d64064ac4ddc68edc55e8e"/>
                <w:id w:val="24724637"/>
                <w:lock w:val="sdtLocked"/>
                <w:showingPlcHdr/>
              </w:sdtPr>
              <w:sdtContent>
                <w:tc>
                  <w:tcPr>
                    <w:tcW w:w="1149" w:type="pct"/>
                    <w:shd w:val="clear" w:color="auto" w:fill="auto"/>
                  </w:tcPr>
                  <w:p w:rsidR="00DE031E" w:rsidRDefault="001C1A59" w:rsidP="00DE031E">
                    <w:pPr>
                      <w:jc w:val="right"/>
                      <w:rPr>
                        <w:szCs w:val="21"/>
                      </w:rPr>
                    </w:pPr>
                    <w:r>
                      <w:rPr>
                        <w:rFonts w:hint="eastAsia"/>
                        <w:color w:val="333399"/>
                      </w:rPr>
                      <w:t xml:space="preserve">　</w:t>
                    </w:r>
                  </w:p>
                </w:tc>
              </w:sdtContent>
            </w:sdt>
            <w:sdt>
              <w:sdtPr>
                <w:rPr>
                  <w:szCs w:val="21"/>
                </w:rPr>
                <w:alias w:val="无形资产明细-企业合并增加导致的原值增加"/>
                <w:tag w:val="_GBC_4bfbae9913d64064ac4ddc68edc55e8e"/>
                <w:id w:val="24724638"/>
                <w:lock w:val="sdtLocked"/>
                <w:showingPlcHdr/>
              </w:sdtPr>
              <w:sdtContent>
                <w:tc>
                  <w:tcPr>
                    <w:tcW w:w="1199" w:type="pct"/>
                    <w:shd w:val="clear" w:color="auto" w:fill="auto"/>
                  </w:tcPr>
                  <w:p w:rsidR="00DE031E" w:rsidRDefault="001C1A59" w:rsidP="00DE031E">
                    <w:pPr>
                      <w:jc w:val="right"/>
                      <w:rPr>
                        <w:szCs w:val="21"/>
                      </w:rPr>
                    </w:pPr>
                    <w:r>
                      <w:rPr>
                        <w:rFonts w:hint="eastAsia"/>
                      </w:rPr>
                      <w:t xml:space="preserve">　</w:t>
                    </w:r>
                  </w:p>
                </w:tc>
              </w:sdtContent>
            </w:sdt>
            <w:sdt>
              <w:sdtPr>
                <w:rPr>
                  <w:szCs w:val="21"/>
                </w:rPr>
                <w:alias w:val="企业合并增加导致的无形资产账面原值增加额"/>
                <w:tag w:val="_GBC_73a2938dc8dd494d93fb427a21906fcf"/>
                <w:id w:val="24724639"/>
                <w:lock w:val="sdtLocked"/>
                <w:showingPlcHdr/>
              </w:sdtPr>
              <w:sdtContent>
                <w:tc>
                  <w:tcPr>
                    <w:tcW w:w="1169" w:type="pct"/>
                    <w:shd w:val="clear" w:color="auto" w:fill="auto"/>
                  </w:tcPr>
                  <w:p w:rsidR="00DE031E" w:rsidRDefault="001C1A59" w:rsidP="00DE031E">
                    <w:pPr>
                      <w:jc w:val="right"/>
                      <w:rPr>
                        <w:szCs w:val="21"/>
                      </w:rPr>
                    </w:pPr>
                    <w:r>
                      <w:rPr>
                        <w:rFonts w:hint="eastAsia"/>
                        <w:color w:val="333399"/>
                      </w:rPr>
                      <w:t xml:space="preserve">　</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3.本期减少</w:t>
                </w:r>
                <w:r>
                  <w:rPr>
                    <w:rFonts w:hint="eastAsia"/>
                    <w:szCs w:val="21"/>
                  </w:rPr>
                  <w:t>金额</w:t>
                </w:r>
              </w:p>
            </w:tc>
            <w:sdt>
              <w:sdtPr>
                <w:rPr>
                  <w:rFonts w:hint="eastAsia"/>
                  <w:szCs w:val="21"/>
                </w:rPr>
                <w:alias w:val="无形资产明细－减少额"/>
                <w:tag w:val="_GBC_c7d9968657264583a47e05aa9cc3dd3c"/>
                <w:id w:val="24724640"/>
                <w:lock w:val="sdtLocked"/>
              </w:sdtPr>
              <w:sdtContent>
                <w:tc>
                  <w:tcPr>
                    <w:tcW w:w="1149" w:type="pct"/>
                    <w:shd w:val="clear" w:color="auto" w:fill="auto"/>
                  </w:tcPr>
                  <w:p w:rsidR="00DE031E" w:rsidRDefault="001C1A59" w:rsidP="00DE031E">
                    <w:pPr>
                      <w:jc w:val="right"/>
                      <w:rPr>
                        <w:szCs w:val="21"/>
                      </w:rPr>
                    </w:pPr>
                    <w:r>
                      <w:rPr>
                        <w:szCs w:val="21"/>
                      </w:rPr>
                      <w:t>5,720.41</w:t>
                    </w:r>
                  </w:p>
                </w:tc>
              </w:sdtContent>
            </w:sdt>
            <w:sdt>
              <w:sdtPr>
                <w:rPr>
                  <w:rFonts w:hint="eastAsia"/>
                  <w:szCs w:val="21"/>
                </w:rPr>
                <w:alias w:val="无形资产明细－减少额"/>
                <w:tag w:val="_GBC_c7d9968657264583a47e05aa9cc3dd3c"/>
                <w:id w:val="24724641"/>
                <w:lock w:val="sdtLocked"/>
              </w:sdtPr>
              <w:sdtContent>
                <w:tc>
                  <w:tcPr>
                    <w:tcW w:w="1199" w:type="pct"/>
                    <w:shd w:val="clear" w:color="auto" w:fill="auto"/>
                  </w:tcPr>
                  <w:p w:rsidR="00DE031E" w:rsidRDefault="001C1A59" w:rsidP="00DE031E">
                    <w:pPr>
                      <w:jc w:val="right"/>
                      <w:rPr>
                        <w:szCs w:val="21"/>
                      </w:rPr>
                    </w:pPr>
                    <w:r>
                      <w:rPr>
                        <w:szCs w:val="21"/>
                      </w:rPr>
                      <w:t>65.00</w:t>
                    </w:r>
                  </w:p>
                </w:tc>
              </w:sdtContent>
            </w:sdt>
            <w:sdt>
              <w:sdtPr>
                <w:rPr>
                  <w:szCs w:val="21"/>
                </w:rPr>
                <w:alias w:val="无形资产原价（减少额）"/>
                <w:tag w:val="_GBC_2417eac70b8a496d88ab6c27726f91f6"/>
                <w:id w:val="24724642"/>
                <w:lock w:val="sdtLocked"/>
              </w:sdtPr>
              <w:sdtContent>
                <w:tc>
                  <w:tcPr>
                    <w:tcW w:w="1169" w:type="pct"/>
                    <w:shd w:val="clear" w:color="auto" w:fill="auto"/>
                  </w:tcPr>
                  <w:p w:rsidR="00DE031E" w:rsidRDefault="001C1A59" w:rsidP="00DE031E">
                    <w:pPr>
                      <w:jc w:val="right"/>
                      <w:rPr>
                        <w:szCs w:val="21"/>
                      </w:rPr>
                    </w:pPr>
                    <w:r>
                      <w:rPr>
                        <w:szCs w:val="21"/>
                      </w:rPr>
                      <w:t>5,785.41</w:t>
                    </w:r>
                  </w:p>
                </w:tc>
              </w:sdtContent>
            </w:sdt>
          </w:tr>
          <w:tr w:rsidR="00DE031E" w:rsidTr="00DE031E">
            <w:trPr>
              <w:trHeight w:val="340"/>
            </w:trPr>
            <w:tc>
              <w:tcPr>
                <w:tcW w:w="1483" w:type="pct"/>
                <w:shd w:val="clear" w:color="auto" w:fill="auto"/>
                <w:vAlign w:val="center"/>
              </w:tcPr>
              <w:p w:rsidR="00DE031E" w:rsidRDefault="001C1A59" w:rsidP="00DE031E">
                <w:pPr>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明细-处置导致的原值减少"/>
                <w:tag w:val="_GBC_49e3cb5d0688407ab28f31b1694e1f65"/>
                <w:id w:val="24724643"/>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处置导致的原值减少"/>
                <w:tag w:val="_GBC_49e3cb5d0688407ab28f31b1694e1f65"/>
                <w:id w:val="24724644"/>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rFonts w:hint="eastAsia"/>
                  <w:szCs w:val="21"/>
                </w:rPr>
                <w:alias w:val="处置导致的无形资产账面原值减少额"/>
                <w:tag w:val="_GBC_b9a2cc50e53f4ebcb98cada67cc26f44"/>
                <w:id w:val="24724645"/>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sdt>
              <w:sdtPr>
                <w:rPr>
                  <w:rFonts w:hint="eastAsia"/>
                  <w:szCs w:val="21"/>
                </w:rPr>
                <w:alias w:val="无形资产账面原值减少项目名称"/>
                <w:tag w:val="_GBC_75be63f1efb54632be12885a949e8472"/>
                <w:id w:val="24724646"/>
                <w:lock w:val="sdtLocked"/>
              </w:sdtPr>
              <w:sdtContent>
                <w:tc>
                  <w:tcPr>
                    <w:tcW w:w="1483" w:type="pct"/>
                    <w:shd w:val="clear" w:color="auto" w:fill="auto"/>
                  </w:tcPr>
                  <w:p w:rsidR="00DE031E" w:rsidRDefault="001C1A59" w:rsidP="00DE031E">
                    <w:pPr>
                      <w:rPr>
                        <w:szCs w:val="21"/>
                      </w:rPr>
                    </w:pPr>
                    <w:r>
                      <w:rPr>
                        <w:rFonts w:hint="eastAsia"/>
                        <w:szCs w:val="21"/>
                      </w:rPr>
                      <w:t>（2）外币报表折算差额</w:t>
                    </w:r>
                  </w:p>
                </w:tc>
              </w:sdtContent>
            </w:sdt>
            <w:sdt>
              <w:sdtPr>
                <w:rPr>
                  <w:rFonts w:hint="eastAsia"/>
                  <w:szCs w:val="21"/>
                </w:rPr>
                <w:alias w:val="无形资产账面原值减少项目金额"/>
                <w:tag w:val="_GBC_6bbb19b31f594798a9421218462f8883"/>
                <w:id w:val="24724647"/>
                <w:lock w:val="sdtLocked"/>
              </w:sdtPr>
              <w:sdtContent>
                <w:tc>
                  <w:tcPr>
                    <w:tcW w:w="1149" w:type="pct"/>
                    <w:shd w:val="clear" w:color="auto" w:fill="auto"/>
                  </w:tcPr>
                  <w:p w:rsidR="00DE031E" w:rsidRDefault="001C1A59" w:rsidP="00DE031E">
                    <w:pPr>
                      <w:jc w:val="right"/>
                      <w:rPr>
                        <w:szCs w:val="21"/>
                      </w:rPr>
                    </w:pPr>
                    <w:r>
                      <w:rPr>
                        <w:szCs w:val="21"/>
                      </w:rPr>
                      <w:t>5,720.41</w:t>
                    </w:r>
                  </w:p>
                </w:tc>
              </w:sdtContent>
            </w:sdt>
            <w:sdt>
              <w:sdtPr>
                <w:rPr>
                  <w:rFonts w:hint="eastAsia"/>
                  <w:szCs w:val="21"/>
                </w:rPr>
                <w:alias w:val="无形资产账面原值减少项目金额"/>
                <w:tag w:val="_GBC_6bbb19b31f594798a9421218462f8883"/>
                <w:id w:val="24724648"/>
                <w:lock w:val="sdtLocked"/>
              </w:sdtPr>
              <w:sdtContent>
                <w:tc>
                  <w:tcPr>
                    <w:tcW w:w="1199" w:type="pct"/>
                    <w:shd w:val="clear" w:color="auto" w:fill="auto"/>
                  </w:tcPr>
                  <w:p w:rsidR="00DE031E" w:rsidRDefault="001C1A59" w:rsidP="00DE031E">
                    <w:pPr>
                      <w:jc w:val="right"/>
                      <w:rPr>
                        <w:szCs w:val="21"/>
                      </w:rPr>
                    </w:pPr>
                    <w:r>
                      <w:rPr>
                        <w:szCs w:val="21"/>
                      </w:rPr>
                      <w:t>65.00</w:t>
                    </w:r>
                  </w:p>
                </w:tc>
              </w:sdtContent>
            </w:sdt>
            <w:sdt>
              <w:sdtPr>
                <w:rPr>
                  <w:rFonts w:hint="eastAsia"/>
                  <w:szCs w:val="21"/>
                </w:rPr>
                <w:alias w:val="无形资产账面原值减少项目合计金额"/>
                <w:tag w:val="_GBC_333bceb4bfb942ca90170e359bb81b89"/>
                <w:id w:val="24724649"/>
                <w:lock w:val="sdtLocked"/>
              </w:sdtPr>
              <w:sdtContent>
                <w:tc>
                  <w:tcPr>
                    <w:tcW w:w="1169" w:type="pct"/>
                    <w:shd w:val="clear" w:color="auto" w:fill="auto"/>
                  </w:tcPr>
                  <w:p w:rsidR="00DE031E" w:rsidRDefault="001C1A59" w:rsidP="00DE031E">
                    <w:pPr>
                      <w:jc w:val="right"/>
                      <w:rPr>
                        <w:szCs w:val="21"/>
                      </w:rPr>
                    </w:pPr>
                    <w:r>
                      <w:rPr>
                        <w:szCs w:val="21"/>
                      </w:rPr>
                      <w:t>5,785.41</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4.期末余额</w:t>
                </w:r>
              </w:p>
            </w:tc>
            <w:sdt>
              <w:sdtPr>
                <w:rPr>
                  <w:rFonts w:hint="eastAsia"/>
                  <w:szCs w:val="21"/>
                </w:rPr>
                <w:alias w:val="无形资产明细－账面余额"/>
                <w:tag w:val="_GBC_46b9177ac878454cb5553a1537791fcb"/>
                <w:id w:val="24724650"/>
                <w:lock w:val="sdtLocked"/>
              </w:sdtPr>
              <w:sdtContent>
                <w:tc>
                  <w:tcPr>
                    <w:tcW w:w="1149" w:type="pct"/>
                    <w:shd w:val="clear" w:color="auto" w:fill="auto"/>
                  </w:tcPr>
                  <w:p w:rsidR="00DE031E" w:rsidRDefault="001C1A59" w:rsidP="00DE031E">
                    <w:pPr>
                      <w:jc w:val="right"/>
                      <w:rPr>
                        <w:szCs w:val="21"/>
                      </w:rPr>
                    </w:pPr>
                    <w:r>
                      <w:rPr>
                        <w:szCs w:val="21"/>
                      </w:rPr>
                      <w:t>80,474,927.47</w:t>
                    </w:r>
                  </w:p>
                </w:tc>
              </w:sdtContent>
            </w:sdt>
            <w:sdt>
              <w:sdtPr>
                <w:rPr>
                  <w:rFonts w:hint="eastAsia"/>
                  <w:szCs w:val="21"/>
                </w:rPr>
                <w:alias w:val="无形资产明细－账面余额"/>
                <w:tag w:val="_GBC_46b9177ac878454cb5553a1537791fcb"/>
                <w:id w:val="24724651"/>
                <w:lock w:val="sdtLocked"/>
              </w:sdtPr>
              <w:sdtContent>
                <w:tc>
                  <w:tcPr>
                    <w:tcW w:w="1199" w:type="pct"/>
                    <w:shd w:val="clear" w:color="auto" w:fill="auto"/>
                  </w:tcPr>
                  <w:p w:rsidR="00DE031E" w:rsidRDefault="001C1A59" w:rsidP="00DE031E">
                    <w:pPr>
                      <w:jc w:val="right"/>
                      <w:rPr>
                        <w:szCs w:val="21"/>
                      </w:rPr>
                    </w:pPr>
                    <w:r>
                      <w:rPr>
                        <w:szCs w:val="21"/>
                      </w:rPr>
                      <w:t>1,597,152.50</w:t>
                    </w:r>
                  </w:p>
                </w:tc>
              </w:sdtContent>
            </w:sdt>
            <w:sdt>
              <w:sdtPr>
                <w:rPr>
                  <w:szCs w:val="21"/>
                </w:rPr>
                <w:alias w:val="无形资产原价"/>
                <w:tag w:val="_GBC_7f0f3d498a1a42448f8de9f919187d1c"/>
                <w:id w:val="24724652"/>
                <w:lock w:val="sdtLocked"/>
              </w:sdtPr>
              <w:sdtContent>
                <w:tc>
                  <w:tcPr>
                    <w:tcW w:w="1169" w:type="pct"/>
                    <w:shd w:val="clear" w:color="auto" w:fill="auto"/>
                  </w:tcPr>
                  <w:p w:rsidR="00DE031E" w:rsidRDefault="001C1A59" w:rsidP="00DE031E">
                    <w:pPr>
                      <w:jc w:val="right"/>
                      <w:rPr>
                        <w:szCs w:val="21"/>
                      </w:rPr>
                    </w:pPr>
                    <w:r>
                      <w:rPr>
                        <w:szCs w:val="21"/>
                      </w:rPr>
                      <w:t>82,072,079.97</w:t>
                    </w:r>
                  </w:p>
                </w:tc>
              </w:sdtContent>
            </w:sdt>
          </w:tr>
          <w:tr w:rsidR="00DE031E" w:rsidTr="00DE031E">
            <w:trPr>
              <w:trHeight w:val="340"/>
            </w:trPr>
            <w:tc>
              <w:tcPr>
                <w:tcW w:w="1483" w:type="pct"/>
                <w:shd w:val="clear" w:color="auto" w:fill="auto"/>
                <w:vAlign w:val="center"/>
              </w:tcPr>
              <w:p w:rsidR="00DE031E" w:rsidRDefault="001C1A59" w:rsidP="00DE031E">
                <w:pPr>
                  <w:rPr>
                    <w:szCs w:val="21"/>
                  </w:rPr>
                </w:pPr>
                <w:r>
                  <w:rPr>
                    <w:szCs w:val="21"/>
                  </w:rPr>
                  <w:t>二、累计</w:t>
                </w:r>
                <w:r>
                  <w:rPr>
                    <w:rFonts w:hint="eastAsia"/>
                    <w:szCs w:val="21"/>
                  </w:rPr>
                  <w:t>摊销</w:t>
                </w:r>
              </w:p>
            </w:tc>
            <w:tc>
              <w:tcPr>
                <w:tcW w:w="1149" w:type="pct"/>
                <w:shd w:val="clear" w:color="auto" w:fill="auto"/>
              </w:tcPr>
              <w:p w:rsidR="00DE031E" w:rsidRDefault="00DE031E" w:rsidP="00DE031E">
                <w:pPr>
                  <w:jc w:val="right"/>
                  <w:rPr>
                    <w:szCs w:val="21"/>
                  </w:rPr>
                </w:pPr>
              </w:p>
            </w:tc>
            <w:tc>
              <w:tcPr>
                <w:tcW w:w="1199" w:type="pct"/>
                <w:shd w:val="clear" w:color="auto" w:fill="auto"/>
              </w:tcPr>
              <w:p w:rsidR="00DE031E" w:rsidRDefault="00DE031E" w:rsidP="00DE031E">
                <w:pPr>
                  <w:jc w:val="right"/>
                  <w:rPr>
                    <w:szCs w:val="21"/>
                  </w:rPr>
                </w:pPr>
              </w:p>
            </w:tc>
            <w:tc>
              <w:tcPr>
                <w:tcW w:w="1169" w:type="pct"/>
                <w:shd w:val="clear" w:color="auto" w:fill="auto"/>
              </w:tcPr>
              <w:p w:rsidR="00DE031E" w:rsidRDefault="00DE031E" w:rsidP="00DE031E">
                <w:pPr>
                  <w:jc w:val="right"/>
                  <w:rPr>
                    <w:szCs w:val="21"/>
                  </w:rPr>
                </w:pPr>
              </w:p>
            </w:tc>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rFonts w:hint="eastAsia"/>
                    <w:szCs w:val="21"/>
                  </w:rPr>
                  <w:t>1.期</w:t>
                </w:r>
                <w:r>
                  <w:rPr>
                    <w:szCs w:val="21"/>
                  </w:rPr>
                  <w:t>初余额</w:t>
                </w:r>
              </w:p>
            </w:tc>
            <w:sdt>
              <w:sdtPr>
                <w:rPr>
                  <w:rFonts w:hint="eastAsia"/>
                  <w:szCs w:val="21"/>
                </w:rPr>
                <w:alias w:val="无形资产累计摊销数"/>
                <w:tag w:val="_GBC_2359121a20ca4225a2448deab3264ff4"/>
                <w:id w:val="24724653"/>
                <w:lock w:val="sdtLocked"/>
              </w:sdtPr>
              <w:sdtContent>
                <w:tc>
                  <w:tcPr>
                    <w:tcW w:w="1149" w:type="pct"/>
                    <w:shd w:val="clear" w:color="auto" w:fill="auto"/>
                  </w:tcPr>
                  <w:p w:rsidR="00DE031E" w:rsidRDefault="001C1A59" w:rsidP="00DE031E">
                    <w:pPr>
                      <w:jc w:val="right"/>
                      <w:rPr>
                        <w:szCs w:val="21"/>
                      </w:rPr>
                    </w:pPr>
                    <w:r>
                      <w:rPr>
                        <w:szCs w:val="21"/>
                      </w:rPr>
                      <w:t>56,138,423.41</w:t>
                    </w:r>
                  </w:p>
                </w:tc>
              </w:sdtContent>
            </w:sdt>
            <w:sdt>
              <w:sdtPr>
                <w:rPr>
                  <w:rFonts w:hint="eastAsia"/>
                  <w:szCs w:val="21"/>
                </w:rPr>
                <w:alias w:val="无形资产累计摊销数"/>
                <w:tag w:val="_GBC_2359121a20ca4225a2448deab3264ff4"/>
                <w:id w:val="24724654"/>
                <w:lock w:val="sdtLocked"/>
              </w:sdtPr>
              <w:sdtContent>
                <w:tc>
                  <w:tcPr>
                    <w:tcW w:w="1199" w:type="pct"/>
                    <w:shd w:val="clear" w:color="auto" w:fill="auto"/>
                  </w:tcPr>
                  <w:p w:rsidR="00DE031E" w:rsidRDefault="001C1A59" w:rsidP="00DE031E">
                    <w:pPr>
                      <w:jc w:val="right"/>
                      <w:rPr>
                        <w:szCs w:val="21"/>
                      </w:rPr>
                    </w:pPr>
                    <w:r>
                      <w:rPr>
                        <w:szCs w:val="21"/>
                      </w:rPr>
                      <w:t>197,217.50</w:t>
                    </w:r>
                  </w:p>
                </w:tc>
              </w:sdtContent>
            </w:sdt>
            <w:sdt>
              <w:sdtPr>
                <w:rPr>
                  <w:szCs w:val="21"/>
                </w:rPr>
                <w:alias w:val="无形资产累计折旧"/>
                <w:tag w:val="_GBC_8a7994a435d54ec0b3cdfd2352127809"/>
                <w:id w:val="24724655"/>
                <w:lock w:val="sdtLocked"/>
              </w:sdtPr>
              <w:sdtContent>
                <w:tc>
                  <w:tcPr>
                    <w:tcW w:w="1169" w:type="pct"/>
                    <w:shd w:val="clear" w:color="auto" w:fill="auto"/>
                  </w:tcPr>
                  <w:p w:rsidR="00DE031E" w:rsidRDefault="001C1A59" w:rsidP="00DE031E">
                    <w:pPr>
                      <w:jc w:val="right"/>
                      <w:rPr>
                        <w:szCs w:val="21"/>
                      </w:rPr>
                    </w:pPr>
                    <w:r>
                      <w:rPr>
                        <w:szCs w:val="21"/>
                      </w:rPr>
                      <w:t>56,335,640.91</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2.本期增加</w:t>
                </w:r>
                <w:r>
                  <w:rPr>
                    <w:rFonts w:hint="eastAsia"/>
                    <w:szCs w:val="21"/>
                  </w:rPr>
                  <w:t>金额</w:t>
                </w:r>
              </w:p>
            </w:tc>
            <w:sdt>
              <w:sdtPr>
                <w:rPr>
                  <w:rFonts w:hint="eastAsia"/>
                  <w:szCs w:val="21"/>
                </w:rPr>
                <w:alias w:val="无形资产明细-累计摊销增加"/>
                <w:tag w:val="_GBC_6d0fb5e1546e4bdbbe45afe320b93957"/>
                <w:id w:val="24724656"/>
                <w:lock w:val="sdtLocked"/>
              </w:sdtPr>
              <w:sdtContent>
                <w:tc>
                  <w:tcPr>
                    <w:tcW w:w="1149" w:type="pct"/>
                    <w:shd w:val="clear" w:color="auto" w:fill="auto"/>
                  </w:tcPr>
                  <w:p w:rsidR="00DE031E" w:rsidRDefault="001C1A59" w:rsidP="00DE031E">
                    <w:pPr>
                      <w:jc w:val="right"/>
                      <w:rPr>
                        <w:szCs w:val="21"/>
                      </w:rPr>
                    </w:pPr>
                    <w:r>
                      <w:rPr>
                        <w:szCs w:val="21"/>
                      </w:rPr>
                      <w:t>1,274,533.60</w:t>
                    </w:r>
                  </w:p>
                </w:tc>
              </w:sdtContent>
            </w:sdt>
            <w:sdt>
              <w:sdtPr>
                <w:rPr>
                  <w:rFonts w:hint="eastAsia"/>
                  <w:szCs w:val="21"/>
                </w:rPr>
                <w:alias w:val="无形资产明细-累计摊销增加"/>
                <w:tag w:val="_GBC_6d0fb5e1546e4bdbbe45afe320b93957"/>
                <w:id w:val="24724657"/>
                <w:lock w:val="sdtLocked"/>
                <w:showingPlcHdr/>
              </w:sdtPr>
              <w:sdtContent>
                <w:tc>
                  <w:tcPr>
                    <w:tcW w:w="1199" w:type="pct"/>
                    <w:shd w:val="clear" w:color="auto" w:fill="auto"/>
                  </w:tcPr>
                  <w:p w:rsidR="00DE031E" w:rsidRDefault="00DE031E" w:rsidP="00DE031E">
                    <w:pPr>
                      <w:jc w:val="right"/>
                      <w:rPr>
                        <w:szCs w:val="21"/>
                      </w:rPr>
                    </w:pPr>
                  </w:p>
                </w:tc>
              </w:sdtContent>
            </w:sdt>
            <w:sdt>
              <w:sdtPr>
                <w:rPr>
                  <w:szCs w:val="21"/>
                </w:rPr>
                <w:alias w:val="无形资产累计折旧（增加额）"/>
                <w:tag w:val="_GBC_27a3ac9901e7429796cc375a0e5f97cb"/>
                <w:id w:val="24724658"/>
                <w:lock w:val="sdtLocked"/>
              </w:sdtPr>
              <w:sdtContent>
                <w:tc>
                  <w:tcPr>
                    <w:tcW w:w="1169" w:type="pct"/>
                    <w:shd w:val="clear" w:color="auto" w:fill="auto"/>
                  </w:tcPr>
                  <w:p w:rsidR="00DE031E" w:rsidRDefault="001C1A59" w:rsidP="00DE031E">
                    <w:pPr>
                      <w:jc w:val="right"/>
                      <w:rPr>
                        <w:szCs w:val="21"/>
                      </w:rPr>
                    </w:pPr>
                    <w:r>
                      <w:rPr>
                        <w:szCs w:val="21"/>
                      </w:rPr>
                      <w:t>1,274,533.60</w:t>
                    </w:r>
                  </w:p>
                </w:tc>
              </w:sdtContent>
            </w:sdt>
          </w:tr>
          <w:tr w:rsidR="00DE031E" w:rsidTr="00DE031E">
            <w:trPr>
              <w:trHeight w:val="340"/>
            </w:trPr>
            <w:tc>
              <w:tcPr>
                <w:tcW w:w="1483" w:type="pct"/>
                <w:shd w:val="clear" w:color="auto" w:fill="auto"/>
                <w:vAlign w:val="center"/>
              </w:tcPr>
              <w:p w:rsidR="00DE031E" w:rsidRDefault="001C1A59" w:rsidP="00DE031E">
                <w:pPr>
                  <w:ind w:firstLineChars="300" w:firstLine="630"/>
                  <w:rPr>
                    <w:szCs w:val="21"/>
                  </w:rPr>
                </w:pPr>
                <w:r>
                  <w:rPr>
                    <w:rFonts w:hint="eastAsia"/>
                    <w:szCs w:val="21"/>
                  </w:rPr>
                  <w:t>（1）</w:t>
                </w:r>
                <w:r>
                  <w:rPr>
                    <w:szCs w:val="21"/>
                  </w:rPr>
                  <w:t>计提</w:t>
                </w:r>
              </w:p>
            </w:tc>
            <w:sdt>
              <w:sdtPr>
                <w:rPr>
                  <w:rFonts w:hint="eastAsia"/>
                  <w:szCs w:val="21"/>
                </w:rPr>
                <w:alias w:val="无形资产明细-计提导致的累计摊销增加"/>
                <w:tag w:val="_GBC_117f68a975584ca9b609adbc990291b2"/>
                <w:id w:val="24724659"/>
                <w:lock w:val="sdtLocked"/>
              </w:sdtPr>
              <w:sdtContent>
                <w:tc>
                  <w:tcPr>
                    <w:tcW w:w="1149" w:type="pct"/>
                    <w:shd w:val="clear" w:color="auto" w:fill="auto"/>
                  </w:tcPr>
                  <w:p w:rsidR="00DE031E" w:rsidRDefault="001C1A59" w:rsidP="00DE031E">
                    <w:pPr>
                      <w:jc w:val="right"/>
                      <w:rPr>
                        <w:szCs w:val="21"/>
                      </w:rPr>
                    </w:pPr>
                    <w:r>
                      <w:rPr>
                        <w:szCs w:val="21"/>
                      </w:rPr>
                      <w:t>1,274,533.60</w:t>
                    </w:r>
                  </w:p>
                </w:tc>
              </w:sdtContent>
            </w:sdt>
            <w:sdt>
              <w:sdtPr>
                <w:rPr>
                  <w:rFonts w:hint="eastAsia"/>
                  <w:szCs w:val="21"/>
                </w:rPr>
                <w:alias w:val="无形资产明细-计提导致的累计摊销增加"/>
                <w:tag w:val="_GBC_117f68a975584ca9b609adbc990291b2"/>
                <w:id w:val="24724660"/>
                <w:lock w:val="sdtLocked"/>
                <w:showingPlcHdr/>
              </w:sdtPr>
              <w:sdtContent>
                <w:tc>
                  <w:tcPr>
                    <w:tcW w:w="1199" w:type="pct"/>
                    <w:shd w:val="clear" w:color="auto" w:fill="auto"/>
                  </w:tcPr>
                  <w:p w:rsidR="00DE031E" w:rsidRDefault="00DE031E" w:rsidP="00DE031E">
                    <w:pPr>
                      <w:jc w:val="right"/>
                      <w:rPr>
                        <w:szCs w:val="21"/>
                      </w:rPr>
                    </w:pPr>
                  </w:p>
                </w:tc>
              </w:sdtContent>
            </w:sdt>
            <w:sdt>
              <w:sdtPr>
                <w:rPr>
                  <w:rFonts w:hint="eastAsia"/>
                  <w:szCs w:val="21"/>
                </w:rPr>
                <w:alias w:val="计提导致的无形资产累计摊销增加额"/>
                <w:tag w:val="_GBC_69e01be95f71432095c7e4ca5b92f201"/>
                <w:id w:val="24724661"/>
                <w:lock w:val="sdtLocked"/>
              </w:sdtPr>
              <w:sdtContent>
                <w:tc>
                  <w:tcPr>
                    <w:tcW w:w="1169" w:type="pct"/>
                    <w:shd w:val="clear" w:color="auto" w:fill="auto"/>
                  </w:tcPr>
                  <w:p w:rsidR="00DE031E" w:rsidRDefault="001C1A59" w:rsidP="00DE031E">
                    <w:pPr>
                      <w:jc w:val="right"/>
                      <w:rPr>
                        <w:szCs w:val="21"/>
                      </w:rPr>
                    </w:pPr>
                    <w:r>
                      <w:rPr>
                        <w:szCs w:val="21"/>
                      </w:rPr>
                      <w:t>1,274,533.60</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明细-累计摊销减少"/>
                <w:tag w:val="_GBC_3892915ecbd7460b8484b6c43112c1d3"/>
                <w:id w:val="24724662"/>
                <w:lock w:val="sdtLocked"/>
              </w:sdtPr>
              <w:sdtContent>
                <w:tc>
                  <w:tcPr>
                    <w:tcW w:w="1149" w:type="pct"/>
                    <w:shd w:val="clear" w:color="auto" w:fill="auto"/>
                  </w:tcPr>
                  <w:p w:rsidR="00DE031E" w:rsidRDefault="001C1A59" w:rsidP="00DE031E">
                    <w:pPr>
                      <w:jc w:val="right"/>
                      <w:rPr>
                        <w:szCs w:val="21"/>
                      </w:rPr>
                    </w:pPr>
                    <w:r>
                      <w:rPr>
                        <w:szCs w:val="21"/>
                      </w:rPr>
                      <w:t>377</w:t>
                    </w:r>
                    <w:r w:rsidR="00ED6149">
                      <w:rPr>
                        <w:rFonts w:hint="eastAsia"/>
                        <w:szCs w:val="21"/>
                      </w:rPr>
                      <w:t>.00</w:t>
                    </w:r>
                  </w:p>
                </w:tc>
              </w:sdtContent>
            </w:sdt>
            <w:sdt>
              <w:sdtPr>
                <w:rPr>
                  <w:rFonts w:hint="eastAsia"/>
                  <w:szCs w:val="21"/>
                </w:rPr>
                <w:alias w:val="无形资产明细-累计摊销减少"/>
                <w:tag w:val="_GBC_3892915ecbd7460b8484b6c43112c1d3"/>
                <w:id w:val="24724663"/>
                <w:lock w:val="sdtLocked"/>
              </w:sdtPr>
              <w:sdtContent>
                <w:tc>
                  <w:tcPr>
                    <w:tcW w:w="1199" w:type="pct"/>
                    <w:shd w:val="clear" w:color="auto" w:fill="auto"/>
                  </w:tcPr>
                  <w:p w:rsidR="00DE031E" w:rsidRDefault="001C1A59" w:rsidP="00DE031E">
                    <w:pPr>
                      <w:jc w:val="right"/>
                      <w:rPr>
                        <w:szCs w:val="21"/>
                      </w:rPr>
                    </w:pPr>
                    <w:r>
                      <w:rPr>
                        <w:szCs w:val="21"/>
                      </w:rPr>
                      <w:t>65</w:t>
                    </w:r>
                    <w:r w:rsidR="00ED6149">
                      <w:rPr>
                        <w:rFonts w:hint="eastAsia"/>
                        <w:szCs w:val="21"/>
                      </w:rPr>
                      <w:t>.00</w:t>
                    </w:r>
                  </w:p>
                </w:tc>
              </w:sdtContent>
            </w:sdt>
            <w:sdt>
              <w:sdtPr>
                <w:rPr>
                  <w:szCs w:val="21"/>
                </w:rPr>
                <w:alias w:val="无形资产累计折旧（减少额）"/>
                <w:tag w:val="_GBC_176b59254baa47a29ecc0544c51d94ef"/>
                <w:id w:val="24724664"/>
                <w:lock w:val="sdtLocked"/>
              </w:sdtPr>
              <w:sdtContent>
                <w:tc>
                  <w:tcPr>
                    <w:tcW w:w="1169" w:type="pct"/>
                    <w:shd w:val="clear" w:color="auto" w:fill="auto"/>
                  </w:tcPr>
                  <w:p w:rsidR="00DE031E" w:rsidRDefault="001C1A59" w:rsidP="00DE031E">
                    <w:pPr>
                      <w:jc w:val="right"/>
                      <w:rPr>
                        <w:szCs w:val="21"/>
                      </w:rPr>
                    </w:pPr>
                    <w:r>
                      <w:rPr>
                        <w:szCs w:val="21"/>
                      </w:rPr>
                      <w:t>442</w:t>
                    </w:r>
                    <w:r w:rsidR="00ED6149">
                      <w:rPr>
                        <w:rFonts w:hint="eastAsia"/>
                        <w:szCs w:val="21"/>
                      </w:rPr>
                      <w:t>.00</w:t>
                    </w:r>
                  </w:p>
                </w:tc>
              </w:sdtContent>
            </w:sdt>
          </w:tr>
          <w:tr w:rsidR="00DE031E" w:rsidTr="00DE031E">
            <w:trPr>
              <w:trHeight w:val="340"/>
            </w:trPr>
            <w:tc>
              <w:tcPr>
                <w:tcW w:w="1483" w:type="pct"/>
                <w:shd w:val="clear" w:color="auto" w:fill="auto"/>
                <w:vAlign w:val="center"/>
              </w:tcPr>
              <w:p w:rsidR="00DE031E" w:rsidRDefault="001C1A59" w:rsidP="00DE031E">
                <w:pPr>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无形资产明细-处置导致的累计摊销减少"/>
                <w:tag w:val="_GBC_c38e431713ca4cb493161ea03e6b44ab"/>
                <w:id w:val="24724665"/>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处置导致的累计摊销减少"/>
                <w:tag w:val="_GBC_c38e431713ca4cb493161ea03e6b44ab"/>
                <w:id w:val="24724666"/>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rFonts w:hint="eastAsia"/>
                  <w:szCs w:val="21"/>
                </w:rPr>
                <w:alias w:val="处置导致的无形资产累计摊销减少额"/>
                <w:tag w:val="_GBC_122fa9662d194f238bca4b25db2921ff"/>
                <w:id w:val="24724667"/>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sdt>
              <w:sdtPr>
                <w:rPr>
                  <w:rFonts w:hint="eastAsia"/>
                  <w:szCs w:val="21"/>
                </w:rPr>
                <w:alias w:val="无形资产累计摊销减少项目名称"/>
                <w:tag w:val="_GBC_8d1d573ce9514131bd88f011a71031e5"/>
                <w:id w:val="24724668"/>
                <w:lock w:val="sdtLocked"/>
              </w:sdtPr>
              <w:sdtContent>
                <w:tc>
                  <w:tcPr>
                    <w:tcW w:w="1483" w:type="pct"/>
                    <w:shd w:val="clear" w:color="auto" w:fill="auto"/>
                  </w:tcPr>
                  <w:p w:rsidR="00DE031E" w:rsidRDefault="001C1A59" w:rsidP="00DE031E">
                    <w:pPr>
                      <w:rPr>
                        <w:szCs w:val="21"/>
                      </w:rPr>
                    </w:pPr>
                    <w:r>
                      <w:rPr>
                        <w:rFonts w:hint="eastAsia"/>
                        <w:szCs w:val="21"/>
                      </w:rPr>
                      <w:t>（2）外币报表折算差额</w:t>
                    </w:r>
                  </w:p>
                </w:tc>
              </w:sdtContent>
            </w:sdt>
            <w:sdt>
              <w:sdtPr>
                <w:rPr>
                  <w:rFonts w:hint="eastAsia"/>
                  <w:szCs w:val="21"/>
                </w:rPr>
                <w:alias w:val="无形资产累计摊销减少项目金额"/>
                <w:tag w:val="_GBC_d780250aa2144176a5374f9330f1e913"/>
                <w:id w:val="24724669"/>
                <w:lock w:val="sdtLocked"/>
              </w:sdtPr>
              <w:sdtContent>
                <w:tc>
                  <w:tcPr>
                    <w:tcW w:w="1149" w:type="pct"/>
                    <w:shd w:val="clear" w:color="auto" w:fill="auto"/>
                  </w:tcPr>
                  <w:p w:rsidR="00DE031E" w:rsidRDefault="001C1A59" w:rsidP="00DE031E">
                    <w:pPr>
                      <w:jc w:val="right"/>
                      <w:rPr>
                        <w:szCs w:val="21"/>
                      </w:rPr>
                    </w:pPr>
                    <w:r>
                      <w:rPr>
                        <w:szCs w:val="21"/>
                      </w:rPr>
                      <w:t>377</w:t>
                    </w:r>
                    <w:r w:rsidR="00ED6149">
                      <w:rPr>
                        <w:rFonts w:hint="eastAsia"/>
                        <w:szCs w:val="21"/>
                      </w:rPr>
                      <w:t>.00</w:t>
                    </w:r>
                  </w:p>
                </w:tc>
              </w:sdtContent>
            </w:sdt>
            <w:sdt>
              <w:sdtPr>
                <w:rPr>
                  <w:rFonts w:hint="eastAsia"/>
                  <w:szCs w:val="21"/>
                </w:rPr>
                <w:alias w:val="无形资产累计摊销减少项目金额"/>
                <w:tag w:val="_GBC_d780250aa2144176a5374f9330f1e913"/>
                <w:id w:val="24724670"/>
                <w:lock w:val="sdtLocked"/>
              </w:sdtPr>
              <w:sdtContent>
                <w:tc>
                  <w:tcPr>
                    <w:tcW w:w="1199" w:type="pct"/>
                    <w:shd w:val="clear" w:color="auto" w:fill="auto"/>
                  </w:tcPr>
                  <w:p w:rsidR="00DE031E" w:rsidRDefault="001C1A59" w:rsidP="00DE031E">
                    <w:pPr>
                      <w:jc w:val="right"/>
                      <w:rPr>
                        <w:szCs w:val="21"/>
                      </w:rPr>
                    </w:pPr>
                    <w:r>
                      <w:rPr>
                        <w:szCs w:val="21"/>
                      </w:rPr>
                      <w:t>65</w:t>
                    </w:r>
                    <w:r w:rsidR="00ED6149">
                      <w:rPr>
                        <w:rFonts w:hint="eastAsia"/>
                        <w:szCs w:val="21"/>
                      </w:rPr>
                      <w:t>.00</w:t>
                    </w:r>
                  </w:p>
                </w:tc>
              </w:sdtContent>
            </w:sdt>
            <w:sdt>
              <w:sdtPr>
                <w:rPr>
                  <w:rFonts w:hint="eastAsia"/>
                  <w:szCs w:val="21"/>
                </w:rPr>
                <w:alias w:val="无形资产累计摊销减少项目合计金额"/>
                <w:tag w:val="_GBC_ce3de533f641438f96cdd26f528b12f9"/>
                <w:id w:val="24724671"/>
                <w:lock w:val="sdtLocked"/>
              </w:sdtPr>
              <w:sdtContent>
                <w:tc>
                  <w:tcPr>
                    <w:tcW w:w="1169" w:type="pct"/>
                    <w:shd w:val="clear" w:color="auto" w:fill="auto"/>
                  </w:tcPr>
                  <w:p w:rsidR="00DE031E" w:rsidRDefault="001C1A59" w:rsidP="00DE031E">
                    <w:pPr>
                      <w:jc w:val="right"/>
                      <w:rPr>
                        <w:szCs w:val="21"/>
                      </w:rPr>
                    </w:pPr>
                    <w:r>
                      <w:rPr>
                        <w:szCs w:val="21"/>
                      </w:rPr>
                      <w:t>442</w:t>
                    </w:r>
                    <w:r w:rsidR="00ED6149">
                      <w:rPr>
                        <w:rFonts w:hint="eastAsia"/>
                        <w:szCs w:val="21"/>
                      </w:rPr>
                      <w:t>.00</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rFonts w:hint="eastAsia"/>
                    <w:szCs w:val="21"/>
                  </w:rPr>
                  <w:t>4.</w:t>
                </w:r>
                <w:r>
                  <w:rPr>
                    <w:szCs w:val="21"/>
                  </w:rPr>
                  <w:t>期末余额</w:t>
                </w:r>
              </w:p>
            </w:tc>
            <w:sdt>
              <w:sdtPr>
                <w:rPr>
                  <w:rFonts w:hint="eastAsia"/>
                  <w:szCs w:val="21"/>
                </w:rPr>
                <w:alias w:val="无形资产累计摊销数"/>
                <w:tag w:val="_GBC_bed0186bd4494e36959e9aaf728d4bfa"/>
                <w:id w:val="24724672"/>
                <w:lock w:val="sdtLocked"/>
              </w:sdtPr>
              <w:sdtContent>
                <w:tc>
                  <w:tcPr>
                    <w:tcW w:w="1149" w:type="pct"/>
                    <w:shd w:val="clear" w:color="auto" w:fill="auto"/>
                  </w:tcPr>
                  <w:p w:rsidR="00DE031E" w:rsidRDefault="001C1A59" w:rsidP="00DE031E">
                    <w:pPr>
                      <w:jc w:val="right"/>
                      <w:rPr>
                        <w:szCs w:val="21"/>
                      </w:rPr>
                    </w:pPr>
                    <w:r>
                      <w:rPr>
                        <w:szCs w:val="21"/>
                      </w:rPr>
                      <w:t>57,412,580.01</w:t>
                    </w:r>
                  </w:p>
                </w:tc>
              </w:sdtContent>
            </w:sdt>
            <w:sdt>
              <w:sdtPr>
                <w:rPr>
                  <w:rFonts w:hint="eastAsia"/>
                  <w:szCs w:val="21"/>
                </w:rPr>
                <w:alias w:val="无形资产累计摊销数"/>
                <w:tag w:val="_GBC_bed0186bd4494e36959e9aaf728d4bfa"/>
                <w:id w:val="24724673"/>
                <w:lock w:val="sdtLocked"/>
              </w:sdtPr>
              <w:sdtContent>
                <w:tc>
                  <w:tcPr>
                    <w:tcW w:w="1199" w:type="pct"/>
                    <w:shd w:val="clear" w:color="auto" w:fill="auto"/>
                  </w:tcPr>
                  <w:p w:rsidR="00DE031E" w:rsidRDefault="001C1A59" w:rsidP="00DE031E">
                    <w:pPr>
                      <w:jc w:val="right"/>
                      <w:rPr>
                        <w:szCs w:val="21"/>
                      </w:rPr>
                    </w:pPr>
                    <w:r>
                      <w:rPr>
                        <w:szCs w:val="21"/>
                      </w:rPr>
                      <w:t>197,152.50</w:t>
                    </w:r>
                  </w:p>
                </w:tc>
              </w:sdtContent>
            </w:sdt>
            <w:sdt>
              <w:sdtPr>
                <w:rPr>
                  <w:szCs w:val="21"/>
                </w:rPr>
                <w:alias w:val="无形资产累计折旧"/>
                <w:tag w:val="_GBC_251a778336314e959b3e7c43bebf6e3c"/>
                <w:id w:val="24724674"/>
                <w:lock w:val="sdtLocked"/>
              </w:sdtPr>
              <w:sdtContent>
                <w:tc>
                  <w:tcPr>
                    <w:tcW w:w="1169" w:type="pct"/>
                    <w:shd w:val="clear" w:color="auto" w:fill="auto"/>
                  </w:tcPr>
                  <w:p w:rsidR="00DE031E" w:rsidRDefault="001C1A59" w:rsidP="00DE031E">
                    <w:pPr>
                      <w:jc w:val="right"/>
                      <w:rPr>
                        <w:szCs w:val="21"/>
                      </w:rPr>
                    </w:pPr>
                    <w:r>
                      <w:rPr>
                        <w:szCs w:val="21"/>
                      </w:rPr>
                      <w:t>57,609,732.51</w:t>
                    </w:r>
                  </w:p>
                </w:tc>
              </w:sdtContent>
            </w:sdt>
          </w:tr>
          <w:tr w:rsidR="00DE031E" w:rsidTr="00DE031E">
            <w:trPr>
              <w:trHeight w:val="340"/>
            </w:trPr>
            <w:tc>
              <w:tcPr>
                <w:tcW w:w="1483" w:type="pct"/>
                <w:shd w:val="clear" w:color="auto" w:fill="auto"/>
                <w:vAlign w:val="center"/>
              </w:tcPr>
              <w:p w:rsidR="00DE031E" w:rsidRDefault="001C1A59" w:rsidP="00DE031E">
                <w:pPr>
                  <w:rPr>
                    <w:szCs w:val="21"/>
                  </w:rPr>
                </w:pPr>
                <w:r>
                  <w:rPr>
                    <w:szCs w:val="21"/>
                  </w:rPr>
                  <w:t>三、减值准备</w:t>
                </w:r>
              </w:p>
            </w:tc>
            <w:tc>
              <w:tcPr>
                <w:tcW w:w="1149" w:type="pct"/>
                <w:shd w:val="clear" w:color="auto" w:fill="auto"/>
              </w:tcPr>
              <w:p w:rsidR="00DE031E" w:rsidRDefault="00DE031E" w:rsidP="00DE031E">
                <w:pPr>
                  <w:jc w:val="right"/>
                  <w:rPr>
                    <w:szCs w:val="21"/>
                  </w:rPr>
                </w:pPr>
              </w:p>
            </w:tc>
            <w:tc>
              <w:tcPr>
                <w:tcW w:w="1199" w:type="pct"/>
                <w:shd w:val="clear" w:color="auto" w:fill="auto"/>
              </w:tcPr>
              <w:p w:rsidR="00DE031E" w:rsidRDefault="00DE031E" w:rsidP="00DE031E">
                <w:pPr>
                  <w:jc w:val="right"/>
                  <w:rPr>
                    <w:szCs w:val="21"/>
                  </w:rPr>
                </w:pPr>
              </w:p>
            </w:tc>
            <w:tc>
              <w:tcPr>
                <w:tcW w:w="1169" w:type="pct"/>
                <w:shd w:val="clear" w:color="auto" w:fill="auto"/>
              </w:tcPr>
              <w:p w:rsidR="00DE031E" w:rsidRDefault="00DE031E" w:rsidP="00DE031E">
                <w:pPr>
                  <w:jc w:val="right"/>
                  <w:rPr>
                    <w:szCs w:val="21"/>
                  </w:rPr>
                </w:pPr>
              </w:p>
            </w:tc>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rFonts w:hint="eastAsia"/>
                    <w:szCs w:val="21"/>
                  </w:rPr>
                  <w:t>1.期</w:t>
                </w:r>
                <w:r>
                  <w:rPr>
                    <w:szCs w:val="21"/>
                  </w:rPr>
                  <w:t>初余额</w:t>
                </w:r>
              </w:p>
            </w:tc>
            <w:sdt>
              <w:sdtPr>
                <w:rPr>
                  <w:rFonts w:hint="eastAsia"/>
                  <w:szCs w:val="21"/>
                </w:rPr>
                <w:alias w:val="无形资产明细-减值准备"/>
                <w:tag w:val="_GBC_8bf8d7058c2442feb5904258e13f5de2"/>
                <w:id w:val="24724675"/>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减值准备"/>
                <w:tag w:val="_GBC_8bf8d7058c2442feb5904258e13f5de2"/>
                <w:id w:val="24724676"/>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szCs w:val="21"/>
                </w:rPr>
                <w:alias w:val="无形资产减值准备合计余额"/>
                <w:tag w:val="_GBC_fec3d18329a64758bb70120cc9606e1b"/>
                <w:id w:val="24724677"/>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2.本期增加</w:t>
                </w:r>
                <w:r>
                  <w:rPr>
                    <w:rFonts w:hint="eastAsia"/>
                    <w:szCs w:val="21"/>
                  </w:rPr>
                  <w:t>金额</w:t>
                </w:r>
              </w:p>
            </w:tc>
            <w:sdt>
              <w:sdtPr>
                <w:rPr>
                  <w:rFonts w:hint="eastAsia"/>
                  <w:szCs w:val="21"/>
                </w:rPr>
                <w:alias w:val="无形资产明细-减值准备增加"/>
                <w:tag w:val="_GBC_e423d7b4643a465c87045822dfb9029c"/>
                <w:id w:val="24724678"/>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减值准备增加"/>
                <w:tag w:val="_GBC_e423d7b4643a465c87045822dfb9029c"/>
                <w:id w:val="24724679"/>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szCs w:val="21"/>
                </w:rPr>
                <w:alias w:val="无形资产减值准备合计_本期增加数"/>
                <w:tag w:val="_GBC_71af989262974f398f6090f42dbabfc1"/>
                <w:id w:val="24724680"/>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tc>
              <w:tcPr>
                <w:tcW w:w="1483" w:type="pct"/>
                <w:shd w:val="clear" w:color="auto" w:fill="auto"/>
                <w:vAlign w:val="center"/>
              </w:tcPr>
              <w:p w:rsidR="00DE031E" w:rsidRDefault="001C1A59" w:rsidP="00DE031E">
                <w:pPr>
                  <w:ind w:firstLineChars="300" w:firstLine="630"/>
                  <w:rPr>
                    <w:szCs w:val="21"/>
                  </w:rPr>
                </w:pPr>
                <w:r>
                  <w:rPr>
                    <w:rFonts w:hint="eastAsia"/>
                    <w:szCs w:val="21"/>
                  </w:rPr>
                  <w:t>（1）</w:t>
                </w:r>
                <w:r>
                  <w:rPr>
                    <w:szCs w:val="21"/>
                  </w:rPr>
                  <w:t>计提</w:t>
                </w:r>
              </w:p>
            </w:tc>
            <w:sdt>
              <w:sdtPr>
                <w:rPr>
                  <w:rFonts w:hint="eastAsia"/>
                  <w:szCs w:val="21"/>
                </w:rPr>
                <w:alias w:val="无形资产明细-计提导致减值准备增加"/>
                <w:tag w:val="_GBC_3f16951381124fac8cc48f45b5c43f94"/>
                <w:id w:val="24724681"/>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计提导致减值准备增加"/>
                <w:tag w:val="_GBC_3f16951381124fac8cc48f45b5c43f94"/>
                <w:id w:val="24724682"/>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rFonts w:hint="eastAsia"/>
                  <w:szCs w:val="21"/>
                </w:rPr>
                <w:alias w:val="计提导致的无形资产减值准备增加额"/>
                <w:tag w:val="_GBC_c20aef741c894dbd85574008dfe89085"/>
                <w:id w:val="24724683"/>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明细-减值准备减少"/>
                <w:tag w:val="_GBC_bec46dab1f944018aca326e67b1af82c"/>
                <w:id w:val="24724684"/>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减值准备减少"/>
                <w:tag w:val="_GBC_bec46dab1f944018aca326e67b1af82c"/>
                <w:id w:val="24724685"/>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szCs w:val="21"/>
                </w:rPr>
                <w:alias w:val="无形资产减值准备合计_本期减少数合计"/>
                <w:tag w:val="_GBC_21a7356393e946bd9ce9dac8e5b006b0"/>
                <w:id w:val="24724686"/>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tc>
              <w:tcPr>
                <w:tcW w:w="1483" w:type="pct"/>
                <w:shd w:val="clear" w:color="auto" w:fill="auto"/>
                <w:vAlign w:val="center"/>
              </w:tcPr>
              <w:p w:rsidR="00DE031E" w:rsidRDefault="001C1A59" w:rsidP="00DE031E">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明细-处置导致减值准备减少"/>
                <w:tag w:val="_GBC_1b8a47c675f048b88f59a185cfb0de0b"/>
                <w:id w:val="24724687"/>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处置导致减值准备减少"/>
                <w:tag w:val="_GBC_1b8a47c675f048b88f59a185cfb0de0b"/>
                <w:id w:val="24724688"/>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rFonts w:hint="eastAsia"/>
                  <w:szCs w:val="21"/>
                </w:rPr>
                <w:alias w:val="处置导致的无形资产减值准备减少额"/>
                <w:tag w:val="_GBC_76c0d24040e54a9caed1afdc582dbb02"/>
                <w:id w:val="24724689"/>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rFonts w:hint="eastAsia"/>
                    <w:szCs w:val="21"/>
                  </w:rPr>
                  <w:t>4.</w:t>
                </w:r>
                <w:r>
                  <w:rPr>
                    <w:szCs w:val="21"/>
                  </w:rPr>
                  <w:t>期末余额</w:t>
                </w:r>
              </w:p>
            </w:tc>
            <w:sdt>
              <w:sdtPr>
                <w:rPr>
                  <w:rFonts w:hint="eastAsia"/>
                  <w:szCs w:val="21"/>
                </w:rPr>
                <w:alias w:val="无形资产明细-减值准备"/>
                <w:tag w:val="_GBC_c29328f8277d4090a45a447ef2c4ee17"/>
                <w:id w:val="24724690"/>
                <w:lock w:val="sdtLocked"/>
                <w:showingPlcHdr/>
              </w:sdtPr>
              <w:sdtContent>
                <w:tc>
                  <w:tcPr>
                    <w:tcW w:w="1149"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rFonts w:hint="eastAsia"/>
                  <w:szCs w:val="21"/>
                </w:rPr>
                <w:alias w:val="无形资产明细-减值准备"/>
                <w:tag w:val="_GBC_c29328f8277d4090a45a447ef2c4ee17"/>
                <w:id w:val="24724691"/>
                <w:lock w:val="sdtLocked"/>
                <w:showingPlcHdr/>
              </w:sdtPr>
              <w:sdtContent>
                <w:tc>
                  <w:tcPr>
                    <w:tcW w:w="1199" w:type="pct"/>
                    <w:shd w:val="clear" w:color="auto" w:fill="auto"/>
                  </w:tcPr>
                  <w:p w:rsidR="00DE031E" w:rsidRDefault="001C1A59" w:rsidP="00DE031E">
                    <w:pPr>
                      <w:jc w:val="right"/>
                      <w:rPr>
                        <w:szCs w:val="21"/>
                      </w:rPr>
                    </w:pPr>
                    <w:r>
                      <w:rPr>
                        <w:rFonts w:hint="eastAsia"/>
                        <w:szCs w:val="21"/>
                      </w:rPr>
                      <w:t xml:space="preserve">　</w:t>
                    </w:r>
                  </w:p>
                </w:tc>
              </w:sdtContent>
            </w:sdt>
            <w:sdt>
              <w:sdtPr>
                <w:rPr>
                  <w:szCs w:val="21"/>
                </w:rPr>
                <w:alias w:val="无形资产减值准备合计余额"/>
                <w:tag w:val="_GBC_f5c4a177f5c447ec81cf48caca6293aa"/>
                <w:id w:val="24724692"/>
                <w:lock w:val="sdtLocked"/>
                <w:showingPlcHdr/>
              </w:sdtPr>
              <w:sdtContent>
                <w:tc>
                  <w:tcPr>
                    <w:tcW w:w="1169" w:type="pct"/>
                    <w:shd w:val="clear" w:color="auto" w:fill="auto"/>
                  </w:tcPr>
                  <w:p w:rsidR="00DE031E" w:rsidRDefault="001C1A59" w:rsidP="00DE031E">
                    <w:pPr>
                      <w:jc w:val="right"/>
                      <w:rPr>
                        <w:szCs w:val="21"/>
                      </w:rPr>
                    </w:pPr>
                    <w:r>
                      <w:rPr>
                        <w:rFonts w:hint="eastAsia"/>
                        <w:color w:val="333399"/>
                        <w:szCs w:val="21"/>
                      </w:rPr>
                      <w:t xml:space="preserve">　</w:t>
                    </w:r>
                  </w:p>
                </w:tc>
              </w:sdtContent>
            </w:sdt>
          </w:tr>
          <w:tr w:rsidR="00DE031E" w:rsidTr="00DE031E">
            <w:trPr>
              <w:trHeight w:val="340"/>
            </w:trPr>
            <w:tc>
              <w:tcPr>
                <w:tcW w:w="1483" w:type="pct"/>
                <w:shd w:val="clear" w:color="auto" w:fill="auto"/>
                <w:vAlign w:val="center"/>
              </w:tcPr>
              <w:p w:rsidR="00DE031E" w:rsidRDefault="001C1A59" w:rsidP="00DE031E">
                <w:pPr>
                  <w:rPr>
                    <w:szCs w:val="21"/>
                  </w:rPr>
                </w:pPr>
                <w:r>
                  <w:rPr>
                    <w:szCs w:val="21"/>
                  </w:rPr>
                  <w:t>四、账面价值</w:t>
                </w:r>
              </w:p>
            </w:tc>
            <w:tc>
              <w:tcPr>
                <w:tcW w:w="1149" w:type="pct"/>
                <w:shd w:val="clear" w:color="auto" w:fill="auto"/>
              </w:tcPr>
              <w:p w:rsidR="00DE031E" w:rsidRDefault="00DE031E" w:rsidP="00DE031E">
                <w:pPr>
                  <w:jc w:val="right"/>
                  <w:rPr>
                    <w:szCs w:val="21"/>
                  </w:rPr>
                </w:pPr>
              </w:p>
            </w:tc>
            <w:tc>
              <w:tcPr>
                <w:tcW w:w="1199" w:type="pct"/>
                <w:shd w:val="clear" w:color="auto" w:fill="auto"/>
              </w:tcPr>
              <w:p w:rsidR="00DE031E" w:rsidRDefault="00DE031E" w:rsidP="00DE031E">
                <w:pPr>
                  <w:jc w:val="right"/>
                  <w:rPr>
                    <w:szCs w:val="21"/>
                  </w:rPr>
                </w:pPr>
              </w:p>
            </w:tc>
            <w:tc>
              <w:tcPr>
                <w:tcW w:w="1169" w:type="pct"/>
                <w:shd w:val="clear" w:color="auto" w:fill="auto"/>
              </w:tcPr>
              <w:p w:rsidR="00DE031E" w:rsidRDefault="00DE031E" w:rsidP="00DE031E">
                <w:pPr>
                  <w:jc w:val="right"/>
                  <w:rPr>
                    <w:szCs w:val="21"/>
                  </w:rPr>
                </w:pPr>
              </w:p>
            </w:tc>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1.期末账面价值</w:t>
                </w:r>
              </w:p>
            </w:tc>
            <w:sdt>
              <w:sdtPr>
                <w:rPr>
                  <w:rFonts w:hint="eastAsia"/>
                  <w:szCs w:val="21"/>
                </w:rPr>
                <w:alias w:val="无形资产明细-账面价值"/>
                <w:tag w:val="_GBC_eb96de1cb8de4c89bf10eb5d9727f15d"/>
                <w:id w:val="24724693"/>
                <w:lock w:val="sdtLocked"/>
              </w:sdtPr>
              <w:sdtContent>
                <w:tc>
                  <w:tcPr>
                    <w:tcW w:w="1149" w:type="pct"/>
                    <w:shd w:val="clear" w:color="auto" w:fill="auto"/>
                  </w:tcPr>
                  <w:p w:rsidR="00DE031E" w:rsidRDefault="001C1A59" w:rsidP="00DE031E">
                    <w:pPr>
                      <w:jc w:val="right"/>
                      <w:rPr>
                        <w:szCs w:val="21"/>
                      </w:rPr>
                    </w:pPr>
                    <w:r>
                      <w:rPr>
                        <w:szCs w:val="21"/>
                      </w:rPr>
                      <w:t>23,062,347.46</w:t>
                    </w:r>
                  </w:p>
                </w:tc>
              </w:sdtContent>
            </w:sdt>
            <w:sdt>
              <w:sdtPr>
                <w:rPr>
                  <w:rFonts w:hint="eastAsia"/>
                  <w:szCs w:val="21"/>
                </w:rPr>
                <w:alias w:val="无形资产明细-账面价值"/>
                <w:tag w:val="_GBC_eb96de1cb8de4c89bf10eb5d9727f15d"/>
                <w:id w:val="24724694"/>
                <w:lock w:val="sdtLocked"/>
              </w:sdtPr>
              <w:sdtContent>
                <w:tc>
                  <w:tcPr>
                    <w:tcW w:w="1199" w:type="pct"/>
                    <w:shd w:val="clear" w:color="auto" w:fill="auto"/>
                  </w:tcPr>
                  <w:p w:rsidR="00DE031E" w:rsidRDefault="001C1A59" w:rsidP="00DE031E">
                    <w:pPr>
                      <w:jc w:val="right"/>
                      <w:rPr>
                        <w:szCs w:val="21"/>
                      </w:rPr>
                    </w:pPr>
                    <w:r>
                      <w:rPr>
                        <w:szCs w:val="21"/>
                      </w:rPr>
                      <w:t>1,400,000.00</w:t>
                    </w:r>
                  </w:p>
                </w:tc>
              </w:sdtContent>
            </w:sdt>
            <w:sdt>
              <w:sdtPr>
                <w:rPr>
                  <w:szCs w:val="21"/>
                </w:rPr>
                <w:alias w:val="无形资产"/>
                <w:tag w:val="_GBC_96304a2e34a246ebb80d3170cf011bd5"/>
                <w:id w:val="24724695"/>
                <w:lock w:val="sdtLocked"/>
              </w:sdtPr>
              <w:sdtContent>
                <w:tc>
                  <w:tcPr>
                    <w:tcW w:w="1169" w:type="pct"/>
                    <w:shd w:val="clear" w:color="auto" w:fill="auto"/>
                  </w:tcPr>
                  <w:p w:rsidR="00DE031E" w:rsidRDefault="001C1A59" w:rsidP="00DE031E">
                    <w:pPr>
                      <w:jc w:val="right"/>
                      <w:rPr>
                        <w:szCs w:val="21"/>
                      </w:rPr>
                    </w:pPr>
                    <w:r>
                      <w:rPr>
                        <w:szCs w:val="21"/>
                      </w:rPr>
                      <w:t>24,462,347.46</w:t>
                    </w:r>
                  </w:p>
                </w:tc>
              </w:sdtContent>
            </w:sdt>
          </w:tr>
          <w:tr w:rsidR="00DE031E" w:rsidTr="00DE031E">
            <w:trPr>
              <w:trHeight w:val="340"/>
            </w:trPr>
            <w:tc>
              <w:tcPr>
                <w:tcW w:w="1483" w:type="pct"/>
                <w:shd w:val="clear" w:color="auto" w:fill="auto"/>
                <w:vAlign w:val="center"/>
              </w:tcPr>
              <w:p w:rsidR="00DE031E" w:rsidRDefault="001C1A59" w:rsidP="00DE031E">
                <w:pPr>
                  <w:ind w:firstLineChars="200" w:firstLine="420"/>
                  <w:rPr>
                    <w:szCs w:val="21"/>
                  </w:rPr>
                </w:pPr>
                <w:r>
                  <w:rPr>
                    <w:szCs w:val="21"/>
                  </w:rPr>
                  <w:t>2.</w:t>
                </w:r>
                <w:r>
                  <w:rPr>
                    <w:rFonts w:hint="eastAsia"/>
                    <w:szCs w:val="21"/>
                  </w:rPr>
                  <w:t>期初</w:t>
                </w:r>
                <w:r>
                  <w:rPr>
                    <w:szCs w:val="21"/>
                  </w:rPr>
                  <w:t>账面价值</w:t>
                </w:r>
              </w:p>
            </w:tc>
            <w:sdt>
              <w:sdtPr>
                <w:rPr>
                  <w:rFonts w:hint="eastAsia"/>
                  <w:szCs w:val="21"/>
                </w:rPr>
                <w:alias w:val="无形资产明细-账面价值"/>
                <w:tag w:val="_GBC_0b19a4c648ba480089434ba288096fad"/>
                <w:id w:val="24724696"/>
                <w:lock w:val="sdtLocked"/>
              </w:sdtPr>
              <w:sdtContent>
                <w:tc>
                  <w:tcPr>
                    <w:tcW w:w="1149" w:type="pct"/>
                    <w:shd w:val="clear" w:color="auto" w:fill="auto"/>
                  </w:tcPr>
                  <w:p w:rsidR="00DE031E" w:rsidRDefault="001C1A59" w:rsidP="00DE031E">
                    <w:pPr>
                      <w:jc w:val="right"/>
                      <w:rPr>
                        <w:szCs w:val="21"/>
                      </w:rPr>
                    </w:pPr>
                    <w:r>
                      <w:rPr>
                        <w:szCs w:val="21"/>
                      </w:rPr>
                      <w:t>21,842,224.47</w:t>
                    </w:r>
                  </w:p>
                </w:tc>
              </w:sdtContent>
            </w:sdt>
            <w:sdt>
              <w:sdtPr>
                <w:rPr>
                  <w:rFonts w:hint="eastAsia"/>
                  <w:szCs w:val="21"/>
                </w:rPr>
                <w:alias w:val="无形资产明细-账面价值"/>
                <w:tag w:val="_GBC_0b19a4c648ba480089434ba288096fad"/>
                <w:id w:val="24724697"/>
                <w:lock w:val="sdtLocked"/>
              </w:sdtPr>
              <w:sdtContent>
                <w:tc>
                  <w:tcPr>
                    <w:tcW w:w="1199" w:type="pct"/>
                    <w:shd w:val="clear" w:color="auto" w:fill="auto"/>
                  </w:tcPr>
                  <w:p w:rsidR="00DE031E" w:rsidRDefault="001C1A59" w:rsidP="00DE031E">
                    <w:pPr>
                      <w:jc w:val="right"/>
                      <w:rPr>
                        <w:szCs w:val="21"/>
                      </w:rPr>
                    </w:pPr>
                    <w:r>
                      <w:rPr>
                        <w:szCs w:val="21"/>
                      </w:rPr>
                      <w:t>1,400,000.00</w:t>
                    </w:r>
                  </w:p>
                </w:tc>
              </w:sdtContent>
            </w:sdt>
            <w:sdt>
              <w:sdtPr>
                <w:rPr>
                  <w:szCs w:val="21"/>
                </w:rPr>
                <w:alias w:val="无形资产"/>
                <w:tag w:val="_GBC_a8688ea6652a4b4ca2c2198b23869c46"/>
                <w:id w:val="24724698"/>
                <w:lock w:val="sdtLocked"/>
              </w:sdtPr>
              <w:sdtContent>
                <w:tc>
                  <w:tcPr>
                    <w:tcW w:w="1169" w:type="pct"/>
                    <w:shd w:val="clear" w:color="auto" w:fill="auto"/>
                  </w:tcPr>
                  <w:p w:rsidR="00DE031E" w:rsidRDefault="001C1A59" w:rsidP="00DE031E">
                    <w:pPr>
                      <w:jc w:val="right"/>
                      <w:rPr>
                        <w:szCs w:val="21"/>
                      </w:rPr>
                    </w:pPr>
                    <w:r>
                      <w:rPr>
                        <w:szCs w:val="21"/>
                      </w:rPr>
                      <w:t>23,242,224.47</w:t>
                    </w:r>
                  </w:p>
                </w:tc>
              </w:sdtContent>
            </w:sdt>
          </w:tr>
        </w:tbl>
        <w:p w:rsidR="00DE031E" w:rsidRDefault="001C1A59" w:rsidP="003A0284">
          <w:pPr>
            <w:spacing w:beforeLines="50" w:line="360" w:lineRule="auto"/>
          </w:pPr>
          <w:r>
            <w:rPr>
              <w:rFonts w:hAnsi="Calibri" w:hint="eastAsia"/>
              <w:sz w:val="22"/>
              <w:szCs w:val="22"/>
            </w:rPr>
            <w:t>本年无形资产的摊销额为</w:t>
          </w:r>
          <w:r>
            <w:rPr>
              <w:rFonts w:ascii="Arial" w:hAnsi="Arial" w:cs="Arial" w:hint="eastAsia"/>
              <w:sz w:val="22"/>
              <w:szCs w:val="22"/>
            </w:rPr>
            <w:t>1</w:t>
          </w:r>
          <w:r>
            <w:rPr>
              <w:rFonts w:ascii="Arial" w:hAnsi="Arial" w:cs="Arial"/>
              <w:sz w:val="22"/>
              <w:szCs w:val="22"/>
            </w:rPr>
            <w:t>,</w:t>
          </w:r>
          <w:r>
            <w:rPr>
              <w:rFonts w:ascii="Arial" w:hAnsi="Arial" w:cs="Arial" w:hint="eastAsia"/>
              <w:sz w:val="22"/>
              <w:szCs w:val="22"/>
            </w:rPr>
            <w:t>274</w:t>
          </w:r>
          <w:r>
            <w:rPr>
              <w:rFonts w:ascii="Arial" w:hAnsi="Arial" w:cs="Arial"/>
              <w:sz w:val="22"/>
              <w:szCs w:val="22"/>
            </w:rPr>
            <w:t>,</w:t>
          </w:r>
          <w:r>
            <w:rPr>
              <w:rFonts w:ascii="Arial" w:hAnsi="Arial" w:cs="Arial" w:hint="eastAsia"/>
              <w:sz w:val="22"/>
              <w:szCs w:val="22"/>
            </w:rPr>
            <w:t>533</w:t>
          </w:r>
          <w:r>
            <w:rPr>
              <w:rFonts w:ascii="Arial" w:hAnsi="Arial" w:cs="Arial"/>
              <w:sz w:val="22"/>
              <w:szCs w:val="22"/>
            </w:rPr>
            <w:t>.</w:t>
          </w:r>
          <w:r>
            <w:rPr>
              <w:rFonts w:ascii="Arial" w:hAnsi="Arial" w:cs="Arial" w:hint="eastAsia"/>
              <w:sz w:val="22"/>
              <w:szCs w:val="22"/>
            </w:rPr>
            <w:t>60</w:t>
          </w:r>
          <w:r>
            <w:rPr>
              <w:rFonts w:hAnsi="Calibri" w:hint="eastAsia"/>
              <w:sz w:val="22"/>
              <w:szCs w:val="22"/>
            </w:rPr>
            <w:t>元。</w:t>
          </w:r>
        </w:p>
        <w:p w:rsidR="00DE031E" w:rsidRDefault="00DE031E"/>
        <w:p w:rsidR="00DE031E" w:rsidRPr="008C7191" w:rsidRDefault="00DE031E"/>
        <w:p w:rsidR="00DE031E" w:rsidRDefault="00DE031E"/>
        <w:p w:rsidR="00DE031E" w:rsidRDefault="00DE031E"/>
        <w:p w:rsidR="00DE031E" w:rsidRDefault="00DE031E"/>
        <w:p w:rsidR="00DE031E" w:rsidRDefault="00DE031E"/>
        <w:p w:rsidR="00DE031E" w:rsidRDefault="00422DCA"/>
      </w:sdtContent>
    </w:sdt>
    <w:sdt>
      <w:sdtPr>
        <w:rPr>
          <w:szCs w:val="21"/>
        </w:rPr>
        <w:tag w:val="_GBC_c2d02a8bb1274cb1bf0330030cc64229"/>
        <w:id w:val="24724701"/>
        <w:lock w:val="sdtLocked"/>
        <w:placeholder>
          <w:docPart w:val="GBC22222222222222222222222222222"/>
        </w:placeholder>
      </w:sdtPr>
      <w:sdtContent>
        <w:sdt>
          <w:sdtPr>
            <w:rPr>
              <w:szCs w:val="21"/>
            </w:rPr>
            <w:alias w:val="无形资产的说明"/>
            <w:tag w:val="_GBC_1f281f7116944d4bacd2204d25895376"/>
            <w:id w:val="24724700"/>
            <w:lock w:val="sdtLocked"/>
            <w:placeholder>
              <w:docPart w:val="GBC22222222222222222222222222222"/>
            </w:placeholder>
          </w:sdtPr>
          <w:sdtContent>
            <w:p w:rsidR="00DE031E" w:rsidRDefault="001C1A59" w:rsidP="00DE031E">
              <w:pPr>
                <w:spacing w:line="360" w:lineRule="auto"/>
                <w:rPr>
                  <w:rFonts w:ascii="Arial" w:hAnsi="Arial" w:cs="Arial"/>
                  <w:sz w:val="22"/>
                  <w:szCs w:val="22"/>
                </w:rPr>
              </w:pPr>
              <w:r w:rsidRPr="00437FB4">
                <w:rPr>
                  <w:rFonts w:ascii="Arial" w:hAnsi="Arial" w:cs="Arial"/>
                  <w:sz w:val="22"/>
                  <w:szCs w:val="22"/>
                </w:rPr>
                <w:t>（</w:t>
              </w:r>
              <w:r w:rsidRPr="00437FB4">
                <w:rPr>
                  <w:rFonts w:ascii="Arial" w:hAnsi="Arial" w:cs="Arial"/>
                  <w:sz w:val="22"/>
                  <w:szCs w:val="22"/>
                </w:rPr>
                <w:t>2</w:t>
              </w:r>
              <w:r w:rsidRPr="00437FB4">
                <w:rPr>
                  <w:rFonts w:ascii="Arial" w:hAnsi="Arial" w:cs="Arial"/>
                  <w:sz w:val="22"/>
                  <w:szCs w:val="22"/>
                </w:rPr>
                <w:t>）</w:t>
              </w:r>
              <w:r w:rsidRPr="00687C1B">
                <w:rPr>
                  <w:rFonts w:ascii="Arial" w:hAnsi="Arial" w:cs="Arial"/>
                  <w:sz w:val="22"/>
                  <w:szCs w:val="22"/>
                </w:rPr>
                <w:t>交易席位费明细如下：</w:t>
              </w:r>
            </w:p>
            <w:p w:rsidR="00A15A30" w:rsidRPr="00687C1B" w:rsidRDefault="00A15A30" w:rsidP="00A15A30">
              <w:pPr>
                <w:jc w:val="right"/>
                <w:rPr>
                  <w:rFonts w:ascii="Arial" w:hAnsi="Arial" w:cs="Arial"/>
                  <w:sz w:val="22"/>
                  <w:szCs w:val="22"/>
                </w:rPr>
              </w:pPr>
              <w:r>
                <w:rPr>
                  <w:rFonts w:hint="eastAsia"/>
                </w:rPr>
                <w:t>单位：元  币种：人民币</w:t>
              </w:r>
            </w:p>
            <w:tbl>
              <w:tblPr>
                <w:tblW w:w="5007" w:type="pct"/>
                <w:tblLook w:val="04A0"/>
              </w:tblPr>
              <w:tblGrid>
                <w:gridCol w:w="1476"/>
                <w:gridCol w:w="222"/>
                <w:gridCol w:w="1455"/>
                <w:gridCol w:w="222"/>
                <w:gridCol w:w="1730"/>
                <w:gridCol w:w="222"/>
                <w:gridCol w:w="939"/>
                <w:gridCol w:w="222"/>
                <w:gridCol w:w="977"/>
                <w:gridCol w:w="222"/>
                <w:gridCol w:w="1375"/>
              </w:tblGrid>
              <w:tr w:rsidR="00DE031E" w:rsidRPr="00F040B1" w:rsidTr="00DE031E">
                <w:trPr>
                  <w:trHeight w:val="340"/>
                  <w:tblHeader/>
                </w:trPr>
                <w:tc>
                  <w:tcPr>
                    <w:tcW w:w="794"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rPr>
                        <w:rFonts w:ascii="Arial" w:hAnsi="Arial" w:cs="Arial"/>
                        <w:b/>
                        <w:bCs/>
                        <w:sz w:val="18"/>
                        <w:szCs w:val="18"/>
                      </w:rPr>
                    </w:pPr>
                    <w:r w:rsidRPr="00F040B1">
                      <w:rPr>
                        <w:rFonts w:ascii="Arial" w:hAnsi="Arial" w:cs="Arial"/>
                        <w:b/>
                        <w:bCs/>
                        <w:sz w:val="18"/>
                        <w:szCs w:val="18"/>
                      </w:rPr>
                      <w:t>项目</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spacing w:line="240" w:lineRule="exact"/>
                      <w:jc w:val="center"/>
                      <w:rPr>
                        <w:rFonts w:ascii="Arial" w:hAnsi="Arial" w:cs="Arial"/>
                        <w:b/>
                        <w:bCs/>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bCs/>
                        <w:spacing w:val="-20"/>
                        <w:sz w:val="18"/>
                        <w:szCs w:val="18"/>
                      </w:rPr>
                    </w:pPr>
                    <w:r w:rsidRPr="00F040B1">
                      <w:rPr>
                        <w:rFonts w:ascii="Arial" w:hAnsi="Arial" w:cs="Arial" w:hint="eastAsia"/>
                        <w:b/>
                        <w:bCs/>
                        <w:spacing w:val="-20"/>
                        <w:sz w:val="18"/>
                        <w:szCs w:val="18"/>
                      </w:rPr>
                      <w:t>2014</w:t>
                    </w:r>
                    <w:r w:rsidRPr="00F040B1">
                      <w:rPr>
                        <w:rFonts w:ascii="Arial" w:hAnsi="Arial" w:cs="Arial" w:hint="eastAsia"/>
                        <w:b/>
                        <w:bCs/>
                        <w:spacing w:val="-20"/>
                        <w:sz w:val="18"/>
                        <w:szCs w:val="18"/>
                      </w:rPr>
                      <w:t>年</w:t>
                    </w:r>
                    <w:r w:rsidRPr="00F040B1">
                      <w:rPr>
                        <w:rFonts w:ascii="Arial" w:hAnsi="Arial" w:cs="Arial" w:hint="eastAsia"/>
                        <w:b/>
                        <w:bCs/>
                        <w:spacing w:val="-20"/>
                        <w:sz w:val="18"/>
                        <w:szCs w:val="18"/>
                      </w:rPr>
                      <w:t>12</w:t>
                    </w:r>
                    <w:r w:rsidRPr="00F040B1">
                      <w:rPr>
                        <w:rFonts w:ascii="Arial" w:hAnsi="Arial" w:cs="Arial" w:hint="eastAsia"/>
                        <w:b/>
                        <w:bCs/>
                        <w:spacing w:val="-20"/>
                        <w:sz w:val="18"/>
                        <w:szCs w:val="18"/>
                      </w:rPr>
                      <w:t>月</w:t>
                    </w:r>
                    <w:r w:rsidRPr="00F040B1">
                      <w:rPr>
                        <w:rFonts w:ascii="Arial" w:hAnsi="Arial" w:cs="Arial" w:hint="eastAsia"/>
                        <w:b/>
                        <w:bCs/>
                        <w:spacing w:val="-20"/>
                        <w:sz w:val="18"/>
                        <w:szCs w:val="18"/>
                      </w:rPr>
                      <w:t>31</w:t>
                    </w:r>
                    <w:r w:rsidRPr="00F040B1">
                      <w:rPr>
                        <w:rFonts w:ascii="Arial" w:hAnsi="Arial" w:cs="Arial" w:hint="eastAsia"/>
                        <w:b/>
                        <w:bCs/>
                        <w:spacing w:val="-20"/>
                        <w:sz w:val="18"/>
                        <w:szCs w:val="18"/>
                      </w:rPr>
                      <w:t>日</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spacing w:before="260" w:after="260" w:line="240" w:lineRule="exact"/>
                      <w:jc w:val="right"/>
                      <w:outlineLvl w:val="1"/>
                      <w:rPr>
                        <w:rFonts w:ascii="Arial" w:hAnsi="Arial" w:cs="Arial"/>
                        <w:b/>
                        <w:bCs/>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bCs/>
                        <w:sz w:val="18"/>
                        <w:szCs w:val="18"/>
                      </w:rPr>
                    </w:pPr>
                    <w:r w:rsidRPr="00F040B1">
                      <w:rPr>
                        <w:rFonts w:ascii="Arial" w:hAnsi="Arial" w:cs="Arial"/>
                        <w:b/>
                        <w:bCs/>
                        <w:sz w:val="18"/>
                        <w:szCs w:val="18"/>
                      </w:rPr>
                      <w:t>本年增加</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spacing w:before="260" w:after="260" w:line="240" w:lineRule="exact"/>
                      <w:jc w:val="right"/>
                      <w:outlineLvl w:val="1"/>
                      <w:rPr>
                        <w:rFonts w:ascii="Arial" w:hAnsi="Arial" w:cs="Arial"/>
                        <w:b/>
                        <w:bCs/>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bCs/>
                        <w:sz w:val="18"/>
                        <w:szCs w:val="18"/>
                      </w:rPr>
                    </w:pPr>
                    <w:r w:rsidRPr="00F040B1">
                      <w:rPr>
                        <w:rFonts w:ascii="Arial" w:hAnsi="Arial" w:cs="Arial"/>
                        <w:b/>
                        <w:bCs/>
                        <w:sz w:val="18"/>
                        <w:szCs w:val="18"/>
                      </w:rPr>
                      <w:t>本年减少</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spacing w:before="260" w:after="260" w:line="240" w:lineRule="exact"/>
                      <w:jc w:val="right"/>
                      <w:outlineLvl w:val="1"/>
                      <w:rPr>
                        <w:rFonts w:ascii="Arial" w:hAnsi="Arial" w:cs="Arial"/>
                        <w:b/>
                        <w:bCs/>
                        <w:sz w:val="18"/>
                        <w:szCs w:val="18"/>
                      </w:rPr>
                    </w:pPr>
                  </w:p>
                </w:tc>
                <w:tc>
                  <w:tcPr>
                    <w:tcW w:w="558" w:type="pct"/>
                    <w:tcBorders>
                      <w:top w:val="nil"/>
                      <w:left w:val="nil"/>
                      <w:bottom w:val="nil"/>
                      <w:right w:val="nil"/>
                    </w:tcBorders>
                    <w:vAlign w:val="center"/>
                  </w:tcPr>
                  <w:p w:rsidR="00DE031E" w:rsidRPr="00F040B1" w:rsidRDefault="001C1A59" w:rsidP="00DE031E">
                    <w:pPr>
                      <w:spacing w:line="240" w:lineRule="exact"/>
                      <w:ind w:leftChars="-50" w:left="-105"/>
                      <w:jc w:val="right"/>
                      <w:rPr>
                        <w:rFonts w:ascii="Arial" w:hAnsi="Arial" w:cs="Arial"/>
                        <w:b/>
                        <w:sz w:val="18"/>
                        <w:szCs w:val="18"/>
                      </w:rPr>
                    </w:pPr>
                    <w:r w:rsidRPr="00F040B1">
                      <w:rPr>
                        <w:rFonts w:ascii="Arial" w:hAnsi="Arial" w:cs="Arial"/>
                        <w:b/>
                        <w:sz w:val="18"/>
                        <w:szCs w:val="18"/>
                      </w:rPr>
                      <w:t>外币报表</w:t>
                    </w:r>
                  </w:p>
                  <w:p w:rsidR="00DE031E" w:rsidRPr="00F040B1" w:rsidRDefault="001C1A59" w:rsidP="00DE031E">
                    <w:pPr>
                      <w:spacing w:line="240" w:lineRule="exact"/>
                      <w:ind w:leftChars="-50" w:left="-105"/>
                      <w:jc w:val="right"/>
                      <w:rPr>
                        <w:rFonts w:ascii="Arial" w:hAnsi="Arial" w:cs="Arial"/>
                        <w:b/>
                        <w:bCs/>
                        <w:sz w:val="18"/>
                        <w:szCs w:val="18"/>
                      </w:rPr>
                    </w:pPr>
                    <w:r w:rsidRPr="00F040B1">
                      <w:rPr>
                        <w:rFonts w:ascii="Arial" w:hAnsi="Arial" w:cs="Arial"/>
                        <w:b/>
                        <w:sz w:val="18"/>
                        <w:szCs w:val="18"/>
                      </w:rPr>
                      <w:t>折算差额</w:t>
                    </w:r>
                  </w:p>
                </w:tc>
                <w:tc>
                  <w:tcPr>
                    <w:tcW w:w="119" w:type="pct"/>
                    <w:tcBorders>
                      <w:top w:val="nil"/>
                      <w:left w:val="nil"/>
                      <w:bottom w:val="nil"/>
                      <w:right w:val="nil"/>
                    </w:tcBorders>
                    <w:vAlign w:val="center"/>
                  </w:tcPr>
                  <w:p w:rsidR="00DE031E" w:rsidRPr="00F040B1" w:rsidRDefault="00DE031E" w:rsidP="00DE031E">
                    <w:pPr>
                      <w:keepNext/>
                      <w:keepLines/>
                      <w:spacing w:before="260" w:after="260" w:line="240" w:lineRule="exact"/>
                      <w:jc w:val="right"/>
                      <w:outlineLvl w:val="1"/>
                      <w:rPr>
                        <w:rFonts w:ascii="Arial" w:hAnsi="Arial" w:cs="Arial"/>
                        <w:b/>
                        <w:bCs/>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bCs/>
                        <w:sz w:val="18"/>
                        <w:szCs w:val="18"/>
                      </w:rPr>
                    </w:pPr>
                    <w:r w:rsidRPr="00F040B1">
                      <w:rPr>
                        <w:rFonts w:ascii="Arial" w:hAnsi="Arial" w:cs="Arial" w:hint="eastAsia"/>
                        <w:b/>
                        <w:bCs/>
                        <w:spacing w:val="-20"/>
                        <w:sz w:val="18"/>
                        <w:szCs w:val="18"/>
                      </w:rPr>
                      <w:t>2015</w:t>
                    </w:r>
                    <w:r w:rsidRPr="00F040B1">
                      <w:rPr>
                        <w:rFonts w:ascii="Arial" w:hAnsi="Arial" w:cs="Arial" w:hint="eastAsia"/>
                        <w:b/>
                        <w:bCs/>
                        <w:spacing w:val="-20"/>
                        <w:sz w:val="18"/>
                        <w:szCs w:val="18"/>
                      </w:rPr>
                      <w:t>年</w:t>
                    </w:r>
                    <w:r w:rsidRPr="00F040B1">
                      <w:rPr>
                        <w:rFonts w:ascii="Arial" w:hAnsi="Arial" w:cs="Arial" w:hint="eastAsia"/>
                        <w:b/>
                        <w:bCs/>
                        <w:spacing w:val="-20"/>
                        <w:sz w:val="18"/>
                        <w:szCs w:val="18"/>
                      </w:rPr>
                      <w:t>6</w:t>
                    </w:r>
                    <w:r w:rsidRPr="00F040B1">
                      <w:rPr>
                        <w:rFonts w:ascii="Arial" w:hAnsi="Arial" w:cs="Arial" w:hint="eastAsia"/>
                        <w:b/>
                        <w:bCs/>
                        <w:spacing w:val="-20"/>
                        <w:sz w:val="18"/>
                        <w:szCs w:val="18"/>
                      </w:rPr>
                      <w:t>月</w:t>
                    </w:r>
                    <w:r w:rsidRPr="00F040B1">
                      <w:rPr>
                        <w:rFonts w:ascii="Arial" w:hAnsi="Arial" w:cs="Arial" w:hint="eastAsia"/>
                        <w:b/>
                        <w:bCs/>
                        <w:spacing w:val="-20"/>
                        <w:sz w:val="18"/>
                        <w:szCs w:val="18"/>
                      </w:rPr>
                      <w:t>30</w:t>
                    </w:r>
                    <w:r w:rsidRPr="00F040B1">
                      <w:rPr>
                        <w:rFonts w:ascii="Arial" w:hAnsi="Arial" w:cs="Arial" w:hint="eastAsia"/>
                        <w:b/>
                        <w:bCs/>
                        <w:spacing w:val="-20"/>
                        <w:sz w:val="18"/>
                        <w:szCs w:val="18"/>
                      </w:rPr>
                      <w:t>日</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原价</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77,980,647.88</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2,500,000.00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1C1A59" w:rsidP="00DE031E">
                    <w:pPr>
                      <w:jc w:val="right"/>
                      <w:rPr>
                        <w:rFonts w:ascii="Arial" w:hAnsi="Arial" w:cs="Arial"/>
                        <w:b/>
                        <w:bCs/>
                        <w:color w:val="000000"/>
                        <w:sz w:val="18"/>
                        <w:szCs w:val="18"/>
                      </w:rPr>
                    </w:pPr>
                    <w:r w:rsidRPr="00F040B1">
                      <w:rPr>
                        <w:rFonts w:ascii="Arial" w:hAnsi="Arial" w:cs="Arial" w:hint="eastAsia"/>
                        <w:b/>
                        <w:bCs/>
                        <w:color w:val="000000"/>
                        <w:sz w:val="18"/>
                        <w:szCs w:val="18"/>
                      </w:rPr>
                      <w:t>-</w:t>
                    </w:r>
                    <w:r w:rsidRPr="00F040B1">
                      <w:rPr>
                        <w:rFonts w:ascii="Arial" w:hAnsi="Arial" w:cs="Arial"/>
                        <w:b/>
                        <w:bCs/>
                        <w:color w:val="000000"/>
                        <w:sz w:val="18"/>
                        <w:szCs w:val="18"/>
                      </w:rPr>
                      <w:t>5,720.41</w:t>
                    </w: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b/>
                        <w:bCs/>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80,474,927.47</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上海证券交易所</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33,930,285.60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1,150,000.00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35,080,285.60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A</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32,906,055.60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1,150,000.00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34,056,055.60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B</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1,024,230.00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1,024,230.00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深圳证券交易所</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26,194,000.00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1,350,000.00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27,544,000.00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A</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25,624,000.00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1,350,000.00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26,974,000.00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B</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570,000.00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570,000.00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其他</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17,856,362.28</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1C1A59" w:rsidP="00DE031E">
                    <w:pPr>
                      <w:jc w:val="right"/>
                      <w:rPr>
                        <w:rFonts w:ascii="Arial" w:hAnsi="Arial" w:cs="Arial"/>
                        <w:color w:val="000000"/>
                        <w:sz w:val="18"/>
                        <w:szCs w:val="18"/>
                      </w:rPr>
                    </w:pPr>
                    <w:r w:rsidRPr="00F040B1">
                      <w:rPr>
                        <w:rFonts w:ascii="Arial" w:hAnsi="Arial" w:cs="Arial" w:hint="eastAsia"/>
                        <w:color w:val="000000"/>
                        <w:sz w:val="18"/>
                        <w:szCs w:val="18"/>
                      </w:rPr>
                      <w:t>-</w:t>
                    </w:r>
                    <w:r w:rsidRPr="00F040B1">
                      <w:rPr>
                        <w:rFonts w:ascii="Arial" w:hAnsi="Arial" w:cs="Arial"/>
                        <w:color w:val="000000"/>
                        <w:sz w:val="18"/>
                        <w:szCs w:val="18"/>
                      </w:rPr>
                      <w:t>5,720.41</w:t>
                    </w: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17,850,641.87</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累计摊销</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56,138,423.41</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1,274,533.60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1C1A59" w:rsidP="00DE031E">
                    <w:pPr>
                      <w:jc w:val="right"/>
                      <w:rPr>
                        <w:rFonts w:ascii="Arial" w:hAnsi="Arial" w:cs="Arial"/>
                        <w:b/>
                        <w:bCs/>
                        <w:color w:val="000000"/>
                        <w:sz w:val="18"/>
                        <w:szCs w:val="18"/>
                      </w:rPr>
                    </w:pPr>
                    <w:r w:rsidRPr="00F040B1">
                      <w:rPr>
                        <w:rFonts w:ascii="Arial" w:hAnsi="Arial" w:cs="Arial" w:hint="eastAsia"/>
                        <w:b/>
                        <w:bCs/>
                        <w:color w:val="000000"/>
                        <w:sz w:val="18"/>
                        <w:szCs w:val="18"/>
                      </w:rPr>
                      <w:t>-</w:t>
                    </w:r>
                    <w:r w:rsidRPr="00F040B1">
                      <w:rPr>
                        <w:rFonts w:ascii="Arial" w:hAnsi="Arial" w:cs="Arial"/>
                        <w:b/>
                        <w:bCs/>
                        <w:color w:val="000000"/>
                        <w:sz w:val="18"/>
                        <w:szCs w:val="18"/>
                      </w:rPr>
                      <w:t>377.00</w:t>
                    </w: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b/>
                        <w:bCs/>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57,412,580.01</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上海证券交易所</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30,059,772.54</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855,000.06</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30,914,772.60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A</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29,035,542.54</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855,000.06</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29,890,542.60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B</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1,024,230.00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1,024,230.00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深圳证券交易所</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24,934,789.37</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419,533.54</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25,354,322.91</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A</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24,364,789.37</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419,533.54</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24,784,322.91</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B</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570,000.00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570,000.00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其他</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1,143,861.50</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1C1A59" w:rsidP="00DE031E">
                    <w:pPr>
                      <w:jc w:val="right"/>
                      <w:rPr>
                        <w:rFonts w:ascii="Arial" w:hAnsi="Arial" w:cs="Arial"/>
                        <w:color w:val="000000"/>
                        <w:sz w:val="18"/>
                        <w:szCs w:val="18"/>
                      </w:rPr>
                    </w:pPr>
                    <w:r w:rsidRPr="00F040B1">
                      <w:rPr>
                        <w:rFonts w:ascii="Arial" w:hAnsi="Arial" w:cs="Arial" w:hint="eastAsia"/>
                        <w:color w:val="000000"/>
                        <w:sz w:val="18"/>
                        <w:szCs w:val="18"/>
                      </w:rPr>
                      <w:t>-</w:t>
                    </w:r>
                    <w:r w:rsidRPr="00F040B1">
                      <w:rPr>
                        <w:rFonts w:ascii="Arial" w:hAnsi="Arial" w:cs="Arial"/>
                        <w:color w:val="000000"/>
                        <w:sz w:val="18"/>
                        <w:szCs w:val="18"/>
                      </w:rPr>
                      <w:t>377.00</w:t>
                    </w: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1,143,484.50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账面价值</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21,842,224.47</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1C1A59" w:rsidP="00DE031E">
                    <w:pPr>
                      <w:jc w:val="right"/>
                      <w:rPr>
                        <w:rFonts w:ascii="Arial" w:hAnsi="Arial" w:cs="Arial"/>
                        <w:b/>
                        <w:bCs/>
                        <w:color w:val="000000"/>
                        <w:sz w:val="18"/>
                        <w:szCs w:val="18"/>
                      </w:rPr>
                    </w:pPr>
                    <w:r w:rsidRPr="00F040B1">
                      <w:rPr>
                        <w:rFonts w:ascii="Arial" w:hAnsi="Arial" w:cs="Arial" w:hint="eastAsia"/>
                        <w:b/>
                        <w:bCs/>
                        <w:color w:val="000000"/>
                        <w:sz w:val="18"/>
                        <w:szCs w:val="18"/>
                      </w:rPr>
                      <w:t>-</w:t>
                    </w:r>
                    <w:r w:rsidRPr="00F040B1">
                      <w:rPr>
                        <w:rFonts w:ascii="Arial" w:hAnsi="Arial" w:cs="Arial"/>
                        <w:b/>
                        <w:bCs/>
                        <w:color w:val="000000"/>
                        <w:sz w:val="18"/>
                        <w:szCs w:val="18"/>
                      </w:rPr>
                      <w:t>5,343.41</w:t>
                    </w: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b/>
                        <w:bCs/>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ED6149">
                    <w:pPr>
                      <w:jc w:val="right"/>
                      <w:rPr>
                        <w:rFonts w:ascii="Arial" w:hAnsi="Arial" w:cs="Arial"/>
                        <w:b/>
                        <w:bCs/>
                        <w:color w:val="000000"/>
                        <w:sz w:val="18"/>
                        <w:szCs w:val="18"/>
                      </w:rPr>
                    </w:pPr>
                    <w:r w:rsidRPr="00F040B1">
                      <w:rPr>
                        <w:rFonts w:ascii="Arial" w:hAnsi="Arial" w:cs="Arial"/>
                        <w:b/>
                        <w:bCs/>
                        <w:color w:val="000000"/>
                        <w:sz w:val="18"/>
                        <w:szCs w:val="18"/>
                      </w:rPr>
                      <w:t>2</w:t>
                    </w:r>
                    <w:r w:rsidR="00ED6149">
                      <w:rPr>
                        <w:rFonts w:ascii="Arial" w:hAnsi="Arial" w:cs="Arial" w:hint="eastAsia"/>
                        <w:b/>
                        <w:bCs/>
                        <w:color w:val="000000"/>
                        <w:sz w:val="18"/>
                        <w:szCs w:val="18"/>
                      </w:rPr>
                      <w:t>3</w:t>
                    </w:r>
                    <w:r w:rsidRPr="00F040B1">
                      <w:rPr>
                        <w:rFonts w:ascii="Arial" w:hAnsi="Arial" w:cs="Arial"/>
                        <w:b/>
                        <w:bCs/>
                        <w:color w:val="000000"/>
                        <w:sz w:val="18"/>
                        <w:szCs w:val="18"/>
                      </w:rPr>
                      <w:t>,</w:t>
                    </w:r>
                    <w:r w:rsidR="00ED6149">
                      <w:rPr>
                        <w:rFonts w:ascii="Arial" w:hAnsi="Arial" w:cs="Arial" w:hint="eastAsia"/>
                        <w:b/>
                        <w:bCs/>
                        <w:color w:val="000000"/>
                        <w:sz w:val="18"/>
                        <w:szCs w:val="18"/>
                      </w:rPr>
                      <w:t>062</w:t>
                    </w:r>
                    <w:r w:rsidRPr="00F040B1">
                      <w:rPr>
                        <w:rFonts w:ascii="Arial" w:hAnsi="Arial" w:cs="Arial"/>
                        <w:b/>
                        <w:bCs/>
                        <w:color w:val="000000"/>
                        <w:sz w:val="18"/>
                        <w:szCs w:val="18"/>
                      </w:rPr>
                      <w:t>,</w:t>
                    </w:r>
                    <w:r w:rsidR="00ED6149">
                      <w:rPr>
                        <w:rFonts w:ascii="Arial" w:hAnsi="Arial" w:cs="Arial" w:hint="eastAsia"/>
                        <w:b/>
                        <w:bCs/>
                        <w:color w:val="000000"/>
                        <w:sz w:val="18"/>
                        <w:szCs w:val="18"/>
                      </w:rPr>
                      <w:t>347</w:t>
                    </w:r>
                    <w:r w:rsidRPr="00F040B1">
                      <w:rPr>
                        <w:rFonts w:ascii="Arial" w:hAnsi="Arial" w:cs="Arial"/>
                        <w:b/>
                        <w:bCs/>
                        <w:color w:val="000000"/>
                        <w:sz w:val="18"/>
                        <w:szCs w:val="18"/>
                      </w:rPr>
                      <w:t>.4</w:t>
                    </w:r>
                    <w:r w:rsidR="00ED6149">
                      <w:rPr>
                        <w:rFonts w:ascii="Arial" w:hAnsi="Arial" w:cs="Arial" w:hint="eastAsia"/>
                        <w:b/>
                        <w:bCs/>
                        <w:color w:val="000000"/>
                        <w:sz w:val="18"/>
                        <w:szCs w:val="18"/>
                      </w:rPr>
                      <w:t>6</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上海证券交易所</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3,870,513.06</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ED6149" w:rsidP="00ED6149">
                    <w:pPr>
                      <w:jc w:val="right"/>
                      <w:rPr>
                        <w:rFonts w:ascii="Arial" w:hAnsi="Arial" w:cs="Arial"/>
                        <w:color w:val="000000"/>
                        <w:sz w:val="18"/>
                        <w:szCs w:val="18"/>
                      </w:rPr>
                    </w:pPr>
                    <w:r>
                      <w:rPr>
                        <w:rFonts w:ascii="Arial" w:hAnsi="Arial" w:cs="Arial" w:hint="eastAsia"/>
                        <w:color w:val="000000"/>
                        <w:sz w:val="18"/>
                        <w:szCs w:val="18"/>
                      </w:rPr>
                      <w:t>4</w:t>
                    </w:r>
                    <w:r w:rsidR="001C1A59" w:rsidRPr="00F040B1">
                      <w:rPr>
                        <w:rFonts w:ascii="Arial" w:hAnsi="Arial" w:cs="Arial"/>
                        <w:color w:val="000000"/>
                        <w:sz w:val="18"/>
                        <w:szCs w:val="18"/>
                      </w:rPr>
                      <w:t>,</w:t>
                    </w:r>
                    <w:r>
                      <w:rPr>
                        <w:rFonts w:ascii="Arial" w:hAnsi="Arial" w:cs="Arial" w:hint="eastAsia"/>
                        <w:color w:val="000000"/>
                        <w:sz w:val="18"/>
                        <w:szCs w:val="18"/>
                      </w:rPr>
                      <w:t>165</w:t>
                    </w:r>
                    <w:r w:rsidR="001C1A59" w:rsidRPr="00F040B1">
                      <w:rPr>
                        <w:rFonts w:ascii="Arial" w:hAnsi="Arial" w:cs="Arial"/>
                        <w:color w:val="000000"/>
                        <w:sz w:val="18"/>
                        <w:szCs w:val="18"/>
                      </w:rPr>
                      <w:t>,513.0</w:t>
                    </w:r>
                    <w:r>
                      <w:rPr>
                        <w:rFonts w:ascii="Arial" w:hAnsi="Arial" w:cs="Arial" w:hint="eastAsia"/>
                        <w:color w:val="000000"/>
                        <w:sz w:val="18"/>
                        <w:szCs w:val="18"/>
                      </w:rPr>
                      <w:t>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A</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3,870,513.06</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ED6149" w:rsidP="00DE031E">
                    <w:pPr>
                      <w:jc w:val="right"/>
                      <w:rPr>
                        <w:rFonts w:ascii="Arial" w:hAnsi="Arial" w:cs="Arial"/>
                        <w:color w:val="000000"/>
                        <w:sz w:val="18"/>
                        <w:szCs w:val="18"/>
                      </w:rPr>
                    </w:pPr>
                    <w:r>
                      <w:rPr>
                        <w:rFonts w:ascii="Arial" w:hAnsi="Arial" w:cs="Arial" w:hint="eastAsia"/>
                        <w:color w:val="000000"/>
                        <w:sz w:val="18"/>
                        <w:szCs w:val="18"/>
                      </w:rPr>
                      <w:t>4</w:t>
                    </w:r>
                    <w:r w:rsidRPr="00F040B1">
                      <w:rPr>
                        <w:rFonts w:ascii="Arial" w:hAnsi="Arial" w:cs="Arial"/>
                        <w:color w:val="000000"/>
                        <w:sz w:val="18"/>
                        <w:szCs w:val="18"/>
                      </w:rPr>
                      <w:t>,</w:t>
                    </w:r>
                    <w:r>
                      <w:rPr>
                        <w:rFonts w:ascii="Arial" w:hAnsi="Arial" w:cs="Arial" w:hint="eastAsia"/>
                        <w:color w:val="000000"/>
                        <w:sz w:val="18"/>
                        <w:szCs w:val="18"/>
                      </w:rPr>
                      <w:t>165</w:t>
                    </w:r>
                    <w:r w:rsidRPr="00F040B1">
                      <w:rPr>
                        <w:rFonts w:ascii="Arial" w:hAnsi="Arial" w:cs="Arial"/>
                        <w:color w:val="000000"/>
                        <w:sz w:val="18"/>
                        <w:szCs w:val="18"/>
                      </w:rPr>
                      <w:t>,513.0</w:t>
                    </w:r>
                    <w:r>
                      <w:rPr>
                        <w:rFonts w:ascii="Arial" w:hAnsi="Arial" w:cs="Arial" w:hint="eastAsia"/>
                        <w:color w:val="000000"/>
                        <w:sz w:val="18"/>
                        <w:szCs w:val="18"/>
                      </w:rPr>
                      <w:t>0</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B</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深圳证券交易所</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1,259,210.63</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ED6149" w:rsidP="00ED6149">
                    <w:pPr>
                      <w:jc w:val="right"/>
                      <w:rPr>
                        <w:rFonts w:ascii="Arial" w:hAnsi="Arial" w:cs="Arial"/>
                        <w:color w:val="000000"/>
                        <w:sz w:val="18"/>
                        <w:szCs w:val="18"/>
                      </w:rPr>
                    </w:pPr>
                    <w:r>
                      <w:rPr>
                        <w:rFonts w:ascii="Arial" w:hAnsi="Arial" w:cs="Arial" w:hint="eastAsia"/>
                        <w:color w:val="000000"/>
                        <w:sz w:val="18"/>
                        <w:szCs w:val="18"/>
                      </w:rPr>
                      <w:t>2</w:t>
                    </w:r>
                    <w:r w:rsidR="001C1A59" w:rsidRPr="00F040B1">
                      <w:rPr>
                        <w:rFonts w:ascii="Arial" w:hAnsi="Arial" w:cs="Arial"/>
                        <w:color w:val="000000"/>
                        <w:sz w:val="18"/>
                        <w:szCs w:val="18"/>
                      </w:rPr>
                      <w:t>,</w:t>
                    </w:r>
                    <w:r>
                      <w:rPr>
                        <w:rFonts w:ascii="Arial" w:hAnsi="Arial" w:cs="Arial" w:hint="eastAsia"/>
                        <w:color w:val="000000"/>
                        <w:sz w:val="18"/>
                        <w:szCs w:val="18"/>
                      </w:rPr>
                      <w:t>189</w:t>
                    </w:r>
                    <w:r w:rsidR="001C1A59" w:rsidRPr="00F040B1">
                      <w:rPr>
                        <w:rFonts w:ascii="Arial" w:hAnsi="Arial" w:cs="Arial"/>
                        <w:color w:val="000000"/>
                        <w:sz w:val="18"/>
                        <w:szCs w:val="18"/>
                      </w:rPr>
                      <w:t>,</w:t>
                    </w:r>
                    <w:r>
                      <w:rPr>
                        <w:rFonts w:ascii="Arial" w:hAnsi="Arial" w:cs="Arial" w:hint="eastAsia"/>
                        <w:color w:val="000000"/>
                        <w:sz w:val="18"/>
                        <w:szCs w:val="18"/>
                      </w:rPr>
                      <w:t>677</w:t>
                    </w:r>
                    <w:r w:rsidR="001C1A59" w:rsidRPr="00F040B1">
                      <w:rPr>
                        <w:rFonts w:ascii="Arial" w:hAnsi="Arial" w:cs="Arial"/>
                        <w:color w:val="000000"/>
                        <w:sz w:val="18"/>
                        <w:szCs w:val="18"/>
                      </w:rPr>
                      <w:t>.</w:t>
                    </w:r>
                    <w:r>
                      <w:rPr>
                        <w:rFonts w:ascii="Arial" w:hAnsi="Arial" w:cs="Arial" w:hint="eastAsia"/>
                        <w:color w:val="000000"/>
                        <w:sz w:val="18"/>
                        <w:szCs w:val="18"/>
                      </w:rPr>
                      <w:t>09</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A</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1,259,210.63</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ED6149" w:rsidP="00DE031E">
                    <w:pPr>
                      <w:jc w:val="right"/>
                      <w:rPr>
                        <w:rFonts w:ascii="Arial" w:hAnsi="Arial" w:cs="Arial"/>
                        <w:color w:val="000000"/>
                        <w:sz w:val="18"/>
                        <w:szCs w:val="18"/>
                      </w:rPr>
                    </w:pPr>
                    <w:r>
                      <w:rPr>
                        <w:rFonts w:ascii="Arial" w:hAnsi="Arial" w:cs="Arial" w:hint="eastAsia"/>
                        <w:color w:val="000000"/>
                        <w:sz w:val="18"/>
                        <w:szCs w:val="18"/>
                      </w:rPr>
                      <w:t>2</w:t>
                    </w:r>
                    <w:r w:rsidRPr="00F040B1">
                      <w:rPr>
                        <w:rFonts w:ascii="Arial" w:hAnsi="Arial" w:cs="Arial"/>
                        <w:color w:val="000000"/>
                        <w:sz w:val="18"/>
                        <w:szCs w:val="18"/>
                      </w:rPr>
                      <w:t>,</w:t>
                    </w:r>
                    <w:r>
                      <w:rPr>
                        <w:rFonts w:ascii="Arial" w:hAnsi="Arial" w:cs="Arial" w:hint="eastAsia"/>
                        <w:color w:val="000000"/>
                        <w:sz w:val="18"/>
                        <w:szCs w:val="18"/>
                      </w:rPr>
                      <w:t>189</w:t>
                    </w:r>
                    <w:r w:rsidRPr="00F040B1">
                      <w:rPr>
                        <w:rFonts w:ascii="Arial" w:hAnsi="Arial" w:cs="Arial"/>
                        <w:color w:val="000000"/>
                        <w:sz w:val="18"/>
                        <w:szCs w:val="18"/>
                      </w:rPr>
                      <w:t>,</w:t>
                    </w:r>
                    <w:r>
                      <w:rPr>
                        <w:rFonts w:ascii="Arial" w:hAnsi="Arial" w:cs="Arial" w:hint="eastAsia"/>
                        <w:color w:val="000000"/>
                        <w:sz w:val="18"/>
                        <w:szCs w:val="18"/>
                      </w:rPr>
                      <w:t>677</w:t>
                    </w:r>
                    <w:r w:rsidRPr="00F040B1">
                      <w:rPr>
                        <w:rFonts w:ascii="Arial" w:hAnsi="Arial" w:cs="Arial"/>
                        <w:color w:val="000000"/>
                        <w:sz w:val="18"/>
                        <w:szCs w:val="18"/>
                      </w:rPr>
                      <w:t>.</w:t>
                    </w:r>
                    <w:r>
                      <w:rPr>
                        <w:rFonts w:ascii="Arial" w:hAnsi="Arial" w:cs="Arial" w:hint="eastAsia"/>
                        <w:color w:val="000000"/>
                        <w:sz w:val="18"/>
                        <w:szCs w:val="18"/>
                      </w:rPr>
                      <w:t>09</w:t>
                    </w: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ind w:firstLineChars="100" w:firstLine="180"/>
                      <w:rPr>
                        <w:rFonts w:ascii="Arial" w:hAnsi="Arial" w:cs="Arial"/>
                        <w:b/>
                        <w:bCs/>
                        <w:sz w:val="18"/>
                        <w:szCs w:val="18"/>
                      </w:rPr>
                    </w:pPr>
                    <w:r w:rsidRPr="00F040B1">
                      <w:rPr>
                        <w:rFonts w:ascii="Arial" w:hAnsi="Arial" w:cs="Arial"/>
                        <w:sz w:val="18"/>
                        <w:szCs w:val="18"/>
                      </w:rPr>
                      <w:t>B</w:t>
                    </w:r>
                    <w:r w:rsidRPr="00F040B1">
                      <w:rPr>
                        <w:rFonts w:ascii="Arial" w:hAnsi="Arial" w:cs="Arial"/>
                        <w:sz w:val="18"/>
                        <w:szCs w:val="18"/>
                      </w:rPr>
                      <w:t>股</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DE031E" w:rsidP="00DE031E">
                    <w:pPr>
                      <w:jc w:val="right"/>
                      <w:rPr>
                        <w:rFonts w:ascii="Arial" w:hAnsi="Arial" w:cs="Arial"/>
                        <w:color w:val="000000"/>
                        <w:sz w:val="18"/>
                        <w:szCs w:val="18"/>
                      </w:rPr>
                    </w:pP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r>
              <w:tr w:rsidR="00DE031E" w:rsidRPr="00F040B1" w:rsidTr="00DE031E">
                <w:trPr>
                  <w:trHeight w:val="340"/>
                </w:trPr>
                <w:tc>
                  <w:tcPr>
                    <w:tcW w:w="794"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sz w:val="18"/>
                        <w:szCs w:val="18"/>
                      </w:rPr>
                    </w:pPr>
                    <w:r w:rsidRPr="00F040B1">
                      <w:rPr>
                        <w:rFonts w:ascii="Arial" w:hAnsi="Arial" w:cs="Arial"/>
                        <w:sz w:val="18"/>
                        <w:szCs w:val="18"/>
                      </w:rPr>
                      <w:t>其他</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sz w:val="18"/>
                        <w:szCs w:val="18"/>
                      </w:rPr>
                    </w:pPr>
                  </w:p>
                </w:tc>
                <w:tc>
                  <w:tcPr>
                    <w:tcW w:w="7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16,712,500.78</w:t>
                    </w: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02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05"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119" w:type="pct"/>
                    <w:tcBorders>
                      <w:top w:val="nil"/>
                      <w:left w:val="nil"/>
                      <w:bottom w:val="nil"/>
                      <w:right w:val="nil"/>
                    </w:tcBorders>
                    <w:shd w:val="clear" w:color="auto" w:fill="auto"/>
                    <w:noWrap/>
                    <w:vAlign w:val="center"/>
                    <w:hideMark/>
                  </w:tcPr>
                  <w:p w:rsidR="00DE031E" w:rsidRPr="00F040B1" w:rsidRDefault="00DE031E" w:rsidP="00DE031E">
                    <w:pPr>
                      <w:keepNext/>
                      <w:keepLines/>
                      <w:jc w:val="right"/>
                      <w:outlineLvl w:val="1"/>
                      <w:rPr>
                        <w:rFonts w:ascii="Calibri" w:hAnsi="Calibri"/>
                        <w:sz w:val="18"/>
                        <w:szCs w:val="18"/>
                      </w:rPr>
                    </w:pPr>
                  </w:p>
                </w:tc>
                <w:tc>
                  <w:tcPr>
                    <w:tcW w:w="558" w:type="pct"/>
                    <w:tcBorders>
                      <w:top w:val="nil"/>
                      <w:left w:val="nil"/>
                      <w:bottom w:val="nil"/>
                      <w:right w:val="nil"/>
                    </w:tcBorders>
                    <w:vAlign w:val="center"/>
                  </w:tcPr>
                  <w:p w:rsidR="00DE031E" w:rsidRPr="00F040B1" w:rsidRDefault="001C1A59" w:rsidP="00DE031E">
                    <w:pPr>
                      <w:jc w:val="right"/>
                      <w:rPr>
                        <w:rFonts w:ascii="Arial" w:hAnsi="Arial" w:cs="Arial"/>
                        <w:color w:val="000000"/>
                        <w:sz w:val="18"/>
                        <w:szCs w:val="18"/>
                      </w:rPr>
                    </w:pPr>
                    <w:r w:rsidRPr="00F040B1">
                      <w:rPr>
                        <w:rFonts w:ascii="Arial" w:hAnsi="Arial" w:cs="Arial" w:hint="eastAsia"/>
                        <w:color w:val="000000"/>
                        <w:sz w:val="18"/>
                        <w:szCs w:val="18"/>
                      </w:rPr>
                      <w:t>-</w:t>
                    </w:r>
                    <w:r w:rsidRPr="00F040B1">
                      <w:rPr>
                        <w:rFonts w:ascii="Arial" w:hAnsi="Arial" w:cs="Arial"/>
                        <w:color w:val="000000"/>
                        <w:sz w:val="18"/>
                        <w:szCs w:val="18"/>
                      </w:rPr>
                      <w:t>5,343.41</w:t>
                    </w:r>
                  </w:p>
                </w:tc>
                <w:tc>
                  <w:tcPr>
                    <w:tcW w:w="119" w:type="pct"/>
                    <w:tcBorders>
                      <w:top w:val="nil"/>
                      <w:left w:val="nil"/>
                      <w:bottom w:val="nil"/>
                      <w:right w:val="nil"/>
                    </w:tcBorders>
                    <w:vAlign w:val="center"/>
                  </w:tcPr>
                  <w:p w:rsidR="00DE031E" w:rsidRPr="00F040B1" w:rsidRDefault="00DE031E" w:rsidP="00DE031E">
                    <w:pPr>
                      <w:keepNext/>
                      <w:keepLines/>
                      <w:jc w:val="right"/>
                      <w:outlineLvl w:val="1"/>
                      <w:rPr>
                        <w:rFonts w:ascii="Arial" w:hAnsi="Arial" w:cs="Arial"/>
                        <w:sz w:val="18"/>
                        <w:szCs w:val="18"/>
                      </w:rPr>
                    </w:pPr>
                  </w:p>
                </w:tc>
                <w:tc>
                  <w:tcPr>
                    <w:tcW w:w="73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16,707,157.37</w:t>
                    </w:r>
                  </w:p>
                </w:tc>
              </w:tr>
            </w:tbl>
            <w:p w:rsidR="00DE031E" w:rsidRDefault="00422DCA" w:rsidP="00DE031E">
              <w:pPr>
                <w:rPr>
                  <w:szCs w:val="21"/>
                </w:rPr>
              </w:pPr>
            </w:p>
          </w:sdtContent>
        </w:sdt>
      </w:sdtContent>
    </w:sdt>
    <w:sdt>
      <w:sdtPr>
        <w:rPr>
          <w:rFonts w:ascii="宋体" w:hAnsi="宋体" w:cs="宋体" w:hint="eastAsia"/>
          <w:b w:val="0"/>
          <w:bCs w:val="0"/>
          <w:kern w:val="0"/>
          <w:szCs w:val="21"/>
        </w:rPr>
        <w:tag w:val="_GBC_8ab2346c07f64f4cb475239f5d177377"/>
        <w:id w:val="24724754"/>
        <w:lock w:val="sdtLocked"/>
        <w:placeholder>
          <w:docPart w:val="GBC22222222222222222222222222222"/>
        </w:placeholder>
      </w:sdtPr>
      <w:sdtEndPr>
        <w:rPr>
          <w:szCs w:val="24"/>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商誉</w:t>
          </w:r>
        </w:p>
        <w:sdt>
          <w:sdtPr>
            <w:alias w:val="是否适用：商誉"/>
            <w:tag w:val="_GBC_37475735e73940428be424f21e1d8c5f"/>
            <w:id w:val="24724702"/>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rsidP="009950AC">
          <w:pPr>
            <w:pStyle w:val="4"/>
            <w:numPr>
              <w:ilvl w:val="0"/>
              <w:numId w:val="51"/>
            </w:numPr>
            <w:tabs>
              <w:tab w:val="left" w:pos="588"/>
            </w:tabs>
            <w:spacing w:line="360" w:lineRule="auto"/>
          </w:pPr>
          <w:r>
            <w:rPr>
              <w:rFonts w:hint="eastAsia"/>
            </w:rPr>
            <w:t>商誉账面原值</w:t>
          </w:r>
        </w:p>
        <w:p w:rsidR="00DE031E" w:rsidRDefault="001C1A59">
          <w:pPr>
            <w:jc w:val="right"/>
            <w:rPr>
              <w:szCs w:val="21"/>
            </w:rPr>
          </w:pPr>
          <w:r>
            <w:rPr>
              <w:rFonts w:hint="eastAsia"/>
              <w:szCs w:val="21"/>
            </w:rPr>
            <w:t>单位：</w:t>
          </w:r>
          <w:sdt>
            <w:sdtPr>
              <w:rPr>
                <w:rFonts w:hint="eastAsia"/>
                <w:szCs w:val="21"/>
              </w:rPr>
              <w:alias w:val="单位：财务附注：商誉"/>
              <w:tag w:val="_GBC_4797b6084eb24fe79f24d181640f3283"/>
              <w:id w:val="247247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24724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13" w:type="pct"/>
            <w:jc w:val="center"/>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9"/>
            <w:gridCol w:w="1793"/>
            <w:gridCol w:w="1134"/>
            <w:gridCol w:w="480"/>
            <w:gridCol w:w="719"/>
            <w:gridCol w:w="554"/>
            <w:gridCol w:w="1607"/>
          </w:tblGrid>
          <w:tr w:rsidR="00DE031E" w:rsidTr="00DE031E">
            <w:trPr>
              <w:trHeight w:val="284"/>
              <w:jc w:val="center"/>
            </w:trPr>
            <w:tc>
              <w:tcPr>
                <w:tcW w:w="1791" w:type="pct"/>
                <w:vMerge w:val="restart"/>
                <w:shd w:val="clear" w:color="auto" w:fill="auto"/>
                <w:vAlign w:val="center"/>
              </w:tcPr>
              <w:p w:rsidR="00DE031E" w:rsidRDefault="001C1A59">
                <w:pPr>
                  <w:autoSpaceDE w:val="0"/>
                  <w:autoSpaceDN w:val="0"/>
                  <w:adjustRightInd w:val="0"/>
                  <w:snapToGrid w:val="0"/>
                  <w:jc w:val="center"/>
                  <w:rPr>
                    <w:szCs w:val="21"/>
                  </w:rPr>
                </w:pPr>
                <w:r>
                  <w:rPr>
                    <w:rFonts w:hint="eastAsia"/>
                    <w:szCs w:val="21"/>
                  </w:rPr>
                  <w:t>被投资单位名称或形成商誉的事项</w:t>
                </w:r>
              </w:p>
            </w:tc>
            <w:tc>
              <w:tcPr>
                <w:tcW w:w="915" w:type="pct"/>
                <w:vMerge w:val="restart"/>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期初余额</w:t>
                </w:r>
              </w:p>
            </w:tc>
            <w:tc>
              <w:tcPr>
                <w:tcW w:w="824" w:type="pct"/>
                <w:gridSpan w:val="2"/>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本期增加</w:t>
                </w:r>
              </w:p>
            </w:tc>
            <w:tc>
              <w:tcPr>
                <w:tcW w:w="650" w:type="pct"/>
                <w:gridSpan w:val="2"/>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本期减少</w:t>
                </w:r>
              </w:p>
            </w:tc>
            <w:tc>
              <w:tcPr>
                <w:tcW w:w="820" w:type="pct"/>
                <w:vMerge w:val="restart"/>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期末余额</w:t>
                </w:r>
              </w:p>
            </w:tc>
          </w:tr>
          <w:tr w:rsidR="00DE031E" w:rsidTr="00DE031E">
            <w:trPr>
              <w:trHeight w:val="535"/>
              <w:jc w:val="center"/>
            </w:trPr>
            <w:tc>
              <w:tcPr>
                <w:tcW w:w="1791" w:type="pct"/>
                <w:vMerge/>
                <w:shd w:val="clear" w:color="auto" w:fill="auto"/>
              </w:tcPr>
              <w:p w:rsidR="00DE031E" w:rsidRDefault="00DE031E">
                <w:pPr>
                  <w:autoSpaceDE w:val="0"/>
                  <w:autoSpaceDN w:val="0"/>
                  <w:adjustRightInd w:val="0"/>
                  <w:snapToGrid w:val="0"/>
                  <w:jc w:val="center"/>
                  <w:rPr>
                    <w:szCs w:val="21"/>
                  </w:rPr>
                </w:pPr>
              </w:p>
            </w:tc>
            <w:tc>
              <w:tcPr>
                <w:tcW w:w="915" w:type="pct"/>
                <w:vMerge/>
                <w:shd w:val="clear" w:color="auto" w:fill="auto"/>
              </w:tcPr>
              <w:p w:rsidR="00DE031E" w:rsidRDefault="00DE031E">
                <w:pPr>
                  <w:autoSpaceDE w:val="0"/>
                  <w:autoSpaceDN w:val="0"/>
                  <w:adjustRightInd w:val="0"/>
                  <w:snapToGrid w:val="0"/>
                  <w:jc w:val="center"/>
                  <w:rPr>
                    <w:szCs w:val="21"/>
                  </w:rPr>
                </w:pPr>
              </w:p>
            </w:tc>
            <w:tc>
              <w:tcPr>
                <w:tcW w:w="579" w:type="pct"/>
                <w:shd w:val="clear" w:color="auto" w:fill="auto"/>
                <w:vAlign w:val="center"/>
              </w:tcPr>
              <w:p w:rsidR="00DE031E" w:rsidRDefault="001C1A59">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c14b754516e24efd9115d33500cd04df"/>
                <w:id w:val="24724705"/>
                <w:lock w:val="sdtLocked"/>
              </w:sdtPr>
              <w:sdtEndPr>
                <w:rPr>
                  <w:rFonts w:hAnsiTheme="minorHAnsi" w:hint="eastAsia"/>
                </w:rPr>
              </w:sdtEndPr>
              <w:sdtContent>
                <w:tc>
                  <w:tcPr>
                    <w:tcW w:w="245" w:type="pct"/>
                    <w:shd w:val="clear" w:color="auto" w:fill="auto"/>
                    <w:vAlign w:val="center"/>
                  </w:tcPr>
                  <w:p w:rsidR="00DE031E" w:rsidRDefault="0083119B" w:rsidP="0083119B">
                    <w:pPr>
                      <w:autoSpaceDE w:val="0"/>
                      <w:autoSpaceDN w:val="0"/>
                      <w:adjustRightInd w:val="0"/>
                      <w:snapToGrid w:val="0"/>
                      <w:jc w:val="center"/>
                      <w:rPr>
                        <w:szCs w:val="21"/>
                      </w:rPr>
                    </w:pPr>
                    <w:r>
                      <w:rPr>
                        <w:rFonts w:hint="eastAsia"/>
                        <w:szCs w:val="21"/>
                      </w:rPr>
                      <w:t>其他</w:t>
                    </w:r>
                  </w:p>
                </w:tc>
              </w:sdtContent>
            </w:sdt>
            <w:tc>
              <w:tcPr>
                <w:tcW w:w="367" w:type="pct"/>
                <w:shd w:val="clear" w:color="auto" w:fill="auto"/>
                <w:vAlign w:val="center"/>
              </w:tcPr>
              <w:p w:rsidR="00DE031E" w:rsidRDefault="001C1A59">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5ba36aaca8144cb8979636970f4c6ae3"/>
                <w:id w:val="24724706"/>
                <w:lock w:val="sdtLocked"/>
              </w:sdtPr>
              <w:sdtEndPr>
                <w:rPr>
                  <w:rFonts w:hAnsiTheme="minorHAnsi" w:hint="eastAsia"/>
                </w:rPr>
              </w:sdtEndPr>
              <w:sdtContent>
                <w:tc>
                  <w:tcPr>
                    <w:tcW w:w="283" w:type="pct"/>
                    <w:shd w:val="clear" w:color="auto" w:fill="auto"/>
                    <w:vAlign w:val="center"/>
                  </w:tcPr>
                  <w:p w:rsidR="00DE031E" w:rsidRDefault="0083119B" w:rsidP="0083119B">
                    <w:pPr>
                      <w:autoSpaceDE w:val="0"/>
                      <w:autoSpaceDN w:val="0"/>
                      <w:adjustRightInd w:val="0"/>
                      <w:snapToGrid w:val="0"/>
                      <w:jc w:val="center"/>
                      <w:rPr>
                        <w:szCs w:val="21"/>
                      </w:rPr>
                    </w:pPr>
                    <w:r>
                      <w:rPr>
                        <w:rFonts w:hint="eastAsia"/>
                        <w:szCs w:val="21"/>
                      </w:rPr>
                      <w:t>其他</w:t>
                    </w:r>
                  </w:p>
                </w:tc>
              </w:sdtContent>
            </w:sdt>
            <w:tc>
              <w:tcPr>
                <w:tcW w:w="820" w:type="pct"/>
                <w:vMerge/>
                <w:shd w:val="clear" w:color="auto" w:fill="auto"/>
              </w:tcPr>
              <w:p w:rsidR="00DE031E" w:rsidRDefault="00DE031E">
                <w:pPr>
                  <w:autoSpaceDE w:val="0"/>
                  <w:autoSpaceDN w:val="0"/>
                  <w:adjustRightInd w:val="0"/>
                  <w:snapToGrid w:val="0"/>
                  <w:jc w:val="center"/>
                  <w:rPr>
                    <w:szCs w:val="21"/>
                  </w:rPr>
                </w:pPr>
              </w:p>
            </w:tc>
          </w:tr>
          <w:sdt>
            <w:sdtPr>
              <w:rPr>
                <w:szCs w:val="21"/>
              </w:rPr>
              <w:alias w:val="商誉明细"/>
              <w:tag w:val="_GBC_916c5c3712e44d7db6b8c9e16bcf5865"/>
              <w:id w:val="24724714"/>
              <w:lock w:val="sdtLocked"/>
            </w:sdtPr>
            <w:sdtContent>
              <w:tr w:rsidR="00DE031E" w:rsidTr="00DE031E">
                <w:trPr>
                  <w:trHeight w:val="338"/>
                  <w:jc w:val="center"/>
                </w:trPr>
                <w:sdt>
                  <w:sdtPr>
                    <w:rPr>
                      <w:szCs w:val="21"/>
                    </w:rPr>
                    <w:alias w:val="商誉明细－项目"/>
                    <w:tag w:val="_GBC_aaf4252b1f824ac5a3ff5cee8bf7b35d"/>
                    <w:id w:val="24724707"/>
                    <w:lock w:val="sdtLocked"/>
                  </w:sdtPr>
                  <w:sdtContent>
                    <w:tc>
                      <w:tcPr>
                        <w:tcW w:w="1791" w:type="pct"/>
                        <w:shd w:val="clear" w:color="auto" w:fill="auto"/>
                      </w:tcPr>
                      <w:p w:rsidR="00DE031E" w:rsidRDefault="001C1A59">
                        <w:pPr>
                          <w:autoSpaceDE w:val="0"/>
                          <w:autoSpaceDN w:val="0"/>
                          <w:adjustRightInd w:val="0"/>
                          <w:snapToGrid w:val="0"/>
                          <w:jc w:val="both"/>
                          <w:rPr>
                            <w:szCs w:val="21"/>
                          </w:rPr>
                        </w:pPr>
                        <w:r>
                          <w:rPr>
                            <w:rFonts w:hint="eastAsia"/>
                            <w:szCs w:val="21"/>
                          </w:rPr>
                          <w:t>收购营业部形成的商誉</w:t>
                        </w:r>
                      </w:p>
                    </w:tc>
                  </w:sdtContent>
                </w:sdt>
                <w:sdt>
                  <w:sdtPr>
                    <w:rPr>
                      <w:szCs w:val="21"/>
                    </w:rPr>
                    <w:alias w:val="商誉明细－金额"/>
                    <w:tag w:val="_GBC_d09583c777a04446b4bd80c52b786358"/>
                    <w:id w:val="24724708"/>
                    <w:lock w:val="sdtLocked"/>
                  </w:sdtPr>
                  <w:sdtContent>
                    <w:tc>
                      <w:tcPr>
                        <w:tcW w:w="915" w:type="pct"/>
                        <w:shd w:val="clear" w:color="auto" w:fill="auto"/>
                      </w:tcPr>
                      <w:p w:rsidR="00DE031E" w:rsidRDefault="001C1A59">
                        <w:pPr>
                          <w:autoSpaceDE w:val="0"/>
                          <w:autoSpaceDN w:val="0"/>
                          <w:adjustRightInd w:val="0"/>
                          <w:snapToGrid w:val="0"/>
                          <w:jc w:val="right"/>
                          <w:rPr>
                            <w:szCs w:val="21"/>
                          </w:rPr>
                        </w:pPr>
                        <w:r>
                          <w:rPr>
                            <w:szCs w:val="21"/>
                          </w:rPr>
                          <w:t>22,867,603.25</w:t>
                        </w:r>
                      </w:p>
                    </w:tc>
                  </w:sdtContent>
                </w:sdt>
                <w:sdt>
                  <w:sdtPr>
                    <w:rPr>
                      <w:szCs w:val="21"/>
                    </w:rPr>
                    <w:alias w:val="商誉账面原值明细-企业合并形成的本期增加"/>
                    <w:tag w:val="_GBC_8fc20f1dae86434a91a5bcc41634469e"/>
                    <w:id w:val="24724709"/>
                    <w:lock w:val="sdtLocked"/>
                    <w:showingPlcHdr/>
                  </w:sdtPr>
                  <w:sdtEndPr>
                    <w:rPr>
                      <w:rFonts w:hint="eastAsia"/>
                    </w:rPr>
                  </w:sdtEndPr>
                  <w:sdtContent>
                    <w:tc>
                      <w:tcPr>
                        <w:tcW w:w="579"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24724710"/>
                    <w:lock w:val="sdtLocked"/>
                    <w:showingPlcHdr/>
                  </w:sdtPr>
                  <w:sdtEndPr>
                    <w:rPr>
                      <w:rFonts w:hint="eastAsia"/>
                    </w:rPr>
                  </w:sdtEndPr>
                  <w:sdtContent>
                    <w:tc>
                      <w:tcPr>
                        <w:tcW w:w="245"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24724711"/>
                    <w:lock w:val="sdtLocked"/>
                    <w:showingPlcHdr/>
                  </w:sdtPr>
                  <w:sdtEndPr>
                    <w:rPr>
                      <w:rFonts w:hint="eastAsia"/>
                    </w:rPr>
                  </w:sdtEndPr>
                  <w:sdtContent>
                    <w:tc>
                      <w:tcPr>
                        <w:tcW w:w="367"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24724712"/>
                    <w:lock w:val="sdtLocked"/>
                    <w:showingPlcHdr/>
                  </w:sdtPr>
                  <w:sdtEndPr>
                    <w:rPr>
                      <w:rFonts w:hint="eastAsia"/>
                    </w:rPr>
                  </w:sdtEndPr>
                  <w:sdtContent>
                    <w:tc>
                      <w:tcPr>
                        <w:tcW w:w="283"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24724713"/>
                    <w:lock w:val="sdtLocked"/>
                  </w:sdtPr>
                  <w:sdtContent>
                    <w:tc>
                      <w:tcPr>
                        <w:tcW w:w="820" w:type="pct"/>
                        <w:shd w:val="clear" w:color="auto" w:fill="auto"/>
                      </w:tcPr>
                      <w:p w:rsidR="00DE031E" w:rsidRDefault="001C1A59">
                        <w:pPr>
                          <w:autoSpaceDE w:val="0"/>
                          <w:autoSpaceDN w:val="0"/>
                          <w:adjustRightInd w:val="0"/>
                          <w:snapToGrid w:val="0"/>
                          <w:jc w:val="right"/>
                          <w:rPr>
                            <w:szCs w:val="21"/>
                          </w:rPr>
                        </w:pPr>
                        <w:r>
                          <w:rPr>
                            <w:szCs w:val="21"/>
                          </w:rPr>
                          <w:t>22,867,603.25</w:t>
                        </w:r>
                      </w:p>
                    </w:tc>
                  </w:sdtContent>
                </w:sdt>
              </w:tr>
            </w:sdtContent>
          </w:sdt>
          <w:sdt>
            <w:sdtPr>
              <w:rPr>
                <w:szCs w:val="21"/>
              </w:rPr>
              <w:alias w:val="商誉明细"/>
              <w:tag w:val="_GBC_916c5c3712e44d7db6b8c9e16bcf5865"/>
              <w:id w:val="24724722"/>
              <w:lock w:val="sdtLocked"/>
            </w:sdtPr>
            <w:sdtContent>
              <w:tr w:rsidR="00DE031E" w:rsidTr="00DE031E">
                <w:trPr>
                  <w:trHeight w:val="338"/>
                  <w:jc w:val="center"/>
                </w:trPr>
                <w:sdt>
                  <w:sdtPr>
                    <w:rPr>
                      <w:szCs w:val="21"/>
                    </w:rPr>
                    <w:alias w:val="商誉明细－项目"/>
                    <w:tag w:val="_GBC_aaf4252b1f824ac5a3ff5cee8bf7b35d"/>
                    <w:id w:val="24724715"/>
                    <w:lock w:val="sdtLocked"/>
                  </w:sdtPr>
                  <w:sdtContent>
                    <w:tc>
                      <w:tcPr>
                        <w:tcW w:w="1791" w:type="pct"/>
                        <w:shd w:val="clear" w:color="auto" w:fill="auto"/>
                      </w:tcPr>
                      <w:p w:rsidR="00DE031E" w:rsidRDefault="001C1A59">
                        <w:pPr>
                          <w:autoSpaceDE w:val="0"/>
                          <w:autoSpaceDN w:val="0"/>
                          <w:adjustRightInd w:val="0"/>
                          <w:snapToGrid w:val="0"/>
                          <w:jc w:val="both"/>
                          <w:rPr>
                            <w:szCs w:val="21"/>
                          </w:rPr>
                        </w:pPr>
                        <w:r>
                          <w:rPr>
                            <w:rFonts w:hint="eastAsia"/>
                            <w:szCs w:val="21"/>
                          </w:rPr>
                          <w:t>合并招商期货有限公司形成的商誉</w:t>
                        </w:r>
                      </w:p>
                    </w:tc>
                  </w:sdtContent>
                </w:sdt>
                <w:sdt>
                  <w:sdtPr>
                    <w:rPr>
                      <w:szCs w:val="21"/>
                    </w:rPr>
                    <w:alias w:val="商誉明细－金额"/>
                    <w:tag w:val="_GBC_d09583c777a04446b4bd80c52b786358"/>
                    <w:id w:val="24724716"/>
                    <w:lock w:val="sdtLocked"/>
                  </w:sdtPr>
                  <w:sdtContent>
                    <w:tc>
                      <w:tcPr>
                        <w:tcW w:w="915" w:type="pct"/>
                        <w:shd w:val="clear" w:color="auto" w:fill="auto"/>
                      </w:tcPr>
                      <w:p w:rsidR="00DE031E" w:rsidRDefault="001C1A59">
                        <w:pPr>
                          <w:autoSpaceDE w:val="0"/>
                          <w:autoSpaceDN w:val="0"/>
                          <w:adjustRightInd w:val="0"/>
                          <w:snapToGrid w:val="0"/>
                          <w:jc w:val="right"/>
                          <w:rPr>
                            <w:szCs w:val="21"/>
                          </w:rPr>
                        </w:pPr>
                        <w:r>
                          <w:rPr>
                            <w:szCs w:val="21"/>
                          </w:rPr>
                          <w:t>9,670,605.55</w:t>
                        </w:r>
                      </w:p>
                    </w:tc>
                  </w:sdtContent>
                </w:sdt>
                <w:sdt>
                  <w:sdtPr>
                    <w:rPr>
                      <w:szCs w:val="21"/>
                    </w:rPr>
                    <w:alias w:val="商誉账面原值明细-企业合并形成的本期增加"/>
                    <w:tag w:val="_GBC_8fc20f1dae86434a91a5bcc41634469e"/>
                    <w:id w:val="24724717"/>
                    <w:lock w:val="sdtLocked"/>
                    <w:showingPlcHdr/>
                  </w:sdtPr>
                  <w:sdtEndPr>
                    <w:rPr>
                      <w:rFonts w:hint="eastAsia"/>
                    </w:rPr>
                  </w:sdtEndPr>
                  <w:sdtContent>
                    <w:tc>
                      <w:tcPr>
                        <w:tcW w:w="579"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24724718"/>
                    <w:lock w:val="sdtLocked"/>
                    <w:showingPlcHdr/>
                  </w:sdtPr>
                  <w:sdtEndPr>
                    <w:rPr>
                      <w:rFonts w:hint="eastAsia"/>
                    </w:rPr>
                  </w:sdtEndPr>
                  <w:sdtContent>
                    <w:tc>
                      <w:tcPr>
                        <w:tcW w:w="245"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24724719"/>
                    <w:lock w:val="sdtLocked"/>
                    <w:showingPlcHdr/>
                  </w:sdtPr>
                  <w:sdtEndPr>
                    <w:rPr>
                      <w:rFonts w:hint="eastAsia"/>
                    </w:rPr>
                  </w:sdtEndPr>
                  <w:sdtContent>
                    <w:tc>
                      <w:tcPr>
                        <w:tcW w:w="367"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24724720"/>
                    <w:lock w:val="sdtLocked"/>
                    <w:showingPlcHdr/>
                  </w:sdtPr>
                  <w:sdtEndPr>
                    <w:rPr>
                      <w:rFonts w:hint="eastAsia"/>
                    </w:rPr>
                  </w:sdtEndPr>
                  <w:sdtContent>
                    <w:tc>
                      <w:tcPr>
                        <w:tcW w:w="283"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24724721"/>
                    <w:lock w:val="sdtLocked"/>
                  </w:sdtPr>
                  <w:sdtContent>
                    <w:tc>
                      <w:tcPr>
                        <w:tcW w:w="820" w:type="pct"/>
                        <w:shd w:val="clear" w:color="auto" w:fill="auto"/>
                      </w:tcPr>
                      <w:p w:rsidR="00DE031E" w:rsidRDefault="001C1A59">
                        <w:pPr>
                          <w:autoSpaceDE w:val="0"/>
                          <w:autoSpaceDN w:val="0"/>
                          <w:adjustRightInd w:val="0"/>
                          <w:snapToGrid w:val="0"/>
                          <w:jc w:val="right"/>
                          <w:rPr>
                            <w:szCs w:val="21"/>
                          </w:rPr>
                        </w:pPr>
                        <w:r>
                          <w:rPr>
                            <w:szCs w:val="21"/>
                          </w:rPr>
                          <w:t>9,670,605.55</w:t>
                        </w:r>
                      </w:p>
                    </w:tc>
                  </w:sdtContent>
                </w:sdt>
              </w:tr>
            </w:sdtContent>
          </w:sdt>
          <w:tr w:rsidR="00DE031E" w:rsidTr="00DE031E">
            <w:trPr>
              <w:trHeight w:val="296"/>
              <w:jc w:val="center"/>
            </w:trPr>
            <w:tc>
              <w:tcPr>
                <w:tcW w:w="1791" w:type="pct"/>
                <w:shd w:val="clear" w:color="auto" w:fill="auto"/>
                <w:vAlign w:val="center"/>
              </w:tcPr>
              <w:p w:rsidR="00DE031E" w:rsidRDefault="001C1A59">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24724723"/>
                <w:lock w:val="sdtLocked"/>
              </w:sdtPr>
              <w:sdtContent>
                <w:tc>
                  <w:tcPr>
                    <w:tcW w:w="915" w:type="pct"/>
                    <w:shd w:val="clear" w:color="auto" w:fill="auto"/>
                  </w:tcPr>
                  <w:p w:rsidR="00DE031E" w:rsidRDefault="001C1A59">
                    <w:pPr>
                      <w:autoSpaceDE w:val="0"/>
                      <w:autoSpaceDN w:val="0"/>
                      <w:adjustRightInd w:val="0"/>
                      <w:snapToGrid w:val="0"/>
                      <w:jc w:val="right"/>
                      <w:rPr>
                        <w:szCs w:val="21"/>
                        <w:u w:val="double"/>
                      </w:rPr>
                    </w:pPr>
                    <w:r>
                      <w:rPr>
                        <w:szCs w:val="21"/>
                      </w:rPr>
                      <w:t>32,538,208.80</w:t>
                    </w:r>
                  </w:p>
                </w:tc>
              </w:sdtContent>
            </w:sdt>
            <w:sdt>
              <w:sdtPr>
                <w:rPr>
                  <w:szCs w:val="21"/>
                </w:rPr>
                <w:alias w:val="企业合并形成的商誉账面原值本期增加合计"/>
                <w:tag w:val="_GBC_a9809745492c4b5ba3c4a90690d91c49"/>
                <w:id w:val="24724724"/>
                <w:lock w:val="sdtLocked"/>
                <w:showingPlcHdr/>
              </w:sdtPr>
              <w:sdtEndPr>
                <w:rPr>
                  <w:rFonts w:hint="eastAsia"/>
                </w:rPr>
              </w:sdtEndPr>
              <w:sdtContent>
                <w:tc>
                  <w:tcPr>
                    <w:tcW w:w="579"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合计"/>
                <w:tag w:val="_GBC_8677bda70bdb4789baa605b60dd9d77d"/>
                <w:id w:val="24724725"/>
                <w:lock w:val="sdtLocked"/>
                <w:showingPlcHdr/>
              </w:sdtPr>
              <w:sdtEndPr>
                <w:rPr>
                  <w:rFonts w:hint="eastAsia"/>
                </w:rPr>
              </w:sdtEndPr>
              <w:sdtContent>
                <w:tc>
                  <w:tcPr>
                    <w:tcW w:w="245"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账面原值本期减少合计"/>
                <w:tag w:val="_GBC_78df440f75bd48bab3068b4c72bb5a31"/>
                <w:id w:val="24724726"/>
                <w:lock w:val="sdtLocked"/>
                <w:showingPlcHdr/>
              </w:sdtPr>
              <w:sdtEndPr>
                <w:rPr>
                  <w:rFonts w:hint="eastAsia"/>
                </w:rPr>
              </w:sdtEndPr>
              <w:sdtContent>
                <w:tc>
                  <w:tcPr>
                    <w:tcW w:w="367"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合计"/>
                <w:tag w:val="_GBC_0cf2ad41fa69468098f5986639dfc2df"/>
                <w:id w:val="24724727"/>
                <w:lock w:val="sdtLocked"/>
                <w:showingPlcHdr/>
              </w:sdtPr>
              <w:sdtEndPr>
                <w:rPr>
                  <w:rFonts w:hint="eastAsia"/>
                </w:rPr>
              </w:sdtEndPr>
              <w:sdtContent>
                <w:tc>
                  <w:tcPr>
                    <w:tcW w:w="283"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余额"/>
                <w:tag w:val="_GBC_eb6bb4b9169a415e983637807b907223"/>
                <w:id w:val="24724728"/>
                <w:lock w:val="sdtLocked"/>
              </w:sdtPr>
              <w:sdtContent>
                <w:tc>
                  <w:tcPr>
                    <w:tcW w:w="820" w:type="pct"/>
                    <w:shd w:val="clear" w:color="auto" w:fill="auto"/>
                  </w:tcPr>
                  <w:p w:rsidR="00DE031E" w:rsidRDefault="001C1A59">
                    <w:pPr>
                      <w:autoSpaceDE w:val="0"/>
                      <w:autoSpaceDN w:val="0"/>
                      <w:adjustRightInd w:val="0"/>
                      <w:snapToGrid w:val="0"/>
                      <w:jc w:val="right"/>
                      <w:rPr>
                        <w:szCs w:val="21"/>
                        <w:u w:val="double"/>
                      </w:rPr>
                    </w:pPr>
                    <w:r>
                      <w:rPr>
                        <w:szCs w:val="21"/>
                      </w:rPr>
                      <w:t>32,538,208.80</w:t>
                    </w:r>
                  </w:p>
                </w:tc>
              </w:sdtContent>
            </w:sdt>
          </w:tr>
        </w:tbl>
        <w:p w:rsidR="00DE031E" w:rsidRDefault="00DE031E">
          <w:pPr>
            <w:rPr>
              <w:szCs w:val="21"/>
            </w:rPr>
          </w:pPr>
        </w:p>
        <w:p w:rsidR="00DE031E" w:rsidRDefault="001C1A59" w:rsidP="009950AC">
          <w:pPr>
            <w:pStyle w:val="4"/>
            <w:numPr>
              <w:ilvl w:val="0"/>
              <w:numId w:val="51"/>
            </w:numPr>
            <w:tabs>
              <w:tab w:val="left" w:pos="588"/>
            </w:tabs>
            <w:spacing w:line="360" w:lineRule="auto"/>
            <w:rPr>
              <w:rFonts w:ascii="宋体" w:hAnsi="宋体"/>
              <w:szCs w:val="21"/>
            </w:rPr>
          </w:pPr>
          <w:r>
            <w:rPr>
              <w:rFonts w:hint="eastAsia"/>
            </w:rPr>
            <w:lastRenderedPageBreak/>
            <w:t>商誉减值准备</w:t>
          </w:r>
        </w:p>
        <w:tbl>
          <w:tblPr>
            <w:tblW w:w="5176"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0"/>
            <w:gridCol w:w="1581"/>
            <w:gridCol w:w="717"/>
            <w:gridCol w:w="658"/>
            <w:gridCol w:w="688"/>
            <w:gridCol w:w="653"/>
            <w:gridCol w:w="1581"/>
          </w:tblGrid>
          <w:tr w:rsidR="00DE031E" w:rsidTr="0083119B">
            <w:trPr>
              <w:trHeight w:val="255"/>
              <w:jc w:val="center"/>
            </w:trPr>
            <w:tc>
              <w:tcPr>
                <w:tcW w:w="1880" w:type="pct"/>
                <w:vMerge w:val="restart"/>
                <w:shd w:val="clear" w:color="auto" w:fill="auto"/>
                <w:vAlign w:val="center"/>
              </w:tcPr>
              <w:p w:rsidR="00DE031E" w:rsidRDefault="001C1A59">
                <w:pPr>
                  <w:autoSpaceDE w:val="0"/>
                  <w:autoSpaceDN w:val="0"/>
                  <w:adjustRightInd w:val="0"/>
                  <w:snapToGrid w:val="0"/>
                  <w:jc w:val="center"/>
                  <w:rPr>
                    <w:szCs w:val="21"/>
                  </w:rPr>
                </w:pPr>
                <w:r>
                  <w:rPr>
                    <w:rFonts w:hint="eastAsia"/>
                    <w:szCs w:val="21"/>
                  </w:rPr>
                  <w:t>被投资单位名称或形成商誉的事项</w:t>
                </w:r>
              </w:p>
            </w:tc>
            <w:tc>
              <w:tcPr>
                <w:tcW w:w="760" w:type="pct"/>
                <w:vMerge w:val="restart"/>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期初余额</w:t>
                </w:r>
              </w:p>
            </w:tc>
            <w:tc>
              <w:tcPr>
                <w:tcW w:w="768" w:type="pct"/>
                <w:gridSpan w:val="2"/>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本期增加</w:t>
                </w:r>
              </w:p>
            </w:tc>
            <w:tc>
              <w:tcPr>
                <w:tcW w:w="749" w:type="pct"/>
                <w:gridSpan w:val="2"/>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本期减少</w:t>
                </w:r>
              </w:p>
            </w:tc>
            <w:tc>
              <w:tcPr>
                <w:tcW w:w="844" w:type="pct"/>
                <w:vMerge w:val="restart"/>
                <w:shd w:val="clear" w:color="auto" w:fill="auto"/>
                <w:vAlign w:val="center"/>
              </w:tcPr>
              <w:p w:rsidR="00DE031E" w:rsidRDefault="001C1A59">
                <w:pPr>
                  <w:autoSpaceDE w:val="0"/>
                  <w:autoSpaceDN w:val="0"/>
                  <w:adjustRightInd w:val="0"/>
                  <w:snapToGrid w:val="0"/>
                  <w:jc w:val="center"/>
                  <w:rPr>
                    <w:szCs w:val="21"/>
                  </w:rPr>
                </w:pPr>
                <w:r>
                  <w:rPr>
                    <w:rFonts w:hint="eastAsia"/>
                    <w:szCs w:val="21"/>
                  </w:rPr>
                  <w:t>期末余额</w:t>
                </w:r>
              </w:p>
            </w:tc>
          </w:tr>
          <w:tr w:rsidR="0083119B" w:rsidTr="0083119B">
            <w:trPr>
              <w:trHeight w:val="296"/>
              <w:jc w:val="center"/>
            </w:trPr>
            <w:tc>
              <w:tcPr>
                <w:tcW w:w="1880" w:type="pct"/>
                <w:vMerge/>
                <w:shd w:val="clear" w:color="auto" w:fill="auto"/>
              </w:tcPr>
              <w:p w:rsidR="00DE031E" w:rsidRDefault="00DE031E">
                <w:pPr>
                  <w:autoSpaceDE w:val="0"/>
                  <w:autoSpaceDN w:val="0"/>
                  <w:adjustRightInd w:val="0"/>
                  <w:snapToGrid w:val="0"/>
                  <w:rPr>
                    <w:szCs w:val="21"/>
                  </w:rPr>
                </w:pPr>
              </w:p>
            </w:tc>
            <w:tc>
              <w:tcPr>
                <w:tcW w:w="760" w:type="pct"/>
                <w:vMerge/>
                <w:shd w:val="clear" w:color="auto" w:fill="auto"/>
                <w:vAlign w:val="center"/>
              </w:tcPr>
              <w:p w:rsidR="00DE031E" w:rsidRDefault="00DE031E">
                <w:pPr>
                  <w:autoSpaceDE w:val="0"/>
                  <w:autoSpaceDN w:val="0"/>
                  <w:adjustRightInd w:val="0"/>
                  <w:snapToGrid w:val="0"/>
                  <w:jc w:val="right"/>
                  <w:rPr>
                    <w:szCs w:val="21"/>
                  </w:rPr>
                </w:pPr>
              </w:p>
            </w:tc>
            <w:tc>
              <w:tcPr>
                <w:tcW w:w="400" w:type="pct"/>
                <w:shd w:val="clear" w:color="auto" w:fill="auto"/>
                <w:vAlign w:val="center"/>
              </w:tcPr>
              <w:p w:rsidR="00DE031E" w:rsidRDefault="001C1A59">
                <w:pPr>
                  <w:autoSpaceDE w:val="0"/>
                  <w:autoSpaceDN w:val="0"/>
                  <w:adjustRightInd w:val="0"/>
                  <w:snapToGrid w:val="0"/>
                  <w:jc w:val="center"/>
                  <w:rPr>
                    <w:szCs w:val="21"/>
                  </w:rPr>
                </w:pPr>
                <w:r>
                  <w:rPr>
                    <w:rFonts w:hint="eastAsia"/>
                    <w:szCs w:val="21"/>
                  </w:rPr>
                  <w:t>计提</w:t>
                </w:r>
              </w:p>
            </w:tc>
            <w:sdt>
              <w:sdtPr>
                <w:rPr>
                  <w:szCs w:val="21"/>
                </w:rPr>
                <w:alias w:val="商誉减值准备本期增加额项目名称"/>
                <w:tag w:val="_GBC_65d86954675d4b4f82e4fbc3d21ace02"/>
                <w:id w:val="24724729"/>
                <w:lock w:val="sdtLocked"/>
              </w:sdtPr>
              <w:sdtEndPr>
                <w:rPr>
                  <w:rFonts w:hint="eastAsia"/>
                </w:rPr>
              </w:sdtEndPr>
              <w:sdtContent>
                <w:tc>
                  <w:tcPr>
                    <w:tcW w:w="368" w:type="pct"/>
                    <w:shd w:val="clear" w:color="auto" w:fill="auto"/>
                    <w:vAlign w:val="center"/>
                  </w:tcPr>
                  <w:p w:rsidR="00DE031E" w:rsidRDefault="0083119B">
                    <w:pPr>
                      <w:autoSpaceDE w:val="0"/>
                      <w:autoSpaceDN w:val="0"/>
                      <w:adjustRightInd w:val="0"/>
                      <w:snapToGrid w:val="0"/>
                      <w:jc w:val="center"/>
                      <w:rPr>
                        <w:szCs w:val="21"/>
                      </w:rPr>
                    </w:pPr>
                    <w:r>
                      <w:rPr>
                        <w:rFonts w:hint="eastAsia"/>
                        <w:szCs w:val="21"/>
                      </w:rPr>
                      <w:t>其他</w:t>
                    </w:r>
                  </w:p>
                </w:tc>
              </w:sdtContent>
            </w:sdt>
            <w:tc>
              <w:tcPr>
                <w:tcW w:w="384" w:type="pct"/>
                <w:shd w:val="clear" w:color="auto" w:fill="auto"/>
                <w:vAlign w:val="center"/>
              </w:tcPr>
              <w:p w:rsidR="00DE031E" w:rsidRDefault="001C1A59">
                <w:pPr>
                  <w:autoSpaceDE w:val="0"/>
                  <w:autoSpaceDN w:val="0"/>
                  <w:adjustRightInd w:val="0"/>
                  <w:snapToGrid w:val="0"/>
                  <w:jc w:val="center"/>
                  <w:rPr>
                    <w:szCs w:val="21"/>
                  </w:rPr>
                </w:pPr>
                <w:r>
                  <w:rPr>
                    <w:rFonts w:hint="eastAsia"/>
                    <w:szCs w:val="21"/>
                  </w:rPr>
                  <w:t>处置</w:t>
                </w:r>
              </w:p>
            </w:tc>
            <w:sdt>
              <w:sdtPr>
                <w:rPr>
                  <w:szCs w:val="21"/>
                </w:rPr>
                <w:alias w:val="商誉减值准备本期减少额项目名称"/>
                <w:tag w:val="_GBC_aa48e25b6e1f4be9b1276fe009dabf0e"/>
                <w:id w:val="24724730"/>
                <w:lock w:val="sdtLocked"/>
              </w:sdtPr>
              <w:sdtEndPr>
                <w:rPr>
                  <w:rFonts w:hAnsiTheme="minorHAnsi" w:hint="eastAsia"/>
                </w:rPr>
              </w:sdtEndPr>
              <w:sdtContent>
                <w:tc>
                  <w:tcPr>
                    <w:tcW w:w="365" w:type="pct"/>
                    <w:shd w:val="clear" w:color="auto" w:fill="auto"/>
                    <w:vAlign w:val="center"/>
                  </w:tcPr>
                  <w:p w:rsidR="00DE031E" w:rsidRDefault="0083119B">
                    <w:pPr>
                      <w:autoSpaceDE w:val="0"/>
                      <w:autoSpaceDN w:val="0"/>
                      <w:adjustRightInd w:val="0"/>
                      <w:snapToGrid w:val="0"/>
                      <w:jc w:val="center"/>
                      <w:rPr>
                        <w:szCs w:val="21"/>
                      </w:rPr>
                    </w:pPr>
                    <w:r>
                      <w:rPr>
                        <w:rFonts w:hint="eastAsia"/>
                        <w:szCs w:val="21"/>
                      </w:rPr>
                      <w:t>其他</w:t>
                    </w:r>
                  </w:p>
                </w:tc>
              </w:sdtContent>
            </w:sdt>
            <w:tc>
              <w:tcPr>
                <w:tcW w:w="844" w:type="pct"/>
                <w:vMerge/>
                <w:shd w:val="clear" w:color="auto" w:fill="auto"/>
              </w:tcPr>
              <w:p w:rsidR="00DE031E" w:rsidRDefault="00DE031E">
                <w:pPr>
                  <w:autoSpaceDE w:val="0"/>
                  <w:autoSpaceDN w:val="0"/>
                  <w:adjustRightInd w:val="0"/>
                  <w:snapToGrid w:val="0"/>
                  <w:jc w:val="center"/>
                  <w:rPr>
                    <w:szCs w:val="21"/>
                  </w:rPr>
                </w:pPr>
              </w:p>
            </w:tc>
          </w:tr>
          <w:sdt>
            <w:sdtPr>
              <w:rPr>
                <w:szCs w:val="21"/>
              </w:rPr>
              <w:alias w:val="商誉减值准备明细"/>
              <w:tag w:val="_GBC_98340a952ec045d0bd3e053903c6a9f6"/>
              <w:id w:val="24724738"/>
              <w:lock w:val="sdtLocked"/>
            </w:sdtPr>
            <w:sdtEndPr>
              <w:rPr>
                <w:rFonts w:hint="eastAsia"/>
              </w:rPr>
            </w:sdtEndPr>
            <w:sdtContent>
              <w:tr w:rsidR="0083119B" w:rsidTr="0083119B">
                <w:trPr>
                  <w:trHeight w:val="323"/>
                  <w:jc w:val="center"/>
                </w:trPr>
                <w:sdt>
                  <w:sdtPr>
                    <w:rPr>
                      <w:szCs w:val="21"/>
                    </w:rPr>
                    <w:alias w:val="商誉减值准备明细-被投资单位名称或形成商誉的事项"/>
                    <w:tag w:val="_GBC_9cbe6cb901264cab9a56e6e3c2e51437"/>
                    <w:id w:val="24724731"/>
                    <w:lock w:val="sdtLocked"/>
                  </w:sdtPr>
                  <w:sdtEndPr>
                    <w:rPr>
                      <w:rFonts w:hAnsiTheme="minorHAnsi" w:hint="eastAsia"/>
                    </w:rPr>
                  </w:sdtEndPr>
                  <w:sdtContent>
                    <w:tc>
                      <w:tcPr>
                        <w:tcW w:w="1880" w:type="pct"/>
                        <w:shd w:val="clear" w:color="auto" w:fill="auto"/>
                      </w:tcPr>
                      <w:p w:rsidR="00DE031E" w:rsidRDefault="001C1A59">
                        <w:pPr>
                          <w:autoSpaceDE w:val="0"/>
                          <w:autoSpaceDN w:val="0"/>
                          <w:adjustRightInd w:val="0"/>
                          <w:snapToGrid w:val="0"/>
                          <w:rPr>
                            <w:szCs w:val="21"/>
                          </w:rPr>
                        </w:pPr>
                        <w:r>
                          <w:rPr>
                            <w:rFonts w:hint="eastAsia"/>
                            <w:szCs w:val="21"/>
                          </w:rPr>
                          <w:t>收购营业部形成的商誉</w:t>
                        </w:r>
                      </w:p>
                    </w:tc>
                  </w:sdtContent>
                </w:sdt>
                <w:sdt>
                  <w:sdtPr>
                    <w:rPr>
                      <w:rFonts w:hint="eastAsia"/>
                      <w:szCs w:val="21"/>
                    </w:rPr>
                    <w:alias w:val="商誉减值准备明细-金额"/>
                    <w:tag w:val="_GBC_d8da81b955dd43bea69fb4c1af4d3117"/>
                    <w:id w:val="24724732"/>
                    <w:lock w:val="sdtLocked"/>
                  </w:sdtPr>
                  <w:sdtContent>
                    <w:tc>
                      <w:tcPr>
                        <w:tcW w:w="760" w:type="pct"/>
                        <w:shd w:val="clear" w:color="auto" w:fill="auto"/>
                      </w:tcPr>
                      <w:p w:rsidR="00DE031E" w:rsidRDefault="001C1A59">
                        <w:pPr>
                          <w:autoSpaceDE w:val="0"/>
                          <w:autoSpaceDN w:val="0"/>
                          <w:adjustRightInd w:val="0"/>
                          <w:snapToGrid w:val="0"/>
                          <w:jc w:val="right"/>
                          <w:rPr>
                            <w:szCs w:val="21"/>
                          </w:rPr>
                        </w:pPr>
                        <w:r>
                          <w:rPr>
                            <w:szCs w:val="21"/>
                          </w:rPr>
                          <w:t>22,867,603.25</w:t>
                        </w:r>
                      </w:p>
                    </w:tc>
                  </w:sdtContent>
                </w:sdt>
                <w:sdt>
                  <w:sdtPr>
                    <w:rPr>
                      <w:szCs w:val="21"/>
                    </w:rPr>
                    <w:alias w:val="商誉减值准备明细-计提导致本期增加"/>
                    <w:tag w:val="_GBC_0b70d6ada103421094e2401ddcf7cbd5"/>
                    <w:id w:val="24724733"/>
                    <w:lock w:val="sdtLocked"/>
                    <w:showingPlcHdr/>
                  </w:sdtPr>
                  <w:sdtEndPr>
                    <w:rPr>
                      <w:rFonts w:hint="eastAsia"/>
                    </w:rPr>
                  </w:sdtEndPr>
                  <w:sdtContent>
                    <w:tc>
                      <w:tcPr>
                        <w:tcW w:w="400" w:type="pct"/>
                        <w:shd w:val="clear" w:color="auto" w:fill="auto"/>
                      </w:tcPr>
                      <w:p w:rsidR="00DE031E" w:rsidRDefault="001C1A59">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本期增加额项目名称金额"/>
                    <w:tag w:val="_GBC_d4174637d5494788942ea0e269a45ed0"/>
                    <w:id w:val="24724734"/>
                    <w:lock w:val="sdtLocked"/>
                    <w:showingPlcHdr/>
                  </w:sdtPr>
                  <w:sdtEndPr>
                    <w:rPr>
                      <w:rFonts w:hint="eastAsia"/>
                    </w:rPr>
                  </w:sdtEndPr>
                  <w:sdtContent>
                    <w:tc>
                      <w:tcPr>
                        <w:tcW w:w="368" w:type="pct"/>
                        <w:shd w:val="clear" w:color="auto" w:fill="auto"/>
                      </w:tcPr>
                      <w:p w:rsidR="00DE031E" w:rsidRDefault="001C1A59">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6e60acd9ae91441b9b512b16cc0e986d"/>
                    <w:id w:val="24724735"/>
                    <w:lock w:val="sdtLocked"/>
                    <w:showingPlcHdr/>
                  </w:sdtPr>
                  <w:sdtEndPr>
                    <w:rPr>
                      <w:rFonts w:hint="eastAsia"/>
                    </w:rPr>
                  </w:sdtEndPr>
                  <w:sdtContent>
                    <w:tc>
                      <w:tcPr>
                        <w:tcW w:w="384"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e023562122364d4a89c97b0bc4c098fc"/>
                    <w:id w:val="24724736"/>
                    <w:lock w:val="sdtLocked"/>
                    <w:showingPlcHdr/>
                  </w:sdtPr>
                  <w:sdtEndPr>
                    <w:rPr>
                      <w:rFonts w:hint="eastAsia"/>
                    </w:rPr>
                  </w:sdtEndPr>
                  <w:sdtContent>
                    <w:tc>
                      <w:tcPr>
                        <w:tcW w:w="365"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db0bab26772a4121a32f11c07833d385"/>
                    <w:id w:val="24724737"/>
                    <w:lock w:val="sdtLocked"/>
                  </w:sdtPr>
                  <w:sdtContent>
                    <w:tc>
                      <w:tcPr>
                        <w:tcW w:w="844" w:type="pct"/>
                        <w:shd w:val="clear" w:color="auto" w:fill="auto"/>
                      </w:tcPr>
                      <w:p w:rsidR="00DE031E" w:rsidRDefault="001C1A59">
                        <w:pPr>
                          <w:autoSpaceDE w:val="0"/>
                          <w:autoSpaceDN w:val="0"/>
                          <w:adjustRightInd w:val="0"/>
                          <w:snapToGrid w:val="0"/>
                          <w:jc w:val="right"/>
                          <w:rPr>
                            <w:szCs w:val="21"/>
                          </w:rPr>
                        </w:pPr>
                        <w:r>
                          <w:rPr>
                            <w:szCs w:val="21"/>
                          </w:rPr>
                          <w:t>22,867,603.25</w:t>
                        </w:r>
                      </w:p>
                    </w:tc>
                  </w:sdtContent>
                </w:sdt>
              </w:tr>
            </w:sdtContent>
          </w:sdt>
          <w:sdt>
            <w:sdtPr>
              <w:rPr>
                <w:szCs w:val="21"/>
              </w:rPr>
              <w:alias w:val="商誉减值准备明细"/>
              <w:tag w:val="_GBC_98340a952ec045d0bd3e053903c6a9f6"/>
              <w:id w:val="24724746"/>
              <w:lock w:val="sdtLocked"/>
            </w:sdtPr>
            <w:sdtEndPr>
              <w:rPr>
                <w:rFonts w:hint="eastAsia"/>
              </w:rPr>
            </w:sdtEndPr>
            <w:sdtContent>
              <w:tr w:rsidR="0083119B" w:rsidTr="0083119B">
                <w:trPr>
                  <w:trHeight w:val="323"/>
                  <w:jc w:val="center"/>
                </w:trPr>
                <w:sdt>
                  <w:sdtPr>
                    <w:rPr>
                      <w:szCs w:val="21"/>
                    </w:rPr>
                    <w:alias w:val="商誉减值准备明细-被投资单位名称或形成商誉的事项"/>
                    <w:tag w:val="_GBC_9cbe6cb901264cab9a56e6e3c2e51437"/>
                    <w:id w:val="24724739"/>
                    <w:lock w:val="sdtLocked"/>
                  </w:sdtPr>
                  <w:sdtEndPr>
                    <w:rPr>
                      <w:rFonts w:hAnsiTheme="minorHAnsi" w:hint="eastAsia"/>
                    </w:rPr>
                  </w:sdtEndPr>
                  <w:sdtContent>
                    <w:tc>
                      <w:tcPr>
                        <w:tcW w:w="1880" w:type="pct"/>
                        <w:shd w:val="clear" w:color="auto" w:fill="auto"/>
                      </w:tcPr>
                      <w:p w:rsidR="00DE031E" w:rsidRDefault="001C1A59">
                        <w:pPr>
                          <w:autoSpaceDE w:val="0"/>
                          <w:autoSpaceDN w:val="0"/>
                          <w:adjustRightInd w:val="0"/>
                          <w:snapToGrid w:val="0"/>
                          <w:rPr>
                            <w:szCs w:val="21"/>
                          </w:rPr>
                        </w:pPr>
                        <w:r>
                          <w:rPr>
                            <w:rFonts w:hint="eastAsia"/>
                            <w:szCs w:val="21"/>
                          </w:rPr>
                          <w:t>合并招商期货有限公司形成的商誉</w:t>
                        </w:r>
                      </w:p>
                    </w:tc>
                  </w:sdtContent>
                </w:sdt>
                <w:sdt>
                  <w:sdtPr>
                    <w:rPr>
                      <w:rFonts w:hint="eastAsia"/>
                      <w:szCs w:val="21"/>
                    </w:rPr>
                    <w:alias w:val="商誉减值准备明细-金额"/>
                    <w:tag w:val="_GBC_d8da81b955dd43bea69fb4c1af4d3117"/>
                    <w:id w:val="24724740"/>
                    <w:lock w:val="sdtLocked"/>
                    <w:showingPlcHdr/>
                  </w:sdtPr>
                  <w:sdtContent>
                    <w:tc>
                      <w:tcPr>
                        <w:tcW w:w="760" w:type="pct"/>
                        <w:shd w:val="clear" w:color="auto" w:fill="auto"/>
                      </w:tcPr>
                      <w:p w:rsidR="00DE031E" w:rsidRDefault="00DE031E">
                        <w:pPr>
                          <w:autoSpaceDE w:val="0"/>
                          <w:autoSpaceDN w:val="0"/>
                          <w:adjustRightInd w:val="0"/>
                          <w:snapToGrid w:val="0"/>
                          <w:jc w:val="right"/>
                          <w:rPr>
                            <w:szCs w:val="21"/>
                          </w:rPr>
                        </w:pPr>
                      </w:p>
                    </w:tc>
                  </w:sdtContent>
                </w:sdt>
                <w:sdt>
                  <w:sdtPr>
                    <w:rPr>
                      <w:szCs w:val="21"/>
                    </w:rPr>
                    <w:alias w:val="商誉减值准备明细-计提导致本期增加"/>
                    <w:tag w:val="_GBC_0b70d6ada103421094e2401ddcf7cbd5"/>
                    <w:id w:val="24724741"/>
                    <w:lock w:val="sdtLocked"/>
                    <w:showingPlcHdr/>
                  </w:sdtPr>
                  <w:sdtEndPr>
                    <w:rPr>
                      <w:rFonts w:hint="eastAsia"/>
                    </w:rPr>
                  </w:sdtEndPr>
                  <w:sdtContent>
                    <w:tc>
                      <w:tcPr>
                        <w:tcW w:w="400" w:type="pct"/>
                        <w:shd w:val="clear" w:color="auto" w:fill="auto"/>
                      </w:tcPr>
                      <w:p w:rsidR="00DE031E" w:rsidRDefault="001C1A59">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本期增加额项目名称金额"/>
                    <w:tag w:val="_GBC_d4174637d5494788942ea0e269a45ed0"/>
                    <w:id w:val="24724742"/>
                    <w:lock w:val="sdtLocked"/>
                    <w:showingPlcHdr/>
                  </w:sdtPr>
                  <w:sdtEndPr>
                    <w:rPr>
                      <w:rFonts w:hint="eastAsia"/>
                    </w:rPr>
                  </w:sdtEndPr>
                  <w:sdtContent>
                    <w:tc>
                      <w:tcPr>
                        <w:tcW w:w="368" w:type="pct"/>
                        <w:shd w:val="clear" w:color="auto" w:fill="auto"/>
                      </w:tcPr>
                      <w:p w:rsidR="00DE031E" w:rsidRDefault="001C1A59">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6e60acd9ae91441b9b512b16cc0e986d"/>
                    <w:id w:val="24724743"/>
                    <w:lock w:val="sdtLocked"/>
                    <w:showingPlcHdr/>
                  </w:sdtPr>
                  <w:sdtEndPr>
                    <w:rPr>
                      <w:rFonts w:hint="eastAsia"/>
                    </w:rPr>
                  </w:sdtEndPr>
                  <w:sdtContent>
                    <w:tc>
                      <w:tcPr>
                        <w:tcW w:w="384"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e023562122364d4a89c97b0bc4c098fc"/>
                    <w:id w:val="24724744"/>
                    <w:lock w:val="sdtLocked"/>
                    <w:showingPlcHdr/>
                  </w:sdtPr>
                  <w:sdtEndPr>
                    <w:rPr>
                      <w:rFonts w:hint="eastAsia"/>
                    </w:rPr>
                  </w:sdtEndPr>
                  <w:sdtContent>
                    <w:tc>
                      <w:tcPr>
                        <w:tcW w:w="365"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db0bab26772a4121a32f11c07833d385"/>
                    <w:id w:val="24724745"/>
                    <w:lock w:val="sdtLocked"/>
                    <w:showingPlcHdr/>
                  </w:sdtPr>
                  <w:sdtContent>
                    <w:tc>
                      <w:tcPr>
                        <w:tcW w:w="844" w:type="pct"/>
                        <w:shd w:val="clear" w:color="auto" w:fill="auto"/>
                      </w:tcPr>
                      <w:p w:rsidR="00DE031E" w:rsidRDefault="00DE031E">
                        <w:pPr>
                          <w:autoSpaceDE w:val="0"/>
                          <w:autoSpaceDN w:val="0"/>
                          <w:adjustRightInd w:val="0"/>
                          <w:snapToGrid w:val="0"/>
                          <w:jc w:val="right"/>
                          <w:rPr>
                            <w:szCs w:val="21"/>
                          </w:rPr>
                        </w:pPr>
                      </w:p>
                    </w:tc>
                  </w:sdtContent>
                </w:sdt>
              </w:tr>
            </w:sdtContent>
          </w:sdt>
          <w:tr w:rsidR="0083119B" w:rsidTr="0083119B">
            <w:trPr>
              <w:trHeight w:val="282"/>
              <w:jc w:val="center"/>
            </w:trPr>
            <w:tc>
              <w:tcPr>
                <w:tcW w:w="1880" w:type="pct"/>
                <w:shd w:val="clear" w:color="auto" w:fill="auto"/>
                <w:vAlign w:val="center"/>
              </w:tcPr>
              <w:p w:rsidR="00DE031E" w:rsidRDefault="001C1A59">
                <w:pPr>
                  <w:autoSpaceDE w:val="0"/>
                  <w:autoSpaceDN w:val="0"/>
                  <w:adjustRightInd w:val="0"/>
                  <w:snapToGrid w:val="0"/>
                  <w:jc w:val="center"/>
                  <w:rPr>
                    <w:szCs w:val="21"/>
                    <w:u w:val="double"/>
                  </w:rPr>
                </w:pPr>
                <w:r>
                  <w:rPr>
                    <w:rFonts w:hint="eastAsia"/>
                    <w:szCs w:val="21"/>
                  </w:rPr>
                  <w:t>合计</w:t>
                </w:r>
              </w:p>
            </w:tc>
            <w:sdt>
              <w:sdtPr>
                <w:rPr>
                  <w:szCs w:val="21"/>
                </w:rPr>
                <w:alias w:val="商誉减值准备"/>
                <w:tag w:val="_GBC_af6b6ac3115f4542a6be1c64e4416c8d"/>
                <w:id w:val="24724747"/>
                <w:lock w:val="sdtLocked"/>
              </w:sdtPr>
              <w:sdtContent>
                <w:tc>
                  <w:tcPr>
                    <w:tcW w:w="760" w:type="pct"/>
                    <w:shd w:val="clear" w:color="auto" w:fill="auto"/>
                  </w:tcPr>
                  <w:p w:rsidR="00DE031E" w:rsidRDefault="001C1A59">
                    <w:pPr>
                      <w:autoSpaceDE w:val="0"/>
                      <w:autoSpaceDN w:val="0"/>
                      <w:adjustRightInd w:val="0"/>
                      <w:snapToGrid w:val="0"/>
                      <w:jc w:val="right"/>
                      <w:rPr>
                        <w:szCs w:val="21"/>
                        <w:u w:val="double"/>
                      </w:rPr>
                    </w:pPr>
                    <w:r>
                      <w:rPr>
                        <w:szCs w:val="21"/>
                      </w:rPr>
                      <w:t>22,867,603.25</w:t>
                    </w:r>
                  </w:p>
                </w:tc>
              </w:sdtContent>
            </w:sdt>
            <w:sdt>
              <w:sdtPr>
                <w:rPr>
                  <w:szCs w:val="21"/>
                </w:rPr>
                <w:alias w:val="商誉减值准备计提本期增加合计"/>
                <w:tag w:val="_GBC_a4b935e1b66240978222cdcb5c218c4f"/>
                <w:id w:val="24724748"/>
                <w:lock w:val="sdtLocked"/>
                <w:showingPlcHdr/>
              </w:sdtPr>
              <w:sdtEndPr>
                <w:rPr>
                  <w:rFonts w:hint="eastAsia"/>
                </w:rPr>
              </w:sdtEndPr>
              <w:sdtContent>
                <w:tc>
                  <w:tcPr>
                    <w:tcW w:w="400"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增加额项目名称金额合计"/>
                <w:tag w:val="_GBC_55bfac9717d64e6f9773b74e6012f83f"/>
                <w:id w:val="24724749"/>
                <w:lock w:val="sdtLocked"/>
                <w:showingPlcHdr/>
              </w:sdtPr>
              <w:sdtEndPr>
                <w:rPr>
                  <w:rFonts w:hint="eastAsia"/>
                </w:rPr>
              </w:sdtEndPr>
              <w:sdtContent>
                <w:tc>
                  <w:tcPr>
                    <w:tcW w:w="368"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减值准备本期减少合计"/>
                <w:tag w:val="_GBC_b88f95660f1b4e16a0b15f41522958a2"/>
                <w:id w:val="24724750"/>
                <w:lock w:val="sdtLocked"/>
                <w:showingPlcHdr/>
              </w:sdtPr>
              <w:sdtEndPr>
                <w:rPr>
                  <w:rFonts w:hint="eastAsia"/>
                </w:rPr>
              </w:sdtEndPr>
              <w:sdtContent>
                <w:tc>
                  <w:tcPr>
                    <w:tcW w:w="384"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合计"/>
                <w:tag w:val="_GBC_e2314c7d33404e10805b0367b5e7a9db"/>
                <w:id w:val="24724751"/>
                <w:lock w:val="sdtLocked"/>
                <w:showingPlcHdr/>
              </w:sdtPr>
              <w:sdtEndPr>
                <w:rPr>
                  <w:rFonts w:hint="eastAsia"/>
                </w:rPr>
              </w:sdtEndPr>
              <w:sdtContent>
                <w:tc>
                  <w:tcPr>
                    <w:tcW w:w="365" w:type="pct"/>
                    <w:shd w:val="clear" w:color="auto" w:fill="auto"/>
                  </w:tcPr>
                  <w:p w:rsidR="00DE031E" w:rsidRDefault="001C1A5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
                <w:tag w:val="_GBC_404f20773b8f4c5da6dcced81bc6c86a"/>
                <w:id w:val="24724752"/>
                <w:lock w:val="sdtLocked"/>
              </w:sdtPr>
              <w:sdtContent>
                <w:tc>
                  <w:tcPr>
                    <w:tcW w:w="844" w:type="pct"/>
                    <w:shd w:val="clear" w:color="auto" w:fill="auto"/>
                  </w:tcPr>
                  <w:p w:rsidR="00DE031E" w:rsidRDefault="001C1A59">
                    <w:pPr>
                      <w:autoSpaceDE w:val="0"/>
                      <w:autoSpaceDN w:val="0"/>
                      <w:adjustRightInd w:val="0"/>
                      <w:snapToGrid w:val="0"/>
                      <w:jc w:val="right"/>
                      <w:rPr>
                        <w:szCs w:val="21"/>
                        <w:u w:val="double"/>
                      </w:rPr>
                    </w:pPr>
                    <w:r>
                      <w:rPr>
                        <w:szCs w:val="21"/>
                      </w:rPr>
                      <w:t>22,867,603.25</w:t>
                    </w:r>
                  </w:p>
                </w:tc>
              </w:sdtContent>
            </w:sdt>
          </w:tr>
        </w:tbl>
        <w:sdt>
          <w:sdtPr>
            <w:rPr>
              <w:rFonts w:asciiTheme="minorEastAsia" w:eastAsiaTheme="minorEastAsia" w:hAnsiTheme="minorEastAsia"/>
              <w:szCs w:val="21"/>
            </w:rPr>
            <w:alias w:val="商誉的说明"/>
            <w:tag w:val="_GBC_4c83760c9f4e43ccbd87360399af577c"/>
            <w:id w:val="24724753"/>
            <w:lock w:val="sdtLocked"/>
            <w:placeholder>
              <w:docPart w:val="GBC22222222222222222222222222222"/>
            </w:placeholder>
          </w:sdtPr>
          <w:sdtContent>
            <w:p w:rsidR="00DE031E" w:rsidRPr="003826FC" w:rsidRDefault="001C1A59" w:rsidP="003A0284">
              <w:pPr>
                <w:widowControl w:val="0"/>
                <w:autoSpaceDE w:val="0"/>
                <w:autoSpaceDN w:val="0"/>
                <w:adjustRightInd w:val="0"/>
                <w:spacing w:beforeLines="50" w:line="360" w:lineRule="auto"/>
                <w:rPr>
                  <w:rFonts w:asciiTheme="minorEastAsia" w:eastAsiaTheme="minorEastAsia" w:hAnsiTheme="minorEastAsia"/>
                  <w:szCs w:val="21"/>
                </w:rPr>
              </w:pPr>
              <w:r w:rsidRPr="003826FC">
                <w:rPr>
                  <w:rFonts w:asciiTheme="minorEastAsia" w:eastAsiaTheme="minorEastAsia" w:hAnsiTheme="minorEastAsia" w:cs="Arial"/>
                  <w:szCs w:val="21"/>
                </w:rPr>
                <w:t>1</w:t>
              </w:r>
              <w:r w:rsidRPr="003826FC">
                <w:rPr>
                  <w:rFonts w:asciiTheme="minorEastAsia" w:eastAsiaTheme="minorEastAsia" w:hAnsiTheme="minorEastAsia" w:hint="eastAsia"/>
                  <w:szCs w:val="21"/>
                </w:rPr>
                <w:t>）</w:t>
              </w:r>
              <w:r w:rsidRPr="003826FC">
                <w:rPr>
                  <w:rFonts w:asciiTheme="minorEastAsia" w:eastAsiaTheme="minorEastAsia" w:hAnsiTheme="minorEastAsia" w:cs="Arial"/>
                  <w:szCs w:val="21"/>
                </w:rPr>
                <w:t>2006</w:t>
              </w:r>
              <w:r w:rsidRPr="003826FC">
                <w:rPr>
                  <w:rFonts w:asciiTheme="minorEastAsia" w:eastAsiaTheme="minorEastAsia" w:hAnsiTheme="minorEastAsia" w:hint="eastAsia"/>
                  <w:szCs w:val="21"/>
                </w:rPr>
                <w:t>年</w:t>
              </w:r>
              <w:r w:rsidRPr="003826FC">
                <w:rPr>
                  <w:rFonts w:asciiTheme="minorEastAsia" w:eastAsiaTheme="minorEastAsia" w:hAnsiTheme="minorEastAsia" w:cs="Arial"/>
                  <w:szCs w:val="21"/>
                </w:rPr>
                <w:t>8</w:t>
              </w:r>
              <w:r w:rsidRPr="003826FC">
                <w:rPr>
                  <w:rFonts w:asciiTheme="minorEastAsia" w:eastAsiaTheme="minorEastAsia" w:hAnsiTheme="minorEastAsia" w:hint="eastAsia"/>
                  <w:szCs w:val="21"/>
                </w:rPr>
                <w:t>月，本公司与上海证券有限责任公司签署《证券营业部转让协议》，受让上海证券有限责任公司上海市宁国路证券营业部，合同价款为</w:t>
              </w:r>
              <w:r w:rsidRPr="003826FC">
                <w:rPr>
                  <w:rFonts w:asciiTheme="minorEastAsia" w:eastAsiaTheme="minorEastAsia" w:hAnsiTheme="minorEastAsia" w:cs="Arial"/>
                  <w:szCs w:val="21"/>
                </w:rPr>
                <w:t>4,500,000.00</w:t>
              </w:r>
              <w:r w:rsidRPr="003826FC">
                <w:rPr>
                  <w:rFonts w:asciiTheme="minorEastAsia" w:eastAsiaTheme="minorEastAsia" w:hAnsiTheme="minorEastAsia" w:hint="eastAsia"/>
                  <w:szCs w:val="21"/>
                </w:rPr>
                <w:t>元。该转让事项经中国证监会上海监管局于</w:t>
              </w:r>
              <w:r w:rsidRPr="003826FC">
                <w:rPr>
                  <w:rFonts w:asciiTheme="minorEastAsia" w:eastAsiaTheme="minorEastAsia" w:hAnsiTheme="minorEastAsia" w:cs="Arial"/>
                  <w:szCs w:val="21"/>
                </w:rPr>
                <w:t>2006</w:t>
              </w:r>
              <w:r w:rsidRPr="003826FC">
                <w:rPr>
                  <w:rFonts w:asciiTheme="minorEastAsia" w:eastAsiaTheme="minorEastAsia" w:hAnsiTheme="minorEastAsia" w:hint="eastAsia"/>
                  <w:szCs w:val="21"/>
                </w:rPr>
                <w:t>年</w:t>
              </w:r>
              <w:r w:rsidRPr="003826FC">
                <w:rPr>
                  <w:rFonts w:asciiTheme="minorEastAsia" w:eastAsiaTheme="minorEastAsia" w:hAnsiTheme="minorEastAsia" w:cs="Arial"/>
                  <w:szCs w:val="21"/>
                </w:rPr>
                <w:t>12</w:t>
              </w:r>
              <w:r w:rsidRPr="003826FC">
                <w:rPr>
                  <w:rFonts w:asciiTheme="minorEastAsia" w:eastAsiaTheme="minorEastAsia" w:hAnsiTheme="minorEastAsia" w:hint="eastAsia"/>
                  <w:szCs w:val="21"/>
                </w:rPr>
                <w:t>月</w:t>
              </w:r>
              <w:r w:rsidRPr="003826FC">
                <w:rPr>
                  <w:rFonts w:asciiTheme="minorEastAsia" w:eastAsiaTheme="minorEastAsia" w:hAnsiTheme="minorEastAsia" w:cs="Arial"/>
                  <w:szCs w:val="21"/>
                </w:rPr>
                <w:t>15</w:t>
              </w:r>
              <w:r w:rsidRPr="003826FC">
                <w:rPr>
                  <w:rFonts w:asciiTheme="minorEastAsia" w:eastAsiaTheme="minorEastAsia" w:hAnsiTheme="minorEastAsia" w:hint="eastAsia"/>
                  <w:szCs w:val="21"/>
                </w:rPr>
                <w:t>日出具《关于同意招商证券股份有限公司受让上海证券有限责任公司宁国路营业部的批复》（沪证监机构字</w:t>
              </w:r>
              <w:r w:rsidRPr="003826FC">
                <w:rPr>
                  <w:rFonts w:asciiTheme="minorEastAsia" w:eastAsiaTheme="minorEastAsia" w:hAnsiTheme="minorEastAsia" w:cs="Arial"/>
                  <w:szCs w:val="21"/>
                </w:rPr>
                <w:t>[2006]488</w:t>
              </w:r>
              <w:r w:rsidRPr="003826FC">
                <w:rPr>
                  <w:rFonts w:asciiTheme="minorEastAsia" w:eastAsiaTheme="minorEastAsia" w:hAnsiTheme="minorEastAsia" w:hint="eastAsia"/>
                  <w:szCs w:val="21"/>
                </w:rPr>
                <w:t>号文）同意。收购日该营业部净资产为</w:t>
              </w:r>
              <w:r w:rsidRPr="003826FC">
                <w:rPr>
                  <w:rFonts w:asciiTheme="minorEastAsia" w:eastAsiaTheme="minorEastAsia" w:hAnsiTheme="minorEastAsia" w:cs="Arial"/>
                  <w:szCs w:val="21"/>
                </w:rPr>
                <w:t>0</w:t>
              </w:r>
              <w:r w:rsidRPr="003826FC">
                <w:rPr>
                  <w:rFonts w:asciiTheme="minorEastAsia" w:eastAsiaTheme="minorEastAsia" w:hAnsiTheme="minorEastAsia" w:hint="eastAsia"/>
                  <w:szCs w:val="21"/>
                </w:rPr>
                <w:t>元，确认商誉</w:t>
              </w:r>
              <w:r w:rsidRPr="003826FC">
                <w:rPr>
                  <w:rFonts w:asciiTheme="minorEastAsia" w:eastAsiaTheme="minorEastAsia" w:hAnsiTheme="minorEastAsia" w:cs="Arial"/>
                  <w:szCs w:val="21"/>
                </w:rPr>
                <w:t>4,500,000.00</w:t>
              </w:r>
              <w:r w:rsidRPr="003826FC">
                <w:rPr>
                  <w:rFonts w:asciiTheme="minorEastAsia" w:eastAsiaTheme="minorEastAsia" w:hAnsiTheme="minorEastAsia" w:hint="eastAsia"/>
                  <w:szCs w:val="21"/>
                </w:rPr>
                <w:t>元。由于原营业部的地理及客户资源优势无法为本公司再带来超额利润，故已全额计提减值准备</w:t>
              </w:r>
              <w:r w:rsidRPr="003826FC">
                <w:rPr>
                  <w:rFonts w:asciiTheme="minorEastAsia" w:eastAsiaTheme="minorEastAsia" w:hAnsiTheme="minorEastAsia" w:cs="Arial"/>
                  <w:szCs w:val="21"/>
                </w:rPr>
                <w:t>4,500,000.00</w:t>
              </w:r>
              <w:r w:rsidRPr="003826FC">
                <w:rPr>
                  <w:rFonts w:asciiTheme="minorEastAsia" w:eastAsiaTheme="minorEastAsia" w:hAnsiTheme="minorEastAsia" w:hint="eastAsia"/>
                  <w:szCs w:val="21"/>
                </w:rPr>
                <w:t>元。</w:t>
              </w:r>
            </w:p>
            <w:p w:rsidR="00DE031E" w:rsidRPr="003826FC" w:rsidRDefault="001C1A59" w:rsidP="00DE031E">
              <w:pPr>
                <w:widowControl w:val="0"/>
                <w:autoSpaceDE w:val="0"/>
                <w:autoSpaceDN w:val="0"/>
                <w:adjustRightInd w:val="0"/>
                <w:spacing w:line="360" w:lineRule="auto"/>
                <w:rPr>
                  <w:rFonts w:asciiTheme="minorEastAsia" w:eastAsiaTheme="minorEastAsia" w:hAnsiTheme="minorEastAsia"/>
                  <w:szCs w:val="21"/>
                </w:rPr>
              </w:pPr>
              <w:r w:rsidRPr="003826FC">
                <w:rPr>
                  <w:rFonts w:asciiTheme="minorEastAsia" w:eastAsiaTheme="minorEastAsia" w:hAnsiTheme="minorEastAsia" w:cs="Arial"/>
                  <w:szCs w:val="21"/>
                </w:rPr>
                <w:t>2</w:t>
              </w:r>
              <w:r w:rsidRPr="003826FC">
                <w:rPr>
                  <w:rFonts w:asciiTheme="minorEastAsia" w:eastAsiaTheme="minorEastAsia" w:hAnsiTheme="minorEastAsia" w:hint="eastAsia"/>
                  <w:szCs w:val="21"/>
                </w:rPr>
                <w:t>）</w:t>
              </w:r>
              <w:r w:rsidRPr="003826FC">
                <w:rPr>
                  <w:rFonts w:asciiTheme="minorEastAsia" w:eastAsiaTheme="minorEastAsia" w:hAnsiTheme="minorEastAsia" w:cs="Arial"/>
                  <w:szCs w:val="21"/>
                </w:rPr>
                <w:t>2007</w:t>
              </w:r>
              <w:r w:rsidRPr="003826FC">
                <w:rPr>
                  <w:rFonts w:asciiTheme="minorEastAsia" w:eastAsiaTheme="minorEastAsia" w:hAnsiTheme="minorEastAsia" w:hint="eastAsia"/>
                  <w:szCs w:val="21"/>
                </w:rPr>
                <w:t>年</w:t>
              </w:r>
              <w:r w:rsidRPr="003826FC">
                <w:rPr>
                  <w:rFonts w:asciiTheme="minorEastAsia" w:eastAsiaTheme="minorEastAsia" w:hAnsiTheme="minorEastAsia" w:cs="Arial"/>
                  <w:szCs w:val="21"/>
                </w:rPr>
                <w:t>6</w:t>
              </w:r>
              <w:r w:rsidRPr="003826FC">
                <w:rPr>
                  <w:rFonts w:asciiTheme="minorEastAsia" w:eastAsiaTheme="minorEastAsia" w:hAnsiTheme="minorEastAsia" w:hint="eastAsia"/>
                  <w:szCs w:val="21"/>
                </w:rPr>
                <w:t>月，本公司正式接收巨田证券有限责任公司经纪类证券资产，将收购价款与收购日经纪类证券资产公允价值和未来支付款项两项之和的差异确认为商誉，金额为</w:t>
              </w:r>
              <w:r w:rsidRPr="003826FC">
                <w:rPr>
                  <w:rFonts w:asciiTheme="minorEastAsia" w:eastAsiaTheme="minorEastAsia" w:hAnsiTheme="minorEastAsia" w:cs="Arial"/>
                  <w:szCs w:val="21"/>
                </w:rPr>
                <w:t>18,367,603.25</w:t>
              </w:r>
              <w:r w:rsidRPr="003826FC">
                <w:rPr>
                  <w:rFonts w:asciiTheme="minorEastAsia" w:eastAsiaTheme="minorEastAsia" w:hAnsiTheme="minorEastAsia" w:hint="eastAsia"/>
                  <w:szCs w:val="21"/>
                </w:rPr>
                <w:t>元。本次收购所依据的公允价值系根据中审会计师事务所有限公司出具的中审评报字〔</w:t>
              </w:r>
              <w:r w:rsidRPr="003826FC">
                <w:rPr>
                  <w:rFonts w:asciiTheme="minorEastAsia" w:eastAsiaTheme="minorEastAsia" w:hAnsiTheme="minorEastAsia" w:cs="Arial"/>
                  <w:szCs w:val="21"/>
                </w:rPr>
                <w:t>2006</w:t>
              </w:r>
              <w:r w:rsidRPr="003826FC">
                <w:rPr>
                  <w:rFonts w:asciiTheme="minorEastAsia" w:eastAsiaTheme="minorEastAsia" w:hAnsiTheme="minorEastAsia" w:hint="eastAsia"/>
                  <w:szCs w:val="21"/>
                </w:rPr>
                <w:t>〕第</w:t>
              </w:r>
              <w:r w:rsidRPr="003826FC">
                <w:rPr>
                  <w:rFonts w:asciiTheme="minorEastAsia" w:eastAsiaTheme="minorEastAsia" w:hAnsiTheme="minorEastAsia" w:cs="Arial"/>
                  <w:szCs w:val="21"/>
                </w:rPr>
                <w:t>6059</w:t>
              </w:r>
              <w:r w:rsidRPr="003826FC">
                <w:rPr>
                  <w:rFonts w:asciiTheme="minorEastAsia" w:eastAsiaTheme="minorEastAsia" w:hAnsiTheme="minorEastAsia" w:hint="eastAsia"/>
                  <w:szCs w:val="21"/>
                </w:rPr>
                <w:t>号评估报告确认。由于原营业部的地理及客户资源优势无法为本公司再带来超额利润，故已全额计提减值准备</w:t>
              </w:r>
              <w:r w:rsidRPr="003826FC">
                <w:rPr>
                  <w:rFonts w:asciiTheme="minorEastAsia" w:eastAsiaTheme="minorEastAsia" w:hAnsiTheme="minorEastAsia" w:cs="Arial"/>
                  <w:szCs w:val="21"/>
                </w:rPr>
                <w:t>18,367,603.25</w:t>
              </w:r>
              <w:r w:rsidRPr="003826FC">
                <w:rPr>
                  <w:rFonts w:asciiTheme="minorEastAsia" w:eastAsiaTheme="minorEastAsia" w:hAnsiTheme="minorEastAsia" w:hint="eastAsia"/>
                  <w:szCs w:val="21"/>
                </w:rPr>
                <w:t>元。</w:t>
              </w:r>
            </w:p>
            <w:p w:rsidR="00DE031E" w:rsidRPr="00211955" w:rsidRDefault="001C1A59" w:rsidP="00DE031E">
              <w:pPr>
                <w:spacing w:line="360" w:lineRule="auto"/>
                <w:rPr>
                  <w:rFonts w:asciiTheme="minorEastAsia" w:eastAsiaTheme="minorEastAsia" w:hAnsiTheme="minorEastAsia"/>
                  <w:szCs w:val="21"/>
                </w:rPr>
              </w:pPr>
              <w:r w:rsidRPr="003826FC">
                <w:rPr>
                  <w:rFonts w:asciiTheme="minorEastAsia" w:eastAsiaTheme="minorEastAsia" w:hAnsiTheme="minorEastAsia" w:cs="Arial"/>
                  <w:szCs w:val="21"/>
                </w:rPr>
                <w:t>3</w:t>
              </w:r>
              <w:r w:rsidRPr="003826FC">
                <w:rPr>
                  <w:rFonts w:asciiTheme="minorEastAsia" w:eastAsiaTheme="minorEastAsia" w:hAnsiTheme="minorEastAsia" w:hint="eastAsia"/>
                  <w:szCs w:val="21"/>
                </w:rPr>
                <w:t>）期末合并招商期货有限公司形成的商誉经减值测试，未发生减值情形。</w:t>
              </w:r>
            </w:p>
          </w:sdtContent>
        </w:sdt>
      </w:sdtContent>
    </w:sdt>
    <w:sdt>
      <w:sdtPr>
        <w:rPr>
          <w:rFonts w:ascii="宋体" w:hAnsi="宋体" w:cs="宋体" w:hint="eastAsia"/>
          <w:b w:val="0"/>
          <w:bCs w:val="0"/>
          <w:kern w:val="0"/>
          <w:szCs w:val="21"/>
        </w:rPr>
        <w:tag w:val="_GBC_c7f901dce89846cbbbab6c51c3213a6f"/>
        <w:id w:val="24724798"/>
        <w:lock w:val="sdtLocked"/>
        <w:placeholder>
          <w:docPart w:val="GBC22222222222222222222222222222"/>
        </w:placeholder>
      </w:sdtPr>
      <w:sdtEndPr>
        <w:rPr>
          <w:rFonts w:hint="default"/>
          <w:szCs w:val="24"/>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长期待摊费用</w:t>
          </w:r>
        </w:p>
        <w:sdt>
          <w:sdtPr>
            <w:alias w:val="是否适用：长期待摊费用"/>
            <w:tag w:val="_GBC_e11f1a9d51894bd383adfa2029de5ed2"/>
            <w:id w:val="24724755"/>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长期待摊费用"/>
              <w:tag w:val="_GBC_aa74f67aac374e54a7768a8434ab0c08"/>
              <w:id w:val="24724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24724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54"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3"/>
            <w:gridCol w:w="1687"/>
            <w:gridCol w:w="1476"/>
            <w:gridCol w:w="1581"/>
            <w:gridCol w:w="1295"/>
            <w:gridCol w:w="1687"/>
          </w:tblGrid>
          <w:tr w:rsidR="00DE031E" w:rsidTr="00DE031E">
            <w:trPr>
              <w:jc w:val="center"/>
            </w:trPr>
            <w:tc>
              <w:tcPr>
                <w:tcW w:w="938" w:type="pct"/>
                <w:shd w:val="clear" w:color="auto" w:fill="auto"/>
                <w:vAlign w:val="center"/>
              </w:tcPr>
              <w:p w:rsidR="00DE031E" w:rsidRDefault="001C1A59" w:rsidP="00DE031E">
                <w:pPr>
                  <w:jc w:val="center"/>
                  <w:rPr>
                    <w:szCs w:val="21"/>
                  </w:rPr>
                </w:pPr>
                <w:r>
                  <w:rPr>
                    <w:rFonts w:hint="eastAsia"/>
                    <w:szCs w:val="21"/>
                  </w:rPr>
                  <w:t>项目</w:t>
                </w:r>
              </w:p>
            </w:tc>
            <w:tc>
              <w:tcPr>
                <w:tcW w:w="887" w:type="pct"/>
                <w:shd w:val="clear" w:color="auto" w:fill="auto"/>
                <w:vAlign w:val="center"/>
              </w:tcPr>
              <w:p w:rsidR="00DE031E" w:rsidRDefault="001C1A59" w:rsidP="00DE031E">
                <w:pPr>
                  <w:jc w:val="center"/>
                  <w:rPr>
                    <w:szCs w:val="21"/>
                  </w:rPr>
                </w:pPr>
                <w:r>
                  <w:rPr>
                    <w:rFonts w:hint="eastAsia"/>
                    <w:szCs w:val="21"/>
                  </w:rPr>
                  <w:t>期初余额</w:t>
                </w:r>
              </w:p>
            </w:tc>
            <w:tc>
              <w:tcPr>
                <w:tcW w:w="776" w:type="pct"/>
                <w:shd w:val="clear" w:color="auto" w:fill="auto"/>
                <w:vAlign w:val="center"/>
              </w:tcPr>
              <w:p w:rsidR="00DE031E" w:rsidRDefault="001C1A59" w:rsidP="00DE031E">
                <w:pPr>
                  <w:jc w:val="center"/>
                  <w:rPr>
                    <w:szCs w:val="21"/>
                  </w:rPr>
                </w:pPr>
                <w:r>
                  <w:rPr>
                    <w:rFonts w:hint="eastAsia"/>
                    <w:szCs w:val="21"/>
                  </w:rPr>
                  <w:t>本期增加金额</w:t>
                </w:r>
              </w:p>
            </w:tc>
            <w:tc>
              <w:tcPr>
                <w:tcW w:w="831" w:type="pct"/>
                <w:shd w:val="clear" w:color="auto" w:fill="auto"/>
                <w:vAlign w:val="center"/>
              </w:tcPr>
              <w:p w:rsidR="00DE031E" w:rsidRDefault="001C1A59" w:rsidP="00DE031E">
                <w:pPr>
                  <w:jc w:val="center"/>
                  <w:rPr>
                    <w:szCs w:val="21"/>
                  </w:rPr>
                </w:pPr>
                <w:r>
                  <w:rPr>
                    <w:rFonts w:hint="eastAsia"/>
                    <w:szCs w:val="21"/>
                  </w:rPr>
                  <w:t>本期摊销金额</w:t>
                </w:r>
              </w:p>
            </w:tc>
            <w:tc>
              <w:tcPr>
                <w:tcW w:w="681" w:type="pct"/>
                <w:shd w:val="clear" w:color="auto" w:fill="auto"/>
                <w:vAlign w:val="center"/>
              </w:tcPr>
              <w:p w:rsidR="00DE031E" w:rsidRDefault="001C1A59" w:rsidP="00DE031E">
                <w:pPr>
                  <w:jc w:val="center"/>
                  <w:rPr>
                    <w:szCs w:val="21"/>
                  </w:rPr>
                </w:pPr>
                <w:r>
                  <w:rPr>
                    <w:rFonts w:hint="eastAsia"/>
                    <w:szCs w:val="21"/>
                  </w:rPr>
                  <w:t>其他减少金额</w:t>
                </w:r>
              </w:p>
            </w:tc>
            <w:tc>
              <w:tcPr>
                <w:tcW w:w="887" w:type="pct"/>
                <w:shd w:val="clear" w:color="auto" w:fill="auto"/>
                <w:vAlign w:val="center"/>
              </w:tcPr>
              <w:p w:rsidR="00DE031E" w:rsidRDefault="001C1A59" w:rsidP="00DE031E">
                <w:pPr>
                  <w:jc w:val="center"/>
                  <w:rPr>
                    <w:szCs w:val="21"/>
                  </w:rPr>
                </w:pPr>
                <w:r>
                  <w:rPr>
                    <w:rFonts w:hint="eastAsia"/>
                    <w:szCs w:val="21"/>
                  </w:rPr>
                  <w:t>期末余额</w:t>
                </w:r>
              </w:p>
            </w:tc>
          </w:tr>
          <w:sdt>
            <w:sdtPr>
              <w:rPr>
                <w:rFonts w:hint="eastAsia"/>
                <w:szCs w:val="21"/>
              </w:rPr>
              <w:alias w:val="长期待摊费用明细"/>
              <w:tag w:val="_GBC_68b20aeabd8c4ce8bf5df712206206af"/>
              <w:id w:val="24724764"/>
              <w:lock w:val="sdtLocked"/>
            </w:sdtPr>
            <w:sdtContent>
              <w:tr w:rsidR="00DE031E" w:rsidTr="00DE031E">
                <w:trPr>
                  <w:jc w:val="center"/>
                </w:trPr>
                <w:sdt>
                  <w:sdtPr>
                    <w:rPr>
                      <w:rFonts w:hint="eastAsia"/>
                      <w:szCs w:val="21"/>
                    </w:rPr>
                    <w:alias w:val="长期待摊费用种类"/>
                    <w:tag w:val="_GBC_9d6a51ba248a47c6b91b0f261c6fa8e8"/>
                    <w:id w:val="24724758"/>
                    <w:lock w:val="sdtLocked"/>
                  </w:sdtPr>
                  <w:sdtContent>
                    <w:tc>
                      <w:tcPr>
                        <w:tcW w:w="938" w:type="pct"/>
                        <w:shd w:val="clear" w:color="auto" w:fill="auto"/>
                      </w:tcPr>
                      <w:p w:rsidR="00DE031E" w:rsidRDefault="001C1A59" w:rsidP="00DE031E">
                        <w:pPr>
                          <w:rPr>
                            <w:szCs w:val="21"/>
                          </w:rPr>
                        </w:pPr>
                        <w:r>
                          <w:rPr>
                            <w:rFonts w:hint="eastAsia"/>
                            <w:szCs w:val="21"/>
                          </w:rPr>
                          <w:t>固定资产装修</w:t>
                        </w:r>
                      </w:p>
                    </w:tc>
                  </w:sdtContent>
                </w:sdt>
                <w:sdt>
                  <w:sdtPr>
                    <w:rPr>
                      <w:szCs w:val="21"/>
                    </w:rPr>
                    <w:alias w:val="长期待摊费用金额"/>
                    <w:tag w:val="_GBC_b14929afd0c342748c1d8243fc4910e3"/>
                    <w:id w:val="24724759"/>
                    <w:lock w:val="sdtLocked"/>
                  </w:sdtPr>
                  <w:sdtContent>
                    <w:tc>
                      <w:tcPr>
                        <w:tcW w:w="887" w:type="pct"/>
                        <w:shd w:val="clear" w:color="auto" w:fill="auto"/>
                      </w:tcPr>
                      <w:p w:rsidR="00DE031E" w:rsidRDefault="001C1A59" w:rsidP="00DE031E">
                        <w:pPr>
                          <w:jc w:val="right"/>
                          <w:rPr>
                            <w:szCs w:val="21"/>
                          </w:rPr>
                        </w:pPr>
                        <w:r>
                          <w:rPr>
                            <w:szCs w:val="21"/>
                          </w:rPr>
                          <w:t>71,378,760.57</w:t>
                        </w:r>
                      </w:p>
                    </w:tc>
                  </w:sdtContent>
                </w:sdt>
                <w:sdt>
                  <w:sdtPr>
                    <w:rPr>
                      <w:szCs w:val="21"/>
                    </w:rPr>
                    <w:alias w:val="长期待摊费用明细-增加额"/>
                    <w:tag w:val="_GBC_6cfec0ad72e54555b4cdcf2f307a967d"/>
                    <w:id w:val="24724760"/>
                    <w:lock w:val="sdtLocked"/>
                  </w:sdtPr>
                  <w:sdtContent>
                    <w:tc>
                      <w:tcPr>
                        <w:tcW w:w="776" w:type="pct"/>
                        <w:shd w:val="clear" w:color="auto" w:fill="auto"/>
                      </w:tcPr>
                      <w:p w:rsidR="00DE031E" w:rsidRDefault="001C1A59" w:rsidP="00DE031E">
                        <w:pPr>
                          <w:jc w:val="right"/>
                          <w:rPr>
                            <w:szCs w:val="21"/>
                          </w:rPr>
                        </w:pPr>
                        <w:r>
                          <w:rPr>
                            <w:szCs w:val="21"/>
                          </w:rPr>
                          <w:t>2,858,129.67</w:t>
                        </w:r>
                      </w:p>
                    </w:tc>
                  </w:sdtContent>
                </w:sdt>
                <w:sdt>
                  <w:sdtPr>
                    <w:rPr>
                      <w:szCs w:val="21"/>
                    </w:rPr>
                    <w:alias w:val="长期待摊费用明细-摊销额"/>
                    <w:tag w:val="_GBC_b6335fca5217411c9a43c8a8e2701c2c"/>
                    <w:id w:val="24724761"/>
                    <w:lock w:val="sdtLocked"/>
                  </w:sdtPr>
                  <w:sdtContent>
                    <w:tc>
                      <w:tcPr>
                        <w:tcW w:w="831" w:type="pct"/>
                        <w:shd w:val="clear" w:color="auto" w:fill="auto"/>
                      </w:tcPr>
                      <w:p w:rsidR="00DE031E" w:rsidRDefault="001C1A59" w:rsidP="00DE031E">
                        <w:pPr>
                          <w:jc w:val="right"/>
                          <w:rPr>
                            <w:szCs w:val="21"/>
                          </w:rPr>
                        </w:pPr>
                        <w:r>
                          <w:rPr>
                            <w:szCs w:val="21"/>
                          </w:rPr>
                          <w:t>14,483,711.11</w:t>
                        </w:r>
                      </w:p>
                    </w:tc>
                  </w:sdtContent>
                </w:sdt>
                <w:sdt>
                  <w:sdtPr>
                    <w:rPr>
                      <w:szCs w:val="21"/>
                    </w:rPr>
                    <w:alias w:val="长期待摊费用明细-其他减少额"/>
                    <w:tag w:val="_GBC_55008f38074e4da889e976190b207a58"/>
                    <w:id w:val="24724762"/>
                    <w:lock w:val="sdtLocked"/>
                    <w:showingPlcHdr/>
                  </w:sdtPr>
                  <w:sdtContent>
                    <w:tc>
                      <w:tcPr>
                        <w:tcW w:w="681"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szCs w:val="21"/>
                    </w:rPr>
                    <w:alias w:val="长期待摊费用金额"/>
                    <w:tag w:val="_GBC_1c7338f7a840495e8bd2bbc845120f74"/>
                    <w:id w:val="24724763"/>
                    <w:lock w:val="sdtLocked"/>
                  </w:sdtPr>
                  <w:sdtContent>
                    <w:tc>
                      <w:tcPr>
                        <w:tcW w:w="887" w:type="pct"/>
                        <w:shd w:val="clear" w:color="auto" w:fill="auto"/>
                      </w:tcPr>
                      <w:p w:rsidR="00DE031E" w:rsidRDefault="001C1A59" w:rsidP="00DE031E">
                        <w:pPr>
                          <w:jc w:val="right"/>
                          <w:rPr>
                            <w:szCs w:val="21"/>
                          </w:rPr>
                        </w:pPr>
                        <w:r>
                          <w:rPr>
                            <w:szCs w:val="21"/>
                          </w:rPr>
                          <w:t>59,753,179.13</w:t>
                        </w:r>
                      </w:p>
                    </w:tc>
                  </w:sdtContent>
                </w:sdt>
              </w:tr>
            </w:sdtContent>
          </w:sdt>
          <w:sdt>
            <w:sdtPr>
              <w:rPr>
                <w:rFonts w:hint="eastAsia"/>
                <w:szCs w:val="21"/>
              </w:rPr>
              <w:alias w:val="长期待摊费用明细"/>
              <w:tag w:val="_GBC_68b20aeabd8c4ce8bf5df712206206af"/>
              <w:id w:val="24724771"/>
              <w:lock w:val="sdtLocked"/>
            </w:sdtPr>
            <w:sdtContent>
              <w:tr w:rsidR="00DE031E" w:rsidTr="00DE031E">
                <w:trPr>
                  <w:jc w:val="center"/>
                </w:trPr>
                <w:sdt>
                  <w:sdtPr>
                    <w:rPr>
                      <w:rFonts w:hint="eastAsia"/>
                      <w:szCs w:val="21"/>
                    </w:rPr>
                    <w:alias w:val="长期待摊费用种类"/>
                    <w:tag w:val="_GBC_9d6a51ba248a47c6b91b0f261c6fa8e8"/>
                    <w:id w:val="24724765"/>
                    <w:lock w:val="sdtLocked"/>
                  </w:sdtPr>
                  <w:sdtContent>
                    <w:tc>
                      <w:tcPr>
                        <w:tcW w:w="938" w:type="pct"/>
                        <w:shd w:val="clear" w:color="auto" w:fill="auto"/>
                      </w:tcPr>
                      <w:p w:rsidR="00DE031E" w:rsidRDefault="001C1A59" w:rsidP="00DE031E">
                        <w:pPr>
                          <w:rPr>
                            <w:szCs w:val="21"/>
                          </w:rPr>
                        </w:pPr>
                        <w:r>
                          <w:rPr>
                            <w:rFonts w:hint="eastAsia"/>
                            <w:szCs w:val="21"/>
                          </w:rPr>
                          <w:t>电话中继线</w:t>
                        </w:r>
                      </w:p>
                    </w:tc>
                  </w:sdtContent>
                </w:sdt>
                <w:sdt>
                  <w:sdtPr>
                    <w:rPr>
                      <w:szCs w:val="21"/>
                    </w:rPr>
                    <w:alias w:val="长期待摊费用金额"/>
                    <w:tag w:val="_GBC_b14929afd0c342748c1d8243fc4910e3"/>
                    <w:id w:val="24724766"/>
                    <w:lock w:val="sdtLocked"/>
                  </w:sdtPr>
                  <w:sdtContent>
                    <w:tc>
                      <w:tcPr>
                        <w:tcW w:w="887" w:type="pct"/>
                        <w:shd w:val="clear" w:color="auto" w:fill="auto"/>
                      </w:tcPr>
                      <w:p w:rsidR="00DE031E" w:rsidRDefault="001C1A59" w:rsidP="00DE031E">
                        <w:pPr>
                          <w:jc w:val="right"/>
                          <w:rPr>
                            <w:szCs w:val="21"/>
                          </w:rPr>
                        </w:pPr>
                        <w:r>
                          <w:rPr>
                            <w:szCs w:val="21"/>
                          </w:rPr>
                          <w:t>9,596.49</w:t>
                        </w:r>
                      </w:p>
                    </w:tc>
                  </w:sdtContent>
                </w:sdt>
                <w:sdt>
                  <w:sdtPr>
                    <w:rPr>
                      <w:szCs w:val="21"/>
                    </w:rPr>
                    <w:alias w:val="长期待摊费用明细-增加额"/>
                    <w:tag w:val="_GBC_6cfec0ad72e54555b4cdcf2f307a967d"/>
                    <w:id w:val="24724767"/>
                    <w:lock w:val="sdtLocked"/>
                  </w:sdtPr>
                  <w:sdtContent>
                    <w:tc>
                      <w:tcPr>
                        <w:tcW w:w="776" w:type="pct"/>
                        <w:shd w:val="clear" w:color="auto" w:fill="auto"/>
                      </w:tcPr>
                      <w:p w:rsidR="00DE031E" w:rsidRDefault="001C1A59" w:rsidP="00DE031E">
                        <w:pPr>
                          <w:jc w:val="right"/>
                          <w:rPr>
                            <w:szCs w:val="21"/>
                          </w:rPr>
                        </w:pPr>
                        <w:r>
                          <w:rPr>
                            <w:szCs w:val="21"/>
                          </w:rPr>
                          <w:t>0.00</w:t>
                        </w:r>
                      </w:p>
                    </w:tc>
                  </w:sdtContent>
                </w:sdt>
                <w:sdt>
                  <w:sdtPr>
                    <w:rPr>
                      <w:szCs w:val="21"/>
                    </w:rPr>
                    <w:alias w:val="长期待摊费用明细-摊销额"/>
                    <w:tag w:val="_GBC_b6335fca5217411c9a43c8a8e2701c2c"/>
                    <w:id w:val="24724768"/>
                    <w:lock w:val="sdtLocked"/>
                  </w:sdtPr>
                  <w:sdtContent>
                    <w:tc>
                      <w:tcPr>
                        <w:tcW w:w="831" w:type="pct"/>
                        <w:shd w:val="clear" w:color="auto" w:fill="auto"/>
                      </w:tcPr>
                      <w:p w:rsidR="00DE031E" w:rsidRDefault="001C1A59" w:rsidP="00DE031E">
                        <w:pPr>
                          <w:jc w:val="right"/>
                          <w:rPr>
                            <w:szCs w:val="21"/>
                          </w:rPr>
                        </w:pPr>
                        <w:r>
                          <w:rPr>
                            <w:szCs w:val="21"/>
                          </w:rPr>
                          <w:t>5,106.96</w:t>
                        </w:r>
                      </w:p>
                    </w:tc>
                  </w:sdtContent>
                </w:sdt>
                <w:sdt>
                  <w:sdtPr>
                    <w:rPr>
                      <w:szCs w:val="21"/>
                    </w:rPr>
                    <w:alias w:val="长期待摊费用明细-其他减少额"/>
                    <w:tag w:val="_GBC_55008f38074e4da889e976190b207a58"/>
                    <w:id w:val="24724769"/>
                    <w:lock w:val="sdtLocked"/>
                    <w:showingPlcHdr/>
                  </w:sdtPr>
                  <w:sdtContent>
                    <w:tc>
                      <w:tcPr>
                        <w:tcW w:w="681" w:type="pct"/>
                        <w:shd w:val="clear" w:color="auto" w:fill="auto"/>
                      </w:tcPr>
                      <w:p w:rsidR="00DE031E" w:rsidRDefault="001C1A59" w:rsidP="00DE031E">
                        <w:pPr>
                          <w:jc w:val="right"/>
                          <w:rPr>
                            <w:szCs w:val="21"/>
                          </w:rPr>
                        </w:pPr>
                        <w:r>
                          <w:rPr>
                            <w:rFonts w:hint="eastAsia"/>
                            <w:szCs w:val="21"/>
                          </w:rPr>
                          <w:t xml:space="preserve">　</w:t>
                        </w:r>
                      </w:p>
                    </w:tc>
                  </w:sdtContent>
                </w:sdt>
                <w:sdt>
                  <w:sdtPr>
                    <w:rPr>
                      <w:szCs w:val="21"/>
                    </w:rPr>
                    <w:alias w:val="长期待摊费用金额"/>
                    <w:tag w:val="_GBC_1c7338f7a840495e8bd2bbc845120f74"/>
                    <w:id w:val="24724770"/>
                    <w:lock w:val="sdtLocked"/>
                  </w:sdtPr>
                  <w:sdtContent>
                    <w:tc>
                      <w:tcPr>
                        <w:tcW w:w="887" w:type="pct"/>
                        <w:shd w:val="clear" w:color="auto" w:fill="auto"/>
                      </w:tcPr>
                      <w:p w:rsidR="00DE031E" w:rsidRDefault="001C1A59" w:rsidP="00DE031E">
                        <w:pPr>
                          <w:jc w:val="right"/>
                          <w:rPr>
                            <w:szCs w:val="21"/>
                          </w:rPr>
                        </w:pPr>
                        <w:r>
                          <w:rPr>
                            <w:szCs w:val="21"/>
                          </w:rPr>
                          <w:t>4,489.53</w:t>
                        </w:r>
                      </w:p>
                    </w:tc>
                  </w:sdtContent>
                </w:sdt>
              </w:tr>
            </w:sdtContent>
          </w:sdt>
          <w:sdt>
            <w:sdtPr>
              <w:rPr>
                <w:rFonts w:hint="eastAsia"/>
                <w:szCs w:val="21"/>
              </w:rPr>
              <w:alias w:val="长期待摊费用明细"/>
              <w:tag w:val="_GBC_68b20aeabd8c4ce8bf5df712206206af"/>
              <w:id w:val="24724778"/>
              <w:lock w:val="sdtLocked"/>
            </w:sdtPr>
            <w:sdtContent>
              <w:tr w:rsidR="00DE031E" w:rsidTr="00DE031E">
                <w:trPr>
                  <w:jc w:val="center"/>
                </w:trPr>
                <w:sdt>
                  <w:sdtPr>
                    <w:rPr>
                      <w:rFonts w:hint="eastAsia"/>
                      <w:szCs w:val="21"/>
                    </w:rPr>
                    <w:alias w:val="长期待摊费用种类"/>
                    <w:tag w:val="_GBC_9d6a51ba248a47c6b91b0f261c6fa8e8"/>
                    <w:id w:val="24724772"/>
                    <w:lock w:val="sdtLocked"/>
                  </w:sdtPr>
                  <w:sdtContent>
                    <w:tc>
                      <w:tcPr>
                        <w:tcW w:w="938" w:type="pct"/>
                        <w:shd w:val="clear" w:color="auto" w:fill="auto"/>
                      </w:tcPr>
                      <w:p w:rsidR="00DE031E" w:rsidRDefault="001C1A59" w:rsidP="00DE031E">
                        <w:pPr>
                          <w:rPr>
                            <w:szCs w:val="21"/>
                          </w:rPr>
                        </w:pPr>
                        <w:r>
                          <w:rPr>
                            <w:rFonts w:hint="eastAsia"/>
                            <w:szCs w:val="21"/>
                          </w:rPr>
                          <w:t>网络设备安装</w:t>
                        </w:r>
                      </w:p>
                    </w:tc>
                  </w:sdtContent>
                </w:sdt>
                <w:sdt>
                  <w:sdtPr>
                    <w:rPr>
                      <w:szCs w:val="21"/>
                    </w:rPr>
                    <w:alias w:val="长期待摊费用金额"/>
                    <w:tag w:val="_GBC_b14929afd0c342748c1d8243fc4910e3"/>
                    <w:id w:val="24724773"/>
                    <w:lock w:val="sdtLocked"/>
                  </w:sdtPr>
                  <w:sdtContent>
                    <w:tc>
                      <w:tcPr>
                        <w:tcW w:w="887" w:type="pct"/>
                        <w:shd w:val="clear" w:color="auto" w:fill="auto"/>
                      </w:tcPr>
                      <w:p w:rsidR="00DE031E" w:rsidRDefault="001C1A59" w:rsidP="00DE031E">
                        <w:pPr>
                          <w:jc w:val="right"/>
                          <w:rPr>
                            <w:szCs w:val="21"/>
                          </w:rPr>
                        </w:pPr>
                        <w:r>
                          <w:rPr>
                            <w:szCs w:val="21"/>
                          </w:rPr>
                          <w:t>15,346,116.37</w:t>
                        </w:r>
                      </w:p>
                    </w:tc>
                  </w:sdtContent>
                </w:sdt>
                <w:sdt>
                  <w:sdtPr>
                    <w:rPr>
                      <w:szCs w:val="21"/>
                    </w:rPr>
                    <w:alias w:val="长期待摊费用明细-增加额"/>
                    <w:tag w:val="_GBC_6cfec0ad72e54555b4cdcf2f307a967d"/>
                    <w:id w:val="24724774"/>
                    <w:lock w:val="sdtLocked"/>
                  </w:sdtPr>
                  <w:sdtContent>
                    <w:tc>
                      <w:tcPr>
                        <w:tcW w:w="776" w:type="pct"/>
                        <w:shd w:val="clear" w:color="auto" w:fill="auto"/>
                      </w:tcPr>
                      <w:p w:rsidR="00DE031E" w:rsidRDefault="001C1A59" w:rsidP="00DE031E">
                        <w:pPr>
                          <w:jc w:val="right"/>
                          <w:rPr>
                            <w:szCs w:val="21"/>
                          </w:rPr>
                        </w:pPr>
                        <w:r>
                          <w:rPr>
                            <w:szCs w:val="21"/>
                          </w:rPr>
                          <w:t>328,892.00</w:t>
                        </w:r>
                      </w:p>
                    </w:tc>
                  </w:sdtContent>
                </w:sdt>
                <w:sdt>
                  <w:sdtPr>
                    <w:rPr>
                      <w:szCs w:val="21"/>
                    </w:rPr>
                    <w:alias w:val="长期待摊费用明细-摊销额"/>
                    <w:tag w:val="_GBC_b6335fca5217411c9a43c8a8e2701c2c"/>
                    <w:id w:val="24724775"/>
                    <w:lock w:val="sdtLocked"/>
                  </w:sdtPr>
                  <w:sdtContent>
                    <w:tc>
                      <w:tcPr>
                        <w:tcW w:w="831" w:type="pct"/>
                        <w:shd w:val="clear" w:color="auto" w:fill="auto"/>
                      </w:tcPr>
                      <w:p w:rsidR="00DE031E" w:rsidRDefault="001C1A59" w:rsidP="00DE031E">
                        <w:pPr>
                          <w:jc w:val="right"/>
                          <w:rPr>
                            <w:szCs w:val="21"/>
                          </w:rPr>
                        </w:pPr>
                        <w:r>
                          <w:rPr>
                            <w:szCs w:val="21"/>
                          </w:rPr>
                          <w:t>3,654,353.92</w:t>
                        </w:r>
                      </w:p>
                    </w:tc>
                  </w:sdtContent>
                </w:sdt>
                <w:sdt>
                  <w:sdtPr>
                    <w:rPr>
                      <w:szCs w:val="21"/>
                    </w:rPr>
                    <w:alias w:val="长期待摊费用明细-其他减少额"/>
                    <w:tag w:val="_GBC_55008f38074e4da889e976190b207a58"/>
                    <w:id w:val="24724776"/>
                    <w:lock w:val="sdtLocked"/>
                    <w:showingPlcHdr/>
                  </w:sdtPr>
                  <w:sdtContent>
                    <w:tc>
                      <w:tcPr>
                        <w:tcW w:w="681"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szCs w:val="21"/>
                    </w:rPr>
                    <w:alias w:val="长期待摊费用金额"/>
                    <w:tag w:val="_GBC_1c7338f7a840495e8bd2bbc845120f74"/>
                    <w:id w:val="24724777"/>
                    <w:lock w:val="sdtLocked"/>
                  </w:sdtPr>
                  <w:sdtContent>
                    <w:tc>
                      <w:tcPr>
                        <w:tcW w:w="887" w:type="pct"/>
                        <w:shd w:val="clear" w:color="auto" w:fill="auto"/>
                      </w:tcPr>
                      <w:p w:rsidR="00DE031E" w:rsidRDefault="001C1A59" w:rsidP="00DE031E">
                        <w:pPr>
                          <w:jc w:val="right"/>
                          <w:rPr>
                            <w:szCs w:val="21"/>
                          </w:rPr>
                        </w:pPr>
                        <w:r>
                          <w:rPr>
                            <w:szCs w:val="21"/>
                          </w:rPr>
                          <w:t>12,020,654.45</w:t>
                        </w:r>
                      </w:p>
                    </w:tc>
                  </w:sdtContent>
                </w:sdt>
              </w:tr>
            </w:sdtContent>
          </w:sdt>
          <w:sdt>
            <w:sdtPr>
              <w:rPr>
                <w:rFonts w:hint="eastAsia"/>
                <w:szCs w:val="21"/>
              </w:rPr>
              <w:alias w:val="长期待摊费用明细"/>
              <w:tag w:val="_GBC_68b20aeabd8c4ce8bf5df712206206af"/>
              <w:id w:val="24724785"/>
              <w:lock w:val="sdtLocked"/>
            </w:sdtPr>
            <w:sdtContent>
              <w:tr w:rsidR="00DE031E" w:rsidTr="00DE031E">
                <w:trPr>
                  <w:jc w:val="center"/>
                </w:trPr>
                <w:sdt>
                  <w:sdtPr>
                    <w:rPr>
                      <w:rFonts w:hint="eastAsia"/>
                      <w:szCs w:val="21"/>
                    </w:rPr>
                    <w:alias w:val="长期待摊费用种类"/>
                    <w:tag w:val="_GBC_9d6a51ba248a47c6b91b0f261c6fa8e8"/>
                    <w:id w:val="24724779"/>
                    <w:lock w:val="sdtLocked"/>
                  </w:sdtPr>
                  <w:sdtContent>
                    <w:tc>
                      <w:tcPr>
                        <w:tcW w:w="938" w:type="pct"/>
                        <w:shd w:val="clear" w:color="auto" w:fill="auto"/>
                      </w:tcPr>
                      <w:p w:rsidR="00DE031E" w:rsidRDefault="001C1A59" w:rsidP="00DE031E">
                        <w:pPr>
                          <w:rPr>
                            <w:szCs w:val="21"/>
                          </w:rPr>
                        </w:pPr>
                        <w:r>
                          <w:rPr>
                            <w:rFonts w:hint="eastAsia"/>
                            <w:szCs w:val="21"/>
                          </w:rPr>
                          <w:t>家具</w:t>
                        </w:r>
                      </w:p>
                    </w:tc>
                  </w:sdtContent>
                </w:sdt>
                <w:sdt>
                  <w:sdtPr>
                    <w:rPr>
                      <w:szCs w:val="21"/>
                    </w:rPr>
                    <w:alias w:val="长期待摊费用金额"/>
                    <w:tag w:val="_GBC_b14929afd0c342748c1d8243fc4910e3"/>
                    <w:id w:val="24724780"/>
                    <w:lock w:val="sdtLocked"/>
                  </w:sdtPr>
                  <w:sdtContent>
                    <w:tc>
                      <w:tcPr>
                        <w:tcW w:w="887" w:type="pct"/>
                        <w:shd w:val="clear" w:color="auto" w:fill="auto"/>
                      </w:tcPr>
                      <w:p w:rsidR="00DE031E" w:rsidRDefault="001C1A59" w:rsidP="00DE031E">
                        <w:pPr>
                          <w:jc w:val="right"/>
                          <w:rPr>
                            <w:szCs w:val="21"/>
                          </w:rPr>
                        </w:pPr>
                        <w:r>
                          <w:rPr>
                            <w:szCs w:val="21"/>
                          </w:rPr>
                          <w:t>9,988,836.51</w:t>
                        </w:r>
                      </w:p>
                    </w:tc>
                  </w:sdtContent>
                </w:sdt>
                <w:sdt>
                  <w:sdtPr>
                    <w:rPr>
                      <w:szCs w:val="21"/>
                    </w:rPr>
                    <w:alias w:val="长期待摊费用明细-增加额"/>
                    <w:tag w:val="_GBC_6cfec0ad72e54555b4cdcf2f307a967d"/>
                    <w:id w:val="24724781"/>
                    <w:lock w:val="sdtLocked"/>
                  </w:sdtPr>
                  <w:sdtContent>
                    <w:tc>
                      <w:tcPr>
                        <w:tcW w:w="776" w:type="pct"/>
                        <w:shd w:val="clear" w:color="auto" w:fill="auto"/>
                      </w:tcPr>
                      <w:p w:rsidR="00DE031E" w:rsidRDefault="001C1A59" w:rsidP="00DE031E">
                        <w:pPr>
                          <w:jc w:val="right"/>
                          <w:rPr>
                            <w:szCs w:val="21"/>
                          </w:rPr>
                        </w:pPr>
                        <w:r>
                          <w:rPr>
                            <w:szCs w:val="21"/>
                          </w:rPr>
                          <w:t>149,058.00</w:t>
                        </w:r>
                      </w:p>
                    </w:tc>
                  </w:sdtContent>
                </w:sdt>
                <w:sdt>
                  <w:sdtPr>
                    <w:rPr>
                      <w:szCs w:val="21"/>
                    </w:rPr>
                    <w:alias w:val="长期待摊费用明细-摊销额"/>
                    <w:tag w:val="_GBC_b6335fca5217411c9a43c8a8e2701c2c"/>
                    <w:id w:val="24724782"/>
                    <w:lock w:val="sdtLocked"/>
                  </w:sdtPr>
                  <w:sdtContent>
                    <w:tc>
                      <w:tcPr>
                        <w:tcW w:w="831" w:type="pct"/>
                        <w:shd w:val="clear" w:color="auto" w:fill="auto"/>
                      </w:tcPr>
                      <w:p w:rsidR="00DE031E" w:rsidRDefault="001C1A59" w:rsidP="00DE031E">
                        <w:pPr>
                          <w:jc w:val="right"/>
                          <w:rPr>
                            <w:szCs w:val="21"/>
                          </w:rPr>
                        </w:pPr>
                        <w:r>
                          <w:rPr>
                            <w:szCs w:val="21"/>
                          </w:rPr>
                          <w:t>2,130,698.33</w:t>
                        </w:r>
                      </w:p>
                    </w:tc>
                  </w:sdtContent>
                </w:sdt>
                <w:sdt>
                  <w:sdtPr>
                    <w:rPr>
                      <w:szCs w:val="21"/>
                    </w:rPr>
                    <w:alias w:val="长期待摊费用明细-其他减少额"/>
                    <w:tag w:val="_GBC_55008f38074e4da889e976190b207a58"/>
                    <w:id w:val="24724783"/>
                    <w:lock w:val="sdtLocked"/>
                    <w:showingPlcHdr/>
                  </w:sdtPr>
                  <w:sdtContent>
                    <w:tc>
                      <w:tcPr>
                        <w:tcW w:w="681" w:type="pct"/>
                        <w:shd w:val="clear" w:color="auto" w:fill="auto"/>
                      </w:tcPr>
                      <w:p w:rsidR="00DE031E" w:rsidRDefault="001C1A59" w:rsidP="00DE031E">
                        <w:pPr>
                          <w:jc w:val="right"/>
                          <w:rPr>
                            <w:szCs w:val="21"/>
                          </w:rPr>
                        </w:pPr>
                        <w:r>
                          <w:rPr>
                            <w:rFonts w:hint="eastAsia"/>
                            <w:szCs w:val="21"/>
                          </w:rPr>
                          <w:t xml:space="preserve">　</w:t>
                        </w:r>
                      </w:p>
                    </w:tc>
                  </w:sdtContent>
                </w:sdt>
                <w:sdt>
                  <w:sdtPr>
                    <w:rPr>
                      <w:szCs w:val="21"/>
                    </w:rPr>
                    <w:alias w:val="长期待摊费用金额"/>
                    <w:tag w:val="_GBC_1c7338f7a840495e8bd2bbc845120f74"/>
                    <w:id w:val="24724784"/>
                    <w:lock w:val="sdtLocked"/>
                  </w:sdtPr>
                  <w:sdtContent>
                    <w:tc>
                      <w:tcPr>
                        <w:tcW w:w="887" w:type="pct"/>
                        <w:shd w:val="clear" w:color="auto" w:fill="auto"/>
                      </w:tcPr>
                      <w:p w:rsidR="00DE031E" w:rsidRDefault="001C1A59" w:rsidP="00DE031E">
                        <w:pPr>
                          <w:jc w:val="right"/>
                          <w:rPr>
                            <w:szCs w:val="21"/>
                          </w:rPr>
                        </w:pPr>
                        <w:r>
                          <w:rPr>
                            <w:szCs w:val="21"/>
                          </w:rPr>
                          <w:t>8,007,196.18</w:t>
                        </w:r>
                      </w:p>
                    </w:tc>
                  </w:sdtContent>
                </w:sdt>
              </w:tr>
            </w:sdtContent>
          </w:sdt>
          <w:sdt>
            <w:sdtPr>
              <w:rPr>
                <w:rFonts w:hint="eastAsia"/>
                <w:szCs w:val="21"/>
              </w:rPr>
              <w:alias w:val="长期待摊费用明细"/>
              <w:tag w:val="_GBC_68b20aeabd8c4ce8bf5df712206206af"/>
              <w:id w:val="24724792"/>
              <w:lock w:val="sdtLocked"/>
            </w:sdtPr>
            <w:sdtContent>
              <w:tr w:rsidR="00DE031E" w:rsidTr="00DE031E">
                <w:trPr>
                  <w:jc w:val="center"/>
                </w:trPr>
                <w:sdt>
                  <w:sdtPr>
                    <w:rPr>
                      <w:rFonts w:hint="eastAsia"/>
                      <w:szCs w:val="21"/>
                    </w:rPr>
                    <w:alias w:val="长期待摊费用种类"/>
                    <w:tag w:val="_GBC_9d6a51ba248a47c6b91b0f261c6fa8e8"/>
                    <w:id w:val="24724786"/>
                    <w:lock w:val="sdtLocked"/>
                  </w:sdtPr>
                  <w:sdtContent>
                    <w:tc>
                      <w:tcPr>
                        <w:tcW w:w="938" w:type="pct"/>
                        <w:shd w:val="clear" w:color="auto" w:fill="auto"/>
                      </w:tcPr>
                      <w:p w:rsidR="00DE031E" w:rsidRDefault="001C1A59" w:rsidP="00DE031E">
                        <w:pPr>
                          <w:rPr>
                            <w:szCs w:val="21"/>
                          </w:rPr>
                        </w:pPr>
                        <w:r>
                          <w:rPr>
                            <w:rFonts w:hint="eastAsia"/>
                            <w:szCs w:val="21"/>
                          </w:rPr>
                          <w:t>其他</w:t>
                        </w:r>
                      </w:p>
                    </w:tc>
                  </w:sdtContent>
                </w:sdt>
                <w:sdt>
                  <w:sdtPr>
                    <w:rPr>
                      <w:szCs w:val="21"/>
                    </w:rPr>
                    <w:alias w:val="长期待摊费用金额"/>
                    <w:tag w:val="_GBC_b14929afd0c342748c1d8243fc4910e3"/>
                    <w:id w:val="24724787"/>
                    <w:lock w:val="sdtLocked"/>
                  </w:sdtPr>
                  <w:sdtContent>
                    <w:tc>
                      <w:tcPr>
                        <w:tcW w:w="887" w:type="pct"/>
                        <w:shd w:val="clear" w:color="auto" w:fill="auto"/>
                      </w:tcPr>
                      <w:p w:rsidR="00DE031E" w:rsidRDefault="001C1A59" w:rsidP="00DE031E">
                        <w:pPr>
                          <w:jc w:val="right"/>
                          <w:rPr>
                            <w:szCs w:val="21"/>
                          </w:rPr>
                        </w:pPr>
                        <w:r>
                          <w:rPr>
                            <w:szCs w:val="21"/>
                          </w:rPr>
                          <w:t>71,683,097.21</w:t>
                        </w:r>
                      </w:p>
                    </w:tc>
                  </w:sdtContent>
                </w:sdt>
                <w:sdt>
                  <w:sdtPr>
                    <w:rPr>
                      <w:szCs w:val="21"/>
                    </w:rPr>
                    <w:alias w:val="长期待摊费用明细-增加额"/>
                    <w:tag w:val="_GBC_6cfec0ad72e54555b4cdcf2f307a967d"/>
                    <w:id w:val="24724788"/>
                    <w:lock w:val="sdtLocked"/>
                  </w:sdtPr>
                  <w:sdtContent>
                    <w:tc>
                      <w:tcPr>
                        <w:tcW w:w="776" w:type="pct"/>
                        <w:shd w:val="clear" w:color="auto" w:fill="auto"/>
                      </w:tcPr>
                      <w:p w:rsidR="00DE031E" w:rsidRDefault="001C1A59" w:rsidP="00DE031E">
                        <w:pPr>
                          <w:jc w:val="right"/>
                          <w:rPr>
                            <w:szCs w:val="21"/>
                          </w:rPr>
                        </w:pPr>
                        <w:r>
                          <w:rPr>
                            <w:szCs w:val="21"/>
                          </w:rPr>
                          <w:t>6,100,891.09</w:t>
                        </w:r>
                      </w:p>
                    </w:tc>
                  </w:sdtContent>
                </w:sdt>
                <w:sdt>
                  <w:sdtPr>
                    <w:rPr>
                      <w:szCs w:val="21"/>
                    </w:rPr>
                    <w:alias w:val="长期待摊费用明细-摊销额"/>
                    <w:tag w:val="_GBC_b6335fca5217411c9a43c8a8e2701c2c"/>
                    <w:id w:val="24724789"/>
                    <w:lock w:val="sdtLocked"/>
                  </w:sdtPr>
                  <w:sdtContent>
                    <w:tc>
                      <w:tcPr>
                        <w:tcW w:w="831" w:type="pct"/>
                        <w:shd w:val="clear" w:color="auto" w:fill="auto"/>
                      </w:tcPr>
                      <w:p w:rsidR="00DE031E" w:rsidRDefault="001C1A59" w:rsidP="00DE031E">
                        <w:pPr>
                          <w:jc w:val="right"/>
                          <w:rPr>
                            <w:szCs w:val="21"/>
                          </w:rPr>
                        </w:pPr>
                        <w:r>
                          <w:rPr>
                            <w:szCs w:val="21"/>
                          </w:rPr>
                          <w:t>11,538,634.44</w:t>
                        </w:r>
                      </w:p>
                    </w:tc>
                  </w:sdtContent>
                </w:sdt>
                <w:sdt>
                  <w:sdtPr>
                    <w:rPr>
                      <w:szCs w:val="21"/>
                    </w:rPr>
                    <w:alias w:val="长期待摊费用明细-其他减少额"/>
                    <w:tag w:val="_GBC_55008f38074e4da889e976190b207a58"/>
                    <w:id w:val="24724790"/>
                    <w:lock w:val="sdtLocked"/>
                    <w:showingPlcHdr/>
                  </w:sdtPr>
                  <w:sdtContent>
                    <w:tc>
                      <w:tcPr>
                        <w:tcW w:w="681" w:type="pct"/>
                        <w:shd w:val="clear" w:color="auto" w:fill="auto"/>
                      </w:tcPr>
                      <w:p w:rsidR="00DE031E" w:rsidRDefault="001C1A59" w:rsidP="00DE031E">
                        <w:pPr>
                          <w:jc w:val="right"/>
                          <w:rPr>
                            <w:szCs w:val="21"/>
                          </w:rPr>
                        </w:pPr>
                        <w:r>
                          <w:rPr>
                            <w:rFonts w:hint="eastAsia"/>
                            <w:szCs w:val="21"/>
                          </w:rPr>
                          <w:t xml:space="preserve">　</w:t>
                        </w:r>
                      </w:p>
                    </w:tc>
                  </w:sdtContent>
                </w:sdt>
                <w:sdt>
                  <w:sdtPr>
                    <w:rPr>
                      <w:szCs w:val="21"/>
                    </w:rPr>
                    <w:alias w:val="长期待摊费用金额"/>
                    <w:tag w:val="_GBC_1c7338f7a840495e8bd2bbc845120f74"/>
                    <w:id w:val="24724791"/>
                    <w:lock w:val="sdtLocked"/>
                  </w:sdtPr>
                  <w:sdtContent>
                    <w:tc>
                      <w:tcPr>
                        <w:tcW w:w="887" w:type="pct"/>
                        <w:shd w:val="clear" w:color="auto" w:fill="auto"/>
                      </w:tcPr>
                      <w:p w:rsidR="00DE031E" w:rsidRDefault="001C1A59" w:rsidP="00DE031E">
                        <w:pPr>
                          <w:jc w:val="right"/>
                          <w:rPr>
                            <w:szCs w:val="21"/>
                          </w:rPr>
                        </w:pPr>
                        <w:r>
                          <w:rPr>
                            <w:szCs w:val="21"/>
                          </w:rPr>
                          <w:t>66,245,353.86</w:t>
                        </w:r>
                      </w:p>
                    </w:tc>
                  </w:sdtContent>
                </w:sdt>
              </w:tr>
            </w:sdtContent>
          </w:sdt>
          <w:tr w:rsidR="00DE031E" w:rsidTr="00DE031E">
            <w:trPr>
              <w:jc w:val="center"/>
            </w:trPr>
            <w:tc>
              <w:tcPr>
                <w:tcW w:w="938" w:type="pct"/>
                <w:shd w:val="clear" w:color="auto" w:fill="auto"/>
                <w:vAlign w:val="center"/>
              </w:tcPr>
              <w:p w:rsidR="00DE031E" w:rsidRDefault="001C1A59" w:rsidP="00DE031E">
                <w:pPr>
                  <w:jc w:val="center"/>
                  <w:rPr>
                    <w:szCs w:val="21"/>
                  </w:rPr>
                </w:pPr>
                <w:r>
                  <w:rPr>
                    <w:rFonts w:hint="eastAsia"/>
                    <w:szCs w:val="21"/>
                  </w:rPr>
                  <w:t>合计</w:t>
                </w:r>
              </w:p>
            </w:tc>
            <w:sdt>
              <w:sdtPr>
                <w:rPr>
                  <w:szCs w:val="21"/>
                </w:rPr>
                <w:alias w:val="长期待摊费用"/>
                <w:tag w:val="_GBC_9f923e6126f248f8a5b31c087b99143f"/>
                <w:id w:val="24724793"/>
                <w:lock w:val="sdtLocked"/>
              </w:sdtPr>
              <w:sdtContent>
                <w:tc>
                  <w:tcPr>
                    <w:tcW w:w="887" w:type="pct"/>
                    <w:shd w:val="clear" w:color="auto" w:fill="auto"/>
                  </w:tcPr>
                  <w:p w:rsidR="00DE031E" w:rsidRDefault="001C1A59" w:rsidP="00DE031E">
                    <w:pPr>
                      <w:jc w:val="right"/>
                      <w:rPr>
                        <w:szCs w:val="21"/>
                      </w:rPr>
                    </w:pPr>
                    <w:r>
                      <w:rPr>
                        <w:szCs w:val="21"/>
                      </w:rPr>
                      <w:t>168,406,407.15</w:t>
                    </w:r>
                  </w:p>
                </w:tc>
              </w:sdtContent>
            </w:sdt>
            <w:sdt>
              <w:sdtPr>
                <w:rPr>
                  <w:szCs w:val="21"/>
                </w:rPr>
                <w:alias w:val="长期待摊费用增加额合计"/>
                <w:tag w:val="_GBC_81b95c62a8e94a25b10f37c8c97019c6"/>
                <w:id w:val="24724794"/>
                <w:lock w:val="sdtLocked"/>
              </w:sdtPr>
              <w:sdtContent>
                <w:tc>
                  <w:tcPr>
                    <w:tcW w:w="776" w:type="pct"/>
                    <w:shd w:val="clear" w:color="auto" w:fill="auto"/>
                  </w:tcPr>
                  <w:p w:rsidR="00DE031E" w:rsidRDefault="001C1A59" w:rsidP="00DE031E">
                    <w:pPr>
                      <w:jc w:val="right"/>
                      <w:rPr>
                        <w:szCs w:val="21"/>
                      </w:rPr>
                    </w:pPr>
                    <w:r>
                      <w:rPr>
                        <w:szCs w:val="21"/>
                      </w:rPr>
                      <w:t>9,436,970.76</w:t>
                    </w:r>
                  </w:p>
                </w:tc>
              </w:sdtContent>
            </w:sdt>
            <w:sdt>
              <w:sdtPr>
                <w:rPr>
                  <w:szCs w:val="21"/>
                </w:rPr>
                <w:alias w:val="长期待摊费用摊销额合计"/>
                <w:tag w:val="_GBC_08c2b0bb37d84bd880262001af42fd96"/>
                <w:id w:val="24724795"/>
                <w:lock w:val="sdtLocked"/>
              </w:sdtPr>
              <w:sdtContent>
                <w:tc>
                  <w:tcPr>
                    <w:tcW w:w="831" w:type="pct"/>
                    <w:shd w:val="clear" w:color="auto" w:fill="auto"/>
                  </w:tcPr>
                  <w:p w:rsidR="00DE031E" w:rsidRDefault="001C1A59" w:rsidP="00DE031E">
                    <w:pPr>
                      <w:jc w:val="right"/>
                      <w:rPr>
                        <w:szCs w:val="21"/>
                      </w:rPr>
                    </w:pPr>
                    <w:r>
                      <w:rPr>
                        <w:szCs w:val="21"/>
                      </w:rPr>
                      <w:t>31,812,504.76</w:t>
                    </w:r>
                  </w:p>
                </w:tc>
              </w:sdtContent>
            </w:sdt>
            <w:sdt>
              <w:sdtPr>
                <w:rPr>
                  <w:szCs w:val="21"/>
                </w:rPr>
                <w:alias w:val="长期待摊费用其他减少额合计"/>
                <w:tag w:val="_GBC_87a81fda53d34352b3709636481da7f8"/>
                <w:id w:val="24724796"/>
                <w:lock w:val="sdtLocked"/>
                <w:showingPlcHdr/>
              </w:sdtPr>
              <w:sdtContent>
                <w:tc>
                  <w:tcPr>
                    <w:tcW w:w="681" w:type="pct"/>
                    <w:shd w:val="clear" w:color="auto" w:fill="auto"/>
                  </w:tcPr>
                  <w:p w:rsidR="00DE031E" w:rsidRDefault="001C1A59" w:rsidP="00DE031E">
                    <w:pPr>
                      <w:jc w:val="right"/>
                      <w:rPr>
                        <w:szCs w:val="21"/>
                      </w:rPr>
                    </w:pPr>
                    <w:r>
                      <w:rPr>
                        <w:rFonts w:hint="eastAsia"/>
                        <w:color w:val="333399"/>
                        <w:szCs w:val="21"/>
                      </w:rPr>
                      <w:t xml:space="preserve">　</w:t>
                    </w:r>
                  </w:p>
                </w:tc>
              </w:sdtContent>
            </w:sdt>
            <w:sdt>
              <w:sdtPr>
                <w:rPr>
                  <w:szCs w:val="21"/>
                </w:rPr>
                <w:alias w:val="长期待摊费用"/>
                <w:tag w:val="_GBC_b8f453d589a94127b91751cd03a6b6eb"/>
                <w:id w:val="24724797"/>
                <w:lock w:val="sdtLocked"/>
              </w:sdtPr>
              <w:sdtContent>
                <w:tc>
                  <w:tcPr>
                    <w:tcW w:w="887" w:type="pct"/>
                    <w:shd w:val="clear" w:color="auto" w:fill="auto"/>
                  </w:tcPr>
                  <w:p w:rsidR="00DE031E" w:rsidRDefault="001C1A59" w:rsidP="00DE031E">
                    <w:pPr>
                      <w:jc w:val="right"/>
                      <w:rPr>
                        <w:szCs w:val="21"/>
                      </w:rPr>
                    </w:pPr>
                    <w:r>
                      <w:rPr>
                        <w:szCs w:val="21"/>
                      </w:rPr>
                      <w:t>146,030,873.15</w:t>
                    </w:r>
                  </w:p>
                </w:tc>
              </w:sdtContent>
            </w:sdt>
          </w:tr>
        </w:tbl>
        <w:p w:rsidR="00DE031E" w:rsidRPr="00C349B1" w:rsidRDefault="00422DCA" w:rsidP="00DE031E"/>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tag w:val="_GBC_8718dc518ab14b138505879106800781"/>
        <w:id w:val="24724861"/>
        <w:lock w:val="sdtLocked"/>
        <w:placeholder>
          <w:docPart w:val="GBC22222222222222222222222222222"/>
        </w:placeholder>
      </w:sdtPr>
      <w:sdtEndPr>
        <w:rPr>
          <w:szCs w:val="24"/>
        </w:rPr>
      </w:sdtEndPr>
      <w:sdtContent>
        <w:bookmarkStart w:id="71" w:name="_Toc215903151" w:displacedByCustomXml="prev"/>
        <w:p w:rsidR="00DE031E" w:rsidRDefault="001C1A59" w:rsidP="009950AC">
          <w:pPr>
            <w:pStyle w:val="4"/>
            <w:numPr>
              <w:ilvl w:val="0"/>
              <w:numId w:val="52"/>
            </w:numPr>
            <w:tabs>
              <w:tab w:val="left" w:pos="588"/>
              <w:tab w:val="left" w:pos="616"/>
            </w:tabs>
            <w:spacing w:line="360" w:lineRule="auto"/>
          </w:pPr>
          <w:r>
            <w:rPr>
              <w:rFonts w:hint="eastAsia"/>
            </w:rPr>
            <w:t>未经抵销的递延所得税资产</w:t>
          </w:r>
        </w:p>
        <w:sdt>
          <w:sdtPr>
            <w:alias w:val="是否适用：未经抵销的递延所得税资产"/>
            <w:tag w:val="_GBC_2e09787ef329466581168bd5d58a7e80"/>
            <w:id w:val="24724799"/>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24724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71"/>
          <w:sdt>
            <w:sdtPr>
              <w:rPr>
                <w:rFonts w:hint="eastAsia"/>
                <w:szCs w:val="21"/>
              </w:rPr>
              <w:alias w:val="币种：财务附注：已确认的递延所得税资产和递延所得税负债"/>
              <w:tag w:val="_GBC_a48237f045494aa9a0ea8c2cb35b1c0f"/>
              <w:id w:val="24724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44" w:type="pct"/>
            <w:jc w:val="center"/>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8"/>
            <w:gridCol w:w="1896"/>
            <w:gridCol w:w="1688"/>
            <w:gridCol w:w="1896"/>
            <w:gridCol w:w="1686"/>
          </w:tblGrid>
          <w:tr w:rsidR="00DE031E" w:rsidTr="00DE031E">
            <w:trPr>
              <w:trHeight w:val="285"/>
              <w:tblHeader/>
              <w:jc w:val="center"/>
            </w:trPr>
            <w:tc>
              <w:tcPr>
                <w:tcW w:w="1429" w:type="pct"/>
                <w:vMerge w:val="restart"/>
                <w:shd w:val="clear" w:color="auto" w:fill="auto"/>
                <w:vAlign w:val="center"/>
              </w:tcPr>
              <w:p w:rsidR="00DE031E" w:rsidRDefault="001C1A59" w:rsidP="00DE031E">
                <w:pPr>
                  <w:jc w:val="center"/>
                  <w:rPr>
                    <w:szCs w:val="21"/>
                  </w:rPr>
                </w:pPr>
                <w:r>
                  <w:rPr>
                    <w:rFonts w:hint="eastAsia"/>
                    <w:szCs w:val="21"/>
                  </w:rPr>
                  <w:t>项目</w:t>
                </w:r>
              </w:p>
            </w:tc>
            <w:tc>
              <w:tcPr>
                <w:tcW w:w="1786" w:type="pct"/>
                <w:gridSpan w:val="2"/>
                <w:shd w:val="clear" w:color="auto" w:fill="auto"/>
                <w:vAlign w:val="center"/>
              </w:tcPr>
              <w:p w:rsidR="00DE031E" w:rsidRDefault="001C1A59" w:rsidP="00DE031E">
                <w:pPr>
                  <w:jc w:val="center"/>
                  <w:rPr>
                    <w:szCs w:val="21"/>
                  </w:rPr>
                </w:pPr>
                <w:r>
                  <w:rPr>
                    <w:rFonts w:hint="eastAsia"/>
                    <w:szCs w:val="21"/>
                  </w:rPr>
                  <w:t>期末余额</w:t>
                </w:r>
              </w:p>
            </w:tc>
            <w:tc>
              <w:tcPr>
                <w:tcW w:w="1785" w:type="pct"/>
                <w:gridSpan w:val="2"/>
                <w:shd w:val="clear" w:color="auto" w:fill="auto"/>
                <w:vAlign w:val="center"/>
              </w:tcPr>
              <w:p w:rsidR="00DE031E" w:rsidRDefault="001C1A59" w:rsidP="00DE031E">
                <w:pPr>
                  <w:jc w:val="center"/>
                  <w:rPr>
                    <w:szCs w:val="21"/>
                  </w:rPr>
                </w:pPr>
                <w:r>
                  <w:rPr>
                    <w:rFonts w:hint="eastAsia"/>
                    <w:szCs w:val="21"/>
                  </w:rPr>
                  <w:t>期初余额</w:t>
                </w:r>
              </w:p>
            </w:tc>
          </w:tr>
          <w:tr w:rsidR="00DE031E" w:rsidTr="00DE031E">
            <w:trPr>
              <w:trHeight w:val="285"/>
              <w:tblHeader/>
              <w:jc w:val="center"/>
            </w:trPr>
            <w:tc>
              <w:tcPr>
                <w:tcW w:w="1429" w:type="pct"/>
                <w:vMerge/>
                <w:shd w:val="clear" w:color="auto" w:fill="auto"/>
                <w:vAlign w:val="center"/>
              </w:tcPr>
              <w:p w:rsidR="00DE031E" w:rsidRDefault="00DE031E" w:rsidP="00DE031E">
                <w:pPr>
                  <w:jc w:val="center"/>
                  <w:rPr>
                    <w:b/>
                    <w:szCs w:val="21"/>
                  </w:rPr>
                </w:pPr>
              </w:p>
            </w:tc>
            <w:tc>
              <w:tcPr>
                <w:tcW w:w="945" w:type="pct"/>
                <w:shd w:val="clear" w:color="auto" w:fill="auto"/>
                <w:vAlign w:val="center"/>
              </w:tcPr>
              <w:p w:rsidR="00DE031E" w:rsidRDefault="001C1A59" w:rsidP="00DE031E">
                <w:pPr>
                  <w:jc w:val="center"/>
                  <w:rPr>
                    <w:szCs w:val="21"/>
                  </w:rPr>
                </w:pPr>
                <w:r>
                  <w:rPr>
                    <w:rFonts w:hint="eastAsia"/>
                    <w:szCs w:val="21"/>
                  </w:rPr>
                  <w:t>可抵扣暂时性差异</w:t>
                </w:r>
              </w:p>
            </w:tc>
            <w:tc>
              <w:tcPr>
                <w:tcW w:w="840" w:type="pct"/>
                <w:shd w:val="clear" w:color="auto" w:fill="auto"/>
                <w:vAlign w:val="center"/>
              </w:tcPr>
              <w:p w:rsidR="00DE031E" w:rsidRDefault="001C1A59" w:rsidP="00DE031E">
                <w:pPr>
                  <w:jc w:val="center"/>
                  <w:rPr>
                    <w:szCs w:val="21"/>
                  </w:rPr>
                </w:pPr>
                <w:r>
                  <w:rPr>
                    <w:rFonts w:hint="eastAsia"/>
                    <w:szCs w:val="21"/>
                  </w:rPr>
                  <w:t>递延所得税</w:t>
                </w:r>
              </w:p>
              <w:p w:rsidR="00DE031E" w:rsidRDefault="001C1A59" w:rsidP="00DE031E">
                <w:pPr>
                  <w:jc w:val="center"/>
                  <w:rPr>
                    <w:szCs w:val="21"/>
                  </w:rPr>
                </w:pPr>
                <w:r>
                  <w:rPr>
                    <w:rFonts w:hint="eastAsia"/>
                    <w:szCs w:val="21"/>
                  </w:rPr>
                  <w:t>资产</w:t>
                </w:r>
              </w:p>
            </w:tc>
            <w:tc>
              <w:tcPr>
                <w:tcW w:w="945" w:type="pct"/>
                <w:shd w:val="clear" w:color="auto" w:fill="auto"/>
                <w:vAlign w:val="center"/>
              </w:tcPr>
              <w:p w:rsidR="00DE031E" w:rsidRDefault="001C1A59" w:rsidP="00DE031E">
                <w:pPr>
                  <w:jc w:val="center"/>
                  <w:rPr>
                    <w:szCs w:val="21"/>
                  </w:rPr>
                </w:pPr>
                <w:r>
                  <w:rPr>
                    <w:rFonts w:hint="eastAsia"/>
                    <w:szCs w:val="21"/>
                  </w:rPr>
                  <w:t>可抵扣暂时性差异</w:t>
                </w:r>
              </w:p>
            </w:tc>
            <w:tc>
              <w:tcPr>
                <w:tcW w:w="840" w:type="pct"/>
                <w:shd w:val="clear" w:color="auto" w:fill="auto"/>
                <w:vAlign w:val="center"/>
              </w:tcPr>
              <w:p w:rsidR="00DE031E" w:rsidRDefault="001C1A59" w:rsidP="00DE031E">
                <w:pPr>
                  <w:jc w:val="center"/>
                  <w:rPr>
                    <w:szCs w:val="21"/>
                  </w:rPr>
                </w:pPr>
                <w:r>
                  <w:rPr>
                    <w:rFonts w:hint="eastAsia"/>
                    <w:szCs w:val="21"/>
                  </w:rPr>
                  <w:t>递延所得税</w:t>
                </w:r>
              </w:p>
              <w:p w:rsidR="00DE031E" w:rsidRDefault="001C1A59" w:rsidP="00DE031E">
                <w:pPr>
                  <w:jc w:val="center"/>
                  <w:rPr>
                    <w:szCs w:val="21"/>
                  </w:rPr>
                </w:pPr>
                <w:r>
                  <w:rPr>
                    <w:rFonts w:hint="eastAsia"/>
                    <w:szCs w:val="21"/>
                  </w:rPr>
                  <w:t>资产</w:t>
                </w:r>
              </w:p>
            </w:tc>
          </w:tr>
          <w:sdt>
            <w:sdtPr>
              <w:rPr>
                <w:szCs w:val="21"/>
              </w:rPr>
              <w:alias w:val="递延所得税资产明细"/>
              <w:tag w:val="_GBC_78d44848a87d4473a54948d3e2adbb46"/>
              <w:id w:val="24724807"/>
              <w:lock w:val="sdtLocked"/>
            </w:sdtPr>
            <w:sdtContent>
              <w:tr w:rsidR="00DE031E" w:rsidTr="00DE031E">
                <w:trPr>
                  <w:trHeight w:val="285"/>
                  <w:jc w:val="center"/>
                </w:trPr>
                <w:sdt>
                  <w:sdtPr>
                    <w:rPr>
                      <w:szCs w:val="21"/>
                    </w:rPr>
                    <w:alias w:val="递延所得税资产明细－项目"/>
                    <w:tag w:val="_GBC_bd8030a345ae42bf95c7e8b40d82722c"/>
                    <w:id w:val="24724802"/>
                    <w:lock w:val="sdtLocked"/>
                  </w:sdtPr>
                  <w:sdtContent>
                    <w:tc>
                      <w:tcPr>
                        <w:tcW w:w="1429" w:type="pct"/>
                        <w:shd w:val="clear" w:color="auto" w:fill="auto"/>
                        <w:vAlign w:val="center"/>
                      </w:tcPr>
                      <w:p w:rsidR="00DE031E" w:rsidRDefault="001C1A59" w:rsidP="00DE031E">
                        <w:pPr>
                          <w:rPr>
                            <w:szCs w:val="21"/>
                          </w:rPr>
                        </w:pPr>
                        <w:r>
                          <w:rPr>
                            <w:rFonts w:hint="eastAsia"/>
                            <w:szCs w:val="21"/>
                          </w:rPr>
                          <w:t>应付职工薪酬</w:t>
                        </w:r>
                      </w:p>
                    </w:tc>
                  </w:sdtContent>
                </w:sdt>
                <w:sdt>
                  <w:sdtPr>
                    <w:rPr>
                      <w:szCs w:val="21"/>
                    </w:rPr>
                    <w:alias w:val="递延所得税资产明细－可抵扣暂时性差异"/>
                    <w:tag w:val="_GBC_f1ae481d08c24bcda2206f50204eec7f"/>
                    <w:id w:val="24724803"/>
                    <w:lock w:val="sdtLocked"/>
                  </w:sdtPr>
                  <w:sdtEndPr>
                    <w:rPr>
                      <w:rFonts w:asciiTheme="minorEastAsia" w:eastAsiaTheme="minorEastAsia" w:hAnsiTheme="minorEastAsia"/>
                    </w:rPr>
                  </w:sdtEndPr>
                  <w:sdtContent>
                    <w:tc>
                      <w:tcPr>
                        <w:tcW w:w="945" w:type="pct"/>
                        <w:shd w:val="clear" w:color="auto" w:fill="auto"/>
                        <w:vAlign w:val="center"/>
                      </w:tcPr>
                      <w:p w:rsidR="00DE031E" w:rsidRDefault="001C1A59" w:rsidP="00DE031E">
                        <w:pPr>
                          <w:jc w:val="right"/>
                          <w:rPr>
                            <w:szCs w:val="21"/>
                          </w:rPr>
                        </w:pPr>
                        <w:r>
                          <w:rPr>
                            <w:rFonts w:asciiTheme="minorEastAsia" w:eastAsiaTheme="minorEastAsia" w:hAnsiTheme="minorEastAsia" w:cs="Arial"/>
                            <w:color w:val="000000"/>
                            <w:szCs w:val="21"/>
                          </w:rPr>
                          <w:t>1,778,559,711.25</w:t>
                        </w:r>
                      </w:p>
                    </w:tc>
                  </w:sdtContent>
                </w:sdt>
                <w:sdt>
                  <w:sdtPr>
                    <w:rPr>
                      <w:szCs w:val="21"/>
                    </w:rPr>
                    <w:alias w:val="递延所得税资产明细－金额"/>
                    <w:tag w:val="_GBC_fb9c9e1857f2417fb6d01ea0bcc5953b"/>
                    <w:id w:val="24724804"/>
                    <w:lock w:val="sdtLocked"/>
                  </w:sdtPr>
                  <w:sdtContent>
                    <w:tc>
                      <w:tcPr>
                        <w:tcW w:w="840" w:type="pct"/>
                        <w:shd w:val="clear" w:color="auto" w:fill="auto"/>
                        <w:vAlign w:val="center"/>
                      </w:tcPr>
                      <w:p w:rsidR="00DE031E" w:rsidRDefault="001C1A59" w:rsidP="00DE031E">
                        <w:pPr>
                          <w:jc w:val="right"/>
                          <w:rPr>
                            <w:szCs w:val="21"/>
                          </w:rPr>
                        </w:pPr>
                        <w:r>
                          <w:rPr>
                            <w:szCs w:val="21"/>
                          </w:rPr>
                          <w:t>443,715,327.8</w:t>
                        </w:r>
                        <w:r>
                          <w:rPr>
                            <w:rFonts w:hint="eastAsia"/>
                            <w:szCs w:val="21"/>
                          </w:rPr>
                          <w:t>1</w:t>
                        </w:r>
                      </w:p>
                    </w:tc>
                  </w:sdtContent>
                </w:sdt>
                <w:sdt>
                  <w:sdtPr>
                    <w:rPr>
                      <w:szCs w:val="21"/>
                    </w:rPr>
                    <w:alias w:val="递延所得税资产明细－可抵扣暂时性差异"/>
                    <w:tag w:val="_GBC_a4214b329d5b47f3a865f0a607a502a2"/>
                    <w:id w:val="24724805"/>
                    <w:lock w:val="sdtLocked"/>
                  </w:sdtPr>
                  <w:sdtContent>
                    <w:tc>
                      <w:tcPr>
                        <w:tcW w:w="945" w:type="pct"/>
                        <w:shd w:val="clear" w:color="auto" w:fill="auto"/>
                        <w:vAlign w:val="center"/>
                      </w:tcPr>
                      <w:p w:rsidR="00DE031E" w:rsidRDefault="001C1A59" w:rsidP="00DE031E">
                        <w:pPr>
                          <w:jc w:val="right"/>
                          <w:rPr>
                            <w:szCs w:val="21"/>
                          </w:rPr>
                        </w:pPr>
                        <w:r>
                          <w:rPr>
                            <w:szCs w:val="21"/>
                          </w:rPr>
                          <w:t>1,179,847,205.42</w:t>
                        </w:r>
                      </w:p>
                    </w:tc>
                  </w:sdtContent>
                </w:sdt>
                <w:sdt>
                  <w:sdtPr>
                    <w:rPr>
                      <w:szCs w:val="21"/>
                    </w:rPr>
                    <w:alias w:val="递延所得税资产明细－金额"/>
                    <w:tag w:val="_GBC_7c846c51cea94f52ae95cd3b930b31a7"/>
                    <w:id w:val="24724806"/>
                    <w:lock w:val="sdtLocked"/>
                  </w:sdtPr>
                  <w:sdtContent>
                    <w:tc>
                      <w:tcPr>
                        <w:tcW w:w="840" w:type="pct"/>
                        <w:shd w:val="clear" w:color="auto" w:fill="auto"/>
                        <w:vAlign w:val="center"/>
                      </w:tcPr>
                      <w:p w:rsidR="00DE031E" w:rsidRDefault="001C1A59" w:rsidP="00DE031E">
                        <w:pPr>
                          <w:jc w:val="right"/>
                          <w:rPr>
                            <w:szCs w:val="21"/>
                          </w:rPr>
                        </w:pPr>
                        <w:r>
                          <w:rPr>
                            <w:szCs w:val="21"/>
                          </w:rPr>
                          <w:t>294,045,639.52</w:t>
                        </w:r>
                      </w:p>
                    </w:tc>
                  </w:sdtContent>
                </w:sdt>
              </w:tr>
            </w:sdtContent>
          </w:sdt>
          <w:sdt>
            <w:sdtPr>
              <w:rPr>
                <w:szCs w:val="21"/>
              </w:rPr>
              <w:alias w:val="递延所得税资产明细"/>
              <w:tag w:val="_GBC_78d44848a87d4473a54948d3e2adbb46"/>
              <w:id w:val="24724813"/>
              <w:lock w:val="sdtLocked"/>
            </w:sdtPr>
            <w:sdtContent>
              <w:tr w:rsidR="00DE031E" w:rsidTr="00DE031E">
                <w:trPr>
                  <w:trHeight w:val="285"/>
                  <w:jc w:val="center"/>
                </w:trPr>
                <w:sdt>
                  <w:sdtPr>
                    <w:rPr>
                      <w:szCs w:val="21"/>
                    </w:rPr>
                    <w:alias w:val="递延所得税资产明细－项目"/>
                    <w:tag w:val="_GBC_bd8030a345ae42bf95c7e8b40d82722c"/>
                    <w:id w:val="24724808"/>
                    <w:lock w:val="sdtLocked"/>
                  </w:sdtPr>
                  <w:sdtContent>
                    <w:tc>
                      <w:tcPr>
                        <w:tcW w:w="1429" w:type="pct"/>
                        <w:shd w:val="clear" w:color="auto" w:fill="auto"/>
                        <w:vAlign w:val="center"/>
                      </w:tcPr>
                      <w:p w:rsidR="00DE031E" w:rsidRDefault="001C1A59" w:rsidP="00DE031E">
                        <w:pPr>
                          <w:rPr>
                            <w:szCs w:val="21"/>
                          </w:rPr>
                        </w:pPr>
                        <w:r>
                          <w:rPr>
                            <w:rFonts w:hint="eastAsia"/>
                            <w:szCs w:val="21"/>
                          </w:rPr>
                          <w:t>递延收益</w:t>
                        </w:r>
                      </w:p>
                    </w:tc>
                  </w:sdtContent>
                </w:sdt>
                <w:sdt>
                  <w:sdtPr>
                    <w:rPr>
                      <w:szCs w:val="21"/>
                    </w:rPr>
                    <w:alias w:val="递延所得税资产明细－可抵扣暂时性差异"/>
                    <w:tag w:val="_GBC_f1ae481d08c24bcda2206f50204eec7f"/>
                    <w:id w:val="24724809"/>
                    <w:lock w:val="sdtLocked"/>
                  </w:sdtPr>
                  <w:sdtContent>
                    <w:tc>
                      <w:tcPr>
                        <w:tcW w:w="945" w:type="pct"/>
                        <w:shd w:val="clear" w:color="auto" w:fill="auto"/>
                        <w:vAlign w:val="center"/>
                      </w:tcPr>
                      <w:p w:rsidR="00DE031E" w:rsidRDefault="001C1A59" w:rsidP="00DE031E">
                        <w:pPr>
                          <w:jc w:val="right"/>
                          <w:rPr>
                            <w:szCs w:val="21"/>
                          </w:rPr>
                        </w:pPr>
                        <w:r>
                          <w:rPr>
                            <w:szCs w:val="21"/>
                          </w:rPr>
                          <w:t>126,000,000.00</w:t>
                        </w:r>
                      </w:p>
                    </w:tc>
                  </w:sdtContent>
                </w:sdt>
                <w:sdt>
                  <w:sdtPr>
                    <w:rPr>
                      <w:szCs w:val="21"/>
                    </w:rPr>
                    <w:alias w:val="递延所得税资产明细－金额"/>
                    <w:tag w:val="_GBC_fb9c9e1857f2417fb6d01ea0bcc5953b"/>
                    <w:id w:val="24724810"/>
                    <w:lock w:val="sdtLocked"/>
                  </w:sdtPr>
                  <w:sdtContent>
                    <w:tc>
                      <w:tcPr>
                        <w:tcW w:w="840" w:type="pct"/>
                        <w:shd w:val="clear" w:color="auto" w:fill="auto"/>
                        <w:vAlign w:val="center"/>
                      </w:tcPr>
                      <w:p w:rsidR="00DE031E" w:rsidRDefault="001C1A59" w:rsidP="00DE031E">
                        <w:pPr>
                          <w:jc w:val="right"/>
                          <w:rPr>
                            <w:szCs w:val="21"/>
                          </w:rPr>
                        </w:pPr>
                        <w:r>
                          <w:rPr>
                            <w:szCs w:val="21"/>
                          </w:rPr>
                          <w:t>31,500,000.00</w:t>
                        </w:r>
                      </w:p>
                    </w:tc>
                  </w:sdtContent>
                </w:sdt>
                <w:sdt>
                  <w:sdtPr>
                    <w:rPr>
                      <w:szCs w:val="21"/>
                    </w:rPr>
                    <w:alias w:val="递延所得税资产明细－可抵扣暂时性差异"/>
                    <w:tag w:val="_GBC_a4214b329d5b47f3a865f0a607a502a2"/>
                    <w:id w:val="24724811"/>
                    <w:lock w:val="sdtLocked"/>
                  </w:sdtPr>
                  <w:sdtContent>
                    <w:tc>
                      <w:tcPr>
                        <w:tcW w:w="945" w:type="pct"/>
                        <w:shd w:val="clear" w:color="auto" w:fill="auto"/>
                        <w:vAlign w:val="center"/>
                      </w:tcPr>
                      <w:p w:rsidR="00DE031E" w:rsidRDefault="001C1A59" w:rsidP="00DE031E">
                        <w:pPr>
                          <w:jc w:val="right"/>
                          <w:rPr>
                            <w:szCs w:val="21"/>
                          </w:rPr>
                        </w:pPr>
                        <w:r>
                          <w:rPr>
                            <w:szCs w:val="21"/>
                          </w:rPr>
                          <w:t>126,000,000.00</w:t>
                        </w:r>
                      </w:p>
                    </w:tc>
                  </w:sdtContent>
                </w:sdt>
                <w:sdt>
                  <w:sdtPr>
                    <w:rPr>
                      <w:szCs w:val="21"/>
                    </w:rPr>
                    <w:alias w:val="递延所得税资产明细－金额"/>
                    <w:tag w:val="_GBC_7c846c51cea94f52ae95cd3b930b31a7"/>
                    <w:id w:val="24724812"/>
                    <w:lock w:val="sdtLocked"/>
                  </w:sdtPr>
                  <w:sdtContent>
                    <w:tc>
                      <w:tcPr>
                        <w:tcW w:w="840" w:type="pct"/>
                        <w:shd w:val="clear" w:color="auto" w:fill="auto"/>
                        <w:vAlign w:val="center"/>
                      </w:tcPr>
                      <w:p w:rsidR="00DE031E" w:rsidRDefault="001C1A59" w:rsidP="00DE031E">
                        <w:pPr>
                          <w:jc w:val="right"/>
                          <w:rPr>
                            <w:szCs w:val="21"/>
                          </w:rPr>
                        </w:pPr>
                        <w:r>
                          <w:rPr>
                            <w:szCs w:val="21"/>
                          </w:rPr>
                          <w:t>31,500,000.00</w:t>
                        </w:r>
                      </w:p>
                    </w:tc>
                  </w:sdtContent>
                </w:sdt>
              </w:tr>
            </w:sdtContent>
          </w:sdt>
          <w:tr w:rsidR="00DE031E" w:rsidTr="00DE031E">
            <w:trPr>
              <w:trHeight w:val="285"/>
              <w:jc w:val="center"/>
            </w:trPr>
            <w:tc>
              <w:tcPr>
                <w:tcW w:w="1429" w:type="pct"/>
                <w:shd w:val="clear" w:color="auto" w:fill="auto"/>
                <w:vAlign w:val="center"/>
              </w:tcPr>
              <w:p w:rsidR="00DE031E" w:rsidRDefault="001C1A59" w:rsidP="00DE031E">
                <w:pPr>
                  <w:ind w:firstLineChars="100" w:firstLine="210"/>
                  <w:rPr>
                    <w:szCs w:val="21"/>
                  </w:rPr>
                </w:pPr>
                <w:r>
                  <w:rPr>
                    <w:rFonts w:hint="eastAsia"/>
                    <w:szCs w:val="21"/>
                  </w:rPr>
                  <w:lastRenderedPageBreak/>
                  <w:t>资产减值准备</w:t>
                </w:r>
              </w:p>
            </w:tc>
            <w:tc>
              <w:tcPr>
                <w:tcW w:w="945" w:type="pct"/>
                <w:shd w:val="clear" w:color="auto" w:fill="auto"/>
                <w:vAlign w:val="center"/>
              </w:tcPr>
              <w:p w:rsidR="00DE031E" w:rsidRDefault="00422DCA" w:rsidP="00DE031E">
                <w:pPr>
                  <w:jc w:val="right"/>
                  <w:rPr>
                    <w:szCs w:val="21"/>
                  </w:rPr>
                </w:pPr>
                <w:sdt>
                  <w:sdtPr>
                    <w:rPr>
                      <w:szCs w:val="21"/>
                    </w:rPr>
                    <w:alias w:val="可抵扣暂时性差异中资产减值准备"/>
                    <w:tag w:val="_GBC_6d51676b3ee84bfda41a839b4a7d22fc"/>
                    <w:id w:val="24724814"/>
                    <w:lock w:val="sdtLocked"/>
                  </w:sdtPr>
                  <w:sdtContent>
                    <w:r w:rsidR="001C1A59">
                      <w:rPr>
                        <w:szCs w:val="21"/>
                      </w:rPr>
                      <w:t>24,953,146.22</w:t>
                    </w:r>
                  </w:sdtContent>
                </w:sdt>
              </w:p>
            </w:tc>
            <w:sdt>
              <w:sdtPr>
                <w:rPr>
                  <w:szCs w:val="21"/>
                </w:rPr>
                <w:alias w:val="递延所得税资产中资产减值准备"/>
                <w:tag w:val="_GBC_618bf8272ee64687bf85fa7a7e475cde"/>
                <w:id w:val="24724815"/>
                <w:lock w:val="sdtLocked"/>
              </w:sdtPr>
              <w:sdtContent>
                <w:tc>
                  <w:tcPr>
                    <w:tcW w:w="840" w:type="pct"/>
                    <w:shd w:val="clear" w:color="auto" w:fill="auto"/>
                    <w:vAlign w:val="center"/>
                  </w:tcPr>
                  <w:p w:rsidR="00DE031E" w:rsidRDefault="001C1A59" w:rsidP="00DE031E">
                    <w:pPr>
                      <w:jc w:val="right"/>
                      <w:rPr>
                        <w:szCs w:val="21"/>
                      </w:rPr>
                    </w:pPr>
                    <w:r>
                      <w:rPr>
                        <w:szCs w:val="21"/>
                      </w:rPr>
                      <w:t>6,238,286.56</w:t>
                    </w:r>
                  </w:p>
                </w:tc>
              </w:sdtContent>
            </w:sdt>
            <w:tc>
              <w:tcPr>
                <w:tcW w:w="945" w:type="pct"/>
                <w:shd w:val="clear" w:color="auto" w:fill="auto"/>
                <w:vAlign w:val="center"/>
              </w:tcPr>
              <w:p w:rsidR="00DE031E" w:rsidRDefault="00422DCA" w:rsidP="00DE031E">
                <w:pPr>
                  <w:jc w:val="right"/>
                  <w:rPr>
                    <w:szCs w:val="21"/>
                  </w:rPr>
                </w:pPr>
                <w:sdt>
                  <w:sdtPr>
                    <w:rPr>
                      <w:szCs w:val="21"/>
                    </w:rPr>
                    <w:alias w:val="可抵扣暂时性差异中资产减值准备"/>
                    <w:tag w:val="_GBC_a2ac6a6318af4f3a8b27ac077f0bc73e"/>
                    <w:id w:val="24724816"/>
                    <w:lock w:val="sdtLocked"/>
                  </w:sdtPr>
                  <w:sdtContent>
                    <w:r w:rsidR="001C1A59">
                      <w:rPr>
                        <w:szCs w:val="21"/>
                      </w:rPr>
                      <w:t>29,362,609.19</w:t>
                    </w:r>
                  </w:sdtContent>
                </w:sdt>
              </w:p>
            </w:tc>
            <w:sdt>
              <w:sdtPr>
                <w:rPr>
                  <w:szCs w:val="21"/>
                </w:rPr>
                <w:alias w:val="递延所得税资产中资产减值准备"/>
                <w:tag w:val="_GBC_831e74e19af3424d98655c2082efd5b3"/>
                <w:id w:val="24724817"/>
                <w:lock w:val="sdtLocked"/>
              </w:sdtPr>
              <w:sdtContent>
                <w:tc>
                  <w:tcPr>
                    <w:tcW w:w="840" w:type="pct"/>
                    <w:shd w:val="clear" w:color="auto" w:fill="auto"/>
                    <w:vAlign w:val="center"/>
                  </w:tcPr>
                  <w:p w:rsidR="00DE031E" w:rsidRDefault="001C1A59" w:rsidP="00DE031E">
                    <w:pPr>
                      <w:jc w:val="right"/>
                      <w:rPr>
                        <w:szCs w:val="21"/>
                      </w:rPr>
                    </w:pPr>
                    <w:r>
                      <w:rPr>
                        <w:szCs w:val="21"/>
                      </w:rPr>
                      <w:t>7,340,652.30</w:t>
                    </w:r>
                  </w:p>
                </w:tc>
              </w:sdtContent>
            </w:sdt>
          </w:tr>
          <w:sdt>
            <w:sdtPr>
              <w:rPr>
                <w:szCs w:val="21"/>
              </w:rPr>
              <w:alias w:val="递延所得税资产明细"/>
              <w:tag w:val="_GBC_78d44848a87d4473a54948d3e2adbb46"/>
              <w:id w:val="24724823"/>
              <w:lock w:val="sdtLocked"/>
            </w:sdtPr>
            <w:sdtContent>
              <w:tr w:rsidR="00DE031E" w:rsidTr="00DE031E">
                <w:trPr>
                  <w:trHeight w:val="285"/>
                  <w:jc w:val="center"/>
                </w:trPr>
                <w:sdt>
                  <w:sdtPr>
                    <w:rPr>
                      <w:szCs w:val="21"/>
                    </w:rPr>
                    <w:alias w:val="递延所得税资产明细－项目"/>
                    <w:tag w:val="_GBC_bd8030a345ae42bf95c7e8b40d82722c"/>
                    <w:id w:val="24724818"/>
                    <w:lock w:val="sdtLocked"/>
                  </w:sdtPr>
                  <w:sdtContent>
                    <w:tc>
                      <w:tcPr>
                        <w:tcW w:w="1429" w:type="pct"/>
                        <w:shd w:val="clear" w:color="auto" w:fill="auto"/>
                        <w:vAlign w:val="center"/>
                      </w:tcPr>
                      <w:p w:rsidR="00DE031E" w:rsidRDefault="001C1A59" w:rsidP="00DE031E">
                        <w:pPr>
                          <w:rPr>
                            <w:szCs w:val="21"/>
                          </w:rPr>
                        </w:pPr>
                        <w:r>
                          <w:rPr>
                            <w:rFonts w:hint="eastAsia"/>
                            <w:szCs w:val="21"/>
                          </w:rPr>
                          <w:t>计入其他综合收益的可供出售金融资产公允价值变动</w:t>
                        </w:r>
                      </w:p>
                    </w:tc>
                  </w:sdtContent>
                </w:sdt>
                <w:sdt>
                  <w:sdtPr>
                    <w:rPr>
                      <w:szCs w:val="21"/>
                    </w:rPr>
                    <w:alias w:val="递延所得税资产明细－可抵扣暂时性差异"/>
                    <w:tag w:val="_GBC_f1ae481d08c24bcda2206f50204eec7f"/>
                    <w:id w:val="24724819"/>
                    <w:lock w:val="sdtLocked"/>
                    <w:showingPlcHdr/>
                  </w:sdtPr>
                  <w:sdtContent>
                    <w:tc>
                      <w:tcPr>
                        <w:tcW w:w="945" w:type="pct"/>
                        <w:shd w:val="clear" w:color="auto" w:fill="auto"/>
                        <w:vAlign w:val="center"/>
                      </w:tcPr>
                      <w:p w:rsidR="00DE031E" w:rsidRDefault="00DE031E" w:rsidP="00DE031E">
                        <w:pPr>
                          <w:jc w:val="right"/>
                          <w:rPr>
                            <w:szCs w:val="21"/>
                          </w:rPr>
                        </w:pPr>
                      </w:p>
                    </w:tc>
                  </w:sdtContent>
                </w:sdt>
                <w:sdt>
                  <w:sdtPr>
                    <w:rPr>
                      <w:szCs w:val="21"/>
                    </w:rPr>
                    <w:alias w:val="递延所得税资产明细－金额"/>
                    <w:tag w:val="_GBC_fb9c9e1857f2417fb6d01ea0bcc5953b"/>
                    <w:id w:val="24724820"/>
                    <w:lock w:val="sdtLocked"/>
                    <w:showingPlcHdr/>
                  </w:sdtPr>
                  <w:sdtContent>
                    <w:tc>
                      <w:tcPr>
                        <w:tcW w:w="840" w:type="pct"/>
                        <w:shd w:val="clear" w:color="auto" w:fill="auto"/>
                        <w:vAlign w:val="center"/>
                      </w:tcPr>
                      <w:p w:rsidR="00DE031E" w:rsidRDefault="001C1A59" w:rsidP="00DE031E">
                        <w:pPr>
                          <w:jc w:val="right"/>
                          <w:rPr>
                            <w:szCs w:val="21"/>
                          </w:rPr>
                        </w:pPr>
                        <w:r>
                          <w:rPr>
                            <w:rFonts w:hint="eastAsia"/>
                            <w:color w:val="333399"/>
                            <w:szCs w:val="21"/>
                          </w:rPr>
                          <w:t xml:space="preserve">　</w:t>
                        </w:r>
                      </w:p>
                    </w:tc>
                  </w:sdtContent>
                </w:sdt>
                <w:sdt>
                  <w:sdtPr>
                    <w:rPr>
                      <w:szCs w:val="21"/>
                    </w:rPr>
                    <w:alias w:val="递延所得税资产明细－可抵扣暂时性差异"/>
                    <w:tag w:val="_GBC_a4214b329d5b47f3a865f0a607a502a2"/>
                    <w:id w:val="24724821"/>
                    <w:lock w:val="sdtLocked"/>
                  </w:sdtPr>
                  <w:sdtContent>
                    <w:tc>
                      <w:tcPr>
                        <w:tcW w:w="945" w:type="pct"/>
                        <w:shd w:val="clear" w:color="auto" w:fill="auto"/>
                        <w:vAlign w:val="center"/>
                      </w:tcPr>
                      <w:p w:rsidR="00DE031E" w:rsidRDefault="00DE031E" w:rsidP="00DE031E">
                        <w:pPr>
                          <w:jc w:val="right"/>
                          <w:rPr>
                            <w:szCs w:val="21"/>
                          </w:rPr>
                        </w:pPr>
                      </w:p>
                    </w:tc>
                  </w:sdtContent>
                </w:sdt>
                <w:sdt>
                  <w:sdtPr>
                    <w:rPr>
                      <w:szCs w:val="21"/>
                    </w:rPr>
                    <w:alias w:val="递延所得税资产明细－金额"/>
                    <w:tag w:val="_GBC_7c846c51cea94f52ae95cd3b930b31a7"/>
                    <w:id w:val="24724822"/>
                    <w:lock w:val="sdtLocked"/>
                    <w:showingPlcHdr/>
                  </w:sdtPr>
                  <w:sdtContent>
                    <w:tc>
                      <w:tcPr>
                        <w:tcW w:w="840" w:type="pct"/>
                        <w:shd w:val="clear" w:color="auto" w:fill="auto"/>
                        <w:vAlign w:val="center"/>
                      </w:tcPr>
                      <w:p w:rsidR="00DE031E" w:rsidRDefault="001C1A59" w:rsidP="00DE031E">
                        <w:pPr>
                          <w:jc w:val="right"/>
                          <w:rPr>
                            <w:szCs w:val="21"/>
                          </w:rPr>
                        </w:pPr>
                        <w:r>
                          <w:rPr>
                            <w:rFonts w:hint="eastAsia"/>
                            <w:color w:val="333399"/>
                            <w:szCs w:val="21"/>
                          </w:rPr>
                          <w:t xml:space="preserve">　</w:t>
                        </w:r>
                      </w:p>
                    </w:tc>
                  </w:sdtContent>
                </w:sdt>
              </w:tr>
            </w:sdtContent>
          </w:sdt>
          <w:sdt>
            <w:sdtPr>
              <w:rPr>
                <w:szCs w:val="21"/>
              </w:rPr>
              <w:alias w:val="递延所得税资产明细"/>
              <w:tag w:val="_GBC_78d44848a87d4473a54948d3e2adbb46"/>
              <w:id w:val="24724829"/>
              <w:lock w:val="sdtLocked"/>
            </w:sdtPr>
            <w:sdtContent>
              <w:tr w:rsidR="00DE031E" w:rsidTr="00DE031E">
                <w:trPr>
                  <w:trHeight w:val="285"/>
                  <w:jc w:val="center"/>
                </w:trPr>
                <w:sdt>
                  <w:sdtPr>
                    <w:rPr>
                      <w:szCs w:val="21"/>
                    </w:rPr>
                    <w:alias w:val="递延所得税资产明细－项目"/>
                    <w:tag w:val="_GBC_bd8030a345ae42bf95c7e8b40d82722c"/>
                    <w:id w:val="24724824"/>
                    <w:lock w:val="sdtLocked"/>
                  </w:sdtPr>
                  <w:sdtContent>
                    <w:tc>
                      <w:tcPr>
                        <w:tcW w:w="1429" w:type="pct"/>
                        <w:shd w:val="clear" w:color="auto" w:fill="auto"/>
                        <w:vAlign w:val="center"/>
                      </w:tcPr>
                      <w:p w:rsidR="00DE031E" w:rsidRDefault="001C1A59" w:rsidP="00DE031E">
                        <w:pPr>
                          <w:rPr>
                            <w:szCs w:val="21"/>
                          </w:rPr>
                        </w:pPr>
                        <w:r>
                          <w:rPr>
                            <w:rFonts w:hint="eastAsia"/>
                            <w:szCs w:val="21"/>
                          </w:rPr>
                          <w:t>其他</w:t>
                        </w:r>
                      </w:p>
                    </w:tc>
                  </w:sdtContent>
                </w:sdt>
                <w:sdt>
                  <w:sdtPr>
                    <w:rPr>
                      <w:szCs w:val="21"/>
                    </w:rPr>
                    <w:alias w:val="递延所得税资产明细－可抵扣暂时性差异"/>
                    <w:tag w:val="_GBC_f1ae481d08c24bcda2206f50204eec7f"/>
                    <w:id w:val="24724825"/>
                    <w:lock w:val="sdtLocked"/>
                  </w:sdtPr>
                  <w:sdtContent>
                    <w:tc>
                      <w:tcPr>
                        <w:tcW w:w="945" w:type="pct"/>
                        <w:shd w:val="clear" w:color="auto" w:fill="auto"/>
                        <w:vAlign w:val="center"/>
                      </w:tcPr>
                      <w:p w:rsidR="00DE031E" w:rsidRDefault="001C1A59" w:rsidP="00DE031E">
                        <w:pPr>
                          <w:jc w:val="right"/>
                          <w:rPr>
                            <w:szCs w:val="21"/>
                          </w:rPr>
                        </w:pPr>
                        <w:r>
                          <w:rPr>
                            <w:szCs w:val="21"/>
                          </w:rPr>
                          <w:t>519,732.08</w:t>
                        </w:r>
                      </w:p>
                    </w:tc>
                  </w:sdtContent>
                </w:sdt>
                <w:sdt>
                  <w:sdtPr>
                    <w:rPr>
                      <w:szCs w:val="21"/>
                    </w:rPr>
                    <w:alias w:val="递延所得税资产明细－金额"/>
                    <w:tag w:val="_GBC_fb9c9e1857f2417fb6d01ea0bcc5953b"/>
                    <w:id w:val="24724826"/>
                    <w:lock w:val="sdtLocked"/>
                  </w:sdtPr>
                  <w:sdtContent>
                    <w:tc>
                      <w:tcPr>
                        <w:tcW w:w="840" w:type="pct"/>
                        <w:shd w:val="clear" w:color="auto" w:fill="auto"/>
                        <w:vAlign w:val="center"/>
                      </w:tcPr>
                      <w:p w:rsidR="00DE031E" w:rsidRDefault="001C1A59" w:rsidP="00DE031E">
                        <w:pPr>
                          <w:jc w:val="right"/>
                          <w:rPr>
                            <w:szCs w:val="21"/>
                          </w:rPr>
                        </w:pPr>
                        <w:r>
                          <w:rPr>
                            <w:szCs w:val="21"/>
                          </w:rPr>
                          <w:t>129,933.02</w:t>
                        </w:r>
                      </w:p>
                    </w:tc>
                  </w:sdtContent>
                </w:sdt>
                <w:sdt>
                  <w:sdtPr>
                    <w:rPr>
                      <w:szCs w:val="21"/>
                    </w:rPr>
                    <w:alias w:val="递延所得税资产明细－可抵扣暂时性差异"/>
                    <w:tag w:val="_GBC_a4214b329d5b47f3a865f0a607a502a2"/>
                    <w:id w:val="24724827"/>
                    <w:lock w:val="sdtLocked"/>
                  </w:sdtPr>
                  <w:sdtContent>
                    <w:tc>
                      <w:tcPr>
                        <w:tcW w:w="945" w:type="pct"/>
                        <w:shd w:val="clear" w:color="auto" w:fill="auto"/>
                        <w:vAlign w:val="center"/>
                      </w:tcPr>
                      <w:p w:rsidR="00DE031E" w:rsidRDefault="001C1A59" w:rsidP="00DE031E">
                        <w:pPr>
                          <w:jc w:val="right"/>
                          <w:rPr>
                            <w:szCs w:val="21"/>
                          </w:rPr>
                        </w:pPr>
                        <w:r>
                          <w:rPr>
                            <w:szCs w:val="21"/>
                          </w:rPr>
                          <w:t>148,998,073.56</w:t>
                        </w:r>
                      </w:p>
                    </w:tc>
                  </w:sdtContent>
                </w:sdt>
                <w:sdt>
                  <w:sdtPr>
                    <w:rPr>
                      <w:szCs w:val="21"/>
                    </w:rPr>
                    <w:alias w:val="递延所得税资产明细－金额"/>
                    <w:tag w:val="_GBC_7c846c51cea94f52ae95cd3b930b31a7"/>
                    <w:id w:val="24724828"/>
                    <w:lock w:val="sdtLocked"/>
                  </w:sdtPr>
                  <w:sdtContent>
                    <w:tc>
                      <w:tcPr>
                        <w:tcW w:w="840" w:type="pct"/>
                        <w:shd w:val="clear" w:color="auto" w:fill="auto"/>
                        <w:vAlign w:val="center"/>
                      </w:tcPr>
                      <w:p w:rsidR="00DE031E" w:rsidRDefault="001C1A59" w:rsidP="00DE031E">
                        <w:pPr>
                          <w:jc w:val="right"/>
                          <w:rPr>
                            <w:szCs w:val="21"/>
                          </w:rPr>
                        </w:pPr>
                        <w:r>
                          <w:rPr>
                            <w:szCs w:val="21"/>
                          </w:rPr>
                          <w:t>37,249,518.39</w:t>
                        </w:r>
                      </w:p>
                    </w:tc>
                  </w:sdtContent>
                </w:sdt>
              </w:tr>
            </w:sdtContent>
          </w:sdt>
          <w:tr w:rsidR="00DE031E" w:rsidTr="00DE031E">
            <w:trPr>
              <w:trHeight w:val="285"/>
              <w:jc w:val="center"/>
            </w:trPr>
            <w:tc>
              <w:tcPr>
                <w:tcW w:w="1429" w:type="pct"/>
                <w:shd w:val="clear" w:color="auto" w:fill="auto"/>
                <w:vAlign w:val="center"/>
              </w:tcPr>
              <w:p w:rsidR="00DE031E" w:rsidRDefault="001C1A59" w:rsidP="00DE031E">
                <w:pPr>
                  <w:jc w:val="center"/>
                  <w:rPr>
                    <w:szCs w:val="21"/>
                  </w:rPr>
                </w:pPr>
                <w:r>
                  <w:rPr>
                    <w:rFonts w:hint="eastAsia"/>
                    <w:szCs w:val="21"/>
                  </w:rPr>
                  <w:t>合计</w:t>
                </w:r>
              </w:p>
            </w:tc>
            <w:tc>
              <w:tcPr>
                <w:tcW w:w="945" w:type="pct"/>
                <w:shd w:val="clear" w:color="auto" w:fill="auto"/>
                <w:vAlign w:val="center"/>
              </w:tcPr>
              <w:p w:rsidR="00DE031E" w:rsidRDefault="00422DCA" w:rsidP="00DE031E">
                <w:pPr>
                  <w:jc w:val="right"/>
                  <w:rPr>
                    <w:szCs w:val="21"/>
                  </w:rPr>
                </w:pPr>
                <w:sdt>
                  <w:sdtPr>
                    <w:rPr>
                      <w:szCs w:val="21"/>
                    </w:rPr>
                    <w:alias w:val="已确认的可抵扣暂时性差异合计"/>
                    <w:tag w:val="_GBC_e228e103fd09470fac76e5feb0968db6"/>
                    <w:id w:val="24724830"/>
                    <w:lock w:val="sdtLocked"/>
                  </w:sdtPr>
                  <w:sdtContent>
                    <w:r w:rsidR="001C1A59">
                      <w:rPr>
                        <w:szCs w:val="21"/>
                      </w:rPr>
                      <w:t>1,930,032,589.55</w:t>
                    </w:r>
                  </w:sdtContent>
                </w:sdt>
              </w:p>
            </w:tc>
            <w:sdt>
              <w:sdtPr>
                <w:rPr>
                  <w:szCs w:val="21"/>
                </w:rPr>
                <w:alias w:val="已确认的递延所得税资产小计"/>
                <w:tag w:val="_GBC_2d6926921f6c4ac384eb4906735a38be"/>
                <w:id w:val="24724831"/>
                <w:lock w:val="sdtLocked"/>
              </w:sdtPr>
              <w:sdtContent>
                <w:tc>
                  <w:tcPr>
                    <w:tcW w:w="840" w:type="pct"/>
                    <w:shd w:val="clear" w:color="auto" w:fill="auto"/>
                    <w:vAlign w:val="center"/>
                  </w:tcPr>
                  <w:p w:rsidR="00DE031E" w:rsidRDefault="001C1A59" w:rsidP="00DE031E">
                    <w:pPr>
                      <w:jc w:val="right"/>
                      <w:rPr>
                        <w:szCs w:val="21"/>
                      </w:rPr>
                    </w:pPr>
                    <w:r>
                      <w:rPr>
                        <w:szCs w:val="21"/>
                      </w:rPr>
                      <w:t>481,583,547.</w:t>
                    </w:r>
                    <w:r>
                      <w:rPr>
                        <w:rFonts w:hint="eastAsia"/>
                        <w:szCs w:val="21"/>
                      </w:rPr>
                      <w:t>39</w:t>
                    </w:r>
                  </w:p>
                </w:tc>
              </w:sdtContent>
            </w:sdt>
            <w:tc>
              <w:tcPr>
                <w:tcW w:w="945" w:type="pct"/>
                <w:shd w:val="clear" w:color="auto" w:fill="auto"/>
                <w:vAlign w:val="center"/>
              </w:tcPr>
              <w:p w:rsidR="00DE031E" w:rsidRDefault="00422DCA" w:rsidP="00DE031E">
                <w:pPr>
                  <w:jc w:val="right"/>
                  <w:rPr>
                    <w:szCs w:val="21"/>
                  </w:rPr>
                </w:pPr>
                <w:sdt>
                  <w:sdtPr>
                    <w:rPr>
                      <w:szCs w:val="21"/>
                    </w:rPr>
                    <w:alias w:val="已确认的可抵扣暂时性差异合计"/>
                    <w:tag w:val="_GBC_aef89081a1b6463db592e54d6f165f64"/>
                    <w:id w:val="24724832"/>
                    <w:lock w:val="sdtLocked"/>
                  </w:sdtPr>
                  <w:sdtContent>
                    <w:r w:rsidR="001C1A59">
                      <w:rPr>
                        <w:szCs w:val="21"/>
                      </w:rPr>
                      <w:t>1,484,207,888.17</w:t>
                    </w:r>
                  </w:sdtContent>
                </w:sdt>
              </w:p>
            </w:tc>
            <w:sdt>
              <w:sdtPr>
                <w:rPr>
                  <w:szCs w:val="21"/>
                </w:rPr>
                <w:alias w:val="已确认的递延所得税资产小计"/>
                <w:tag w:val="_GBC_6682a9b2fb9448aaa0e75bcdc165a3c3"/>
                <w:id w:val="24724833"/>
                <w:lock w:val="sdtLocked"/>
              </w:sdtPr>
              <w:sdtContent>
                <w:tc>
                  <w:tcPr>
                    <w:tcW w:w="840" w:type="pct"/>
                    <w:shd w:val="clear" w:color="auto" w:fill="auto"/>
                    <w:vAlign w:val="center"/>
                  </w:tcPr>
                  <w:p w:rsidR="00DE031E" w:rsidRDefault="001C1A59" w:rsidP="00DE031E">
                    <w:pPr>
                      <w:jc w:val="right"/>
                      <w:rPr>
                        <w:szCs w:val="21"/>
                      </w:rPr>
                    </w:pPr>
                    <w:r>
                      <w:rPr>
                        <w:szCs w:val="21"/>
                      </w:rPr>
                      <w:t>370,135,810.21</w:t>
                    </w:r>
                  </w:p>
                </w:tc>
              </w:sdtContent>
            </w:sdt>
          </w:tr>
        </w:tbl>
        <w:p w:rsidR="00DE031E" w:rsidRDefault="001C1A59" w:rsidP="009950AC">
          <w:pPr>
            <w:pStyle w:val="4"/>
            <w:numPr>
              <w:ilvl w:val="0"/>
              <w:numId w:val="52"/>
            </w:numPr>
            <w:tabs>
              <w:tab w:val="left" w:pos="588"/>
              <w:tab w:val="left" w:pos="616"/>
            </w:tabs>
            <w:spacing w:before="120" w:line="360" w:lineRule="auto"/>
            <w:ind w:left="422" w:hangingChars="200" w:hanging="422"/>
          </w:pPr>
          <w:r>
            <w:rPr>
              <w:rFonts w:hint="eastAsia"/>
            </w:rPr>
            <w:t>未经抵销的递延所得税负债</w:t>
          </w:r>
        </w:p>
        <w:sdt>
          <w:sdtPr>
            <w:alias w:val="是否适用：未经抵销的递延所得税负债"/>
            <w:tag w:val="_GBC_fab73f4c5a83410ab3594dfb6ae134b4"/>
            <w:id w:val="24724834"/>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tbl>
          <w:tblPr>
            <w:tblW w:w="5616" w:type="pct"/>
            <w:jc w:val="center"/>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8"/>
            <w:gridCol w:w="1896"/>
            <w:gridCol w:w="1897"/>
            <w:gridCol w:w="1897"/>
            <w:gridCol w:w="1686"/>
          </w:tblGrid>
          <w:tr w:rsidR="00DE031E" w:rsidTr="00DE031E">
            <w:trPr>
              <w:trHeight w:val="285"/>
              <w:jc w:val="center"/>
            </w:trPr>
            <w:tc>
              <w:tcPr>
                <w:tcW w:w="1372" w:type="pct"/>
                <w:vMerge w:val="restart"/>
                <w:shd w:val="clear" w:color="auto" w:fill="auto"/>
                <w:vAlign w:val="center"/>
              </w:tcPr>
              <w:p w:rsidR="00DE031E" w:rsidRDefault="001C1A59" w:rsidP="00DE031E">
                <w:pPr>
                  <w:jc w:val="center"/>
                  <w:rPr>
                    <w:szCs w:val="21"/>
                  </w:rPr>
                </w:pPr>
                <w:r>
                  <w:rPr>
                    <w:rFonts w:hint="eastAsia"/>
                    <w:szCs w:val="21"/>
                  </w:rPr>
                  <w:t>项目</w:t>
                </w:r>
              </w:p>
              <w:p w:rsidR="00DE031E" w:rsidRDefault="00DE031E" w:rsidP="00DE031E">
                <w:pPr>
                  <w:jc w:val="center"/>
                  <w:rPr>
                    <w:szCs w:val="21"/>
                  </w:rPr>
                </w:pPr>
              </w:p>
            </w:tc>
            <w:tc>
              <w:tcPr>
                <w:tcW w:w="1865" w:type="pct"/>
                <w:gridSpan w:val="2"/>
                <w:shd w:val="clear" w:color="auto" w:fill="auto"/>
                <w:vAlign w:val="center"/>
              </w:tcPr>
              <w:p w:rsidR="00DE031E" w:rsidRDefault="001C1A59" w:rsidP="00DE031E">
                <w:pPr>
                  <w:jc w:val="center"/>
                  <w:rPr>
                    <w:szCs w:val="21"/>
                  </w:rPr>
                </w:pPr>
                <w:r>
                  <w:rPr>
                    <w:rFonts w:hint="eastAsia"/>
                    <w:szCs w:val="21"/>
                  </w:rPr>
                  <w:t>期末余额</w:t>
                </w:r>
              </w:p>
            </w:tc>
            <w:tc>
              <w:tcPr>
                <w:tcW w:w="1763" w:type="pct"/>
                <w:gridSpan w:val="2"/>
                <w:shd w:val="clear" w:color="auto" w:fill="auto"/>
                <w:vAlign w:val="center"/>
              </w:tcPr>
              <w:p w:rsidR="00DE031E" w:rsidRDefault="001C1A59" w:rsidP="00DE031E">
                <w:pPr>
                  <w:jc w:val="center"/>
                  <w:rPr>
                    <w:szCs w:val="21"/>
                  </w:rPr>
                </w:pPr>
                <w:r>
                  <w:rPr>
                    <w:rFonts w:hint="eastAsia"/>
                    <w:szCs w:val="21"/>
                  </w:rPr>
                  <w:t>期初余额</w:t>
                </w:r>
              </w:p>
            </w:tc>
          </w:tr>
          <w:tr w:rsidR="00DE031E" w:rsidTr="00DE031E">
            <w:trPr>
              <w:trHeight w:val="285"/>
              <w:jc w:val="center"/>
            </w:trPr>
            <w:tc>
              <w:tcPr>
                <w:tcW w:w="1372" w:type="pct"/>
                <w:vMerge/>
                <w:shd w:val="clear" w:color="auto" w:fill="auto"/>
                <w:vAlign w:val="center"/>
              </w:tcPr>
              <w:p w:rsidR="00DE031E" w:rsidRDefault="00DE031E" w:rsidP="00DE031E">
                <w:pPr>
                  <w:jc w:val="center"/>
                  <w:rPr>
                    <w:b/>
                    <w:szCs w:val="21"/>
                  </w:rPr>
                </w:pPr>
              </w:p>
            </w:tc>
            <w:tc>
              <w:tcPr>
                <w:tcW w:w="933" w:type="pct"/>
                <w:shd w:val="clear" w:color="auto" w:fill="auto"/>
                <w:vAlign w:val="center"/>
              </w:tcPr>
              <w:p w:rsidR="00DE031E" w:rsidRDefault="001C1A59" w:rsidP="00DE031E">
                <w:pPr>
                  <w:jc w:val="center"/>
                  <w:rPr>
                    <w:szCs w:val="21"/>
                  </w:rPr>
                </w:pPr>
                <w:r>
                  <w:rPr>
                    <w:rFonts w:ascii="Arial" w:hAnsi="Arial" w:hint="eastAsia"/>
                    <w:szCs w:val="21"/>
                  </w:rPr>
                  <w:t>应纳税暂时性差异</w:t>
                </w:r>
              </w:p>
            </w:tc>
            <w:tc>
              <w:tcPr>
                <w:tcW w:w="933" w:type="pct"/>
                <w:shd w:val="clear" w:color="auto" w:fill="auto"/>
                <w:vAlign w:val="center"/>
              </w:tcPr>
              <w:p w:rsidR="00DE031E" w:rsidRDefault="001C1A59" w:rsidP="00DE031E">
                <w:pPr>
                  <w:jc w:val="center"/>
                  <w:rPr>
                    <w:szCs w:val="21"/>
                  </w:rPr>
                </w:pPr>
                <w:r>
                  <w:rPr>
                    <w:rFonts w:hint="eastAsia"/>
                    <w:szCs w:val="21"/>
                  </w:rPr>
                  <w:t>递延所得税</w:t>
                </w:r>
              </w:p>
              <w:p w:rsidR="00DE031E" w:rsidRDefault="001C1A59" w:rsidP="00DE031E">
                <w:pPr>
                  <w:jc w:val="center"/>
                  <w:rPr>
                    <w:szCs w:val="21"/>
                  </w:rPr>
                </w:pPr>
                <w:r>
                  <w:rPr>
                    <w:rFonts w:hint="eastAsia"/>
                    <w:szCs w:val="21"/>
                  </w:rPr>
                  <w:t>负债</w:t>
                </w:r>
              </w:p>
            </w:tc>
            <w:tc>
              <w:tcPr>
                <w:tcW w:w="933" w:type="pct"/>
                <w:shd w:val="clear" w:color="auto" w:fill="auto"/>
                <w:vAlign w:val="center"/>
              </w:tcPr>
              <w:p w:rsidR="00DE031E" w:rsidRDefault="001C1A59" w:rsidP="00DE031E">
                <w:pPr>
                  <w:jc w:val="center"/>
                  <w:rPr>
                    <w:szCs w:val="21"/>
                  </w:rPr>
                </w:pPr>
                <w:r>
                  <w:rPr>
                    <w:rFonts w:ascii="Arial" w:hAnsi="Arial" w:hint="eastAsia"/>
                    <w:szCs w:val="21"/>
                  </w:rPr>
                  <w:t>应纳税暂时性差异</w:t>
                </w:r>
              </w:p>
            </w:tc>
            <w:tc>
              <w:tcPr>
                <w:tcW w:w="830" w:type="pct"/>
                <w:shd w:val="clear" w:color="auto" w:fill="auto"/>
                <w:vAlign w:val="center"/>
              </w:tcPr>
              <w:p w:rsidR="00DE031E" w:rsidRDefault="001C1A59" w:rsidP="00DE031E">
                <w:pPr>
                  <w:jc w:val="center"/>
                  <w:rPr>
                    <w:szCs w:val="21"/>
                  </w:rPr>
                </w:pPr>
                <w:r>
                  <w:rPr>
                    <w:rFonts w:hint="eastAsia"/>
                    <w:szCs w:val="21"/>
                  </w:rPr>
                  <w:t>递延所得税</w:t>
                </w:r>
              </w:p>
              <w:p w:rsidR="00DE031E" w:rsidRDefault="001C1A59" w:rsidP="00DE031E">
                <w:pPr>
                  <w:jc w:val="center"/>
                  <w:rPr>
                    <w:szCs w:val="21"/>
                  </w:rPr>
                </w:pPr>
                <w:r>
                  <w:rPr>
                    <w:rFonts w:hint="eastAsia"/>
                    <w:szCs w:val="21"/>
                  </w:rPr>
                  <w:t>负债</w:t>
                </w:r>
              </w:p>
            </w:tc>
          </w:tr>
          <w:sdt>
            <w:sdtPr>
              <w:rPr>
                <w:szCs w:val="21"/>
              </w:rPr>
              <w:alias w:val="递延所得税负债明细"/>
              <w:tag w:val="_GBC_b1614c80d1bd478fbd0f56aa84238e04"/>
              <w:id w:val="24724840"/>
              <w:lock w:val="sdtLocked"/>
            </w:sdtPr>
            <w:sdtContent>
              <w:tr w:rsidR="00DE031E" w:rsidTr="00DE031E">
                <w:trPr>
                  <w:trHeight w:val="285"/>
                  <w:jc w:val="center"/>
                </w:trPr>
                <w:sdt>
                  <w:sdtPr>
                    <w:rPr>
                      <w:szCs w:val="21"/>
                    </w:rPr>
                    <w:alias w:val="递延所得税负债明细－项目"/>
                    <w:tag w:val="_GBC_081810a3e27043bc8137d50d7e759fe1"/>
                    <w:id w:val="24724835"/>
                    <w:lock w:val="sdtLocked"/>
                  </w:sdtPr>
                  <w:sdtContent>
                    <w:tc>
                      <w:tcPr>
                        <w:tcW w:w="1372" w:type="pct"/>
                        <w:shd w:val="clear" w:color="auto" w:fill="auto"/>
                        <w:vAlign w:val="center"/>
                      </w:tcPr>
                      <w:p w:rsidR="00DE031E" w:rsidRDefault="001C1A59" w:rsidP="00DE031E">
                        <w:pPr>
                          <w:rPr>
                            <w:szCs w:val="21"/>
                          </w:rPr>
                        </w:pPr>
                        <w:r>
                          <w:rPr>
                            <w:rFonts w:hint="eastAsia"/>
                            <w:szCs w:val="21"/>
                          </w:rPr>
                          <w:t>以公允价值计量且其变动计入当期损益的金融工具、衍生金融工具的估值</w:t>
                        </w:r>
                      </w:p>
                    </w:tc>
                  </w:sdtContent>
                </w:sdt>
                <w:sdt>
                  <w:sdtPr>
                    <w:rPr>
                      <w:szCs w:val="21"/>
                    </w:rPr>
                    <w:alias w:val="递延所得税负债明细－应纳税暂时性差异"/>
                    <w:tag w:val="_GBC_e59513f17d184405ba2dfe384dc43e95"/>
                    <w:id w:val="24724836"/>
                    <w:lock w:val="sdtLocked"/>
                  </w:sdtPr>
                  <w:sdtContent>
                    <w:tc>
                      <w:tcPr>
                        <w:tcW w:w="933" w:type="pct"/>
                        <w:shd w:val="clear" w:color="auto" w:fill="auto"/>
                        <w:vAlign w:val="center"/>
                      </w:tcPr>
                      <w:p w:rsidR="00DE031E" w:rsidRDefault="001C1A59" w:rsidP="00DE031E">
                        <w:pPr>
                          <w:jc w:val="right"/>
                          <w:rPr>
                            <w:szCs w:val="21"/>
                          </w:rPr>
                        </w:pPr>
                        <w:r>
                          <w:rPr>
                            <w:rFonts w:asciiTheme="minorEastAsia" w:eastAsiaTheme="minorEastAsia" w:hAnsiTheme="minorEastAsia" w:cs="Arial"/>
                            <w:color w:val="000000"/>
                            <w:szCs w:val="21"/>
                          </w:rPr>
                          <w:t>3,565,994,416.46</w:t>
                        </w:r>
                      </w:p>
                    </w:tc>
                  </w:sdtContent>
                </w:sdt>
                <w:sdt>
                  <w:sdtPr>
                    <w:rPr>
                      <w:szCs w:val="21"/>
                    </w:rPr>
                    <w:alias w:val="递延所得税负债明细－金额"/>
                    <w:tag w:val="_GBC_c2031652f8a04ae89c31168b0d5c8505"/>
                    <w:id w:val="24724837"/>
                    <w:lock w:val="sdtLocked"/>
                  </w:sdtPr>
                  <w:sdtContent>
                    <w:tc>
                      <w:tcPr>
                        <w:tcW w:w="933" w:type="pct"/>
                        <w:shd w:val="clear" w:color="auto" w:fill="auto"/>
                        <w:vAlign w:val="center"/>
                      </w:tcPr>
                      <w:p w:rsidR="00DE031E" w:rsidRDefault="001C1A59" w:rsidP="00DE031E">
                        <w:pPr>
                          <w:jc w:val="right"/>
                          <w:rPr>
                            <w:szCs w:val="21"/>
                          </w:rPr>
                        </w:pPr>
                        <w:r>
                          <w:rPr>
                            <w:szCs w:val="21"/>
                          </w:rPr>
                          <w:t>873,642,241.69</w:t>
                        </w:r>
                      </w:p>
                    </w:tc>
                  </w:sdtContent>
                </w:sdt>
                <w:sdt>
                  <w:sdtPr>
                    <w:rPr>
                      <w:szCs w:val="21"/>
                    </w:rPr>
                    <w:alias w:val="递延所得税负债明细－应纳税暂时性差异"/>
                    <w:tag w:val="_GBC_cd6e82a115ba4d05bce019eaf43826b3"/>
                    <w:id w:val="24724838"/>
                    <w:lock w:val="sdtLocked"/>
                  </w:sdtPr>
                  <w:sdtContent>
                    <w:tc>
                      <w:tcPr>
                        <w:tcW w:w="933" w:type="pct"/>
                        <w:shd w:val="clear" w:color="auto" w:fill="auto"/>
                        <w:vAlign w:val="center"/>
                      </w:tcPr>
                      <w:p w:rsidR="00DE031E" w:rsidRDefault="001C1A59" w:rsidP="00DE031E">
                        <w:pPr>
                          <w:jc w:val="right"/>
                          <w:rPr>
                            <w:szCs w:val="21"/>
                          </w:rPr>
                        </w:pPr>
                        <w:r>
                          <w:rPr>
                            <w:szCs w:val="21"/>
                          </w:rPr>
                          <w:t>1,164,759,517.26</w:t>
                        </w:r>
                      </w:p>
                    </w:tc>
                  </w:sdtContent>
                </w:sdt>
                <w:sdt>
                  <w:sdtPr>
                    <w:rPr>
                      <w:szCs w:val="21"/>
                    </w:rPr>
                    <w:alias w:val="递延所得税负债明细－金额"/>
                    <w:tag w:val="_GBC_08fb571357d14c349ed3d30218d59470"/>
                    <w:id w:val="24724839"/>
                    <w:lock w:val="sdtLocked"/>
                  </w:sdtPr>
                  <w:sdtContent>
                    <w:tc>
                      <w:tcPr>
                        <w:tcW w:w="830" w:type="pct"/>
                        <w:shd w:val="clear" w:color="auto" w:fill="auto"/>
                        <w:vAlign w:val="center"/>
                      </w:tcPr>
                      <w:p w:rsidR="00DE031E" w:rsidRDefault="001C1A59" w:rsidP="00DE031E">
                        <w:pPr>
                          <w:jc w:val="right"/>
                          <w:rPr>
                            <w:szCs w:val="21"/>
                          </w:rPr>
                        </w:pPr>
                        <w:r>
                          <w:rPr>
                            <w:szCs w:val="21"/>
                          </w:rPr>
                          <w:t>280,522,669.88</w:t>
                        </w:r>
                      </w:p>
                    </w:tc>
                  </w:sdtContent>
                </w:sdt>
              </w:tr>
            </w:sdtContent>
          </w:sdt>
          <w:tr w:rsidR="00DE031E" w:rsidTr="00DE031E">
            <w:trPr>
              <w:trHeight w:val="285"/>
              <w:jc w:val="center"/>
            </w:trPr>
            <w:tc>
              <w:tcPr>
                <w:tcW w:w="1372" w:type="pct"/>
                <w:shd w:val="clear" w:color="auto" w:fill="auto"/>
              </w:tcPr>
              <w:p w:rsidR="00DE031E" w:rsidRDefault="001C1A59" w:rsidP="00DE031E">
                <w:pPr>
                  <w:rPr>
                    <w:szCs w:val="21"/>
                  </w:rPr>
                </w:pPr>
                <w:r>
                  <w:rPr>
                    <w:rFonts w:hint="eastAsia"/>
                    <w:szCs w:val="21"/>
                  </w:rPr>
                  <w:t>计入其他综合收益的可供出售金融资产公允价值变动</w:t>
                </w:r>
              </w:p>
            </w:tc>
            <w:tc>
              <w:tcPr>
                <w:tcW w:w="933" w:type="pct"/>
                <w:shd w:val="clear" w:color="auto" w:fill="auto"/>
                <w:vAlign w:val="center"/>
              </w:tcPr>
              <w:p w:rsidR="00DE031E" w:rsidRDefault="00422DCA" w:rsidP="00DE031E">
                <w:pPr>
                  <w:jc w:val="right"/>
                  <w:rPr>
                    <w:szCs w:val="21"/>
                  </w:rPr>
                </w:pPr>
                <w:sdt>
                  <w:sdtPr>
                    <w:rPr>
                      <w:szCs w:val="21"/>
                    </w:rPr>
                    <w:alias w:val="应纳税暂时性差异中可供出售金融资产公允价值变动"/>
                    <w:tag w:val="_GBC_e80c91c70a9a4516b15c4e17cdfd92b5"/>
                    <w:id w:val="24724841"/>
                    <w:lock w:val="sdtLocked"/>
                  </w:sdtPr>
                  <w:sdtContent>
                    <w:r w:rsidR="001C1A59">
                      <w:rPr>
                        <w:szCs w:val="21"/>
                      </w:rPr>
                      <w:t>917,320,877.42</w:t>
                    </w:r>
                  </w:sdtContent>
                </w:sdt>
              </w:p>
            </w:tc>
            <w:tc>
              <w:tcPr>
                <w:tcW w:w="933" w:type="pct"/>
                <w:shd w:val="clear" w:color="auto" w:fill="auto"/>
                <w:vAlign w:val="center"/>
              </w:tcPr>
              <w:p w:rsidR="00DE031E" w:rsidRDefault="00422DCA" w:rsidP="00DE031E">
                <w:pPr>
                  <w:jc w:val="right"/>
                  <w:rPr>
                    <w:szCs w:val="21"/>
                  </w:rPr>
                </w:pPr>
                <w:sdt>
                  <w:sdtPr>
                    <w:rPr>
                      <w:szCs w:val="21"/>
                    </w:rPr>
                    <w:alias w:val="递延所得税负债中可供出售金融资产公允价值变动"/>
                    <w:tag w:val="_GBC_2224a87de44d4e26835f483e5acf5aa5"/>
                    <w:id w:val="24724842"/>
                    <w:lock w:val="sdtLocked"/>
                  </w:sdtPr>
                  <w:sdtContent>
                    <w:r w:rsidR="001C1A59">
                      <w:rPr>
                        <w:szCs w:val="21"/>
                      </w:rPr>
                      <w:t>229,330,219.36</w:t>
                    </w:r>
                  </w:sdtContent>
                </w:sdt>
              </w:p>
            </w:tc>
            <w:tc>
              <w:tcPr>
                <w:tcW w:w="933" w:type="pct"/>
                <w:shd w:val="clear" w:color="auto" w:fill="auto"/>
                <w:vAlign w:val="center"/>
              </w:tcPr>
              <w:p w:rsidR="00DE031E" w:rsidRDefault="00422DCA" w:rsidP="00DE031E">
                <w:pPr>
                  <w:jc w:val="right"/>
                  <w:rPr>
                    <w:szCs w:val="21"/>
                  </w:rPr>
                </w:pPr>
                <w:sdt>
                  <w:sdtPr>
                    <w:rPr>
                      <w:szCs w:val="21"/>
                    </w:rPr>
                    <w:alias w:val="应纳税暂时性差异中可供出售金融资产公允价值变动"/>
                    <w:tag w:val="_GBC_fe68a1f5ab70403da223bc2292835546"/>
                    <w:id w:val="24724843"/>
                    <w:lock w:val="sdtLocked"/>
                  </w:sdtPr>
                  <w:sdtContent>
                    <w:r w:rsidR="001C1A59">
                      <w:rPr>
                        <w:szCs w:val="21"/>
                      </w:rPr>
                      <w:t>301,484,580.32</w:t>
                    </w:r>
                  </w:sdtContent>
                </w:sdt>
              </w:p>
            </w:tc>
            <w:tc>
              <w:tcPr>
                <w:tcW w:w="830" w:type="pct"/>
                <w:shd w:val="clear" w:color="auto" w:fill="auto"/>
                <w:vAlign w:val="center"/>
              </w:tcPr>
              <w:p w:rsidR="00DE031E" w:rsidRDefault="00422DCA" w:rsidP="00DE031E">
                <w:pPr>
                  <w:jc w:val="right"/>
                  <w:rPr>
                    <w:szCs w:val="21"/>
                  </w:rPr>
                </w:pPr>
                <w:sdt>
                  <w:sdtPr>
                    <w:rPr>
                      <w:szCs w:val="21"/>
                    </w:rPr>
                    <w:alias w:val="递延所得税负债中可供出售金融资产公允价值变动"/>
                    <w:tag w:val="_GBC_0191959588d04fc8836cb360cc13dee5"/>
                    <w:id w:val="24724844"/>
                    <w:lock w:val="sdtLocked"/>
                  </w:sdtPr>
                  <w:sdtContent>
                    <w:r w:rsidR="001C1A59">
                      <w:rPr>
                        <w:szCs w:val="21"/>
                      </w:rPr>
                      <w:t>75,371,145.08</w:t>
                    </w:r>
                  </w:sdtContent>
                </w:sdt>
              </w:p>
            </w:tc>
          </w:tr>
          <w:sdt>
            <w:sdtPr>
              <w:rPr>
                <w:szCs w:val="21"/>
              </w:rPr>
              <w:alias w:val="递延所得税负债明细"/>
              <w:tag w:val="_GBC_b1614c80d1bd478fbd0f56aa84238e04"/>
              <w:id w:val="24724850"/>
              <w:lock w:val="sdtLocked"/>
            </w:sdtPr>
            <w:sdtContent>
              <w:tr w:rsidR="00DE031E" w:rsidTr="00DE031E">
                <w:trPr>
                  <w:trHeight w:val="285"/>
                  <w:jc w:val="center"/>
                </w:trPr>
                <w:sdt>
                  <w:sdtPr>
                    <w:rPr>
                      <w:szCs w:val="21"/>
                    </w:rPr>
                    <w:alias w:val="递延所得税负债明细－项目"/>
                    <w:tag w:val="_GBC_081810a3e27043bc8137d50d7e759fe1"/>
                    <w:id w:val="24724845"/>
                    <w:lock w:val="sdtLocked"/>
                  </w:sdtPr>
                  <w:sdtContent>
                    <w:tc>
                      <w:tcPr>
                        <w:tcW w:w="1372" w:type="pct"/>
                        <w:shd w:val="clear" w:color="auto" w:fill="auto"/>
                        <w:vAlign w:val="center"/>
                      </w:tcPr>
                      <w:p w:rsidR="00DE031E" w:rsidRDefault="001C1A59" w:rsidP="00DE031E">
                        <w:pPr>
                          <w:rPr>
                            <w:szCs w:val="21"/>
                          </w:rPr>
                        </w:pPr>
                        <w:r>
                          <w:rPr>
                            <w:rFonts w:hint="eastAsia"/>
                            <w:szCs w:val="21"/>
                          </w:rPr>
                          <w:t>固定资产折旧</w:t>
                        </w:r>
                      </w:p>
                    </w:tc>
                  </w:sdtContent>
                </w:sdt>
                <w:sdt>
                  <w:sdtPr>
                    <w:rPr>
                      <w:szCs w:val="21"/>
                    </w:rPr>
                    <w:alias w:val="递延所得税负债明细－应纳税暂时性差异"/>
                    <w:tag w:val="_GBC_e59513f17d184405ba2dfe384dc43e95"/>
                    <w:id w:val="24724846"/>
                    <w:lock w:val="sdtLocked"/>
                  </w:sdtPr>
                  <w:sdtContent>
                    <w:tc>
                      <w:tcPr>
                        <w:tcW w:w="933" w:type="pct"/>
                        <w:shd w:val="clear" w:color="auto" w:fill="auto"/>
                        <w:vAlign w:val="center"/>
                      </w:tcPr>
                      <w:p w:rsidR="00DE031E" w:rsidRDefault="001C1A59" w:rsidP="00DE031E">
                        <w:pPr>
                          <w:jc w:val="right"/>
                          <w:rPr>
                            <w:szCs w:val="21"/>
                          </w:rPr>
                        </w:pPr>
                        <w:r>
                          <w:rPr>
                            <w:szCs w:val="21"/>
                          </w:rPr>
                          <w:t>7,684,136.96</w:t>
                        </w:r>
                      </w:p>
                    </w:tc>
                  </w:sdtContent>
                </w:sdt>
                <w:sdt>
                  <w:sdtPr>
                    <w:rPr>
                      <w:szCs w:val="21"/>
                    </w:rPr>
                    <w:alias w:val="递延所得税负债明细－金额"/>
                    <w:tag w:val="_GBC_c2031652f8a04ae89c31168b0d5c8505"/>
                    <w:id w:val="24724847"/>
                    <w:lock w:val="sdtLocked"/>
                  </w:sdtPr>
                  <w:sdtContent>
                    <w:tc>
                      <w:tcPr>
                        <w:tcW w:w="933" w:type="pct"/>
                        <w:shd w:val="clear" w:color="auto" w:fill="auto"/>
                        <w:vAlign w:val="center"/>
                      </w:tcPr>
                      <w:p w:rsidR="00DE031E" w:rsidRDefault="001C1A59" w:rsidP="00DE031E">
                        <w:pPr>
                          <w:jc w:val="right"/>
                          <w:rPr>
                            <w:szCs w:val="21"/>
                          </w:rPr>
                        </w:pPr>
                        <w:r>
                          <w:rPr>
                            <w:szCs w:val="21"/>
                          </w:rPr>
                          <w:t>1,921,034.24</w:t>
                        </w:r>
                      </w:p>
                    </w:tc>
                  </w:sdtContent>
                </w:sdt>
                <w:sdt>
                  <w:sdtPr>
                    <w:rPr>
                      <w:szCs w:val="21"/>
                    </w:rPr>
                    <w:alias w:val="递延所得税负债明细－应纳税暂时性差异"/>
                    <w:tag w:val="_GBC_cd6e82a115ba4d05bce019eaf43826b3"/>
                    <w:id w:val="24724848"/>
                    <w:lock w:val="sdtLocked"/>
                  </w:sdtPr>
                  <w:sdtContent>
                    <w:tc>
                      <w:tcPr>
                        <w:tcW w:w="933" w:type="pct"/>
                        <w:shd w:val="clear" w:color="auto" w:fill="auto"/>
                        <w:vAlign w:val="center"/>
                      </w:tcPr>
                      <w:p w:rsidR="00DE031E" w:rsidRDefault="001C1A59" w:rsidP="00DE031E">
                        <w:pPr>
                          <w:jc w:val="right"/>
                          <w:rPr>
                            <w:szCs w:val="21"/>
                          </w:rPr>
                        </w:pPr>
                        <w:r>
                          <w:rPr>
                            <w:szCs w:val="21"/>
                          </w:rPr>
                          <w:t>11,646,470.30</w:t>
                        </w:r>
                      </w:p>
                    </w:tc>
                  </w:sdtContent>
                </w:sdt>
                <w:sdt>
                  <w:sdtPr>
                    <w:rPr>
                      <w:szCs w:val="21"/>
                    </w:rPr>
                    <w:alias w:val="递延所得税负债明细－金额"/>
                    <w:tag w:val="_GBC_08fb571357d14c349ed3d30218d59470"/>
                    <w:id w:val="24724849"/>
                    <w:lock w:val="sdtLocked"/>
                  </w:sdtPr>
                  <w:sdtContent>
                    <w:tc>
                      <w:tcPr>
                        <w:tcW w:w="830" w:type="pct"/>
                        <w:shd w:val="clear" w:color="auto" w:fill="auto"/>
                        <w:vAlign w:val="center"/>
                      </w:tcPr>
                      <w:p w:rsidR="00DE031E" w:rsidRDefault="001C1A59" w:rsidP="00DE031E">
                        <w:pPr>
                          <w:jc w:val="right"/>
                          <w:rPr>
                            <w:szCs w:val="21"/>
                          </w:rPr>
                        </w:pPr>
                        <w:r>
                          <w:rPr>
                            <w:szCs w:val="21"/>
                          </w:rPr>
                          <w:t>1,921,667.60</w:t>
                        </w:r>
                      </w:p>
                    </w:tc>
                  </w:sdtContent>
                </w:sdt>
              </w:tr>
            </w:sdtContent>
          </w:sdt>
          <w:sdt>
            <w:sdtPr>
              <w:rPr>
                <w:szCs w:val="21"/>
              </w:rPr>
              <w:alias w:val="递延所得税负债明细"/>
              <w:tag w:val="_GBC_b1614c80d1bd478fbd0f56aa84238e04"/>
              <w:id w:val="24724856"/>
              <w:lock w:val="sdtLocked"/>
            </w:sdtPr>
            <w:sdtContent>
              <w:tr w:rsidR="00DE031E" w:rsidTr="00DE031E">
                <w:trPr>
                  <w:trHeight w:val="285"/>
                  <w:jc w:val="center"/>
                </w:trPr>
                <w:sdt>
                  <w:sdtPr>
                    <w:rPr>
                      <w:szCs w:val="21"/>
                    </w:rPr>
                    <w:alias w:val="递延所得税负债明细－项目"/>
                    <w:tag w:val="_GBC_081810a3e27043bc8137d50d7e759fe1"/>
                    <w:id w:val="24724851"/>
                    <w:lock w:val="sdtLocked"/>
                  </w:sdtPr>
                  <w:sdtContent>
                    <w:tc>
                      <w:tcPr>
                        <w:tcW w:w="1372" w:type="pct"/>
                        <w:shd w:val="clear" w:color="auto" w:fill="auto"/>
                        <w:vAlign w:val="center"/>
                      </w:tcPr>
                      <w:p w:rsidR="00DE031E" w:rsidRDefault="001C1A59" w:rsidP="00DE031E">
                        <w:pPr>
                          <w:rPr>
                            <w:szCs w:val="21"/>
                          </w:rPr>
                        </w:pPr>
                        <w:r>
                          <w:rPr>
                            <w:rFonts w:hint="eastAsia"/>
                            <w:szCs w:val="21"/>
                          </w:rPr>
                          <w:t>合并报表未实现利润</w:t>
                        </w:r>
                      </w:p>
                    </w:tc>
                  </w:sdtContent>
                </w:sdt>
                <w:sdt>
                  <w:sdtPr>
                    <w:rPr>
                      <w:szCs w:val="21"/>
                    </w:rPr>
                    <w:alias w:val="递延所得税负债明细－应纳税暂时性差异"/>
                    <w:tag w:val="_GBC_e59513f17d184405ba2dfe384dc43e95"/>
                    <w:id w:val="24724852"/>
                    <w:lock w:val="sdtLocked"/>
                  </w:sdtPr>
                  <w:sdtContent>
                    <w:tc>
                      <w:tcPr>
                        <w:tcW w:w="933" w:type="pct"/>
                        <w:shd w:val="clear" w:color="auto" w:fill="auto"/>
                        <w:vAlign w:val="center"/>
                      </w:tcPr>
                      <w:p w:rsidR="00DE031E" w:rsidRDefault="001C1A59" w:rsidP="00DE031E">
                        <w:pPr>
                          <w:jc w:val="right"/>
                          <w:rPr>
                            <w:szCs w:val="21"/>
                          </w:rPr>
                        </w:pPr>
                        <w:r>
                          <w:rPr>
                            <w:szCs w:val="21"/>
                          </w:rPr>
                          <w:t>38,158,713.16</w:t>
                        </w:r>
                      </w:p>
                    </w:tc>
                  </w:sdtContent>
                </w:sdt>
                <w:sdt>
                  <w:sdtPr>
                    <w:rPr>
                      <w:szCs w:val="21"/>
                    </w:rPr>
                    <w:alias w:val="递延所得税负债明细－金额"/>
                    <w:tag w:val="_GBC_c2031652f8a04ae89c31168b0d5c8505"/>
                    <w:id w:val="24724853"/>
                    <w:lock w:val="sdtLocked"/>
                  </w:sdtPr>
                  <w:sdtContent>
                    <w:tc>
                      <w:tcPr>
                        <w:tcW w:w="933" w:type="pct"/>
                        <w:shd w:val="clear" w:color="auto" w:fill="auto"/>
                        <w:vAlign w:val="center"/>
                      </w:tcPr>
                      <w:p w:rsidR="00DE031E" w:rsidRDefault="001C1A59" w:rsidP="00DE031E">
                        <w:pPr>
                          <w:jc w:val="right"/>
                          <w:rPr>
                            <w:szCs w:val="21"/>
                          </w:rPr>
                        </w:pPr>
                        <w:r>
                          <w:rPr>
                            <w:szCs w:val="21"/>
                          </w:rPr>
                          <w:t>9,539,678.29</w:t>
                        </w:r>
                      </w:p>
                    </w:tc>
                  </w:sdtContent>
                </w:sdt>
                <w:sdt>
                  <w:sdtPr>
                    <w:rPr>
                      <w:szCs w:val="21"/>
                    </w:rPr>
                    <w:alias w:val="递延所得税负债明细－应纳税暂时性差异"/>
                    <w:tag w:val="_GBC_cd6e82a115ba4d05bce019eaf43826b3"/>
                    <w:id w:val="24724854"/>
                    <w:lock w:val="sdtLocked"/>
                  </w:sdtPr>
                  <w:sdtContent>
                    <w:tc>
                      <w:tcPr>
                        <w:tcW w:w="933" w:type="pct"/>
                        <w:shd w:val="clear" w:color="auto" w:fill="auto"/>
                        <w:vAlign w:val="center"/>
                      </w:tcPr>
                      <w:p w:rsidR="00DE031E" w:rsidRDefault="001C1A59" w:rsidP="00DE031E">
                        <w:pPr>
                          <w:jc w:val="right"/>
                          <w:rPr>
                            <w:szCs w:val="21"/>
                          </w:rPr>
                        </w:pPr>
                        <w:r>
                          <w:rPr>
                            <w:szCs w:val="21"/>
                          </w:rPr>
                          <w:t>7,428,935.51</w:t>
                        </w:r>
                      </w:p>
                    </w:tc>
                  </w:sdtContent>
                </w:sdt>
                <w:sdt>
                  <w:sdtPr>
                    <w:rPr>
                      <w:szCs w:val="21"/>
                    </w:rPr>
                    <w:alias w:val="递延所得税负债明细－金额"/>
                    <w:tag w:val="_GBC_08fb571357d14c349ed3d30218d59470"/>
                    <w:id w:val="24724855"/>
                    <w:lock w:val="sdtLocked"/>
                  </w:sdtPr>
                  <w:sdtContent>
                    <w:tc>
                      <w:tcPr>
                        <w:tcW w:w="830" w:type="pct"/>
                        <w:shd w:val="clear" w:color="auto" w:fill="auto"/>
                        <w:vAlign w:val="center"/>
                      </w:tcPr>
                      <w:p w:rsidR="00DE031E" w:rsidRDefault="001C1A59" w:rsidP="00DE031E">
                        <w:pPr>
                          <w:jc w:val="right"/>
                          <w:rPr>
                            <w:szCs w:val="21"/>
                          </w:rPr>
                        </w:pPr>
                        <w:r>
                          <w:rPr>
                            <w:szCs w:val="21"/>
                          </w:rPr>
                          <w:t>1,857,233.88</w:t>
                        </w:r>
                      </w:p>
                    </w:tc>
                  </w:sdtContent>
                </w:sdt>
              </w:tr>
            </w:sdtContent>
          </w:sdt>
          <w:tr w:rsidR="00DE031E" w:rsidTr="00DE031E">
            <w:trPr>
              <w:trHeight w:val="285"/>
              <w:jc w:val="center"/>
            </w:trPr>
            <w:tc>
              <w:tcPr>
                <w:tcW w:w="1372" w:type="pct"/>
                <w:shd w:val="clear" w:color="auto" w:fill="auto"/>
                <w:vAlign w:val="center"/>
              </w:tcPr>
              <w:p w:rsidR="00DE031E" w:rsidRDefault="001C1A59" w:rsidP="00DE031E">
                <w:pPr>
                  <w:jc w:val="center"/>
                  <w:rPr>
                    <w:szCs w:val="21"/>
                  </w:rPr>
                </w:pPr>
                <w:r>
                  <w:rPr>
                    <w:rFonts w:hint="eastAsia"/>
                    <w:szCs w:val="21"/>
                  </w:rPr>
                  <w:t>合计</w:t>
                </w:r>
              </w:p>
            </w:tc>
            <w:tc>
              <w:tcPr>
                <w:tcW w:w="933" w:type="pct"/>
                <w:shd w:val="clear" w:color="auto" w:fill="auto"/>
                <w:vAlign w:val="center"/>
              </w:tcPr>
              <w:p w:rsidR="00DE031E" w:rsidRDefault="00422DCA" w:rsidP="00DE031E">
                <w:pPr>
                  <w:jc w:val="right"/>
                  <w:rPr>
                    <w:szCs w:val="21"/>
                  </w:rPr>
                </w:pPr>
                <w:sdt>
                  <w:sdtPr>
                    <w:rPr>
                      <w:szCs w:val="21"/>
                    </w:rPr>
                    <w:alias w:val="已确认的应纳税暂时性差异合计"/>
                    <w:tag w:val="_GBC_fb4ebf8740334460b3e2c6e879c5881a"/>
                    <w:id w:val="24724857"/>
                    <w:lock w:val="sdtLocked"/>
                  </w:sdtPr>
                  <w:sdtContent>
                    <w:r w:rsidR="001C1A59">
                      <w:rPr>
                        <w:szCs w:val="21"/>
                      </w:rPr>
                      <w:t>4,529,158,144.00</w:t>
                    </w:r>
                  </w:sdtContent>
                </w:sdt>
              </w:p>
            </w:tc>
            <w:sdt>
              <w:sdtPr>
                <w:rPr>
                  <w:szCs w:val="21"/>
                </w:rPr>
                <w:alias w:val="已确认的递延所得税负债小计"/>
                <w:tag w:val="_GBC_b6d412a1d8384ee8ac43a6e057a69333"/>
                <w:id w:val="24724858"/>
                <w:lock w:val="sdtLocked"/>
              </w:sdtPr>
              <w:sdtContent>
                <w:tc>
                  <w:tcPr>
                    <w:tcW w:w="933" w:type="pct"/>
                    <w:shd w:val="clear" w:color="auto" w:fill="auto"/>
                    <w:vAlign w:val="center"/>
                  </w:tcPr>
                  <w:p w:rsidR="00DE031E" w:rsidRDefault="001C1A59" w:rsidP="00DE031E">
                    <w:pPr>
                      <w:jc w:val="right"/>
                      <w:rPr>
                        <w:szCs w:val="21"/>
                      </w:rPr>
                    </w:pPr>
                    <w:r>
                      <w:rPr>
                        <w:szCs w:val="21"/>
                      </w:rPr>
                      <w:t>1,114,433,173.58</w:t>
                    </w:r>
                  </w:p>
                </w:tc>
              </w:sdtContent>
            </w:sdt>
            <w:tc>
              <w:tcPr>
                <w:tcW w:w="933" w:type="pct"/>
                <w:shd w:val="clear" w:color="auto" w:fill="auto"/>
                <w:vAlign w:val="center"/>
              </w:tcPr>
              <w:p w:rsidR="00DE031E" w:rsidRDefault="00422DCA" w:rsidP="00DE031E">
                <w:pPr>
                  <w:jc w:val="right"/>
                  <w:rPr>
                    <w:szCs w:val="21"/>
                  </w:rPr>
                </w:pPr>
                <w:sdt>
                  <w:sdtPr>
                    <w:rPr>
                      <w:szCs w:val="21"/>
                    </w:rPr>
                    <w:alias w:val="已确认的应纳税暂时性差异合计"/>
                    <w:tag w:val="_GBC_ca3dc13830ec4677b29dc31016921171"/>
                    <w:id w:val="24724859"/>
                    <w:lock w:val="sdtLocked"/>
                  </w:sdtPr>
                  <w:sdtContent>
                    <w:r w:rsidR="001C1A59">
                      <w:rPr>
                        <w:szCs w:val="21"/>
                      </w:rPr>
                      <w:t>1,485,319,503.39</w:t>
                    </w:r>
                  </w:sdtContent>
                </w:sdt>
              </w:p>
            </w:tc>
            <w:sdt>
              <w:sdtPr>
                <w:rPr>
                  <w:szCs w:val="21"/>
                </w:rPr>
                <w:alias w:val="已确认的递延所得税负债小计"/>
                <w:tag w:val="_GBC_a7274a68a2c94b77b79a8c15ff0ecebe"/>
                <w:id w:val="24724860"/>
                <w:lock w:val="sdtLocked"/>
              </w:sdtPr>
              <w:sdtContent>
                <w:tc>
                  <w:tcPr>
                    <w:tcW w:w="830" w:type="pct"/>
                    <w:shd w:val="clear" w:color="auto" w:fill="auto"/>
                    <w:vAlign w:val="center"/>
                  </w:tcPr>
                  <w:p w:rsidR="00DE031E" w:rsidRDefault="001C1A59" w:rsidP="00DE031E">
                    <w:pPr>
                      <w:jc w:val="right"/>
                      <w:rPr>
                        <w:szCs w:val="21"/>
                      </w:rPr>
                    </w:pPr>
                    <w:r>
                      <w:rPr>
                        <w:szCs w:val="21"/>
                      </w:rPr>
                      <w:t>359,672,716.44</w:t>
                    </w:r>
                  </w:p>
                </w:tc>
              </w:sdtContent>
            </w:sdt>
          </w:tr>
        </w:tbl>
      </w:sdtContent>
    </w:sdt>
    <w:sdt>
      <w:sdtPr>
        <w:rPr>
          <w:rFonts w:hint="eastAsia"/>
          <w:szCs w:val="21"/>
        </w:rPr>
        <w:tag w:val="_GBC_057749240d604d9ab0db94f6e505935f"/>
        <w:id w:val="24724863"/>
        <w:lock w:val="sdtLocked"/>
        <w:placeholder>
          <w:docPart w:val="GBC22222222222222222222222222222"/>
        </w:placeholder>
      </w:sdtPr>
      <w:sdtEndPr>
        <w:rPr>
          <w:rFonts w:hint="default"/>
        </w:rPr>
      </w:sdtEndPr>
      <w:sdtContent>
        <w:sdt>
          <w:sdtPr>
            <w:rPr>
              <w:szCs w:val="21"/>
            </w:rPr>
            <w:alias w:val="递延所得税资产和递延所得税负债的说明"/>
            <w:tag w:val="_GBC_542c1a23126f46c398ae6907555a7cf5"/>
            <w:id w:val="24724862"/>
            <w:lock w:val="sdtLocked"/>
            <w:placeholder>
              <w:docPart w:val="GBC22222222222222222222222222222"/>
            </w:placeholder>
          </w:sdtPr>
          <w:sdtContent>
            <w:p w:rsidR="00DE031E" w:rsidRDefault="001C1A59" w:rsidP="003A0284">
              <w:pPr>
                <w:spacing w:beforeLines="50" w:line="360" w:lineRule="auto"/>
                <w:rPr>
                  <w:rFonts w:hAnsi="Calibri"/>
                  <w:sz w:val="22"/>
                  <w:szCs w:val="22"/>
                </w:rPr>
              </w:pPr>
              <w:r>
                <w:rPr>
                  <w:rFonts w:hAnsi="Calibri" w:hint="eastAsia"/>
                  <w:sz w:val="22"/>
                  <w:szCs w:val="22"/>
                </w:rPr>
                <w:t>（</w:t>
              </w:r>
              <w:r>
                <w:rPr>
                  <w:rFonts w:ascii="Arial" w:hAnsi="Arial" w:cs="Arial"/>
                  <w:sz w:val="22"/>
                  <w:szCs w:val="22"/>
                </w:rPr>
                <w:t>3</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日，递延所得税资产较上年末增加</w:t>
              </w:r>
              <w:r>
                <w:rPr>
                  <w:rFonts w:ascii="Arial" w:hAnsi="Arial" w:cs="Arial"/>
                  <w:sz w:val="22"/>
                  <w:szCs w:val="22"/>
                </w:rPr>
                <w:t>1</w:t>
              </w:r>
              <w:r>
                <w:rPr>
                  <w:rFonts w:ascii="Arial" w:hAnsi="Arial" w:cs="Arial" w:hint="eastAsia"/>
                  <w:sz w:val="22"/>
                  <w:szCs w:val="22"/>
                </w:rPr>
                <w:t>11</w:t>
              </w:r>
              <w:r>
                <w:rPr>
                  <w:rFonts w:ascii="Arial" w:hAnsi="Arial" w:cs="Arial"/>
                  <w:sz w:val="22"/>
                  <w:szCs w:val="22"/>
                </w:rPr>
                <w:t>,</w:t>
              </w:r>
              <w:r>
                <w:rPr>
                  <w:rFonts w:ascii="Arial" w:hAnsi="Arial" w:cs="Arial" w:hint="eastAsia"/>
                  <w:sz w:val="22"/>
                  <w:szCs w:val="22"/>
                </w:rPr>
                <w:t>447</w:t>
              </w:r>
              <w:r>
                <w:rPr>
                  <w:rFonts w:ascii="Arial" w:hAnsi="Arial" w:cs="Arial"/>
                  <w:sz w:val="22"/>
                  <w:szCs w:val="22"/>
                </w:rPr>
                <w:t>,</w:t>
              </w:r>
              <w:r>
                <w:rPr>
                  <w:rFonts w:ascii="Arial" w:hAnsi="Arial" w:cs="Arial" w:hint="eastAsia"/>
                  <w:sz w:val="22"/>
                  <w:szCs w:val="22"/>
                </w:rPr>
                <w:t>737</w:t>
              </w:r>
              <w:r>
                <w:rPr>
                  <w:rFonts w:ascii="Arial" w:hAnsi="Arial" w:cs="Arial"/>
                  <w:sz w:val="22"/>
                  <w:szCs w:val="22"/>
                </w:rPr>
                <w:t>.</w:t>
              </w:r>
              <w:r>
                <w:rPr>
                  <w:rFonts w:ascii="Arial" w:hAnsi="Arial" w:cs="Arial" w:hint="eastAsia"/>
                  <w:sz w:val="22"/>
                  <w:szCs w:val="22"/>
                </w:rPr>
                <w:t>18</w:t>
              </w:r>
              <w:r>
                <w:rPr>
                  <w:rFonts w:hAnsi="Calibri" w:hint="eastAsia"/>
                  <w:sz w:val="22"/>
                  <w:szCs w:val="22"/>
                </w:rPr>
                <w:t>元，增幅</w:t>
              </w:r>
              <w:r>
                <w:rPr>
                  <w:rFonts w:ascii="Arial" w:hAnsi="Arial" w:cs="Arial" w:hint="eastAsia"/>
                  <w:sz w:val="22"/>
                  <w:szCs w:val="22"/>
                </w:rPr>
                <w:t>30.11</w:t>
              </w:r>
              <w:r>
                <w:rPr>
                  <w:rFonts w:ascii="Arial" w:hAnsi="Arial" w:cs="Arial"/>
                  <w:sz w:val="22"/>
                  <w:szCs w:val="22"/>
                </w:rPr>
                <w:t>%</w:t>
              </w:r>
              <w:r>
                <w:rPr>
                  <w:rFonts w:hAnsi="Calibri" w:hint="eastAsia"/>
                  <w:sz w:val="22"/>
                  <w:szCs w:val="22"/>
                </w:rPr>
                <w:t>，主要由于本年度应付职工薪酬未发放部分计提递延所得税资产所致。</w:t>
              </w:r>
            </w:p>
            <w:p w:rsidR="00DE031E" w:rsidRPr="00B82467" w:rsidRDefault="001C1A59" w:rsidP="003A0284">
              <w:pPr>
                <w:widowControl w:val="0"/>
                <w:autoSpaceDE w:val="0"/>
                <w:autoSpaceDN w:val="0"/>
                <w:adjustRightInd w:val="0"/>
                <w:spacing w:beforeLines="50" w:line="360" w:lineRule="auto"/>
                <w:rPr>
                  <w:rFonts w:hAnsi="Calibri"/>
                  <w:sz w:val="22"/>
                  <w:szCs w:val="22"/>
                </w:rPr>
              </w:pPr>
              <w:r>
                <w:rPr>
                  <w:rFonts w:hAnsi="Calibri" w:hint="eastAsia"/>
                  <w:sz w:val="22"/>
                  <w:szCs w:val="22"/>
                </w:rPr>
                <w:t>（</w:t>
              </w:r>
              <w:r>
                <w:rPr>
                  <w:rFonts w:ascii="Arial" w:hAnsi="Arial" w:cs="Arial"/>
                  <w:sz w:val="22"/>
                  <w:szCs w:val="22"/>
                </w:rPr>
                <w:t>4</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日，递延所得税负债较上年末增加</w:t>
              </w:r>
              <w:r>
                <w:rPr>
                  <w:rFonts w:ascii="Arial" w:hAnsi="Arial" w:cs="Arial" w:hint="eastAsia"/>
                  <w:sz w:val="22"/>
                  <w:szCs w:val="22"/>
                </w:rPr>
                <w:t>754</w:t>
              </w:r>
              <w:r>
                <w:rPr>
                  <w:rFonts w:ascii="Arial" w:hAnsi="Arial" w:cs="Arial"/>
                  <w:sz w:val="22"/>
                  <w:szCs w:val="22"/>
                </w:rPr>
                <w:t>,</w:t>
              </w:r>
              <w:r>
                <w:rPr>
                  <w:rFonts w:ascii="Arial" w:hAnsi="Arial" w:cs="Arial" w:hint="eastAsia"/>
                  <w:sz w:val="22"/>
                  <w:szCs w:val="22"/>
                </w:rPr>
                <w:t>760</w:t>
              </w:r>
              <w:r>
                <w:rPr>
                  <w:rFonts w:ascii="Arial" w:hAnsi="Arial" w:cs="Arial"/>
                  <w:sz w:val="22"/>
                  <w:szCs w:val="22"/>
                </w:rPr>
                <w:t>,</w:t>
              </w:r>
              <w:r>
                <w:rPr>
                  <w:rFonts w:ascii="Arial" w:hAnsi="Arial" w:cs="Arial" w:hint="eastAsia"/>
                  <w:sz w:val="22"/>
                  <w:szCs w:val="22"/>
                </w:rPr>
                <w:t>457</w:t>
              </w:r>
              <w:r>
                <w:rPr>
                  <w:rFonts w:ascii="Arial" w:hAnsi="Arial" w:cs="Arial"/>
                  <w:sz w:val="22"/>
                  <w:szCs w:val="22"/>
                </w:rPr>
                <w:t>.</w:t>
              </w:r>
              <w:r>
                <w:rPr>
                  <w:rFonts w:ascii="Arial" w:hAnsi="Arial" w:cs="Arial" w:hint="eastAsia"/>
                  <w:sz w:val="22"/>
                  <w:szCs w:val="22"/>
                </w:rPr>
                <w:t>14</w:t>
              </w:r>
              <w:r>
                <w:rPr>
                  <w:rFonts w:hAnsi="Calibri" w:hint="eastAsia"/>
                  <w:sz w:val="22"/>
                  <w:szCs w:val="22"/>
                </w:rPr>
                <w:t>元，增幅</w:t>
              </w:r>
              <w:r>
                <w:rPr>
                  <w:rFonts w:ascii="Arial" w:hAnsi="Arial" w:cs="Arial" w:hint="eastAsia"/>
                  <w:sz w:val="22"/>
                  <w:szCs w:val="22"/>
                </w:rPr>
                <w:t>209</w:t>
              </w:r>
              <w:r>
                <w:rPr>
                  <w:rFonts w:ascii="Arial" w:hAnsi="Arial" w:cs="Arial"/>
                  <w:sz w:val="22"/>
                  <w:szCs w:val="22"/>
                </w:rPr>
                <w:t>.</w:t>
              </w:r>
              <w:r>
                <w:rPr>
                  <w:rFonts w:ascii="Arial" w:hAnsi="Arial" w:cs="Arial" w:hint="eastAsia"/>
                  <w:sz w:val="22"/>
                  <w:szCs w:val="22"/>
                </w:rPr>
                <w:t>85</w:t>
              </w:r>
              <w:r>
                <w:rPr>
                  <w:rFonts w:ascii="Arial" w:hAnsi="Arial" w:cs="Arial"/>
                  <w:sz w:val="22"/>
                  <w:szCs w:val="22"/>
                </w:rPr>
                <w:t>%</w:t>
              </w:r>
              <w:r>
                <w:rPr>
                  <w:rFonts w:hAnsi="Calibri" w:hint="eastAsia"/>
                  <w:sz w:val="22"/>
                  <w:szCs w:val="22"/>
                </w:rPr>
                <w:t>，主要由于本年度金融资产公允价值变动产生的应纳税暂时性差异增加所致。</w:t>
              </w:r>
            </w:p>
          </w:sdtContent>
        </w:sdt>
      </w:sdtContent>
    </w:sdt>
    <w:sdt>
      <w:sdtPr>
        <w:rPr>
          <w:rFonts w:ascii="宋体" w:hAnsi="宋体" w:cs="宋体" w:hint="eastAsia"/>
          <w:b w:val="0"/>
          <w:bCs w:val="0"/>
          <w:kern w:val="0"/>
          <w:szCs w:val="21"/>
        </w:rPr>
        <w:tag w:val="_GBC_b8db472f168c433c9cdb46a39ab78b50"/>
        <w:id w:val="24724877"/>
        <w:lock w:val="sdtLocked"/>
        <w:placeholder>
          <w:docPart w:val="GBC22222222222222222222222222222"/>
        </w:placeholder>
      </w:sdtPr>
      <w:sdtContent>
        <w:p w:rsidR="00DE031E" w:rsidRDefault="001C1A59" w:rsidP="009950AC">
          <w:pPr>
            <w:pStyle w:val="3"/>
            <w:numPr>
              <w:ilvl w:val="0"/>
              <w:numId w:val="41"/>
            </w:numPr>
            <w:tabs>
              <w:tab w:val="left" w:pos="504"/>
            </w:tabs>
            <w:spacing w:line="360" w:lineRule="auto"/>
            <w:rPr>
              <w:szCs w:val="21"/>
            </w:rPr>
          </w:pPr>
          <w:r>
            <w:rPr>
              <w:rFonts w:hint="eastAsia"/>
              <w:szCs w:val="21"/>
            </w:rPr>
            <w:t>其他资产</w:t>
          </w:r>
        </w:p>
        <w:p w:rsidR="00DE031E" w:rsidRDefault="001C1A59">
          <w:pPr>
            <w:jc w:val="right"/>
          </w:pPr>
          <w:r>
            <w:t>单位：</w:t>
          </w:r>
          <w:sdt>
            <w:sdtPr>
              <w:alias w:val="单位：财务附注：其他资产"/>
              <w:tag w:val="_GBC_be519ca4754f49e6b0618d1bcd217268"/>
              <w:id w:val="247248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其他资产"/>
              <w:tag w:val="_GBC_8cead8881d2640d096b2e038c85b74d7"/>
              <w:id w:val="247248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02"/>
            <w:gridCol w:w="2922"/>
            <w:gridCol w:w="2869"/>
          </w:tblGrid>
          <w:tr w:rsidR="00DE031E" w:rsidRPr="00591E11" w:rsidTr="00A31978">
            <w:trPr>
              <w:cantSplit/>
            </w:trPr>
            <w:tc>
              <w:tcPr>
                <w:tcW w:w="1744" w:type="pct"/>
              </w:tcPr>
              <w:p w:rsidR="00DE031E" w:rsidRPr="00591E11" w:rsidRDefault="001C1A59">
                <w:pPr>
                  <w:ind w:firstLineChars="100" w:firstLine="210"/>
                  <w:jc w:val="center"/>
                  <w:rPr>
                    <w:rFonts w:asciiTheme="minorEastAsia" w:eastAsiaTheme="minorEastAsia" w:hAnsiTheme="minorEastAsia"/>
                    <w:szCs w:val="21"/>
                  </w:rPr>
                </w:pPr>
                <w:r w:rsidRPr="00591E11">
                  <w:rPr>
                    <w:rFonts w:asciiTheme="minorEastAsia" w:eastAsiaTheme="minorEastAsia" w:hAnsiTheme="minorEastAsia"/>
                    <w:szCs w:val="21"/>
                  </w:rPr>
                  <w:t>项目</w:t>
                </w:r>
              </w:p>
            </w:tc>
            <w:tc>
              <w:tcPr>
                <w:tcW w:w="1643" w:type="pct"/>
              </w:tcPr>
              <w:p w:rsidR="00DE031E" w:rsidRPr="00591E11" w:rsidRDefault="001C1A59">
                <w:pPr>
                  <w:jc w:val="center"/>
                  <w:rPr>
                    <w:rFonts w:asciiTheme="minorEastAsia" w:eastAsiaTheme="minorEastAsia" w:hAnsiTheme="minorEastAsia"/>
                    <w:szCs w:val="21"/>
                  </w:rPr>
                </w:pPr>
                <w:r w:rsidRPr="00591E11">
                  <w:rPr>
                    <w:rFonts w:asciiTheme="minorEastAsia" w:eastAsiaTheme="minorEastAsia" w:hAnsiTheme="minorEastAsia"/>
                    <w:szCs w:val="21"/>
                  </w:rPr>
                  <w:t>期末账面价值</w:t>
                </w:r>
              </w:p>
            </w:tc>
            <w:tc>
              <w:tcPr>
                <w:tcW w:w="1613" w:type="pct"/>
              </w:tcPr>
              <w:p w:rsidR="00DE031E" w:rsidRPr="00591E11" w:rsidRDefault="001C1A59">
                <w:pPr>
                  <w:jc w:val="center"/>
                  <w:rPr>
                    <w:rFonts w:asciiTheme="minorEastAsia" w:eastAsiaTheme="minorEastAsia" w:hAnsiTheme="minorEastAsia"/>
                    <w:szCs w:val="21"/>
                  </w:rPr>
                </w:pPr>
                <w:r w:rsidRPr="00591E11">
                  <w:rPr>
                    <w:rFonts w:asciiTheme="minorEastAsia" w:eastAsiaTheme="minorEastAsia" w:hAnsiTheme="minorEastAsia" w:hint="eastAsia"/>
                    <w:szCs w:val="21"/>
                  </w:rPr>
                  <w:t>期初</w:t>
                </w:r>
                <w:r w:rsidRPr="00591E11">
                  <w:rPr>
                    <w:rFonts w:asciiTheme="minorEastAsia" w:eastAsiaTheme="minorEastAsia" w:hAnsiTheme="minorEastAsia"/>
                    <w:szCs w:val="21"/>
                  </w:rPr>
                  <w:t>账面价值</w:t>
                </w:r>
              </w:p>
            </w:tc>
          </w:tr>
          <w:tr w:rsidR="00DE031E" w:rsidRPr="00591E11" w:rsidTr="00A31978">
            <w:trPr>
              <w:cantSplit/>
            </w:trPr>
            <w:tc>
              <w:tcPr>
                <w:tcW w:w="1744" w:type="pct"/>
              </w:tcPr>
              <w:p w:rsidR="00DE031E" w:rsidRPr="00591E11" w:rsidRDefault="001C1A59">
                <w:pPr>
                  <w:rPr>
                    <w:rFonts w:asciiTheme="minorEastAsia" w:eastAsiaTheme="minorEastAsia" w:hAnsiTheme="minorEastAsia"/>
                    <w:szCs w:val="21"/>
                  </w:rPr>
                </w:pPr>
                <w:r w:rsidRPr="00591E11">
                  <w:rPr>
                    <w:rFonts w:asciiTheme="minorEastAsia" w:eastAsiaTheme="minorEastAsia" w:hAnsiTheme="minorEastAsia"/>
                    <w:szCs w:val="21"/>
                  </w:rPr>
                  <w:t>其他应收款</w:t>
                </w:r>
              </w:p>
            </w:tc>
            <w:sdt>
              <w:sdtPr>
                <w:rPr>
                  <w:rFonts w:asciiTheme="minorEastAsia" w:eastAsiaTheme="minorEastAsia" w:hAnsiTheme="minorEastAsia"/>
                  <w:szCs w:val="21"/>
                </w:rPr>
                <w:alias w:val="其他应收款"/>
                <w:tag w:val="_GBC_b7ea9c3eb8e74512a23ac4b5c5c50851"/>
                <w:id w:val="24724866"/>
                <w:lock w:val="sdtLocked"/>
              </w:sdtPr>
              <w:sdtContent>
                <w:tc>
                  <w:tcPr>
                    <w:tcW w:w="1643" w:type="pct"/>
                  </w:tcPr>
                  <w:p w:rsidR="00DE031E" w:rsidRPr="00591E11" w:rsidRDefault="001C1A59">
                    <w:pPr>
                      <w:jc w:val="right"/>
                      <w:rPr>
                        <w:rFonts w:asciiTheme="minorEastAsia" w:eastAsiaTheme="minorEastAsia" w:hAnsiTheme="minorEastAsia"/>
                        <w:szCs w:val="21"/>
                      </w:rPr>
                    </w:pPr>
                    <w:r w:rsidRPr="00591E11">
                      <w:rPr>
                        <w:rFonts w:asciiTheme="minorEastAsia" w:eastAsiaTheme="minorEastAsia" w:hAnsiTheme="minorEastAsia" w:cs="Arial"/>
                        <w:color w:val="000000"/>
                        <w:szCs w:val="21"/>
                      </w:rPr>
                      <w:t>139,145,503.16</w:t>
                    </w:r>
                  </w:p>
                </w:tc>
              </w:sdtContent>
            </w:sdt>
            <w:sdt>
              <w:sdtPr>
                <w:rPr>
                  <w:rFonts w:asciiTheme="minorEastAsia" w:eastAsiaTheme="minorEastAsia" w:hAnsiTheme="minorEastAsia"/>
                  <w:szCs w:val="21"/>
                </w:rPr>
                <w:alias w:val="其他应收款"/>
                <w:tag w:val="_GBC_586dbe189fce4a56a17103e3bd109568"/>
                <w:id w:val="24724867"/>
                <w:lock w:val="sdtLocked"/>
              </w:sdtPr>
              <w:sdtContent>
                <w:tc>
                  <w:tcPr>
                    <w:tcW w:w="1613" w:type="pct"/>
                  </w:tcPr>
                  <w:p w:rsidR="00DE031E" w:rsidRPr="00591E11" w:rsidRDefault="001C1A59">
                    <w:pPr>
                      <w:jc w:val="right"/>
                      <w:rPr>
                        <w:rFonts w:asciiTheme="minorEastAsia" w:eastAsiaTheme="minorEastAsia" w:hAnsiTheme="minorEastAsia"/>
                        <w:szCs w:val="21"/>
                      </w:rPr>
                    </w:pPr>
                    <w:r w:rsidRPr="00591E11">
                      <w:rPr>
                        <w:rFonts w:asciiTheme="minorEastAsia" w:eastAsiaTheme="minorEastAsia" w:hAnsiTheme="minorEastAsia" w:cs="Arial"/>
                        <w:color w:val="000000"/>
                        <w:szCs w:val="21"/>
                      </w:rPr>
                      <w:t>135,144,646.78</w:t>
                    </w:r>
                  </w:p>
                </w:tc>
              </w:sdtContent>
            </w:sdt>
          </w:tr>
          <w:tr w:rsidR="00DE031E" w:rsidRPr="00591E11" w:rsidTr="00A31978">
            <w:trPr>
              <w:cantSplit/>
            </w:trPr>
            <w:tc>
              <w:tcPr>
                <w:tcW w:w="1744" w:type="pct"/>
                <w:vAlign w:val="center"/>
              </w:tcPr>
              <w:p w:rsidR="00DE031E" w:rsidRPr="00591E11" w:rsidRDefault="001C1A59">
                <w:pPr>
                  <w:rPr>
                    <w:rFonts w:asciiTheme="minorEastAsia" w:eastAsiaTheme="minorEastAsia" w:hAnsiTheme="minorEastAsia"/>
                    <w:szCs w:val="21"/>
                  </w:rPr>
                </w:pPr>
                <w:r w:rsidRPr="00591E11">
                  <w:rPr>
                    <w:rFonts w:asciiTheme="minorEastAsia" w:eastAsiaTheme="minorEastAsia" w:hAnsiTheme="minorEastAsia" w:hint="eastAsia"/>
                    <w:szCs w:val="21"/>
                  </w:rPr>
                  <w:t>代理兑付债券</w:t>
                </w:r>
              </w:p>
            </w:tc>
            <w:sdt>
              <w:sdtPr>
                <w:rPr>
                  <w:rFonts w:asciiTheme="minorEastAsia" w:eastAsiaTheme="minorEastAsia" w:hAnsiTheme="minorEastAsia"/>
                  <w:szCs w:val="21"/>
                </w:rPr>
                <w:alias w:val="代理兑付债券"/>
                <w:tag w:val="_GBC_6b422ae60716437487119706cd4935e1"/>
                <w:id w:val="24724870"/>
                <w:lock w:val="sdtLocked"/>
                <w:showingPlcHdr/>
              </w:sdtPr>
              <w:sdtContent>
                <w:tc>
                  <w:tcPr>
                    <w:tcW w:w="1643" w:type="pct"/>
                  </w:tcPr>
                  <w:p w:rsidR="00DE031E" w:rsidRPr="00591E11" w:rsidRDefault="001C1A59">
                    <w:pPr>
                      <w:jc w:val="right"/>
                      <w:rPr>
                        <w:rFonts w:asciiTheme="minorEastAsia" w:eastAsiaTheme="minorEastAsia" w:hAnsiTheme="minorEastAsia"/>
                        <w:szCs w:val="21"/>
                      </w:rPr>
                    </w:pPr>
                    <w:r w:rsidRPr="00591E1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代理兑付债券"/>
                <w:tag w:val="_GBC_3d9dd207d07a4d4d94f691443614fe5b"/>
                <w:id w:val="24724871"/>
                <w:lock w:val="sdtLocked"/>
                <w:showingPlcHdr/>
              </w:sdtPr>
              <w:sdtContent>
                <w:tc>
                  <w:tcPr>
                    <w:tcW w:w="1613" w:type="pct"/>
                  </w:tcPr>
                  <w:p w:rsidR="00DE031E" w:rsidRPr="00591E11" w:rsidRDefault="001C1A59">
                    <w:pPr>
                      <w:jc w:val="right"/>
                      <w:rPr>
                        <w:rFonts w:asciiTheme="minorEastAsia" w:eastAsiaTheme="minorEastAsia" w:hAnsiTheme="minorEastAsia"/>
                        <w:szCs w:val="21"/>
                      </w:rPr>
                    </w:pPr>
                    <w:r w:rsidRPr="00591E11">
                      <w:rPr>
                        <w:rFonts w:asciiTheme="minorEastAsia" w:eastAsiaTheme="minorEastAsia" w:hAnsiTheme="minorEastAsia" w:hint="eastAsia"/>
                        <w:color w:val="333399"/>
                        <w:szCs w:val="21"/>
                      </w:rPr>
                      <w:t xml:space="preserve">　</w:t>
                    </w:r>
                  </w:p>
                </w:tc>
              </w:sdtContent>
            </w:sdt>
          </w:tr>
          <w:tr w:rsidR="00DE031E" w:rsidRPr="00591E11" w:rsidTr="00A31978">
            <w:trPr>
              <w:cantSplit/>
            </w:trPr>
            <w:tc>
              <w:tcPr>
                <w:tcW w:w="1744" w:type="pct"/>
                <w:vAlign w:val="center"/>
              </w:tcPr>
              <w:p w:rsidR="00DE031E" w:rsidRPr="00591E11" w:rsidRDefault="001C1A59">
                <w:pPr>
                  <w:rPr>
                    <w:rFonts w:asciiTheme="minorEastAsia" w:eastAsiaTheme="minorEastAsia" w:hAnsiTheme="minorEastAsia"/>
                    <w:szCs w:val="21"/>
                  </w:rPr>
                </w:pPr>
                <w:r w:rsidRPr="00591E11">
                  <w:rPr>
                    <w:rFonts w:asciiTheme="minorEastAsia" w:eastAsiaTheme="minorEastAsia" w:hAnsiTheme="minorEastAsia" w:hint="eastAsia"/>
                    <w:szCs w:val="21"/>
                  </w:rPr>
                  <w:t>待摊费用</w:t>
                </w:r>
              </w:p>
            </w:tc>
            <w:sdt>
              <w:sdtPr>
                <w:rPr>
                  <w:rFonts w:asciiTheme="minorEastAsia" w:eastAsiaTheme="minorEastAsia" w:hAnsiTheme="minorEastAsia"/>
                  <w:szCs w:val="21"/>
                </w:rPr>
                <w:alias w:val="待摊费用"/>
                <w:tag w:val="_GBC_8e3364b1b15e4fa485fa27a1878553d2"/>
                <w:id w:val="24724872"/>
                <w:lock w:val="sdtLocked"/>
              </w:sdtPr>
              <w:sdtContent>
                <w:tc>
                  <w:tcPr>
                    <w:tcW w:w="1643" w:type="pct"/>
                    <w:vAlign w:val="center"/>
                  </w:tcPr>
                  <w:p w:rsidR="00DE031E" w:rsidRPr="00591E11" w:rsidRDefault="001C1A59">
                    <w:pPr>
                      <w:jc w:val="right"/>
                      <w:rPr>
                        <w:rFonts w:asciiTheme="minorEastAsia" w:eastAsiaTheme="minorEastAsia" w:hAnsiTheme="minorEastAsia"/>
                        <w:szCs w:val="21"/>
                      </w:rPr>
                    </w:pPr>
                    <w:r>
                      <w:rPr>
                        <w:rFonts w:asciiTheme="minorEastAsia" w:eastAsiaTheme="minorEastAsia" w:hAnsiTheme="minorEastAsia"/>
                        <w:szCs w:val="21"/>
                      </w:rPr>
                      <w:t>24,269,669.57</w:t>
                    </w:r>
                  </w:p>
                </w:tc>
              </w:sdtContent>
            </w:sdt>
            <w:sdt>
              <w:sdtPr>
                <w:rPr>
                  <w:rFonts w:asciiTheme="minorEastAsia" w:eastAsiaTheme="minorEastAsia" w:hAnsiTheme="minorEastAsia"/>
                  <w:szCs w:val="21"/>
                </w:rPr>
                <w:alias w:val="待摊费用"/>
                <w:tag w:val="_GBC_59a17e9127a24c8b94afa413d9b4897a"/>
                <w:id w:val="24724873"/>
                <w:lock w:val="sdtLocked"/>
              </w:sdtPr>
              <w:sdtContent>
                <w:tc>
                  <w:tcPr>
                    <w:tcW w:w="1613" w:type="pct"/>
                    <w:vAlign w:val="center"/>
                  </w:tcPr>
                  <w:p w:rsidR="00DE031E" w:rsidRPr="00591E11" w:rsidRDefault="001C1A59">
                    <w:pPr>
                      <w:jc w:val="right"/>
                      <w:rPr>
                        <w:rFonts w:asciiTheme="minorEastAsia" w:eastAsiaTheme="minorEastAsia" w:hAnsiTheme="minorEastAsia"/>
                        <w:szCs w:val="21"/>
                      </w:rPr>
                    </w:pPr>
                    <w:r w:rsidRPr="00591E11">
                      <w:rPr>
                        <w:rFonts w:asciiTheme="minorEastAsia" w:eastAsiaTheme="minorEastAsia" w:hAnsiTheme="minorEastAsia"/>
                        <w:szCs w:val="21"/>
                      </w:rPr>
                      <w:t>20,967,534.99</w:t>
                    </w:r>
                  </w:p>
                </w:tc>
              </w:sdtContent>
            </w:sdt>
          </w:tr>
          <w:tr w:rsidR="00DE031E" w:rsidRPr="00591E11" w:rsidTr="00A31978">
            <w:trPr>
              <w:cantSplit/>
            </w:trPr>
            <w:tc>
              <w:tcPr>
                <w:tcW w:w="1744" w:type="pct"/>
              </w:tcPr>
              <w:p w:rsidR="00DE031E" w:rsidRPr="00591E11" w:rsidRDefault="001C1A59">
                <w:pPr>
                  <w:autoSpaceDE w:val="0"/>
                  <w:autoSpaceDN w:val="0"/>
                  <w:adjustRightInd w:val="0"/>
                  <w:snapToGrid w:val="0"/>
                  <w:spacing w:line="240" w:lineRule="atLeast"/>
                  <w:jc w:val="center"/>
                  <w:rPr>
                    <w:rFonts w:asciiTheme="minorEastAsia" w:eastAsiaTheme="minorEastAsia" w:hAnsiTheme="minorEastAsia"/>
                    <w:szCs w:val="21"/>
                  </w:rPr>
                </w:pPr>
                <w:r w:rsidRPr="00591E11">
                  <w:rPr>
                    <w:rFonts w:asciiTheme="minorEastAsia" w:eastAsiaTheme="minorEastAsia" w:hAnsiTheme="minorEastAsia"/>
                    <w:szCs w:val="21"/>
                  </w:rPr>
                  <w:t>合计</w:t>
                </w:r>
              </w:p>
            </w:tc>
            <w:sdt>
              <w:sdtPr>
                <w:rPr>
                  <w:rFonts w:asciiTheme="minorEastAsia" w:eastAsiaTheme="minorEastAsia" w:hAnsiTheme="minorEastAsia"/>
                  <w:szCs w:val="21"/>
                </w:rPr>
                <w:alias w:val="其他资产"/>
                <w:tag w:val="_GBC_7e6fb7c5b57245838b491a0d361f003a"/>
                <w:id w:val="24724874"/>
                <w:lock w:val="sdtLocked"/>
              </w:sdtPr>
              <w:sdtContent>
                <w:tc>
                  <w:tcPr>
                    <w:tcW w:w="1643" w:type="pct"/>
                  </w:tcPr>
                  <w:p w:rsidR="00DE031E" w:rsidRPr="00591E11" w:rsidRDefault="001C1A59">
                    <w:pPr>
                      <w:jc w:val="right"/>
                      <w:rPr>
                        <w:rFonts w:asciiTheme="minorEastAsia" w:eastAsiaTheme="minorEastAsia" w:hAnsiTheme="minorEastAsia"/>
                        <w:szCs w:val="21"/>
                      </w:rPr>
                    </w:pPr>
                    <w:r>
                      <w:rPr>
                        <w:rFonts w:asciiTheme="minorEastAsia" w:eastAsiaTheme="minorEastAsia" w:hAnsiTheme="minorEastAsia"/>
                        <w:szCs w:val="21"/>
                      </w:rPr>
                      <w:t>163,415,172.73</w:t>
                    </w:r>
                  </w:p>
                </w:tc>
              </w:sdtContent>
            </w:sdt>
            <w:tc>
              <w:tcPr>
                <w:tcW w:w="1613" w:type="pct"/>
              </w:tcPr>
              <w:p w:rsidR="00DE031E" w:rsidRPr="00591E11" w:rsidRDefault="00422DCA">
                <w:pPr>
                  <w:jc w:val="right"/>
                  <w:rPr>
                    <w:rFonts w:asciiTheme="minorEastAsia" w:eastAsiaTheme="minorEastAsia" w:hAnsiTheme="minorEastAsia"/>
                    <w:szCs w:val="21"/>
                  </w:rPr>
                </w:pPr>
                <w:sdt>
                  <w:sdtPr>
                    <w:rPr>
                      <w:rFonts w:asciiTheme="minorEastAsia" w:eastAsiaTheme="minorEastAsia" w:hAnsiTheme="minorEastAsia"/>
                      <w:szCs w:val="21"/>
                    </w:rPr>
                    <w:alias w:val="其他资产"/>
                    <w:tag w:val="_GBC_f0299f1a6a974eb0872e0b2be6ecb23e"/>
                    <w:id w:val="24724875"/>
                    <w:lock w:val="sdtLocked"/>
                  </w:sdtPr>
                  <w:sdtContent>
                    <w:r w:rsidR="001C1A59" w:rsidRPr="00591E11">
                      <w:rPr>
                        <w:rFonts w:asciiTheme="minorEastAsia" w:eastAsiaTheme="minorEastAsia" w:hAnsiTheme="minorEastAsia"/>
                        <w:szCs w:val="21"/>
                      </w:rPr>
                      <w:t>156,112,181.77</w:t>
                    </w:r>
                  </w:sdtContent>
                </w:sdt>
              </w:p>
            </w:tc>
          </w:tr>
        </w:tbl>
        <w:p w:rsidR="00DE031E" w:rsidRDefault="001C1A59">
          <w:pPr>
            <w:rPr>
              <w:szCs w:val="21"/>
            </w:rPr>
          </w:pPr>
          <w:r>
            <w:rPr>
              <w:rFonts w:hint="eastAsia"/>
              <w:szCs w:val="21"/>
            </w:rPr>
            <w:t>其他资产的说明：</w:t>
          </w:r>
        </w:p>
        <w:sdt>
          <w:sdtPr>
            <w:rPr>
              <w:rFonts w:ascii="宋体" w:hAnsi="宋体" w:cs="宋体"/>
              <w:bCs w:val="0"/>
              <w:szCs w:val="21"/>
            </w:rPr>
            <w:alias w:val="其他资产的说明"/>
            <w:tag w:val="_GBC_c90d49970b64411f909938927f41ebe5"/>
            <w:id w:val="24724876"/>
            <w:lock w:val="sdtLocked"/>
            <w:placeholder>
              <w:docPart w:val="GBC22222222222222222222222222222"/>
            </w:placeholder>
          </w:sdtPr>
          <w:sdtContent>
            <w:p w:rsidR="00DE031E" w:rsidRPr="00687C1B" w:rsidRDefault="001C1A59" w:rsidP="003A0284">
              <w:pPr>
                <w:pStyle w:val="31"/>
                <w:spacing w:beforeLines="50" w:line="276" w:lineRule="auto"/>
                <w:ind w:firstLineChars="0"/>
                <w:rPr>
                  <w:rFonts w:ascii="Arial" w:hAnsi="Arial" w:cs="Arial"/>
                  <w:sz w:val="22"/>
                  <w:szCs w:val="22"/>
                </w:rPr>
              </w:pPr>
              <w:r w:rsidRPr="00FA7CFA">
                <w:rPr>
                  <w:rFonts w:ascii="Arial" w:hAnsi="Arial" w:cs="Arial"/>
                  <w:sz w:val="22"/>
                  <w:szCs w:val="22"/>
                </w:rPr>
                <w:t>（</w:t>
              </w:r>
              <w:r w:rsidRPr="00FA7CFA">
                <w:rPr>
                  <w:rFonts w:ascii="Arial" w:hAnsi="Arial" w:cs="Arial"/>
                  <w:sz w:val="22"/>
                  <w:szCs w:val="22"/>
                </w:rPr>
                <w:t>1</w:t>
              </w:r>
              <w:r w:rsidRPr="00FA7CFA">
                <w:rPr>
                  <w:rFonts w:ascii="Arial" w:hAnsi="Arial" w:cs="Arial"/>
                  <w:sz w:val="22"/>
                  <w:szCs w:val="22"/>
                </w:rPr>
                <w:t>）其他应收款</w:t>
              </w:r>
            </w:p>
            <w:p w:rsidR="00DE031E" w:rsidRPr="00687C1B" w:rsidRDefault="001C1A59" w:rsidP="003A0284">
              <w:pPr>
                <w:pStyle w:val="afb"/>
                <w:spacing w:beforeLines="30" w:afterLines="30" w:line="276" w:lineRule="auto"/>
                <w:ind w:firstLineChars="0"/>
                <w:outlineLvl w:val="9"/>
                <w:rPr>
                  <w:rFonts w:ascii="Arial" w:hAnsi="Arial" w:cs="Arial"/>
                  <w:sz w:val="22"/>
                  <w:szCs w:val="22"/>
                </w:rPr>
              </w:pPr>
              <w:r w:rsidRPr="00687C1B">
                <w:rPr>
                  <w:rFonts w:ascii="Arial" w:hAnsi="Arial" w:cs="Arial"/>
                  <w:sz w:val="22"/>
                  <w:szCs w:val="22"/>
                </w:rPr>
                <w:t>1</w:t>
              </w:r>
              <w:r w:rsidRPr="00687C1B">
                <w:rPr>
                  <w:rFonts w:ascii="Arial" w:hAnsi="Arial" w:cs="Arial"/>
                  <w:sz w:val="22"/>
                  <w:szCs w:val="22"/>
                </w:rPr>
                <w:t>）按明细项目列示</w:t>
              </w:r>
            </w:p>
            <w:tbl>
              <w:tblPr>
                <w:tblW w:w="5000" w:type="pct"/>
                <w:tblLook w:val="04A0"/>
              </w:tblPr>
              <w:tblGrid>
                <w:gridCol w:w="3652"/>
                <w:gridCol w:w="2948"/>
                <w:gridCol w:w="2449"/>
              </w:tblGrid>
              <w:tr w:rsidR="00DE031E" w:rsidRPr="00F040B1" w:rsidTr="00DE031E">
                <w:trPr>
                  <w:trHeight w:val="27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jc w:val="center"/>
                      <w:rPr>
                        <w:rFonts w:asciiTheme="minorEastAsia" w:eastAsiaTheme="minorEastAsia" w:hAnsiTheme="minorEastAsia"/>
                        <w:b/>
                        <w:bCs/>
                        <w:color w:val="000000"/>
                        <w:szCs w:val="21"/>
                      </w:rPr>
                    </w:pPr>
                    <w:r w:rsidRPr="00F040B1">
                      <w:rPr>
                        <w:rFonts w:asciiTheme="minorEastAsia" w:eastAsiaTheme="minorEastAsia" w:hAnsiTheme="minorEastAsia" w:hint="eastAsia"/>
                        <w:b/>
                        <w:bCs/>
                        <w:color w:val="000000"/>
                        <w:szCs w:val="21"/>
                      </w:rPr>
                      <w:t>项目</w:t>
                    </w:r>
                  </w:p>
                </w:tc>
                <w:tc>
                  <w:tcPr>
                    <w:tcW w:w="1629" w:type="pct"/>
                    <w:tcBorders>
                      <w:top w:val="single" w:sz="4" w:space="0" w:color="auto"/>
                      <w:left w:val="nil"/>
                      <w:bottom w:val="single" w:sz="4" w:space="0" w:color="auto"/>
                      <w:right w:val="single" w:sz="4" w:space="0" w:color="auto"/>
                    </w:tcBorders>
                    <w:shd w:val="clear" w:color="auto" w:fill="auto"/>
                    <w:vAlign w:val="center"/>
                    <w:hideMark/>
                  </w:tcPr>
                  <w:p w:rsidR="00DE031E" w:rsidRPr="00F040B1" w:rsidRDefault="001C1A59" w:rsidP="00DE031E">
                    <w:pPr>
                      <w:jc w:val="center"/>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2015年6月30日</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rsidR="00DE031E" w:rsidRPr="00F040B1" w:rsidRDefault="001C1A59" w:rsidP="00DE031E">
                    <w:pPr>
                      <w:jc w:val="center"/>
                      <w:rPr>
                        <w:rFonts w:asciiTheme="minorEastAsia" w:eastAsiaTheme="minorEastAsia" w:hAnsiTheme="minorEastAsia" w:cs="Arial"/>
                        <w:b/>
                        <w:bCs/>
                        <w:color w:val="000000"/>
                        <w:szCs w:val="21"/>
                      </w:rPr>
                    </w:pPr>
                    <w:r w:rsidRPr="00F040B1">
                      <w:rPr>
                        <w:rFonts w:asciiTheme="minorEastAsia" w:eastAsiaTheme="minorEastAsia" w:hAnsiTheme="minorEastAsia" w:cs="Arial"/>
                        <w:b/>
                        <w:bCs/>
                        <w:color w:val="000000"/>
                        <w:szCs w:val="21"/>
                      </w:rPr>
                      <w:t>2014年12月31日</w:t>
                    </w:r>
                  </w:p>
                </w:tc>
              </w:tr>
              <w:tr w:rsidR="00DE031E" w:rsidRPr="00F040B1" w:rsidTr="00DE031E">
                <w:trPr>
                  <w:trHeight w:val="270"/>
                </w:trPr>
                <w:tc>
                  <w:tcPr>
                    <w:tcW w:w="2018"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rFonts w:asciiTheme="minorEastAsia" w:eastAsiaTheme="minorEastAsia" w:hAnsiTheme="minorEastAsia"/>
                        <w:color w:val="000000"/>
                        <w:szCs w:val="21"/>
                      </w:rPr>
                    </w:pPr>
                    <w:r w:rsidRPr="00F040B1">
                      <w:rPr>
                        <w:rFonts w:asciiTheme="minorEastAsia" w:eastAsiaTheme="minorEastAsia" w:hAnsiTheme="minorEastAsia" w:hint="eastAsia"/>
                        <w:color w:val="000000"/>
                        <w:szCs w:val="21"/>
                      </w:rPr>
                      <w:t>应收押金</w:t>
                    </w:r>
                  </w:p>
                </w:tc>
                <w:tc>
                  <w:tcPr>
                    <w:tcW w:w="1629"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pPr>
                    <w:r w:rsidRPr="00F040B1">
                      <w:t>50,554,426.12</w:t>
                    </w:r>
                  </w:p>
                </w:tc>
                <w:tc>
                  <w:tcPr>
                    <w:tcW w:w="1353"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47,544,594.17</w:t>
                    </w:r>
                  </w:p>
                </w:tc>
              </w:tr>
              <w:tr w:rsidR="00DE031E" w:rsidRPr="00F040B1" w:rsidTr="00DE031E">
                <w:trPr>
                  <w:trHeight w:val="270"/>
                </w:trPr>
                <w:tc>
                  <w:tcPr>
                    <w:tcW w:w="2018"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rFonts w:asciiTheme="minorEastAsia" w:eastAsiaTheme="minorEastAsia" w:hAnsiTheme="minorEastAsia"/>
                        <w:color w:val="000000"/>
                        <w:szCs w:val="21"/>
                      </w:rPr>
                    </w:pPr>
                    <w:r w:rsidRPr="00F040B1">
                      <w:rPr>
                        <w:rFonts w:asciiTheme="minorEastAsia" w:eastAsiaTheme="minorEastAsia" w:hAnsiTheme="minorEastAsia" w:hint="eastAsia"/>
                        <w:color w:val="000000"/>
                        <w:szCs w:val="21"/>
                      </w:rPr>
                      <w:t>预付工程款</w:t>
                    </w:r>
                  </w:p>
                </w:tc>
                <w:tc>
                  <w:tcPr>
                    <w:tcW w:w="1629"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pPr>
                    <w:r w:rsidRPr="00F040B1">
                      <w:t>1,375,764.66</w:t>
                    </w:r>
                  </w:p>
                </w:tc>
                <w:tc>
                  <w:tcPr>
                    <w:tcW w:w="1353"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4,322,149.02</w:t>
                    </w:r>
                  </w:p>
                </w:tc>
              </w:tr>
              <w:tr w:rsidR="00DE031E" w:rsidRPr="00F040B1" w:rsidTr="00DE031E">
                <w:trPr>
                  <w:trHeight w:val="270"/>
                </w:trPr>
                <w:tc>
                  <w:tcPr>
                    <w:tcW w:w="2018"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rFonts w:asciiTheme="minorEastAsia" w:eastAsiaTheme="minorEastAsia" w:hAnsiTheme="minorEastAsia"/>
                        <w:color w:val="000000"/>
                        <w:szCs w:val="21"/>
                      </w:rPr>
                    </w:pPr>
                    <w:r w:rsidRPr="00F040B1">
                      <w:rPr>
                        <w:rFonts w:asciiTheme="minorEastAsia" w:eastAsiaTheme="minorEastAsia" w:hAnsiTheme="minorEastAsia" w:hint="eastAsia"/>
                        <w:color w:val="000000"/>
                        <w:szCs w:val="21"/>
                      </w:rPr>
                      <w:t>其他</w:t>
                    </w:r>
                  </w:p>
                </w:tc>
                <w:tc>
                  <w:tcPr>
                    <w:tcW w:w="1629"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pPr>
                    <w:r w:rsidRPr="00F040B1">
                      <w:t>90,332,551.90</w:t>
                    </w:r>
                  </w:p>
                </w:tc>
                <w:tc>
                  <w:tcPr>
                    <w:tcW w:w="1353"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86,395,143.11</w:t>
                    </w:r>
                  </w:p>
                </w:tc>
              </w:tr>
              <w:tr w:rsidR="00DE031E" w:rsidRPr="00F040B1" w:rsidTr="00DE031E">
                <w:trPr>
                  <w:trHeight w:val="270"/>
                </w:trPr>
                <w:tc>
                  <w:tcPr>
                    <w:tcW w:w="2018"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rFonts w:asciiTheme="minorEastAsia" w:eastAsiaTheme="minorEastAsia" w:hAnsiTheme="minorEastAsia"/>
                        <w:b/>
                        <w:bCs/>
                        <w:color w:val="000000"/>
                        <w:szCs w:val="21"/>
                      </w:rPr>
                    </w:pPr>
                    <w:r w:rsidRPr="00F040B1">
                      <w:rPr>
                        <w:rFonts w:asciiTheme="minorEastAsia" w:eastAsiaTheme="minorEastAsia" w:hAnsiTheme="minorEastAsia" w:hint="eastAsia"/>
                        <w:b/>
                        <w:bCs/>
                        <w:color w:val="000000"/>
                        <w:szCs w:val="21"/>
                      </w:rPr>
                      <w:t>合计</w:t>
                    </w:r>
                  </w:p>
                </w:tc>
                <w:tc>
                  <w:tcPr>
                    <w:tcW w:w="1629"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pPr>
                    <w:r w:rsidRPr="00F040B1">
                      <w:t>142,262,742.68</w:t>
                    </w:r>
                  </w:p>
                </w:tc>
                <w:tc>
                  <w:tcPr>
                    <w:tcW w:w="1353"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Theme="minorEastAsia" w:eastAsiaTheme="minorEastAsia" w:hAnsiTheme="minorEastAsia" w:cs="Arial"/>
                        <w:bCs/>
                        <w:color w:val="000000"/>
                        <w:szCs w:val="21"/>
                      </w:rPr>
                    </w:pPr>
                    <w:r w:rsidRPr="00F040B1">
                      <w:rPr>
                        <w:rFonts w:asciiTheme="minorEastAsia" w:eastAsiaTheme="minorEastAsia" w:hAnsiTheme="minorEastAsia" w:cs="Arial"/>
                        <w:bCs/>
                        <w:color w:val="000000"/>
                        <w:szCs w:val="21"/>
                      </w:rPr>
                      <w:t>138,261,886.30</w:t>
                    </w:r>
                  </w:p>
                </w:tc>
              </w:tr>
              <w:tr w:rsidR="00DE031E" w:rsidRPr="00F040B1" w:rsidTr="00DE031E">
                <w:trPr>
                  <w:trHeight w:val="270"/>
                </w:trPr>
                <w:tc>
                  <w:tcPr>
                    <w:tcW w:w="2018"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rFonts w:asciiTheme="minorEastAsia" w:eastAsiaTheme="minorEastAsia" w:hAnsiTheme="minorEastAsia"/>
                        <w:color w:val="000000"/>
                        <w:szCs w:val="21"/>
                      </w:rPr>
                    </w:pPr>
                    <w:r w:rsidRPr="00F040B1">
                      <w:rPr>
                        <w:rFonts w:asciiTheme="minorEastAsia" w:eastAsiaTheme="minorEastAsia" w:hAnsiTheme="minorEastAsia" w:hint="eastAsia"/>
                        <w:color w:val="000000"/>
                        <w:szCs w:val="21"/>
                      </w:rPr>
                      <w:t>减：减值准备</w:t>
                    </w:r>
                  </w:p>
                </w:tc>
                <w:tc>
                  <w:tcPr>
                    <w:tcW w:w="1629"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pPr>
                    <w:r w:rsidRPr="00F040B1">
                      <w:t>3,117,239.52</w:t>
                    </w:r>
                  </w:p>
                </w:tc>
                <w:tc>
                  <w:tcPr>
                    <w:tcW w:w="1353"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Theme="minorEastAsia" w:eastAsiaTheme="minorEastAsia" w:hAnsiTheme="minorEastAsia" w:cs="Arial"/>
                        <w:color w:val="000000"/>
                        <w:szCs w:val="21"/>
                      </w:rPr>
                    </w:pPr>
                    <w:r w:rsidRPr="00F040B1">
                      <w:rPr>
                        <w:rFonts w:asciiTheme="minorEastAsia" w:eastAsiaTheme="minorEastAsia" w:hAnsiTheme="minorEastAsia" w:cs="Arial"/>
                        <w:color w:val="000000"/>
                        <w:szCs w:val="21"/>
                      </w:rPr>
                      <w:t>3,117,239.52</w:t>
                    </w:r>
                  </w:p>
                </w:tc>
              </w:tr>
              <w:tr w:rsidR="00DE031E" w:rsidRPr="00F040B1" w:rsidTr="00DE031E">
                <w:trPr>
                  <w:trHeight w:val="270"/>
                </w:trPr>
                <w:tc>
                  <w:tcPr>
                    <w:tcW w:w="2018"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rFonts w:asciiTheme="minorEastAsia" w:eastAsiaTheme="minorEastAsia" w:hAnsiTheme="minorEastAsia"/>
                        <w:b/>
                        <w:bCs/>
                        <w:color w:val="000000"/>
                        <w:szCs w:val="21"/>
                      </w:rPr>
                    </w:pPr>
                    <w:r w:rsidRPr="00F040B1">
                      <w:rPr>
                        <w:rFonts w:asciiTheme="minorEastAsia" w:eastAsiaTheme="minorEastAsia" w:hAnsiTheme="minorEastAsia" w:hint="eastAsia"/>
                        <w:b/>
                        <w:bCs/>
                        <w:color w:val="000000"/>
                        <w:szCs w:val="21"/>
                      </w:rPr>
                      <w:t>其他应收款账面价值</w:t>
                    </w:r>
                  </w:p>
                </w:tc>
                <w:tc>
                  <w:tcPr>
                    <w:tcW w:w="1629"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pPr>
                    <w:r w:rsidRPr="00F040B1">
                      <w:t>139,145,503.16</w:t>
                    </w:r>
                  </w:p>
                </w:tc>
                <w:tc>
                  <w:tcPr>
                    <w:tcW w:w="1353"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Theme="minorEastAsia" w:eastAsiaTheme="minorEastAsia" w:hAnsiTheme="minorEastAsia" w:cs="Arial"/>
                        <w:bCs/>
                        <w:color w:val="000000"/>
                        <w:szCs w:val="21"/>
                      </w:rPr>
                    </w:pPr>
                    <w:r w:rsidRPr="00F040B1">
                      <w:rPr>
                        <w:rFonts w:asciiTheme="minorEastAsia" w:eastAsiaTheme="minorEastAsia" w:hAnsiTheme="minorEastAsia" w:cs="Arial"/>
                        <w:bCs/>
                        <w:color w:val="000000"/>
                        <w:szCs w:val="21"/>
                      </w:rPr>
                      <w:t>135,144,646.78</w:t>
                    </w:r>
                  </w:p>
                </w:tc>
              </w:tr>
            </w:tbl>
            <w:p w:rsidR="00DE031E" w:rsidRDefault="001C1A59">
              <w:pPr>
                <w:rPr>
                  <w:rFonts w:ascii="Arial" w:hAnsi="Arial" w:cs="Arial"/>
                  <w:sz w:val="22"/>
                  <w:szCs w:val="22"/>
                </w:rPr>
              </w:pPr>
              <w:r w:rsidRPr="00687C1B">
                <w:rPr>
                  <w:rFonts w:ascii="Arial" w:hAnsi="Arial" w:cs="Arial"/>
                  <w:sz w:val="22"/>
                  <w:szCs w:val="22"/>
                </w:rPr>
                <w:lastRenderedPageBreak/>
                <w:t>2</w:t>
              </w:r>
              <w:r w:rsidRPr="00687C1B">
                <w:rPr>
                  <w:rFonts w:ascii="Arial" w:hAnsi="Arial" w:cs="Arial"/>
                  <w:sz w:val="22"/>
                  <w:szCs w:val="22"/>
                </w:rPr>
                <w:t>）按评估方式列示</w:t>
              </w:r>
            </w:p>
            <w:tbl>
              <w:tblPr>
                <w:tblW w:w="5000" w:type="pct"/>
                <w:tblLook w:val="04A0"/>
              </w:tblPr>
              <w:tblGrid>
                <w:gridCol w:w="3715"/>
                <w:gridCol w:w="247"/>
                <w:gridCol w:w="80"/>
                <w:gridCol w:w="1511"/>
                <w:gridCol w:w="82"/>
                <w:gridCol w:w="756"/>
                <w:gridCol w:w="82"/>
                <w:gridCol w:w="1438"/>
                <w:gridCol w:w="82"/>
                <w:gridCol w:w="896"/>
              </w:tblGrid>
              <w:tr w:rsidR="00DE031E" w:rsidRPr="00F040B1" w:rsidTr="00DE031E">
                <w:trPr>
                  <w:trHeight w:val="340"/>
                  <w:tblHeader/>
                </w:trPr>
                <w:tc>
                  <w:tcPr>
                    <w:tcW w:w="2090" w:type="pct"/>
                    <w:vMerge w:val="restart"/>
                    <w:tcBorders>
                      <w:top w:val="nil"/>
                      <w:left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rPr>
                        <w:rFonts w:ascii="Arial" w:hAnsi="Arial" w:cs="Arial"/>
                        <w:b/>
                        <w:bCs/>
                        <w:sz w:val="18"/>
                        <w:szCs w:val="18"/>
                      </w:rPr>
                    </w:pPr>
                    <w:r w:rsidRPr="00F040B1">
                      <w:rPr>
                        <w:rFonts w:ascii="Arial" w:hAnsi="Arial" w:cs="Arial"/>
                        <w:b/>
                        <w:bCs/>
                        <w:sz w:val="18"/>
                        <w:szCs w:val="18"/>
                      </w:rPr>
                      <w:t>类别</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bCs/>
                        <w:sz w:val="18"/>
                        <w:szCs w:val="18"/>
                      </w:rPr>
                    </w:pPr>
                  </w:p>
                </w:tc>
                <w:tc>
                  <w:tcPr>
                    <w:tcW w:w="45" w:type="pct"/>
                    <w:tcBorders>
                      <w:top w:val="nil"/>
                      <w:left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jc w:val="center"/>
                      <w:rPr>
                        <w:rFonts w:ascii="Arial" w:hAnsi="Arial" w:cs="Arial"/>
                        <w:b/>
                        <w:bCs/>
                        <w:sz w:val="18"/>
                        <w:szCs w:val="18"/>
                      </w:rPr>
                    </w:pPr>
                  </w:p>
                </w:tc>
                <w:tc>
                  <w:tcPr>
                    <w:tcW w:w="2726" w:type="pct"/>
                    <w:gridSpan w:val="7"/>
                    <w:tcBorders>
                      <w:top w:val="nil"/>
                      <w:left w:val="nil"/>
                      <w:bottom w:val="single" w:sz="4" w:space="0" w:color="auto"/>
                      <w:right w:val="nil"/>
                    </w:tcBorders>
                    <w:shd w:val="clear" w:color="auto" w:fill="auto"/>
                    <w:noWrap/>
                    <w:tcMar>
                      <w:left w:w="28" w:type="dxa"/>
                      <w:right w:w="28" w:type="dxa"/>
                    </w:tcMar>
                    <w:vAlign w:val="center"/>
                    <w:hideMark/>
                  </w:tcPr>
                  <w:p w:rsidR="00DE031E" w:rsidRPr="00F040B1" w:rsidRDefault="001C1A59" w:rsidP="00DE031E">
                    <w:pPr>
                      <w:spacing w:line="240" w:lineRule="exact"/>
                      <w:jc w:val="center"/>
                      <w:rPr>
                        <w:rFonts w:ascii="Arial" w:hAnsi="Arial" w:cs="Arial"/>
                        <w:b/>
                        <w:bCs/>
                        <w:sz w:val="18"/>
                        <w:szCs w:val="18"/>
                      </w:rPr>
                    </w:pPr>
                    <w:r w:rsidRPr="00F040B1">
                      <w:rPr>
                        <w:rFonts w:ascii="Arial" w:hAnsi="Arial" w:cs="Arial" w:hint="eastAsia"/>
                        <w:b/>
                        <w:bCs/>
                        <w:sz w:val="18"/>
                        <w:szCs w:val="18"/>
                      </w:rPr>
                      <w:t>2015</w:t>
                    </w:r>
                    <w:r w:rsidRPr="00F040B1">
                      <w:rPr>
                        <w:rFonts w:ascii="Arial" w:hAnsi="Arial" w:cs="Arial" w:hint="eastAsia"/>
                        <w:b/>
                        <w:bCs/>
                        <w:sz w:val="18"/>
                        <w:szCs w:val="18"/>
                      </w:rPr>
                      <w:t>年</w:t>
                    </w:r>
                    <w:r w:rsidRPr="00F040B1">
                      <w:rPr>
                        <w:rFonts w:ascii="Arial" w:hAnsi="Arial" w:cs="Arial" w:hint="eastAsia"/>
                        <w:b/>
                        <w:bCs/>
                        <w:sz w:val="18"/>
                        <w:szCs w:val="18"/>
                      </w:rPr>
                      <w:t>6</w:t>
                    </w:r>
                    <w:r w:rsidRPr="00F040B1">
                      <w:rPr>
                        <w:rFonts w:ascii="Arial" w:hAnsi="Arial" w:cs="Arial" w:hint="eastAsia"/>
                        <w:b/>
                        <w:bCs/>
                        <w:sz w:val="18"/>
                        <w:szCs w:val="18"/>
                      </w:rPr>
                      <w:t>月</w:t>
                    </w:r>
                    <w:r w:rsidRPr="00F040B1">
                      <w:rPr>
                        <w:rFonts w:ascii="Arial" w:hAnsi="Arial" w:cs="Arial" w:hint="eastAsia"/>
                        <w:b/>
                        <w:bCs/>
                        <w:sz w:val="18"/>
                        <w:szCs w:val="18"/>
                      </w:rPr>
                      <w:t>30</w:t>
                    </w:r>
                    <w:r w:rsidRPr="00F040B1">
                      <w:rPr>
                        <w:rFonts w:ascii="Arial" w:hAnsi="Arial" w:cs="Arial" w:hint="eastAsia"/>
                        <w:b/>
                        <w:bCs/>
                        <w:sz w:val="18"/>
                        <w:szCs w:val="18"/>
                      </w:rPr>
                      <w:t>日</w:t>
                    </w:r>
                  </w:p>
                </w:tc>
              </w:tr>
              <w:tr w:rsidR="00DE031E" w:rsidRPr="00F040B1" w:rsidTr="00DE031E">
                <w:trPr>
                  <w:trHeight w:val="340"/>
                  <w:tblHeader/>
                </w:trPr>
                <w:tc>
                  <w:tcPr>
                    <w:tcW w:w="2090" w:type="pct"/>
                    <w:vMerge/>
                    <w:tcBorders>
                      <w:left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bCs/>
                        <w:sz w:val="18"/>
                        <w:szCs w:val="18"/>
                      </w:rPr>
                    </w:pP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bCs/>
                        <w:sz w:val="18"/>
                        <w:szCs w:val="18"/>
                      </w:rPr>
                    </w:pPr>
                  </w:p>
                </w:tc>
                <w:tc>
                  <w:tcPr>
                    <w:tcW w:w="45" w:type="pct"/>
                    <w:tcBorders>
                      <w:left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jc w:val="center"/>
                      <w:rPr>
                        <w:rFonts w:ascii="Arial" w:hAnsi="Arial" w:cs="Arial"/>
                        <w:b/>
                        <w:bCs/>
                        <w:sz w:val="18"/>
                        <w:szCs w:val="18"/>
                      </w:rPr>
                    </w:pPr>
                  </w:p>
                </w:tc>
                <w:tc>
                  <w:tcPr>
                    <w:tcW w:w="1321" w:type="pct"/>
                    <w:gridSpan w:val="3"/>
                    <w:tcBorders>
                      <w:top w:val="single" w:sz="4" w:space="0" w:color="auto"/>
                      <w:left w:val="nil"/>
                      <w:right w:val="nil"/>
                    </w:tcBorders>
                    <w:shd w:val="clear" w:color="auto" w:fill="auto"/>
                    <w:noWrap/>
                    <w:tcMar>
                      <w:left w:w="28" w:type="dxa"/>
                      <w:right w:w="28" w:type="dxa"/>
                    </w:tcMar>
                    <w:vAlign w:val="center"/>
                    <w:hideMark/>
                  </w:tcPr>
                  <w:p w:rsidR="00DE031E" w:rsidRPr="00F040B1" w:rsidDel="002C34FE" w:rsidRDefault="001C1A59" w:rsidP="00DE031E">
                    <w:pPr>
                      <w:spacing w:line="240" w:lineRule="exact"/>
                      <w:jc w:val="center"/>
                      <w:rPr>
                        <w:rFonts w:ascii="Arial" w:hAnsi="Arial" w:cs="Arial"/>
                        <w:b/>
                        <w:bCs/>
                        <w:sz w:val="18"/>
                        <w:szCs w:val="18"/>
                      </w:rPr>
                    </w:pPr>
                    <w:r w:rsidRPr="00F040B1">
                      <w:rPr>
                        <w:rFonts w:ascii="Arial" w:hAnsi="Arial" w:cs="Arial"/>
                        <w:b/>
                        <w:bCs/>
                        <w:sz w:val="18"/>
                        <w:szCs w:val="18"/>
                      </w:rPr>
                      <w:t>账面余额</w:t>
                    </w:r>
                  </w:p>
                </w:tc>
                <w:tc>
                  <w:tcPr>
                    <w:tcW w:w="46" w:type="pct"/>
                    <w:tcBorders>
                      <w:top w:val="single" w:sz="4" w:space="0" w:color="auto"/>
                      <w:left w:val="nil"/>
                      <w:right w:val="nil"/>
                    </w:tcBorders>
                    <w:shd w:val="clear" w:color="auto" w:fill="auto"/>
                    <w:tcMar>
                      <w:left w:w="28" w:type="dxa"/>
                      <w:right w:w="28" w:type="dxa"/>
                    </w:tcMar>
                    <w:vAlign w:val="center"/>
                  </w:tcPr>
                  <w:p w:rsidR="00DE031E" w:rsidRPr="00F040B1" w:rsidDel="002C34FE" w:rsidRDefault="00DE031E" w:rsidP="00DE031E">
                    <w:pPr>
                      <w:spacing w:line="240" w:lineRule="exact"/>
                      <w:jc w:val="center"/>
                      <w:rPr>
                        <w:rFonts w:ascii="Arial" w:hAnsi="Arial" w:cs="Arial"/>
                        <w:b/>
                        <w:bCs/>
                        <w:sz w:val="18"/>
                        <w:szCs w:val="18"/>
                      </w:rPr>
                    </w:pPr>
                  </w:p>
                </w:tc>
                <w:tc>
                  <w:tcPr>
                    <w:tcW w:w="1359" w:type="pct"/>
                    <w:gridSpan w:val="3"/>
                    <w:tcBorders>
                      <w:top w:val="single" w:sz="4" w:space="0" w:color="auto"/>
                      <w:left w:val="nil"/>
                      <w:right w:val="nil"/>
                    </w:tcBorders>
                    <w:shd w:val="clear" w:color="auto" w:fill="auto"/>
                    <w:tcMar>
                      <w:left w:w="28" w:type="dxa"/>
                      <w:right w:w="28" w:type="dxa"/>
                    </w:tcMar>
                    <w:vAlign w:val="center"/>
                  </w:tcPr>
                  <w:p w:rsidR="00DE031E" w:rsidRPr="00F040B1" w:rsidDel="002C34FE" w:rsidRDefault="001C1A59" w:rsidP="00DE031E">
                    <w:pPr>
                      <w:spacing w:line="240" w:lineRule="exact"/>
                      <w:jc w:val="center"/>
                      <w:rPr>
                        <w:rFonts w:ascii="Arial" w:hAnsi="Arial" w:cs="Arial"/>
                        <w:b/>
                        <w:bCs/>
                        <w:sz w:val="18"/>
                        <w:szCs w:val="18"/>
                      </w:rPr>
                    </w:pPr>
                    <w:r w:rsidRPr="00F040B1">
                      <w:rPr>
                        <w:rFonts w:ascii="Arial" w:hAnsi="Arial" w:cs="Arial"/>
                        <w:b/>
                        <w:bCs/>
                        <w:sz w:val="18"/>
                        <w:szCs w:val="18"/>
                      </w:rPr>
                      <w:t>坏账准备</w:t>
                    </w:r>
                  </w:p>
                </w:tc>
              </w:tr>
              <w:tr w:rsidR="00DE031E" w:rsidRPr="00F040B1" w:rsidTr="00DE031E">
                <w:trPr>
                  <w:trHeight w:val="340"/>
                  <w:tblHeader/>
                </w:trPr>
                <w:tc>
                  <w:tcPr>
                    <w:tcW w:w="2090" w:type="pct"/>
                    <w:vMerge/>
                    <w:tcBorders>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bCs/>
                        <w:sz w:val="18"/>
                        <w:szCs w:val="18"/>
                      </w:rPr>
                    </w:pP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bCs/>
                        <w:sz w:val="18"/>
                        <w:szCs w:val="18"/>
                      </w:rPr>
                    </w:pPr>
                  </w:p>
                </w:tc>
                <w:tc>
                  <w:tcPr>
                    <w:tcW w:w="45" w:type="pct"/>
                    <w:tcBorders>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ind w:leftChars="-50" w:left="-105" w:rightChars="-50" w:right="-105"/>
                      <w:jc w:val="center"/>
                      <w:rPr>
                        <w:rFonts w:ascii="Arial" w:hAnsi="Arial" w:cs="Arial"/>
                        <w:b/>
                        <w:bCs/>
                        <w:sz w:val="18"/>
                        <w:szCs w:val="18"/>
                      </w:rPr>
                    </w:pPr>
                  </w:p>
                </w:tc>
                <w:tc>
                  <w:tcPr>
                    <w:tcW w:w="850" w:type="pct"/>
                    <w:tcBorders>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ind w:leftChars="-50" w:left="-105" w:rightChars="-50" w:right="-105"/>
                      <w:jc w:val="center"/>
                      <w:rPr>
                        <w:rFonts w:ascii="Arial" w:hAnsi="Arial" w:cs="Arial"/>
                        <w:b/>
                        <w:bCs/>
                        <w:sz w:val="18"/>
                        <w:szCs w:val="18"/>
                      </w:rPr>
                    </w:pPr>
                    <w:r w:rsidRPr="00F040B1">
                      <w:rPr>
                        <w:rFonts w:ascii="Arial" w:hAnsi="Arial" w:cs="Arial"/>
                        <w:b/>
                        <w:bCs/>
                        <w:sz w:val="18"/>
                        <w:szCs w:val="18"/>
                      </w:rPr>
                      <w:t>金额</w:t>
                    </w:r>
                  </w:p>
                </w:tc>
                <w:tc>
                  <w:tcPr>
                    <w:tcW w:w="46" w:type="pct"/>
                    <w:tcBorders>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ind w:leftChars="-50" w:left="-105" w:rightChars="-50" w:right="-105"/>
                      <w:jc w:val="center"/>
                      <w:rPr>
                        <w:rFonts w:ascii="Arial" w:hAnsi="Arial" w:cs="Arial"/>
                        <w:b/>
                        <w:bCs/>
                        <w:sz w:val="18"/>
                        <w:szCs w:val="18"/>
                      </w:rPr>
                    </w:pPr>
                  </w:p>
                </w:tc>
                <w:tc>
                  <w:tcPr>
                    <w:tcW w:w="425" w:type="pct"/>
                    <w:tcBorders>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ind w:leftChars="-50" w:left="-105" w:rightChars="-50" w:right="-105"/>
                      <w:jc w:val="center"/>
                      <w:rPr>
                        <w:rFonts w:ascii="Arial" w:hAnsi="Arial" w:cs="Arial"/>
                        <w:b/>
                        <w:bCs/>
                        <w:sz w:val="18"/>
                        <w:szCs w:val="18"/>
                      </w:rPr>
                    </w:pPr>
                    <w:r w:rsidRPr="00F040B1">
                      <w:rPr>
                        <w:rFonts w:ascii="Arial" w:hAnsi="Arial" w:cs="Arial"/>
                        <w:b/>
                        <w:bCs/>
                        <w:sz w:val="18"/>
                        <w:szCs w:val="18"/>
                      </w:rPr>
                      <w:t>比例</w:t>
                    </w:r>
                    <w:r w:rsidRPr="00F040B1">
                      <w:rPr>
                        <w:rFonts w:ascii="Arial" w:hAnsi="Arial" w:cs="Arial"/>
                        <w:b/>
                        <w:bCs/>
                        <w:sz w:val="18"/>
                        <w:szCs w:val="18"/>
                      </w:rPr>
                      <w:t>%</w:t>
                    </w:r>
                  </w:p>
                </w:tc>
                <w:tc>
                  <w:tcPr>
                    <w:tcW w:w="46" w:type="pct"/>
                    <w:tcBorders>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ind w:leftChars="-50" w:left="-105" w:rightChars="-50" w:right="-105"/>
                      <w:jc w:val="center"/>
                      <w:rPr>
                        <w:rFonts w:ascii="Arial" w:hAnsi="Arial" w:cs="Arial"/>
                        <w:b/>
                        <w:bCs/>
                        <w:sz w:val="18"/>
                        <w:szCs w:val="18"/>
                      </w:rPr>
                    </w:pPr>
                  </w:p>
                </w:tc>
                <w:tc>
                  <w:tcPr>
                    <w:tcW w:w="809" w:type="pct"/>
                    <w:tcBorders>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ind w:leftChars="-50" w:left="-105" w:rightChars="-50" w:right="-105"/>
                      <w:jc w:val="center"/>
                      <w:rPr>
                        <w:rFonts w:ascii="Arial" w:hAnsi="Arial" w:cs="Arial"/>
                        <w:b/>
                        <w:bCs/>
                        <w:sz w:val="18"/>
                        <w:szCs w:val="18"/>
                      </w:rPr>
                    </w:pPr>
                    <w:r w:rsidRPr="00F040B1">
                      <w:rPr>
                        <w:rFonts w:ascii="Arial" w:hAnsi="Arial" w:cs="Arial"/>
                        <w:b/>
                        <w:bCs/>
                        <w:sz w:val="18"/>
                        <w:szCs w:val="18"/>
                      </w:rPr>
                      <w:t>金额</w:t>
                    </w:r>
                  </w:p>
                </w:tc>
                <w:tc>
                  <w:tcPr>
                    <w:tcW w:w="46" w:type="pct"/>
                    <w:tcBorders>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ind w:leftChars="-50" w:left="-105" w:rightChars="-50" w:right="-105"/>
                      <w:jc w:val="center"/>
                      <w:rPr>
                        <w:rFonts w:ascii="Arial" w:hAnsi="Arial" w:cs="Arial"/>
                        <w:b/>
                        <w:bCs/>
                        <w:sz w:val="18"/>
                        <w:szCs w:val="18"/>
                      </w:rPr>
                    </w:pPr>
                  </w:p>
                </w:tc>
                <w:tc>
                  <w:tcPr>
                    <w:tcW w:w="504" w:type="pct"/>
                    <w:tcBorders>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ind w:leftChars="-50" w:left="-105" w:rightChars="-50" w:right="-105"/>
                      <w:jc w:val="center"/>
                      <w:rPr>
                        <w:rFonts w:ascii="Arial" w:hAnsi="Arial" w:cs="Arial"/>
                        <w:b/>
                        <w:bCs/>
                        <w:sz w:val="18"/>
                        <w:szCs w:val="18"/>
                      </w:rPr>
                    </w:pPr>
                    <w:r w:rsidRPr="00F040B1">
                      <w:rPr>
                        <w:rFonts w:ascii="Arial" w:hAnsi="Arial" w:cs="Arial"/>
                        <w:b/>
                        <w:bCs/>
                        <w:sz w:val="18"/>
                        <w:szCs w:val="18"/>
                      </w:rPr>
                      <w:t>比例</w:t>
                    </w:r>
                    <w:r w:rsidRPr="00F040B1">
                      <w:rPr>
                        <w:rFonts w:ascii="Arial" w:hAnsi="Arial" w:cs="Arial"/>
                        <w:b/>
                        <w:bCs/>
                        <w:sz w:val="18"/>
                        <w:szCs w:val="18"/>
                      </w:rPr>
                      <w:t>%</w:t>
                    </w:r>
                  </w:p>
                </w:tc>
              </w:tr>
              <w:tr w:rsidR="00DE031E" w:rsidRPr="00F040B1" w:rsidTr="00DE031E">
                <w:trPr>
                  <w:trHeight w:val="340"/>
                </w:trPr>
                <w:tc>
                  <w:tcPr>
                    <w:tcW w:w="209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rPr>
                        <w:rFonts w:ascii="Arial" w:hAnsi="Arial" w:cs="Arial"/>
                        <w:b/>
                        <w:sz w:val="18"/>
                        <w:szCs w:val="18"/>
                      </w:rPr>
                    </w:pPr>
                    <w:r w:rsidRPr="00F040B1">
                      <w:rPr>
                        <w:rFonts w:ascii="Arial" w:hAnsi="Arial" w:cs="Arial"/>
                        <w:b/>
                        <w:sz w:val="18"/>
                        <w:szCs w:val="18"/>
                      </w:rPr>
                      <w:t>单项金额重大并单项计提坏账准备的</w:t>
                    </w:r>
                  </w:p>
                  <w:p w:rsidR="00DE031E" w:rsidRPr="00F040B1" w:rsidRDefault="001C1A59" w:rsidP="00DE031E">
                    <w:pPr>
                      <w:spacing w:line="240" w:lineRule="exact"/>
                      <w:rPr>
                        <w:rFonts w:ascii="Arial" w:hAnsi="Arial" w:cs="Arial"/>
                        <w:b/>
                        <w:sz w:val="18"/>
                        <w:szCs w:val="18"/>
                      </w:rPr>
                    </w:pPr>
                    <w:r w:rsidRPr="00F040B1">
                      <w:rPr>
                        <w:rFonts w:ascii="Arial" w:hAnsi="Arial" w:cs="Arial"/>
                        <w:b/>
                        <w:sz w:val="18"/>
                        <w:szCs w:val="18"/>
                      </w:rPr>
                      <w:t>其他应收款</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sz w:val="18"/>
                        <w:szCs w:val="18"/>
                      </w:rPr>
                    </w:pPr>
                  </w:p>
                </w:tc>
                <w:tc>
                  <w:tcPr>
                    <w:tcW w:w="4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c>
                  <w:tcPr>
                    <w:tcW w:w="850"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c>
                  <w:tcPr>
                    <w:tcW w:w="42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c>
                  <w:tcPr>
                    <w:tcW w:w="80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c>
                  <w:tcPr>
                    <w:tcW w:w="504"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Cs/>
                        <w:sz w:val="18"/>
                        <w:szCs w:val="18"/>
                      </w:rPr>
                    </w:pPr>
                  </w:p>
                </w:tc>
              </w:tr>
              <w:tr w:rsidR="00DE031E" w:rsidRPr="00F040B1" w:rsidTr="00DE031E">
                <w:trPr>
                  <w:trHeight w:val="340"/>
                </w:trPr>
                <w:tc>
                  <w:tcPr>
                    <w:tcW w:w="209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rPr>
                        <w:rFonts w:ascii="Arial" w:hAnsi="Arial" w:cs="Arial"/>
                        <w:b/>
                        <w:sz w:val="18"/>
                        <w:szCs w:val="18"/>
                      </w:rPr>
                    </w:pPr>
                    <w:r w:rsidRPr="00F040B1">
                      <w:rPr>
                        <w:rFonts w:ascii="Arial" w:hAnsi="Arial" w:cs="Arial"/>
                        <w:b/>
                        <w:sz w:val="18"/>
                        <w:szCs w:val="18"/>
                      </w:rPr>
                      <w:t>按组合计提坏账准备的其他应收款</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sz w:val="18"/>
                        <w:szCs w:val="18"/>
                      </w:rPr>
                    </w:pPr>
                  </w:p>
                </w:tc>
                <w:tc>
                  <w:tcPr>
                    <w:tcW w:w="4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850"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42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80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504"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r>
              <w:tr w:rsidR="00DE031E" w:rsidRPr="00F040B1" w:rsidTr="00DE031E">
                <w:trPr>
                  <w:trHeight w:val="340"/>
                </w:trPr>
                <w:tc>
                  <w:tcPr>
                    <w:tcW w:w="209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ind w:leftChars="100" w:left="210"/>
                      <w:rPr>
                        <w:rFonts w:ascii="Arial" w:hAnsi="Arial" w:cs="Arial"/>
                        <w:sz w:val="18"/>
                        <w:szCs w:val="18"/>
                      </w:rPr>
                    </w:pPr>
                    <w:r w:rsidRPr="00F040B1">
                      <w:rPr>
                        <w:rFonts w:ascii="Arial" w:hAnsi="Arial" w:cs="Arial"/>
                        <w:sz w:val="18"/>
                        <w:szCs w:val="18"/>
                      </w:rPr>
                      <w:t>未逾期其他应收款</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sz w:val="18"/>
                        <w:szCs w:val="18"/>
                      </w:rPr>
                    </w:pPr>
                  </w:p>
                </w:tc>
                <w:tc>
                  <w:tcPr>
                    <w:tcW w:w="4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85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139,145,503.16</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25"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97.81</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80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504"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r>
              <w:tr w:rsidR="00DE031E" w:rsidRPr="00F040B1" w:rsidTr="00DE031E">
                <w:trPr>
                  <w:trHeight w:val="340"/>
                </w:trPr>
                <w:tc>
                  <w:tcPr>
                    <w:tcW w:w="209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ind w:leftChars="100" w:left="210"/>
                      <w:rPr>
                        <w:rFonts w:ascii="Arial" w:hAnsi="Arial" w:cs="Arial"/>
                        <w:sz w:val="18"/>
                        <w:szCs w:val="18"/>
                      </w:rPr>
                    </w:pPr>
                    <w:r w:rsidRPr="00F040B1">
                      <w:rPr>
                        <w:rFonts w:ascii="Arial" w:hAnsi="Arial" w:cs="Arial"/>
                        <w:sz w:val="18"/>
                        <w:szCs w:val="18"/>
                      </w:rPr>
                      <w:t>逾期其他应收款</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sz w:val="18"/>
                        <w:szCs w:val="18"/>
                      </w:rPr>
                    </w:pPr>
                  </w:p>
                </w:tc>
                <w:tc>
                  <w:tcPr>
                    <w:tcW w:w="4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sz w:val="18"/>
                        <w:szCs w:val="18"/>
                      </w:rPr>
                    </w:pPr>
                  </w:p>
                </w:tc>
                <w:tc>
                  <w:tcPr>
                    <w:tcW w:w="850"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2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color w:val="000000"/>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80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504"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r>
              <w:tr w:rsidR="00DE031E" w:rsidRPr="00F040B1" w:rsidTr="00DE031E">
                <w:trPr>
                  <w:trHeight w:val="340"/>
                </w:trPr>
                <w:tc>
                  <w:tcPr>
                    <w:tcW w:w="209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rPr>
                        <w:rFonts w:ascii="Arial" w:hAnsi="Arial" w:cs="Arial"/>
                        <w:b/>
                        <w:bCs/>
                        <w:sz w:val="18"/>
                        <w:szCs w:val="18"/>
                      </w:rPr>
                    </w:pPr>
                    <w:r w:rsidRPr="00F040B1">
                      <w:rPr>
                        <w:rFonts w:ascii="Arial" w:hAnsi="Arial" w:cs="Arial"/>
                        <w:b/>
                        <w:bCs/>
                        <w:sz w:val="18"/>
                        <w:szCs w:val="18"/>
                      </w:rPr>
                      <w:t>小计</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bCs/>
                        <w:sz w:val="18"/>
                        <w:szCs w:val="18"/>
                      </w:rPr>
                    </w:pPr>
                  </w:p>
                </w:tc>
                <w:tc>
                  <w:tcPr>
                    <w:tcW w:w="4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
                        <w:sz w:val="18"/>
                        <w:szCs w:val="18"/>
                      </w:rPr>
                    </w:pPr>
                  </w:p>
                </w:tc>
                <w:tc>
                  <w:tcPr>
                    <w:tcW w:w="85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139,145,503.16</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25"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97.81</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80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504"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r>
              <w:tr w:rsidR="00DE031E" w:rsidRPr="00F040B1" w:rsidTr="00DE031E">
                <w:trPr>
                  <w:trHeight w:val="340"/>
                </w:trPr>
                <w:tc>
                  <w:tcPr>
                    <w:tcW w:w="209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rPr>
                        <w:rFonts w:ascii="Arial" w:hAnsi="Arial" w:cs="Arial"/>
                        <w:b/>
                        <w:sz w:val="18"/>
                        <w:szCs w:val="18"/>
                      </w:rPr>
                    </w:pPr>
                    <w:r w:rsidRPr="00F040B1">
                      <w:rPr>
                        <w:rFonts w:ascii="Arial" w:hAnsi="Arial" w:cs="Arial"/>
                        <w:b/>
                        <w:sz w:val="18"/>
                        <w:szCs w:val="18"/>
                      </w:rPr>
                      <w:t>单项金额虽不重大但单项计提坏账准</w:t>
                    </w:r>
                  </w:p>
                  <w:p w:rsidR="00DE031E" w:rsidRPr="00F040B1" w:rsidRDefault="001C1A59" w:rsidP="00DE031E">
                    <w:pPr>
                      <w:spacing w:line="240" w:lineRule="exact"/>
                      <w:rPr>
                        <w:rFonts w:ascii="Arial" w:hAnsi="Arial" w:cs="Arial"/>
                        <w:b/>
                        <w:sz w:val="18"/>
                        <w:szCs w:val="18"/>
                      </w:rPr>
                    </w:pPr>
                    <w:r w:rsidRPr="00F040B1">
                      <w:rPr>
                        <w:rFonts w:ascii="Arial" w:hAnsi="Arial" w:cs="Arial"/>
                        <w:b/>
                        <w:sz w:val="18"/>
                        <w:szCs w:val="18"/>
                      </w:rPr>
                      <w:t>备的其他应收款</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sz w:val="18"/>
                        <w:szCs w:val="18"/>
                      </w:rPr>
                    </w:pPr>
                  </w:p>
                </w:tc>
                <w:tc>
                  <w:tcPr>
                    <w:tcW w:w="4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
                        <w:sz w:val="18"/>
                        <w:szCs w:val="18"/>
                      </w:rPr>
                    </w:pPr>
                  </w:p>
                </w:tc>
                <w:tc>
                  <w:tcPr>
                    <w:tcW w:w="85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3,117,239.52</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25"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2.19</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809"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3,117,239.52</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504"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100</w:t>
                    </w:r>
                    <w:r w:rsidRPr="00F040B1">
                      <w:rPr>
                        <w:rFonts w:ascii="Arial" w:hAnsi="Arial" w:cs="Arial" w:hint="eastAsia"/>
                        <w:b/>
                        <w:bCs/>
                        <w:color w:val="000000"/>
                        <w:sz w:val="18"/>
                        <w:szCs w:val="18"/>
                      </w:rPr>
                      <w:t>.00</w:t>
                    </w:r>
                  </w:p>
                </w:tc>
              </w:tr>
              <w:tr w:rsidR="00DE031E" w:rsidRPr="00F040B1" w:rsidTr="00DE031E">
                <w:trPr>
                  <w:trHeight w:val="340"/>
                </w:trPr>
                <w:tc>
                  <w:tcPr>
                    <w:tcW w:w="209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spacing w:line="240" w:lineRule="exact"/>
                      <w:rPr>
                        <w:rFonts w:ascii="Arial" w:hAnsi="Arial" w:cs="Arial"/>
                        <w:b/>
                        <w:bCs/>
                        <w:sz w:val="18"/>
                        <w:szCs w:val="18"/>
                      </w:rPr>
                    </w:pPr>
                    <w:r w:rsidRPr="00F040B1">
                      <w:rPr>
                        <w:rFonts w:ascii="Arial" w:hAnsi="Arial" w:cs="Arial"/>
                        <w:b/>
                        <w:bCs/>
                        <w:sz w:val="18"/>
                        <w:szCs w:val="18"/>
                      </w:rPr>
                      <w:t>合计</w:t>
                    </w:r>
                  </w:p>
                </w:tc>
                <w:tc>
                  <w:tcPr>
                    <w:tcW w:w="139"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rPr>
                        <w:rFonts w:ascii="Arial" w:hAnsi="Arial" w:cs="Arial"/>
                        <w:b/>
                        <w:bCs/>
                        <w:sz w:val="18"/>
                        <w:szCs w:val="18"/>
                      </w:rPr>
                    </w:pPr>
                  </w:p>
                </w:tc>
                <w:tc>
                  <w:tcPr>
                    <w:tcW w:w="45"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jc w:val="right"/>
                      <w:rPr>
                        <w:rFonts w:ascii="Arial" w:hAnsi="Arial" w:cs="Arial"/>
                        <w:b/>
                        <w:bCs/>
                        <w:sz w:val="18"/>
                        <w:szCs w:val="18"/>
                      </w:rPr>
                    </w:pPr>
                  </w:p>
                </w:tc>
                <w:tc>
                  <w:tcPr>
                    <w:tcW w:w="850"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142,262,742.68</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425"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100</w:t>
                    </w:r>
                    <w:r w:rsidRPr="00F040B1">
                      <w:rPr>
                        <w:rFonts w:ascii="Arial" w:hAnsi="Arial" w:cs="Arial" w:hint="eastAsia"/>
                        <w:b/>
                        <w:bCs/>
                        <w:color w:val="000000"/>
                        <w:sz w:val="18"/>
                        <w:szCs w:val="18"/>
                      </w:rPr>
                      <w:t>.00</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809"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3,117,337.33</w:t>
                    </w:r>
                  </w:p>
                </w:tc>
                <w:tc>
                  <w:tcPr>
                    <w:tcW w:w="46"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rPr>
                        <w:rFonts w:ascii="Arial" w:hAnsi="Arial" w:cs="Arial"/>
                        <w:color w:val="000000"/>
                        <w:sz w:val="18"/>
                        <w:szCs w:val="18"/>
                      </w:rPr>
                    </w:pPr>
                  </w:p>
                </w:tc>
                <w:tc>
                  <w:tcPr>
                    <w:tcW w:w="504" w:type="pct"/>
                    <w:tcBorders>
                      <w:top w:val="nil"/>
                      <w:left w:val="nil"/>
                      <w:bottom w:val="nil"/>
                      <w:right w:val="nil"/>
                    </w:tcBorders>
                    <w:shd w:val="clear" w:color="auto" w:fill="auto"/>
                    <w:noWrap/>
                    <w:tcMar>
                      <w:left w:w="28" w:type="dxa"/>
                      <w:right w:w="28"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2.19</w:t>
                    </w:r>
                  </w:p>
                </w:tc>
              </w:tr>
            </w:tbl>
            <w:p w:rsidR="00DE031E" w:rsidRDefault="00DE031E">
              <w:pPr>
                <w:rPr>
                  <w:szCs w:val="21"/>
                </w:rPr>
              </w:pPr>
            </w:p>
            <w:p w:rsidR="00DE031E" w:rsidRDefault="001C1A59">
              <w:pPr>
                <w:rPr>
                  <w:rFonts w:ascii="Arial" w:hAnsi="Arial" w:cs="Arial"/>
                  <w:sz w:val="22"/>
                  <w:szCs w:val="22"/>
                </w:rPr>
              </w:pPr>
              <w:r w:rsidRPr="00687C1B">
                <w:rPr>
                  <w:rFonts w:ascii="Arial" w:hAnsi="Arial" w:cs="Arial"/>
                  <w:sz w:val="22"/>
                  <w:szCs w:val="22"/>
                </w:rPr>
                <w:t>3</w:t>
              </w:r>
              <w:r w:rsidRPr="00687C1B">
                <w:rPr>
                  <w:rFonts w:ascii="Arial" w:hAnsi="Arial" w:cs="Arial"/>
                  <w:sz w:val="22"/>
                  <w:szCs w:val="22"/>
                </w:rPr>
                <w:t>）按账龄列示</w:t>
              </w:r>
            </w:p>
            <w:tbl>
              <w:tblPr>
                <w:tblW w:w="5000" w:type="pct"/>
                <w:tblLook w:val="04A0"/>
              </w:tblPr>
              <w:tblGrid>
                <w:gridCol w:w="3087"/>
                <w:gridCol w:w="94"/>
                <w:gridCol w:w="1754"/>
                <w:gridCol w:w="1276"/>
                <w:gridCol w:w="1703"/>
                <w:gridCol w:w="1135"/>
              </w:tblGrid>
              <w:tr w:rsidR="00DE031E" w:rsidRPr="00F040B1" w:rsidTr="00DE031E">
                <w:trPr>
                  <w:trHeight w:val="340"/>
                </w:trPr>
                <w:tc>
                  <w:tcPr>
                    <w:tcW w:w="1706" w:type="pct"/>
                    <w:vMerge w:val="restart"/>
                    <w:tcBorders>
                      <w:top w:val="nil"/>
                      <w:left w:val="nil"/>
                      <w:right w:val="nil"/>
                    </w:tcBorders>
                    <w:shd w:val="clear" w:color="auto" w:fill="auto"/>
                    <w:noWrap/>
                    <w:vAlign w:val="center"/>
                    <w:hideMark/>
                  </w:tcPr>
                  <w:p w:rsidR="00DE031E" w:rsidRPr="00F040B1" w:rsidRDefault="001C1A59" w:rsidP="00DE031E">
                    <w:pPr>
                      <w:ind w:rightChars="-50" w:right="-105"/>
                      <w:rPr>
                        <w:rFonts w:ascii="Arial" w:eastAsiaTheme="minorEastAsia" w:hAnsi="Arial" w:cs="Arial"/>
                        <w:b/>
                        <w:bCs/>
                        <w:sz w:val="18"/>
                        <w:szCs w:val="18"/>
                      </w:rPr>
                    </w:pPr>
                    <w:r w:rsidRPr="00F040B1">
                      <w:rPr>
                        <w:rFonts w:ascii="Arial" w:eastAsiaTheme="minorEastAsia" w:hAnsi="Arial" w:cs="Arial"/>
                        <w:b/>
                        <w:bCs/>
                        <w:sz w:val="18"/>
                        <w:szCs w:val="18"/>
                      </w:rPr>
                      <w:t>账龄</w:t>
                    </w:r>
                  </w:p>
                </w:tc>
                <w:tc>
                  <w:tcPr>
                    <w:tcW w:w="52" w:type="pct"/>
                    <w:tcBorders>
                      <w:top w:val="nil"/>
                      <w:left w:val="nil"/>
                      <w:right w:val="nil"/>
                    </w:tcBorders>
                    <w:shd w:val="clear" w:color="auto" w:fill="auto"/>
                    <w:noWrap/>
                    <w:tcMar>
                      <w:left w:w="28" w:type="dxa"/>
                      <w:right w:w="28" w:type="dxa"/>
                    </w:tcMar>
                    <w:vAlign w:val="center"/>
                    <w:hideMark/>
                  </w:tcPr>
                  <w:p w:rsidR="00DE031E" w:rsidRPr="00F040B1" w:rsidRDefault="00DE031E" w:rsidP="00DE031E">
                    <w:pPr>
                      <w:ind w:leftChars="-50" w:left="-105" w:rightChars="-50" w:right="-105"/>
                      <w:jc w:val="center"/>
                      <w:rPr>
                        <w:rFonts w:ascii="Arial" w:eastAsiaTheme="minorEastAsia" w:hAnsi="Arial" w:cs="Arial"/>
                        <w:b/>
                        <w:bCs/>
                        <w:sz w:val="18"/>
                        <w:szCs w:val="18"/>
                      </w:rPr>
                    </w:pPr>
                  </w:p>
                </w:tc>
                <w:tc>
                  <w:tcPr>
                    <w:tcW w:w="3242" w:type="pct"/>
                    <w:gridSpan w:val="4"/>
                    <w:tcBorders>
                      <w:top w:val="nil"/>
                      <w:left w:val="nil"/>
                      <w:bottom w:val="single" w:sz="4" w:space="0" w:color="auto"/>
                      <w:right w:val="nil"/>
                    </w:tcBorders>
                    <w:shd w:val="clear" w:color="auto" w:fill="auto"/>
                    <w:vAlign w:val="center"/>
                    <w:hideMark/>
                  </w:tcPr>
                  <w:p w:rsidR="00DE031E" w:rsidRPr="00F040B1" w:rsidRDefault="001C1A59" w:rsidP="00DE031E">
                    <w:pPr>
                      <w:ind w:leftChars="-50" w:left="-105" w:rightChars="-50" w:right="-105"/>
                      <w:jc w:val="center"/>
                      <w:rPr>
                        <w:rFonts w:ascii="Arial" w:eastAsiaTheme="minorEastAsia" w:hAnsi="Arial" w:cs="Arial"/>
                        <w:b/>
                        <w:bCs/>
                        <w:sz w:val="18"/>
                        <w:szCs w:val="18"/>
                      </w:rPr>
                    </w:pPr>
                    <w:r w:rsidRPr="00F040B1">
                      <w:rPr>
                        <w:rFonts w:ascii="Arial" w:eastAsiaTheme="minorEastAsia" w:hAnsi="Arial" w:cs="Arial" w:hint="eastAsia"/>
                        <w:b/>
                        <w:bCs/>
                        <w:sz w:val="18"/>
                        <w:szCs w:val="18"/>
                      </w:rPr>
                      <w:t>2015</w:t>
                    </w:r>
                    <w:r w:rsidRPr="00F040B1">
                      <w:rPr>
                        <w:rFonts w:ascii="Arial" w:eastAsiaTheme="minorEastAsia" w:hAnsi="Arial" w:cs="Arial" w:hint="eastAsia"/>
                        <w:b/>
                        <w:bCs/>
                        <w:sz w:val="18"/>
                        <w:szCs w:val="18"/>
                      </w:rPr>
                      <w:t>年</w:t>
                    </w:r>
                    <w:r w:rsidRPr="00F040B1">
                      <w:rPr>
                        <w:rFonts w:ascii="Arial" w:eastAsiaTheme="minorEastAsia" w:hAnsi="Arial" w:cs="Arial" w:hint="eastAsia"/>
                        <w:b/>
                        <w:bCs/>
                        <w:sz w:val="18"/>
                        <w:szCs w:val="18"/>
                      </w:rPr>
                      <w:t>6</w:t>
                    </w:r>
                    <w:r w:rsidRPr="00F040B1">
                      <w:rPr>
                        <w:rFonts w:ascii="Arial" w:eastAsiaTheme="minorEastAsia" w:hAnsi="Arial" w:cs="Arial" w:hint="eastAsia"/>
                        <w:b/>
                        <w:bCs/>
                        <w:sz w:val="18"/>
                        <w:szCs w:val="18"/>
                      </w:rPr>
                      <w:t>月</w:t>
                    </w:r>
                    <w:r w:rsidRPr="00F040B1">
                      <w:rPr>
                        <w:rFonts w:ascii="Arial" w:eastAsiaTheme="minorEastAsia" w:hAnsi="Arial" w:cs="Arial" w:hint="eastAsia"/>
                        <w:b/>
                        <w:bCs/>
                        <w:sz w:val="18"/>
                        <w:szCs w:val="18"/>
                      </w:rPr>
                      <w:t>30</w:t>
                    </w:r>
                    <w:r w:rsidRPr="00F040B1">
                      <w:rPr>
                        <w:rFonts w:ascii="Arial" w:eastAsiaTheme="minorEastAsia" w:hAnsi="Arial" w:cs="Arial" w:hint="eastAsia"/>
                        <w:b/>
                        <w:bCs/>
                        <w:sz w:val="18"/>
                        <w:szCs w:val="18"/>
                      </w:rPr>
                      <w:t>日</w:t>
                    </w:r>
                  </w:p>
                </w:tc>
              </w:tr>
              <w:tr w:rsidR="00DE031E" w:rsidRPr="00F040B1" w:rsidTr="00DE031E">
                <w:trPr>
                  <w:trHeight w:val="340"/>
                </w:trPr>
                <w:tc>
                  <w:tcPr>
                    <w:tcW w:w="1706" w:type="pct"/>
                    <w:vMerge/>
                    <w:tcBorders>
                      <w:left w:val="nil"/>
                      <w:right w:val="nil"/>
                    </w:tcBorders>
                    <w:vAlign w:val="center"/>
                    <w:hideMark/>
                  </w:tcPr>
                  <w:p w:rsidR="00DE031E" w:rsidRPr="00F040B1" w:rsidRDefault="00DE031E" w:rsidP="00DE031E">
                    <w:pPr>
                      <w:ind w:rightChars="-50" w:right="-105"/>
                      <w:rPr>
                        <w:rFonts w:ascii="Arial" w:eastAsiaTheme="minorEastAsia" w:hAnsi="Arial" w:cs="Arial"/>
                        <w:b/>
                        <w:bCs/>
                        <w:sz w:val="18"/>
                        <w:szCs w:val="18"/>
                      </w:rPr>
                    </w:pPr>
                  </w:p>
                </w:tc>
                <w:tc>
                  <w:tcPr>
                    <w:tcW w:w="52" w:type="pct"/>
                    <w:tcBorders>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jc w:val="center"/>
                      <w:rPr>
                        <w:rFonts w:ascii="Arial" w:eastAsiaTheme="minorEastAsia" w:hAnsi="Arial" w:cs="Arial"/>
                        <w:b/>
                        <w:bCs/>
                        <w:sz w:val="18"/>
                        <w:szCs w:val="18"/>
                      </w:rPr>
                    </w:pPr>
                  </w:p>
                </w:tc>
                <w:tc>
                  <w:tcPr>
                    <w:tcW w:w="1674" w:type="pct"/>
                    <w:gridSpan w:val="2"/>
                    <w:tcBorders>
                      <w:top w:val="single" w:sz="4" w:space="0" w:color="auto"/>
                      <w:left w:val="nil"/>
                      <w:right w:val="nil"/>
                    </w:tcBorders>
                    <w:shd w:val="clear" w:color="auto" w:fill="auto"/>
                    <w:vAlign w:val="center"/>
                    <w:hideMark/>
                  </w:tcPr>
                  <w:p w:rsidR="00DE031E" w:rsidRPr="00F040B1" w:rsidRDefault="001C1A59" w:rsidP="00DE031E">
                    <w:pPr>
                      <w:ind w:leftChars="-50" w:left="-105"/>
                      <w:jc w:val="center"/>
                      <w:rPr>
                        <w:rFonts w:ascii="Arial" w:eastAsiaTheme="minorEastAsia" w:hAnsi="Arial" w:cs="Arial"/>
                        <w:b/>
                        <w:bCs/>
                        <w:sz w:val="18"/>
                        <w:szCs w:val="18"/>
                      </w:rPr>
                    </w:pPr>
                    <w:r w:rsidRPr="00F040B1">
                      <w:rPr>
                        <w:rFonts w:ascii="Arial" w:eastAsiaTheme="minorEastAsia" w:hAnsi="Arial" w:cs="Arial"/>
                        <w:b/>
                        <w:bCs/>
                        <w:sz w:val="18"/>
                        <w:szCs w:val="18"/>
                      </w:rPr>
                      <w:t>账面余额</w:t>
                    </w:r>
                  </w:p>
                </w:tc>
                <w:tc>
                  <w:tcPr>
                    <w:tcW w:w="1568" w:type="pct"/>
                    <w:gridSpan w:val="2"/>
                    <w:tcBorders>
                      <w:top w:val="single" w:sz="4" w:space="0" w:color="auto"/>
                      <w:left w:val="nil"/>
                      <w:right w:val="nil"/>
                    </w:tcBorders>
                    <w:shd w:val="clear" w:color="auto" w:fill="auto"/>
                    <w:vAlign w:val="center"/>
                    <w:hideMark/>
                  </w:tcPr>
                  <w:p w:rsidR="00DE031E" w:rsidRPr="00F040B1" w:rsidRDefault="001C1A59" w:rsidP="00DE031E">
                    <w:pPr>
                      <w:ind w:leftChars="-50" w:left="-105"/>
                      <w:jc w:val="center"/>
                      <w:rPr>
                        <w:rFonts w:ascii="Arial" w:eastAsiaTheme="minorEastAsia" w:hAnsi="Arial" w:cs="Arial"/>
                        <w:b/>
                        <w:bCs/>
                        <w:sz w:val="18"/>
                        <w:szCs w:val="18"/>
                      </w:rPr>
                    </w:pPr>
                    <w:r w:rsidRPr="00F040B1">
                      <w:rPr>
                        <w:rFonts w:ascii="Arial" w:eastAsiaTheme="minorEastAsia" w:hAnsi="Arial" w:cs="Arial"/>
                        <w:b/>
                        <w:bCs/>
                        <w:sz w:val="18"/>
                        <w:szCs w:val="18"/>
                      </w:rPr>
                      <w:t>坏账准备</w:t>
                    </w:r>
                  </w:p>
                </w:tc>
              </w:tr>
              <w:tr w:rsidR="00DE031E" w:rsidRPr="00F040B1" w:rsidTr="00DE031E">
                <w:trPr>
                  <w:trHeight w:val="340"/>
                </w:trPr>
                <w:tc>
                  <w:tcPr>
                    <w:tcW w:w="1706" w:type="pct"/>
                    <w:vMerge/>
                    <w:tcBorders>
                      <w:left w:val="nil"/>
                      <w:bottom w:val="nil"/>
                      <w:right w:val="nil"/>
                    </w:tcBorders>
                    <w:vAlign w:val="center"/>
                    <w:hideMark/>
                  </w:tcPr>
                  <w:p w:rsidR="00DE031E" w:rsidRPr="00F040B1" w:rsidRDefault="00DE031E" w:rsidP="00DE031E">
                    <w:pPr>
                      <w:ind w:rightChars="-50" w:right="-105"/>
                      <w:rPr>
                        <w:rFonts w:ascii="Arial" w:eastAsiaTheme="minorEastAsia" w:hAnsi="Arial" w:cs="Arial"/>
                        <w:b/>
                        <w:bCs/>
                        <w:sz w:val="18"/>
                        <w:szCs w:val="18"/>
                      </w:rPr>
                    </w:pPr>
                  </w:p>
                </w:tc>
                <w:tc>
                  <w:tcPr>
                    <w:tcW w:w="52"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spacing w:line="240" w:lineRule="exact"/>
                      <w:ind w:leftChars="-50" w:left="-105"/>
                      <w:jc w:val="center"/>
                      <w:rPr>
                        <w:rFonts w:ascii="Arial" w:eastAsiaTheme="minorEastAsia" w:hAnsi="Arial" w:cs="Arial"/>
                        <w:b/>
                        <w:bCs/>
                        <w:sz w:val="18"/>
                        <w:szCs w:val="18"/>
                      </w:rPr>
                    </w:pPr>
                  </w:p>
                </w:tc>
                <w:tc>
                  <w:tcPr>
                    <w:tcW w:w="969" w:type="pct"/>
                    <w:tcBorders>
                      <w:left w:val="nil"/>
                      <w:bottom w:val="nil"/>
                    </w:tcBorders>
                    <w:shd w:val="clear" w:color="auto" w:fill="auto"/>
                    <w:vAlign w:val="center"/>
                    <w:hideMark/>
                  </w:tcPr>
                  <w:p w:rsidR="00DE031E" w:rsidRPr="00F040B1" w:rsidRDefault="001C1A59" w:rsidP="00DE031E">
                    <w:pPr>
                      <w:spacing w:line="240" w:lineRule="exact"/>
                      <w:ind w:leftChars="-50" w:left="-105"/>
                      <w:jc w:val="center"/>
                      <w:rPr>
                        <w:rFonts w:ascii="Arial" w:eastAsiaTheme="minorEastAsia" w:hAnsi="Arial" w:cs="Arial"/>
                        <w:b/>
                        <w:bCs/>
                        <w:sz w:val="18"/>
                        <w:szCs w:val="18"/>
                      </w:rPr>
                    </w:pPr>
                    <w:r w:rsidRPr="00F040B1">
                      <w:rPr>
                        <w:rFonts w:ascii="Arial" w:eastAsiaTheme="minorEastAsia" w:hAnsi="Arial" w:cs="Arial"/>
                        <w:b/>
                        <w:bCs/>
                        <w:sz w:val="18"/>
                        <w:szCs w:val="18"/>
                      </w:rPr>
                      <w:t>金额</w:t>
                    </w:r>
                  </w:p>
                </w:tc>
                <w:tc>
                  <w:tcPr>
                    <w:tcW w:w="705" w:type="pct"/>
                    <w:tcBorders>
                      <w:bottom w:val="nil"/>
                    </w:tcBorders>
                    <w:shd w:val="clear" w:color="auto" w:fill="auto"/>
                    <w:vAlign w:val="center"/>
                    <w:hideMark/>
                  </w:tcPr>
                  <w:p w:rsidR="00DE031E" w:rsidRPr="00F040B1" w:rsidRDefault="001C1A59" w:rsidP="00DE031E">
                    <w:pPr>
                      <w:spacing w:line="240" w:lineRule="exact"/>
                      <w:ind w:leftChars="-50" w:left="-105" w:rightChars="-50" w:right="-105"/>
                      <w:jc w:val="center"/>
                      <w:rPr>
                        <w:rFonts w:ascii="Arial" w:eastAsiaTheme="minorEastAsia" w:hAnsi="Arial" w:cs="Arial"/>
                        <w:b/>
                        <w:bCs/>
                        <w:sz w:val="18"/>
                        <w:szCs w:val="18"/>
                      </w:rPr>
                    </w:pPr>
                    <w:r w:rsidRPr="00F040B1">
                      <w:rPr>
                        <w:rFonts w:ascii="Arial" w:eastAsiaTheme="minorEastAsia" w:hAnsi="Arial" w:cs="Arial"/>
                        <w:b/>
                        <w:bCs/>
                        <w:sz w:val="18"/>
                        <w:szCs w:val="18"/>
                      </w:rPr>
                      <w:t>比例（</w:t>
                    </w:r>
                    <w:r w:rsidRPr="00F040B1">
                      <w:rPr>
                        <w:rFonts w:ascii="Arial" w:eastAsiaTheme="minorEastAsia" w:hAnsi="Arial" w:cs="Arial"/>
                        <w:b/>
                        <w:bCs/>
                        <w:sz w:val="18"/>
                        <w:szCs w:val="18"/>
                      </w:rPr>
                      <w:t>%</w:t>
                    </w:r>
                    <w:r w:rsidRPr="00F040B1">
                      <w:rPr>
                        <w:rFonts w:ascii="Arial" w:eastAsiaTheme="minorEastAsia" w:hAnsi="Arial" w:cs="Arial"/>
                        <w:b/>
                        <w:bCs/>
                        <w:sz w:val="18"/>
                        <w:szCs w:val="18"/>
                      </w:rPr>
                      <w:t>）</w:t>
                    </w:r>
                  </w:p>
                </w:tc>
                <w:tc>
                  <w:tcPr>
                    <w:tcW w:w="941" w:type="pct"/>
                    <w:tcBorders>
                      <w:bottom w:val="nil"/>
                    </w:tcBorders>
                    <w:shd w:val="clear" w:color="auto" w:fill="auto"/>
                    <w:vAlign w:val="center"/>
                    <w:hideMark/>
                  </w:tcPr>
                  <w:p w:rsidR="00DE031E" w:rsidRPr="00F040B1" w:rsidRDefault="001C1A59" w:rsidP="00DE031E">
                    <w:pPr>
                      <w:spacing w:line="240" w:lineRule="exact"/>
                      <w:ind w:leftChars="-50" w:left="-105"/>
                      <w:jc w:val="center"/>
                      <w:rPr>
                        <w:rFonts w:ascii="Arial" w:eastAsiaTheme="minorEastAsia" w:hAnsi="Arial" w:cs="Arial"/>
                        <w:b/>
                        <w:bCs/>
                        <w:sz w:val="18"/>
                        <w:szCs w:val="18"/>
                      </w:rPr>
                    </w:pPr>
                    <w:r w:rsidRPr="00F040B1">
                      <w:rPr>
                        <w:rFonts w:ascii="Arial" w:eastAsiaTheme="minorEastAsia" w:hAnsi="Arial" w:cs="Arial"/>
                        <w:b/>
                        <w:bCs/>
                        <w:sz w:val="18"/>
                        <w:szCs w:val="18"/>
                      </w:rPr>
                      <w:t>金额</w:t>
                    </w:r>
                  </w:p>
                </w:tc>
                <w:tc>
                  <w:tcPr>
                    <w:tcW w:w="627" w:type="pct"/>
                    <w:tcBorders>
                      <w:bottom w:val="nil"/>
                      <w:right w:val="nil"/>
                    </w:tcBorders>
                    <w:shd w:val="clear" w:color="auto" w:fill="auto"/>
                    <w:vAlign w:val="center"/>
                  </w:tcPr>
                  <w:p w:rsidR="00DE031E" w:rsidRPr="00F040B1" w:rsidRDefault="001C1A59" w:rsidP="00DE031E">
                    <w:pPr>
                      <w:spacing w:line="240" w:lineRule="exact"/>
                      <w:ind w:leftChars="-50" w:left="-105" w:rightChars="-20" w:right="-42"/>
                      <w:jc w:val="center"/>
                      <w:rPr>
                        <w:rFonts w:ascii="Arial" w:eastAsiaTheme="minorEastAsia" w:hAnsi="Arial" w:cs="Arial"/>
                        <w:b/>
                        <w:bCs/>
                        <w:sz w:val="18"/>
                        <w:szCs w:val="18"/>
                      </w:rPr>
                    </w:pPr>
                    <w:r w:rsidRPr="00F040B1">
                      <w:rPr>
                        <w:rFonts w:ascii="Arial" w:eastAsiaTheme="minorEastAsia" w:hAnsi="Arial" w:cs="Arial"/>
                        <w:b/>
                        <w:bCs/>
                        <w:sz w:val="18"/>
                        <w:szCs w:val="18"/>
                      </w:rPr>
                      <w:t>比例（</w:t>
                    </w:r>
                    <w:r w:rsidRPr="00F040B1">
                      <w:rPr>
                        <w:rFonts w:ascii="Arial" w:eastAsiaTheme="minorEastAsia" w:hAnsi="Arial" w:cs="Arial"/>
                        <w:b/>
                        <w:bCs/>
                        <w:sz w:val="18"/>
                        <w:szCs w:val="18"/>
                      </w:rPr>
                      <w:t>%</w:t>
                    </w:r>
                    <w:r w:rsidRPr="00F040B1">
                      <w:rPr>
                        <w:rFonts w:ascii="Arial" w:eastAsiaTheme="minorEastAsia" w:hAnsi="Arial" w:cs="Arial"/>
                        <w:b/>
                        <w:bCs/>
                        <w:sz w:val="18"/>
                        <w:szCs w:val="18"/>
                      </w:rPr>
                      <w:t>）</w:t>
                    </w:r>
                  </w:p>
                </w:tc>
              </w:tr>
              <w:tr w:rsidR="00514196" w:rsidRPr="00F040B1" w:rsidTr="00DE031E">
                <w:trPr>
                  <w:trHeight w:val="340"/>
                </w:trPr>
                <w:tc>
                  <w:tcPr>
                    <w:tcW w:w="1706" w:type="pct"/>
                    <w:tcBorders>
                      <w:top w:val="nil"/>
                      <w:left w:val="nil"/>
                      <w:bottom w:val="nil"/>
                      <w:right w:val="nil"/>
                    </w:tcBorders>
                    <w:shd w:val="clear" w:color="auto" w:fill="auto"/>
                    <w:noWrap/>
                    <w:vAlign w:val="center"/>
                    <w:hideMark/>
                  </w:tcPr>
                  <w:p w:rsidR="00514196" w:rsidRPr="00F040B1" w:rsidRDefault="00514196" w:rsidP="00DE031E">
                    <w:pPr>
                      <w:ind w:leftChars="-50" w:left="-105" w:rightChars="-50" w:right="-105"/>
                      <w:rPr>
                        <w:rFonts w:ascii="Arial" w:eastAsiaTheme="minorEastAsia" w:hAnsi="Arial" w:cs="Arial"/>
                        <w:sz w:val="18"/>
                        <w:szCs w:val="18"/>
                      </w:rPr>
                    </w:pPr>
                    <w:r w:rsidRPr="00F040B1">
                      <w:rPr>
                        <w:rFonts w:ascii="Arial" w:eastAsiaTheme="minorEastAsia" w:hAnsi="Arial" w:cs="Arial"/>
                        <w:sz w:val="18"/>
                        <w:szCs w:val="18"/>
                      </w:rPr>
                      <w:t>1</w:t>
                    </w:r>
                    <w:r w:rsidRPr="00F040B1">
                      <w:rPr>
                        <w:rFonts w:ascii="Arial" w:eastAsiaTheme="minorEastAsia" w:hAnsi="Arial" w:cs="Arial"/>
                        <w:sz w:val="18"/>
                        <w:szCs w:val="18"/>
                      </w:rPr>
                      <w:t>年以内（含</w:t>
                    </w:r>
                    <w:r w:rsidRPr="00F040B1">
                      <w:rPr>
                        <w:rFonts w:ascii="Arial" w:eastAsiaTheme="minorEastAsia" w:hAnsi="Arial" w:cs="Arial"/>
                        <w:sz w:val="18"/>
                        <w:szCs w:val="18"/>
                      </w:rPr>
                      <w:t>1</w:t>
                    </w:r>
                    <w:r w:rsidRPr="00F040B1">
                      <w:rPr>
                        <w:rFonts w:ascii="Arial" w:eastAsiaTheme="minorEastAsia" w:hAnsi="Arial" w:cs="Arial"/>
                        <w:sz w:val="18"/>
                        <w:szCs w:val="18"/>
                      </w:rPr>
                      <w:t>年）</w:t>
                    </w:r>
                  </w:p>
                </w:tc>
                <w:tc>
                  <w:tcPr>
                    <w:tcW w:w="52" w:type="pct"/>
                    <w:tcBorders>
                      <w:top w:val="nil"/>
                      <w:left w:val="nil"/>
                      <w:bottom w:val="nil"/>
                      <w:right w:val="nil"/>
                    </w:tcBorders>
                    <w:shd w:val="clear" w:color="auto" w:fill="auto"/>
                    <w:noWrap/>
                    <w:tcMar>
                      <w:left w:w="28" w:type="dxa"/>
                      <w:right w:w="28" w:type="dxa"/>
                    </w:tcMar>
                    <w:vAlign w:val="center"/>
                    <w:hideMark/>
                  </w:tcPr>
                  <w:p w:rsidR="00514196" w:rsidRPr="00F040B1" w:rsidRDefault="00514196" w:rsidP="00DE031E">
                    <w:pPr>
                      <w:ind w:leftChars="-50" w:left="-105"/>
                      <w:jc w:val="right"/>
                      <w:rPr>
                        <w:rFonts w:ascii="Arial" w:hAnsi="Arial" w:cs="Arial"/>
                        <w:sz w:val="18"/>
                        <w:szCs w:val="18"/>
                      </w:rPr>
                    </w:pPr>
                  </w:p>
                </w:tc>
                <w:tc>
                  <w:tcPr>
                    <w:tcW w:w="969" w:type="pct"/>
                    <w:tcBorders>
                      <w:top w:val="nil"/>
                      <w:left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101,258,875.07</w:t>
                    </w:r>
                  </w:p>
                </w:tc>
                <w:tc>
                  <w:tcPr>
                    <w:tcW w:w="705" w:type="pct"/>
                    <w:tcBorders>
                      <w:top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71.18</w:t>
                    </w:r>
                  </w:p>
                </w:tc>
                <w:tc>
                  <w:tcPr>
                    <w:tcW w:w="941" w:type="pct"/>
                    <w:tcBorders>
                      <w:top w:val="nil"/>
                      <w:bottom w:val="nil"/>
                    </w:tcBorders>
                    <w:shd w:val="clear" w:color="auto" w:fill="auto"/>
                    <w:vAlign w:val="center"/>
                    <w:hideMark/>
                  </w:tcPr>
                  <w:p w:rsidR="00514196" w:rsidRPr="00F040B1" w:rsidRDefault="00514196" w:rsidP="00DE031E">
                    <w:pPr>
                      <w:jc w:val="right"/>
                      <w:rPr>
                        <w:rFonts w:ascii="Arial" w:hAnsi="Arial" w:cs="Arial"/>
                        <w:color w:val="000000"/>
                        <w:sz w:val="18"/>
                        <w:szCs w:val="18"/>
                      </w:rPr>
                    </w:pPr>
                  </w:p>
                </w:tc>
                <w:tc>
                  <w:tcPr>
                    <w:tcW w:w="627" w:type="pct"/>
                    <w:tcBorders>
                      <w:top w:val="nil"/>
                      <w:bottom w:val="nil"/>
                      <w:right w:val="nil"/>
                    </w:tcBorders>
                    <w:shd w:val="clear" w:color="auto" w:fill="auto"/>
                    <w:vAlign w:val="center"/>
                  </w:tcPr>
                  <w:p w:rsidR="00514196" w:rsidRPr="00F040B1" w:rsidRDefault="00514196" w:rsidP="00DE031E">
                    <w:pPr>
                      <w:jc w:val="right"/>
                      <w:rPr>
                        <w:rFonts w:ascii="Arial" w:hAnsi="Arial" w:cs="Arial"/>
                        <w:color w:val="000000"/>
                        <w:sz w:val="18"/>
                        <w:szCs w:val="18"/>
                      </w:rPr>
                    </w:pPr>
                  </w:p>
                </w:tc>
              </w:tr>
              <w:tr w:rsidR="00514196" w:rsidRPr="00F040B1" w:rsidTr="006015AB">
                <w:trPr>
                  <w:trHeight w:val="340"/>
                </w:trPr>
                <w:tc>
                  <w:tcPr>
                    <w:tcW w:w="1706" w:type="pct"/>
                    <w:tcBorders>
                      <w:top w:val="nil"/>
                      <w:left w:val="nil"/>
                      <w:bottom w:val="nil"/>
                      <w:right w:val="nil"/>
                    </w:tcBorders>
                    <w:shd w:val="clear" w:color="auto" w:fill="auto"/>
                    <w:noWrap/>
                    <w:vAlign w:val="center"/>
                    <w:hideMark/>
                  </w:tcPr>
                  <w:p w:rsidR="00514196" w:rsidRPr="00F040B1" w:rsidRDefault="00514196" w:rsidP="00DE031E">
                    <w:pPr>
                      <w:ind w:leftChars="-50" w:left="-105" w:rightChars="-50" w:right="-105"/>
                      <w:rPr>
                        <w:rFonts w:ascii="Arial" w:eastAsiaTheme="minorEastAsia" w:hAnsi="Arial" w:cs="Arial"/>
                        <w:b/>
                        <w:bCs/>
                        <w:sz w:val="18"/>
                        <w:szCs w:val="18"/>
                      </w:rPr>
                    </w:pPr>
                    <w:r w:rsidRPr="00F040B1">
                      <w:rPr>
                        <w:rFonts w:ascii="Arial" w:eastAsiaTheme="minorEastAsia" w:hAnsi="Arial" w:cs="Arial"/>
                        <w:sz w:val="18"/>
                        <w:szCs w:val="18"/>
                      </w:rPr>
                      <w:t>1-2</w:t>
                    </w:r>
                    <w:r w:rsidRPr="00F040B1">
                      <w:rPr>
                        <w:rFonts w:ascii="Arial" w:eastAsiaTheme="minorEastAsia" w:hAnsi="Arial" w:cs="Arial"/>
                        <w:sz w:val="18"/>
                        <w:szCs w:val="18"/>
                      </w:rPr>
                      <w:t>年（含</w:t>
                    </w:r>
                    <w:r w:rsidRPr="00F040B1">
                      <w:rPr>
                        <w:rFonts w:ascii="Arial" w:eastAsiaTheme="minorEastAsia" w:hAnsi="Arial" w:cs="Arial"/>
                        <w:sz w:val="18"/>
                        <w:szCs w:val="18"/>
                      </w:rPr>
                      <w:t>2</w:t>
                    </w:r>
                    <w:r w:rsidRPr="00F040B1">
                      <w:rPr>
                        <w:rFonts w:ascii="Arial" w:eastAsiaTheme="minorEastAsia" w:hAnsi="Arial" w:cs="Arial"/>
                        <w:sz w:val="18"/>
                        <w:szCs w:val="18"/>
                      </w:rPr>
                      <w:t>年）</w:t>
                    </w:r>
                  </w:p>
                </w:tc>
                <w:tc>
                  <w:tcPr>
                    <w:tcW w:w="52" w:type="pct"/>
                    <w:tcBorders>
                      <w:top w:val="nil"/>
                      <w:left w:val="nil"/>
                      <w:bottom w:val="nil"/>
                      <w:right w:val="nil"/>
                    </w:tcBorders>
                    <w:shd w:val="clear" w:color="auto" w:fill="auto"/>
                    <w:noWrap/>
                    <w:tcMar>
                      <w:left w:w="28" w:type="dxa"/>
                      <w:right w:w="28" w:type="dxa"/>
                    </w:tcMar>
                    <w:vAlign w:val="center"/>
                    <w:hideMark/>
                  </w:tcPr>
                  <w:p w:rsidR="00514196" w:rsidRPr="00F040B1" w:rsidRDefault="00514196" w:rsidP="00DE031E">
                    <w:pPr>
                      <w:ind w:leftChars="-50" w:left="-105"/>
                      <w:jc w:val="right"/>
                      <w:rPr>
                        <w:rFonts w:ascii="Arial" w:hAnsi="Arial" w:cs="Arial"/>
                        <w:sz w:val="18"/>
                        <w:szCs w:val="18"/>
                      </w:rPr>
                    </w:pPr>
                  </w:p>
                </w:tc>
                <w:tc>
                  <w:tcPr>
                    <w:tcW w:w="969" w:type="pct"/>
                    <w:tcBorders>
                      <w:top w:val="nil"/>
                      <w:left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9,181,173.15</w:t>
                    </w:r>
                  </w:p>
                </w:tc>
                <w:tc>
                  <w:tcPr>
                    <w:tcW w:w="705" w:type="pct"/>
                    <w:tcBorders>
                      <w:top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6.45</w:t>
                    </w:r>
                  </w:p>
                </w:tc>
                <w:tc>
                  <w:tcPr>
                    <w:tcW w:w="941" w:type="pct"/>
                    <w:tcBorders>
                      <w:top w:val="nil"/>
                      <w:bottom w:val="nil"/>
                    </w:tcBorders>
                    <w:shd w:val="clear" w:color="auto" w:fill="auto"/>
                    <w:vAlign w:val="center"/>
                    <w:hideMark/>
                  </w:tcPr>
                  <w:p w:rsidR="00514196" w:rsidRPr="00F040B1" w:rsidRDefault="00514196" w:rsidP="00DE031E">
                    <w:pPr>
                      <w:jc w:val="right"/>
                      <w:rPr>
                        <w:rFonts w:ascii="Arial" w:hAnsi="Arial" w:cs="Arial"/>
                        <w:color w:val="000000"/>
                        <w:sz w:val="18"/>
                        <w:szCs w:val="18"/>
                      </w:rPr>
                    </w:pPr>
                  </w:p>
                </w:tc>
                <w:tc>
                  <w:tcPr>
                    <w:tcW w:w="627" w:type="pct"/>
                    <w:tcBorders>
                      <w:top w:val="nil"/>
                      <w:bottom w:val="nil"/>
                      <w:right w:val="nil"/>
                    </w:tcBorders>
                    <w:shd w:val="clear" w:color="auto" w:fill="auto"/>
                    <w:vAlign w:val="center"/>
                  </w:tcPr>
                  <w:p w:rsidR="00514196" w:rsidRPr="00F040B1" w:rsidRDefault="00514196" w:rsidP="00DE031E">
                    <w:pPr>
                      <w:jc w:val="right"/>
                      <w:rPr>
                        <w:rFonts w:ascii="Arial" w:hAnsi="Arial" w:cs="Arial"/>
                        <w:color w:val="000000"/>
                        <w:sz w:val="18"/>
                        <w:szCs w:val="18"/>
                      </w:rPr>
                    </w:pPr>
                  </w:p>
                </w:tc>
              </w:tr>
              <w:tr w:rsidR="00514196" w:rsidRPr="00F040B1" w:rsidTr="006015AB">
                <w:trPr>
                  <w:trHeight w:val="340"/>
                </w:trPr>
                <w:tc>
                  <w:tcPr>
                    <w:tcW w:w="1706" w:type="pct"/>
                    <w:tcBorders>
                      <w:top w:val="nil"/>
                      <w:left w:val="nil"/>
                      <w:bottom w:val="nil"/>
                      <w:right w:val="nil"/>
                    </w:tcBorders>
                    <w:shd w:val="clear" w:color="auto" w:fill="auto"/>
                    <w:noWrap/>
                    <w:vAlign w:val="center"/>
                    <w:hideMark/>
                  </w:tcPr>
                  <w:p w:rsidR="00514196" w:rsidRPr="00F040B1" w:rsidRDefault="00514196" w:rsidP="00DE031E">
                    <w:pPr>
                      <w:ind w:leftChars="-50" w:left="-105" w:rightChars="-50" w:right="-105"/>
                      <w:rPr>
                        <w:rFonts w:ascii="Arial" w:eastAsiaTheme="minorEastAsia" w:hAnsi="Arial" w:cs="Arial"/>
                        <w:b/>
                        <w:bCs/>
                        <w:sz w:val="18"/>
                        <w:szCs w:val="18"/>
                      </w:rPr>
                    </w:pPr>
                    <w:r w:rsidRPr="00F040B1">
                      <w:rPr>
                        <w:rFonts w:ascii="Arial" w:eastAsiaTheme="minorEastAsia" w:hAnsi="Arial" w:cs="Arial"/>
                        <w:sz w:val="18"/>
                        <w:szCs w:val="18"/>
                      </w:rPr>
                      <w:t>2-3</w:t>
                    </w:r>
                    <w:r w:rsidRPr="00F040B1">
                      <w:rPr>
                        <w:rFonts w:ascii="Arial" w:eastAsiaTheme="minorEastAsia" w:hAnsi="Arial" w:cs="Arial"/>
                        <w:sz w:val="18"/>
                        <w:szCs w:val="18"/>
                      </w:rPr>
                      <w:t>年（含</w:t>
                    </w:r>
                    <w:r w:rsidRPr="00F040B1">
                      <w:rPr>
                        <w:rFonts w:ascii="Arial" w:eastAsiaTheme="minorEastAsia" w:hAnsi="Arial" w:cs="Arial"/>
                        <w:sz w:val="18"/>
                        <w:szCs w:val="18"/>
                      </w:rPr>
                      <w:t>3</w:t>
                    </w:r>
                    <w:r w:rsidRPr="00F040B1">
                      <w:rPr>
                        <w:rFonts w:ascii="Arial" w:eastAsiaTheme="minorEastAsia" w:hAnsi="Arial" w:cs="Arial"/>
                        <w:sz w:val="18"/>
                        <w:szCs w:val="18"/>
                      </w:rPr>
                      <w:t>年）</w:t>
                    </w:r>
                  </w:p>
                </w:tc>
                <w:tc>
                  <w:tcPr>
                    <w:tcW w:w="52" w:type="pct"/>
                    <w:tcBorders>
                      <w:top w:val="nil"/>
                      <w:left w:val="nil"/>
                      <w:bottom w:val="nil"/>
                      <w:right w:val="nil"/>
                    </w:tcBorders>
                    <w:shd w:val="clear" w:color="auto" w:fill="auto"/>
                    <w:noWrap/>
                    <w:tcMar>
                      <w:left w:w="28" w:type="dxa"/>
                      <w:right w:w="28" w:type="dxa"/>
                    </w:tcMar>
                    <w:vAlign w:val="center"/>
                    <w:hideMark/>
                  </w:tcPr>
                  <w:p w:rsidR="00514196" w:rsidRPr="00F040B1" w:rsidRDefault="00514196" w:rsidP="00DE031E">
                    <w:pPr>
                      <w:ind w:leftChars="-50" w:left="-105"/>
                      <w:jc w:val="right"/>
                      <w:rPr>
                        <w:rFonts w:ascii="Arial" w:hAnsi="Arial" w:cs="Arial"/>
                        <w:sz w:val="18"/>
                        <w:szCs w:val="18"/>
                      </w:rPr>
                    </w:pPr>
                  </w:p>
                </w:tc>
                <w:tc>
                  <w:tcPr>
                    <w:tcW w:w="969" w:type="pct"/>
                    <w:tcBorders>
                      <w:top w:val="nil"/>
                      <w:left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3,320,010.02</w:t>
                    </w:r>
                  </w:p>
                </w:tc>
                <w:tc>
                  <w:tcPr>
                    <w:tcW w:w="705" w:type="pct"/>
                    <w:tcBorders>
                      <w:top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2.33</w:t>
                    </w:r>
                  </w:p>
                </w:tc>
                <w:tc>
                  <w:tcPr>
                    <w:tcW w:w="941" w:type="pct"/>
                    <w:tcBorders>
                      <w:top w:val="nil"/>
                      <w:bottom w:val="nil"/>
                    </w:tcBorders>
                    <w:shd w:val="clear" w:color="auto" w:fill="auto"/>
                    <w:vAlign w:val="center"/>
                    <w:hideMark/>
                  </w:tcPr>
                  <w:p w:rsidR="00514196" w:rsidRPr="00F040B1" w:rsidRDefault="00514196" w:rsidP="00DE031E">
                    <w:pPr>
                      <w:jc w:val="right"/>
                      <w:rPr>
                        <w:rFonts w:ascii="Arial" w:hAnsi="Arial" w:cs="Arial"/>
                        <w:color w:val="000000"/>
                        <w:sz w:val="18"/>
                        <w:szCs w:val="18"/>
                      </w:rPr>
                    </w:pPr>
                  </w:p>
                </w:tc>
                <w:tc>
                  <w:tcPr>
                    <w:tcW w:w="627" w:type="pct"/>
                    <w:tcBorders>
                      <w:top w:val="nil"/>
                      <w:bottom w:val="nil"/>
                      <w:right w:val="nil"/>
                    </w:tcBorders>
                    <w:shd w:val="clear" w:color="auto" w:fill="auto"/>
                    <w:vAlign w:val="center"/>
                  </w:tcPr>
                  <w:p w:rsidR="00514196" w:rsidRPr="00F040B1" w:rsidRDefault="00514196" w:rsidP="00DE031E">
                    <w:pPr>
                      <w:jc w:val="right"/>
                      <w:rPr>
                        <w:rFonts w:ascii="Arial" w:hAnsi="Arial" w:cs="Arial"/>
                        <w:color w:val="000000"/>
                        <w:sz w:val="18"/>
                        <w:szCs w:val="18"/>
                      </w:rPr>
                    </w:pPr>
                  </w:p>
                </w:tc>
              </w:tr>
              <w:tr w:rsidR="00514196" w:rsidRPr="00F040B1" w:rsidTr="006015AB">
                <w:trPr>
                  <w:trHeight w:val="340"/>
                </w:trPr>
                <w:tc>
                  <w:tcPr>
                    <w:tcW w:w="1706" w:type="pct"/>
                    <w:tcBorders>
                      <w:top w:val="nil"/>
                      <w:left w:val="nil"/>
                      <w:bottom w:val="nil"/>
                      <w:right w:val="nil"/>
                    </w:tcBorders>
                    <w:shd w:val="clear" w:color="auto" w:fill="auto"/>
                    <w:noWrap/>
                    <w:vAlign w:val="center"/>
                    <w:hideMark/>
                  </w:tcPr>
                  <w:p w:rsidR="00514196" w:rsidRPr="00F040B1" w:rsidRDefault="00514196" w:rsidP="00DE031E">
                    <w:pPr>
                      <w:ind w:leftChars="-50" w:left="-105" w:rightChars="-50" w:right="-105"/>
                      <w:rPr>
                        <w:rFonts w:ascii="Arial" w:eastAsiaTheme="minorEastAsia" w:hAnsi="Arial" w:cs="Arial"/>
                        <w:b/>
                        <w:bCs/>
                        <w:sz w:val="18"/>
                        <w:szCs w:val="18"/>
                      </w:rPr>
                    </w:pPr>
                    <w:r w:rsidRPr="00F040B1">
                      <w:rPr>
                        <w:rFonts w:ascii="Arial" w:eastAsiaTheme="minorEastAsia" w:hAnsi="Arial" w:cs="Arial"/>
                        <w:sz w:val="18"/>
                        <w:szCs w:val="18"/>
                      </w:rPr>
                      <w:t>3</w:t>
                    </w:r>
                    <w:r w:rsidRPr="00F040B1">
                      <w:rPr>
                        <w:rFonts w:ascii="Arial" w:eastAsiaTheme="minorEastAsia" w:hAnsi="Arial" w:cs="Arial"/>
                        <w:sz w:val="18"/>
                        <w:szCs w:val="18"/>
                      </w:rPr>
                      <w:t>年以上</w:t>
                    </w:r>
                  </w:p>
                </w:tc>
                <w:tc>
                  <w:tcPr>
                    <w:tcW w:w="52" w:type="pct"/>
                    <w:tcBorders>
                      <w:top w:val="nil"/>
                      <w:left w:val="nil"/>
                      <w:bottom w:val="nil"/>
                      <w:right w:val="nil"/>
                    </w:tcBorders>
                    <w:shd w:val="clear" w:color="auto" w:fill="auto"/>
                    <w:noWrap/>
                    <w:tcMar>
                      <w:left w:w="28" w:type="dxa"/>
                      <w:right w:w="28" w:type="dxa"/>
                    </w:tcMar>
                    <w:vAlign w:val="center"/>
                    <w:hideMark/>
                  </w:tcPr>
                  <w:p w:rsidR="00514196" w:rsidRPr="00F040B1" w:rsidRDefault="00514196" w:rsidP="00DE031E">
                    <w:pPr>
                      <w:ind w:leftChars="-50" w:left="-105"/>
                      <w:jc w:val="right"/>
                      <w:rPr>
                        <w:rFonts w:ascii="Arial" w:hAnsi="Arial" w:cs="Arial"/>
                        <w:sz w:val="18"/>
                        <w:szCs w:val="18"/>
                      </w:rPr>
                    </w:pPr>
                  </w:p>
                </w:tc>
                <w:tc>
                  <w:tcPr>
                    <w:tcW w:w="969" w:type="pct"/>
                    <w:tcBorders>
                      <w:top w:val="nil"/>
                      <w:left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28,502,684.44</w:t>
                    </w:r>
                  </w:p>
                </w:tc>
                <w:tc>
                  <w:tcPr>
                    <w:tcW w:w="705" w:type="pct"/>
                    <w:tcBorders>
                      <w:top w:val="nil"/>
                      <w:bottom w:val="nil"/>
                    </w:tcBorders>
                    <w:shd w:val="clear" w:color="auto" w:fill="auto"/>
                    <w:hideMark/>
                  </w:tcPr>
                  <w:p w:rsidR="00514196" w:rsidRPr="00514196" w:rsidRDefault="00514196" w:rsidP="00514196">
                    <w:pPr>
                      <w:jc w:val="right"/>
                      <w:rPr>
                        <w:rFonts w:ascii="Arial" w:hAnsi="Arial" w:cs="Arial"/>
                        <w:color w:val="000000"/>
                        <w:sz w:val="18"/>
                        <w:szCs w:val="18"/>
                      </w:rPr>
                    </w:pPr>
                    <w:r w:rsidRPr="00514196">
                      <w:rPr>
                        <w:rFonts w:ascii="Arial" w:hAnsi="Arial" w:cs="Arial"/>
                        <w:color w:val="000000"/>
                        <w:sz w:val="18"/>
                        <w:szCs w:val="18"/>
                      </w:rPr>
                      <w:t>20.04</w:t>
                    </w:r>
                  </w:p>
                </w:tc>
                <w:tc>
                  <w:tcPr>
                    <w:tcW w:w="941" w:type="pct"/>
                    <w:tcBorders>
                      <w:top w:val="nil"/>
                      <w:bottom w:val="nil"/>
                    </w:tcBorders>
                    <w:shd w:val="clear" w:color="auto" w:fill="auto"/>
                    <w:vAlign w:val="center"/>
                    <w:hideMark/>
                  </w:tcPr>
                  <w:p w:rsidR="00514196" w:rsidRPr="00F040B1" w:rsidRDefault="00514196" w:rsidP="00DE031E">
                    <w:pPr>
                      <w:jc w:val="right"/>
                      <w:rPr>
                        <w:rFonts w:ascii="Arial" w:hAnsi="Arial" w:cs="Arial"/>
                        <w:color w:val="000000"/>
                        <w:sz w:val="18"/>
                        <w:szCs w:val="18"/>
                      </w:rPr>
                    </w:pPr>
                    <w:r w:rsidRPr="00F040B1">
                      <w:rPr>
                        <w:rFonts w:ascii="Arial" w:hAnsi="Arial" w:cs="Arial"/>
                        <w:color w:val="000000"/>
                        <w:sz w:val="18"/>
                        <w:szCs w:val="18"/>
                      </w:rPr>
                      <w:t>3,117,239.52</w:t>
                    </w:r>
                  </w:p>
                </w:tc>
                <w:tc>
                  <w:tcPr>
                    <w:tcW w:w="627" w:type="pct"/>
                    <w:tcBorders>
                      <w:top w:val="nil"/>
                      <w:bottom w:val="nil"/>
                      <w:right w:val="nil"/>
                    </w:tcBorders>
                    <w:shd w:val="clear" w:color="auto" w:fill="auto"/>
                    <w:vAlign w:val="center"/>
                  </w:tcPr>
                  <w:p w:rsidR="00514196" w:rsidRPr="00F040B1" w:rsidRDefault="00514196" w:rsidP="00DE031E">
                    <w:pPr>
                      <w:jc w:val="right"/>
                      <w:rPr>
                        <w:rFonts w:ascii="Arial" w:hAnsi="Arial" w:cs="Arial"/>
                        <w:color w:val="000000"/>
                        <w:sz w:val="18"/>
                        <w:szCs w:val="18"/>
                      </w:rPr>
                    </w:pPr>
                    <w:r w:rsidRPr="00F040B1">
                      <w:rPr>
                        <w:rFonts w:ascii="Arial" w:hAnsi="Arial" w:cs="Arial"/>
                        <w:color w:val="000000"/>
                        <w:sz w:val="18"/>
                        <w:szCs w:val="18"/>
                      </w:rPr>
                      <w:t>10.94</w:t>
                    </w:r>
                  </w:p>
                </w:tc>
              </w:tr>
              <w:tr w:rsidR="00DE031E" w:rsidRPr="00F040B1" w:rsidTr="00DE031E">
                <w:trPr>
                  <w:trHeight w:val="340"/>
                </w:trPr>
                <w:tc>
                  <w:tcPr>
                    <w:tcW w:w="1706" w:type="pct"/>
                    <w:tcBorders>
                      <w:top w:val="nil"/>
                      <w:left w:val="nil"/>
                      <w:bottom w:val="nil"/>
                      <w:right w:val="nil"/>
                    </w:tcBorders>
                    <w:shd w:val="clear" w:color="auto" w:fill="auto"/>
                    <w:noWrap/>
                    <w:vAlign w:val="center"/>
                    <w:hideMark/>
                  </w:tcPr>
                  <w:p w:rsidR="00DE031E" w:rsidRPr="00F040B1" w:rsidRDefault="001C1A59" w:rsidP="00DE031E">
                    <w:pPr>
                      <w:ind w:leftChars="-50" w:left="-105" w:rightChars="-50" w:right="-105"/>
                      <w:rPr>
                        <w:rFonts w:ascii="Arial" w:eastAsiaTheme="minorEastAsia" w:hAnsi="Arial" w:cs="Arial"/>
                        <w:b/>
                        <w:bCs/>
                        <w:sz w:val="18"/>
                        <w:szCs w:val="18"/>
                      </w:rPr>
                    </w:pPr>
                    <w:r w:rsidRPr="00F040B1">
                      <w:rPr>
                        <w:rFonts w:ascii="Arial" w:eastAsiaTheme="minorEastAsia" w:hAnsi="Arial" w:cs="Arial"/>
                        <w:b/>
                        <w:sz w:val="18"/>
                        <w:szCs w:val="18"/>
                      </w:rPr>
                      <w:t>合计</w:t>
                    </w:r>
                  </w:p>
                </w:tc>
                <w:tc>
                  <w:tcPr>
                    <w:tcW w:w="52" w:type="pct"/>
                    <w:tcBorders>
                      <w:top w:val="nil"/>
                      <w:left w:val="nil"/>
                      <w:bottom w:val="nil"/>
                      <w:right w:val="nil"/>
                    </w:tcBorders>
                    <w:shd w:val="clear" w:color="auto" w:fill="auto"/>
                    <w:noWrap/>
                    <w:tcMar>
                      <w:left w:w="28" w:type="dxa"/>
                      <w:right w:w="28" w:type="dxa"/>
                    </w:tcMar>
                    <w:vAlign w:val="center"/>
                    <w:hideMark/>
                  </w:tcPr>
                  <w:p w:rsidR="00DE031E" w:rsidRPr="00F040B1" w:rsidRDefault="00DE031E" w:rsidP="00DE031E">
                    <w:pPr>
                      <w:ind w:leftChars="-50" w:left="-105"/>
                      <w:jc w:val="right"/>
                      <w:rPr>
                        <w:rFonts w:ascii="Arial" w:hAnsi="Arial" w:cs="Arial"/>
                        <w:b/>
                        <w:sz w:val="18"/>
                        <w:szCs w:val="18"/>
                      </w:rPr>
                    </w:pPr>
                  </w:p>
                </w:tc>
                <w:tc>
                  <w:tcPr>
                    <w:tcW w:w="969" w:type="pct"/>
                    <w:tcBorders>
                      <w:top w:val="nil"/>
                      <w:left w:val="nil"/>
                      <w:bottom w:val="nil"/>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142,262,742.68</w:t>
                    </w:r>
                  </w:p>
                </w:tc>
                <w:tc>
                  <w:tcPr>
                    <w:tcW w:w="705" w:type="pct"/>
                    <w:tcBorders>
                      <w:top w:val="nil"/>
                      <w:bottom w:val="nil"/>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100</w:t>
                    </w:r>
                    <w:r w:rsidRPr="00F040B1">
                      <w:rPr>
                        <w:rFonts w:ascii="Arial" w:hAnsi="Arial" w:cs="Arial" w:hint="eastAsia"/>
                        <w:b/>
                        <w:bCs/>
                        <w:color w:val="000000"/>
                        <w:sz w:val="18"/>
                        <w:szCs w:val="18"/>
                      </w:rPr>
                      <w:t>.00</w:t>
                    </w:r>
                  </w:p>
                </w:tc>
                <w:tc>
                  <w:tcPr>
                    <w:tcW w:w="941" w:type="pct"/>
                    <w:tcBorders>
                      <w:top w:val="nil"/>
                      <w:bottom w:val="nil"/>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3,117,239.52</w:t>
                    </w:r>
                  </w:p>
                </w:tc>
                <w:tc>
                  <w:tcPr>
                    <w:tcW w:w="627" w:type="pct"/>
                    <w:tcBorders>
                      <w:top w:val="nil"/>
                      <w:bottom w:val="nil"/>
                      <w:right w:val="nil"/>
                    </w:tcBorders>
                    <w:shd w:val="clear" w:color="auto" w:fill="auto"/>
                    <w:vAlign w:val="center"/>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2.19</w:t>
                    </w:r>
                  </w:p>
                </w:tc>
              </w:tr>
            </w:tbl>
            <w:p w:rsidR="00DE031E" w:rsidRDefault="00DE031E">
              <w:pPr>
                <w:rPr>
                  <w:szCs w:val="21"/>
                </w:rPr>
              </w:pPr>
            </w:p>
            <w:p w:rsidR="00DE031E" w:rsidRDefault="001C1A59" w:rsidP="00DE031E">
              <w:pPr>
                <w:spacing w:line="360" w:lineRule="auto"/>
                <w:rPr>
                  <w:rFonts w:ascii="Arial" w:hAnsi="Arial" w:cs="Arial"/>
                  <w:sz w:val="22"/>
                  <w:szCs w:val="22"/>
                </w:rPr>
              </w:pPr>
              <w:r w:rsidRPr="00687C1B">
                <w:rPr>
                  <w:rFonts w:ascii="Arial" w:hAnsi="Arial" w:cs="Arial"/>
                  <w:sz w:val="22"/>
                  <w:szCs w:val="22"/>
                </w:rPr>
                <w:t>4</w:t>
              </w:r>
              <w:r w:rsidRPr="00687C1B">
                <w:rPr>
                  <w:rFonts w:ascii="Arial" w:hAnsi="Arial" w:cs="Arial"/>
                  <w:sz w:val="22"/>
                  <w:szCs w:val="22"/>
                </w:rPr>
                <w:t>）单项金额不重大但单项计提坏账准备的其他应收款</w:t>
              </w:r>
            </w:p>
            <w:p w:rsidR="00DE031E" w:rsidRPr="00687C1B" w:rsidRDefault="001C1A59" w:rsidP="003A0284">
              <w:pPr>
                <w:pStyle w:val="afb"/>
                <w:spacing w:beforeLines="50" w:after="120" w:line="360" w:lineRule="auto"/>
                <w:ind w:firstLineChars="193" w:firstLine="425"/>
                <w:outlineLvl w:val="9"/>
                <w:rPr>
                  <w:rFonts w:ascii="Arial" w:hAnsi="Arial" w:cs="Arial"/>
                  <w:sz w:val="22"/>
                  <w:szCs w:val="22"/>
                </w:rPr>
              </w:pPr>
              <w:r>
                <w:rPr>
                  <w:rFonts w:ascii="Arial" w:hAnsi="Arial" w:cs="Arial" w:hint="eastAsia"/>
                  <w:sz w:val="22"/>
                  <w:szCs w:val="22"/>
                </w:rPr>
                <w:t>截至</w:t>
              </w:r>
              <w:r>
                <w:rPr>
                  <w:rFonts w:ascii="Arial" w:hAnsi="Arial" w:cs="Arial" w:hint="eastAsia"/>
                  <w:sz w:val="22"/>
                  <w:szCs w:val="22"/>
                </w:rPr>
                <w:t>2015</w:t>
              </w:r>
              <w:r>
                <w:rPr>
                  <w:rFonts w:ascii="Arial" w:hAnsi="Arial" w:cs="Arial" w:hint="eastAsia"/>
                  <w:sz w:val="22"/>
                  <w:szCs w:val="22"/>
                </w:rPr>
                <w:t>年</w:t>
              </w:r>
              <w:r>
                <w:rPr>
                  <w:rFonts w:ascii="Arial" w:hAnsi="Arial" w:cs="Arial" w:hint="eastAsia"/>
                  <w:sz w:val="22"/>
                  <w:szCs w:val="22"/>
                </w:rPr>
                <w:t>6</w:t>
              </w:r>
              <w:r>
                <w:rPr>
                  <w:rFonts w:ascii="Arial" w:hAnsi="Arial" w:cs="Arial" w:hint="eastAsia"/>
                  <w:sz w:val="22"/>
                  <w:szCs w:val="22"/>
                </w:rPr>
                <w:t>月</w:t>
              </w:r>
              <w:r>
                <w:rPr>
                  <w:rFonts w:ascii="Arial" w:hAnsi="Arial" w:cs="Arial" w:hint="eastAsia"/>
                  <w:sz w:val="22"/>
                  <w:szCs w:val="22"/>
                </w:rPr>
                <w:t>30</w:t>
              </w:r>
              <w:r>
                <w:rPr>
                  <w:rFonts w:ascii="Arial" w:hAnsi="Arial" w:cs="Arial" w:hint="eastAsia"/>
                  <w:sz w:val="22"/>
                  <w:szCs w:val="22"/>
                </w:rPr>
                <w:t>日，</w:t>
              </w:r>
              <w:r w:rsidRPr="00687C1B">
                <w:rPr>
                  <w:rFonts w:ascii="Arial" w:hAnsi="Arial" w:cs="Arial"/>
                  <w:sz w:val="22"/>
                  <w:szCs w:val="22"/>
                </w:rPr>
                <w:t>单项金额不重大但单项计提坏账准备的其他应收款</w:t>
              </w:r>
            </w:p>
            <w:tbl>
              <w:tblPr>
                <w:tblW w:w="5000" w:type="pct"/>
                <w:tblLook w:val="04A0"/>
              </w:tblPr>
              <w:tblGrid>
                <w:gridCol w:w="3144"/>
                <w:gridCol w:w="1718"/>
                <w:gridCol w:w="1584"/>
                <w:gridCol w:w="1285"/>
                <w:gridCol w:w="1318"/>
              </w:tblGrid>
              <w:tr w:rsidR="00DE031E" w:rsidRPr="00F040B1" w:rsidTr="00DE031E">
                <w:trPr>
                  <w:trHeight w:val="340"/>
                </w:trPr>
                <w:tc>
                  <w:tcPr>
                    <w:tcW w:w="1738"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rPr>
                        <w:rFonts w:ascii="Arial" w:hAnsi="Arial" w:cs="Arial"/>
                        <w:b/>
                        <w:sz w:val="18"/>
                        <w:szCs w:val="18"/>
                      </w:rPr>
                    </w:pPr>
                    <w:r w:rsidRPr="00F040B1">
                      <w:rPr>
                        <w:rFonts w:ascii="Arial" w:hAnsi="Arial" w:cs="Arial"/>
                        <w:b/>
                        <w:sz w:val="18"/>
                        <w:szCs w:val="18"/>
                      </w:rPr>
                      <w:t>项目</w:t>
                    </w:r>
                  </w:p>
                </w:tc>
                <w:tc>
                  <w:tcPr>
                    <w:tcW w:w="949"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sz w:val="18"/>
                        <w:szCs w:val="18"/>
                      </w:rPr>
                    </w:pPr>
                    <w:r w:rsidRPr="00F040B1">
                      <w:rPr>
                        <w:rFonts w:ascii="Arial" w:hAnsi="Arial" w:cs="Arial"/>
                        <w:b/>
                        <w:sz w:val="18"/>
                        <w:szCs w:val="18"/>
                      </w:rPr>
                      <w:t>账面余额</w:t>
                    </w:r>
                  </w:p>
                </w:tc>
                <w:tc>
                  <w:tcPr>
                    <w:tcW w:w="875"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sz w:val="18"/>
                        <w:szCs w:val="18"/>
                      </w:rPr>
                    </w:pPr>
                    <w:r w:rsidRPr="00F040B1">
                      <w:rPr>
                        <w:rFonts w:ascii="Arial" w:hAnsi="Arial" w:cs="Arial"/>
                        <w:b/>
                        <w:sz w:val="18"/>
                        <w:szCs w:val="18"/>
                      </w:rPr>
                      <w:t>坏账准备金额</w:t>
                    </w:r>
                  </w:p>
                </w:tc>
                <w:tc>
                  <w:tcPr>
                    <w:tcW w:w="710"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sz w:val="18"/>
                        <w:szCs w:val="18"/>
                      </w:rPr>
                    </w:pPr>
                    <w:r w:rsidRPr="00F040B1">
                      <w:rPr>
                        <w:rFonts w:ascii="Arial" w:hAnsi="Arial" w:cs="Arial"/>
                        <w:b/>
                        <w:sz w:val="18"/>
                        <w:szCs w:val="18"/>
                      </w:rPr>
                      <w:t>计提比例</w:t>
                    </w:r>
                  </w:p>
                </w:tc>
                <w:tc>
                  <w:tcPr>
                    <w:tcW w:w="728"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right"/>
                      <w:rPr>
                        <w:rFonts w:ascii="Arial" w:hAnsi="Arial" w:cs="Arial"/>
                        <w:b/>
                        <w:sz w:val="18"/>
                        <w:szCs w:val="18"/>
                      </w:rPr>
                    </w:pPr>
                    <w:r w:rsidRPr="00F040B1">
                      <w:rPr>
                        <w:rFonts w:ascii="Arial" w:hAnsi="Arial" w:cs="Arial"/>
                        <w:b/>
                        <w:sz w:val="18"/>
                        <w:szCs w:val="18"/>
                      </w:rPr>
                      <w:t>计提原因</w:t>
                    </w:r>
                  </w:p>
                </w:tc>
              </w:tr>
              <w:tr w:rsidR="00DE031E" w:rsidRPr="00F040B1" w:rsidTr="00DE031E">
                <w:trPr>
                  <w:trHeight w:val="340"/>
                </w:trPr>
                <w:tc>
                  <w:tcPr>
                    <w:tcW w:w="1738"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cs="Arial" w:hint="eastAsia"/>
                        <w:color w:val="000000"/>
                        <w:sz w:val="18"/>
                        <w:szCs w:val="18"/>
                      </w:rPr>
                      <w:t>应收东欧公司大洋法人股款项</w:t>
                    </w:r>
                  </w:p>
                </w:tc>
                <w:tc>
                  <w:tcPr>
                    <w:tcW w:w="94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1,468,072.10</w:t>
                    </w:r>
                  </w:p>
                </w:tc>
                <w:tc>
                  <w:tcPr>
                    <w:tcW w:w="87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1,468,072.10</w:t>
                    </w:r>
                  </w:p>
                </w:tc>
                <w:tc>
                  <w:tcPr>
                    <w:tcW w:w="710"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100.00%</w:t>
                    </w:r>
                  </w:p>
                </w:tc>
                <w:tc>
                  <w:tcPr>
                    <w:tcW w:w="728"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cs="Arial" w:hint="eastAsia"/>
                        <w:color w:val="000000"/>
                        <w:sz w:val="18"/>
                        <w:szCs w:val="18"/>
                      </w:rPr>
                      <w:t>确定无法收回</w:t>
                    </w:r>
                  </w:p>
                </w:tc>
              </w:tr>
              <w:tr w:rsidR="00DE031E" w:rsidRPr="00F040B1" w:rsidTr="00DE031E">
                <w:trPr>
                  <w:trHeight w:val="340"/>
                </w:trPr>
                <w:tc>
                  <w:tcPr>
                    <w:tcW w:w="1738"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cs="Arial" w:hint="eastAsia"/>
                        <w:color w:val="000000"/>
                        <w:sz w:val="18"/>
                        <w:szCs w:val="18"/>
                      </w:rPr>
                      <w:t>应收北京静安物业发展有限公司款项</w:t>
                    </w:r>
                  </w:p>
                </w:tc>
                <w:tc>
                  <w:tcPr>
                    <w:tcW w:w="94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897,379.07</w:t>
                    </w:r>
                  </w:p>
                </w:tc>
                <w:tc>
                  <w:tcPr>
                    <w:tcW w:w="87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897,379.07</w:t>
                    </w:r>
                  </w:p>
                </w:tc>
                <w:tc>
                  <w:tcPr>
                    <w:tcW w:w="710"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100.00%</w:t>
                    </w:r>
                  </w:p>
                </w:tc>
                <w:tc>
                  <w:tcPr>
                    <w:tcW w:w="728"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cs="Arial" w:hint="eastAsia"/>
                        <w:color w:val="000000"/>
                        <w:sz w:val="18"/>
                        <w:szCs w:val="18"/>
                      </w:rPr>
                      <w:t>确定无法收回</w:t>
                    </w:r>
                  </w:p>
                </w:tc>
              </w:tr>
              <w:tr w:rsidR="00DE031E" w:rsidRPr="00F040B1" w:rsidTr="00DE031E">
                <w:trPr>
                  <w:trHeight w:val="340"/>
                </w:trPr>
                <w:tc>
                  <w:tcPr>
                    <w:tcW w:w="1738"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cs="Arial" w:hint="eastAsia"/>
                        <w:color w:val="000000"/>
                        <w:sz w:val="18"/>
                        <w:szCs w:val="18"/>
                      </w:rPr>
                      <w:t>应收天英期货款项</w:t>
                    </w:r>
                  </w:p>
                </w:tc>
                <w:tc>
                  <w:tcPr>
                    <w:tcW w:w="94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506,221.28</w:t>
                    </w:r>
                  </w:p>
                </w:tc>
                <w:tc>
                  <w:tcPr>
                    <w:tcW w:w="87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506,221.28</w:t>
                    </w:r>
                  </w:p>
                </w:tc>
                <w:tc>
                  <w:tcPr>
                    <w:tcW w:w="710"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100.00%</w:t>
                    </w:r>
                  </w:p>
                </w:tc>
                <w:tc>
                  <w:tcPr>
                    <w:tcW w:w="728"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cs="Arial" w:hint="eastAsia"/>
                        <w:color w:val="000000"/>
                        <w:sz w:val="18"/>
                        <w:szCs w:val="18"/>
                      </w:rPr>
                      <w:t>确定无法收回</w:t>
                    </w:r>
                  </w:p>
                </w:tc>
              </w:tr>
              <w:tr w:rsidR="00DE031E" w:rsidRPr="00F040B1" w:rsidTr="00DE031E">
                <w:trPr>
                  <w:trHeight w:val="340"/>
                </w:trPr>
                <w:tc>
                  <w:tcPr>
                    <w:tcW w:w="1738"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cs="Arial" w:hint="eastAsia"/>
                        <w:color w:val="000000"/>
                        <w:sz w:val="18"/>
                        <w:szCs w:val="18"/>
                      </w:rPr>
                      <w:t>其他零星其他应收款</w:t>
                    </w:r>
                  </w:p>
                </w:tc>
                <w:tc>
                  <w:tcPr>
                    <w:tcW w:w="94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245,567.07</w:t>
                    </w:r>
                  </w:p>
                </w:tc>
                <w:tc>
                  <w:tcPr>
                    <w:tcW w:w="87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245,567.07</w:t>
                    </w:r>
                  </w:p>
                </w:tc>
                <w:tc>
                  <w:tcPr>
                    <w:tcW w:w="710"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100.00%</w:t>
                    </w:r>
                  </w:p>
                </w:tc>
                <w:tc>
                  <w:tcPr>
                    <w:tcW w:w="728"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cs="Arial" w:hint="eastAsia"/>
                        <w:color w:val="000000"/>
                        <w:sz w:val="18"/>
                        <w:szCs w:val="18"/>
                      </w:rPr>
                      <w:t>确定无法收回</w:t>
                    </w:r>
                  </w:p>
                </w:tc>
              </w:tr>
              <w:tr w:rsidR="00DE031E" w:rsidRPr="00F040B1" w:rsidTr="00DE031E">
                <w:trPr>
                  <w:trHeight w:val="340"/>
                </w:trPr>
                <w:tc>
                  <w:tcPr>
                    <w:tcW w:w="1738"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合计</w:t>
                    </w:r>
                  </w:p>
                </w:tc>
                <w:tc>
                  <w:tcPr>
                    <w:tcW w:w="949"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3,117,239.52</w:t>
                    </w:r>
                  </w:p>
                </w:tc>
                <w:tc>
                  <w:tcPr>
                    <w:tcW w:w="875"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3,117,239.52</w:t>
                    </w:r>
                  </w:p>
                </w:tc>
                <w:tc>
                  <w:tcPr>
                    <w:tcW w:w="710"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100.00%</w:t>
                    </w:r>
                  </w:p>
                </w:tc>
                <w:tc>
                  <w:tcPr>
                    <w:tcW w:w="728"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r>
            </w:tbl>
            <w:p w:rsidR="00DE031E" w:rsidRDefault="00DE031E">
              <w:pPr>
                <w:rPr>
                  <w:rFonts w:ascii="Arial" w:hAnsi="Arial" w:cs="Arial"/>
                  <w:sz w:val="22"/>
                  <w:szCs w:val="22"/>
                </w:rPr>
              </w:pPr>
            </w:p>
            <w:p w:rsidR="00DE031E" w:rsidRDefault="001C1A59" w:rsidP="00DE031E">
              <w:pPr>
                <w:spacing w:line="360" w:lineRule="auto"/>
                <w:rPr>
                  <w:rFonts w:ascii="Arial" w:hAnsi="Arial" w:cs="Arial"/>
                  <w:sz w:val="22"/>
                  <w:szCs w:val="22"/>
                </w:rPr>
              </w:pPr>
              <w:r w:rsidRPr="00687C1B">
                <w:rPr>
                  <w:rFonts w:ascii="Arial" w:hAnsi="Arial" w:cs="Arial"/>
                  <w:sz w:val="22"/>
                  <w:szCs w:val="22"/>
                </w:rPr>
                <w:t>5</w:t>
              </w:r>
              <w:r w:rsidRPr="00687C1B">
                <w:rPr>
                  <w:rFonts w:ascii="Arial" w:hAnsi="Arial" w:cs="Arial"/>
                  <w:sz w:val="22"/>
                  <w:szCs w:val="22"/>
                </w:rPr>
                <w:t>）转回或收回情况</w:t>
              </w:r>
            </w:p>
            <w:p w:rsidR="00DE031E" w:rsidRDefault="001C1A59" w:rsidP="003A0284">
              <w:pPr>
                <w:pStyle w:val="afb"/>
                <w:spacing w:beforeLines="50" w:after="120" w:line="360" w:lineRule="auto"/>
                <w:ind w:firstLineChars="193" w:firstLine="425"/>
                <w:outlineLvl w:val="9"/>
                <w:rPr>
                  <w:rFonts w:ascii="Arial" w:hAnsi="Arial" w:cs="Arial"/>
                  <w:sz w:val="22"/>
                  <w:szCs w:val="22"/>
                </w:rPr>
              </w:pPr>
              <w:r>
                <w:rPr>
                  <w:rFonts w:ascii="Arial" w:hAnsi="Arial" w:cs="Arial" w:hint="eastAsia"/>
                  <w:sz w:val="22"/>
                  <w:szCs w:val="22"/>
                </w:rPr>
                <w:t>2015</w:t>
              </w:r>
              <w:r>
                <w:rPr>
                  <w:rFonts w:ascii="Arial" w:hAnsi="Arial" w:cs="Arial" w:hint="eastAsia"/>
                  <w:sz w:val="22"/>
                  <w:szCs w:val="22"/>
                </w:rPr>
                <w:t>年</w:t>
              </w:r>
              <w:r>
                <w:rPr>
                  <w:rFonts w:ascii="Arial" w:hAnsi="Arial" w:cs="Arial" w:hint="eastAsia"/>
                  <w:sz w:val="22"/>
                  <w:szCs w:val="22"/>
                </w:rPr>
                <w:t>1-6</w:t>
              </w:r>
              <w:r>
                <w:rPr>
                  <w:rFonts w:ascii="Arial" w:hAnsi="Arial" w:cs="Arial" w:hint="eastAsia"/>
                  <w:sz w:val="22"/>
                  <w:szCs w:val="22"/>
                </w:rPr>
                <w:t>月无</w:t>
              </w:r>
              <w:r w:rsidRPr="00687C1B">
                <w:rPr>
                  <w:rFonts w:ascii="Arial" w:hAnsi="Arial" w:cs="Arial"/>
                  <w:sz w:val="22"/>
                  <w:szCs w:val="22"/>
                </w:rPr>
                <w:t>转回或收回情况</w:t>
              </w:r>
              <w:r>
                <w:rPr>
                  <w:rFonts w:ascii="Arial" w:hAnsi="Arial" w:cs="Arial" w:hint="eastAsia"/>
                  <w:sz w:val="22"/>
                  <w:szCs w:val="22"/>
                </w:rPr>
                <w:t>。</w:t>
              </w:r>
            </w:p>
            <w:p w:rsidR="00DE031E" w:rsidRDefault="001C1A59" w:rsidP="003A0284">
              <w:pPr>
                <w:pStyle w:val="afb"/>
                <w:spacing w:beforeLines="50" w:after="120" w:line="360" w:lineRule="auto"/>
                <w:ind w:firstLineChars="0" w:firstLine="0"/>
                <w:outlineLvl w:val="9"/>
                <w:rPr>
                  <w:rFonts w:ascii="Arial" w:hAnsi="Arial" w:cs="Arial"/>
                  <w:sz w:val="22"/>
                  <w:szCs w:val="22"/>
                </w:rPr>
              </w:pPr>
              <w:r w:rsidRPr="00687C1B">
                <w:rPr>
                  <w:rFonts w:ascii="Arial" w:hAnsi="Arial" w:cs="Arial"/>
                  <w:sz w:val="22"/>
                  <w:szCs w:val="22"/>
                </w:rPr>
                <w:t>6</w:t>
              </w:r>
              <w:r w:rsidRPr="00687C1B">
                <w:rPr>
                  <w:rFonts w:ascii="Arial" w:hAnsi="Arial" w:cs="Arial"/>
                  <w:sz w:val="22"/>
                  <w:szCs w:val="22"/>
                </w:rPr>
                <w:t>）</w:t>
              </w:r>
              <w:r>
                <w:rPr>
                  <w:rFonts w:ascii="Arial" w:hAnsi="Arial" w:cs="Arial" w:hint="eastAsia"/>
                  <w:sz w:val="22"/>
                  <w:szCs w:val="22"/>
                </w:rPr>
                <w:t>在以上各财务报表截止日，</w:t>
              </w:r>
              <w:r w:rsidRPr="00687C1B">
                <w:rPr>
                  <w:rFonts w:ascii="Arial" w:hAnsi="Arial" w:cs="Arial"/>
                  <w:sz w:val="22"/>
                  <w:szCs w:val="22"/>
                </w:rPr>
                <w:t>其他应收款余额中无应收关联方款项情况。</w:t>
              </w:r>
            </w:p>
            <w:p w:rsidR="00DE031E" w:rsidRDefault="001C1A59" w:rsidP="00DE031E">
              <w:pPr>
                <w:spacing w:line="360" w:lineRule="auto"/>
                <w:rPr>
                  <w:rFonts w:ascii="Arial" w:hAnsi="Arial" w:cs="Arial"/>
                  <w:sz w:val="22"/>
                  <w:szCs w:val="22"/>
                </w:rPr>
              </w:pPr>
              <w:r w:rsidRPr="00687C1B">
                <w:rPr>
                  <w:rFonts w:ascii="Arial" w:hAnsi="Arial" w:cs="Arial"/>
                  <w:sz w:val="22"/>
                  <w:szCs w:val="22"/>
                </w:rPr>
                <w:t>7</w:t>
              </w:r>
              <w:r w:rsidRPr="00687C1B">
                <w:rPr>
                  <w:rFonts w:ascii="Arial" w:hAnsi="Arial" w:cs="Arial"/>
                  <w:sz w:val="22"/>
                  <w:szCs w:val="22"/>
                </w:rPr>
                <w:t>）</w:t>
              </w:r>
              <w:r>
                <w:rPr>
                  <w:rFonts w:ascii="Arial" w:hAnsi="Arial" w:cs="Arial" w:hint="eastAsia"/>
                  <w:sz w:val="22"/>
                  <w:szCs w:val="22"/>
                </w:rPr>
                <w:t>在以上各财务报表截止日，</w:t>
              </w:r>
              <w:r w:rsidRPr="00687C1B">
                <w:rPr>
                  <w:rFonts w:ascii="Arial" w:hAnsi="Arial" w:cs="Arial"/>
                  <w:sz w:val="22"/>
                  <w:szCs w:val="22"/>
                </w:rPr>
                <w:t>其他应收款余额中无应收持公司</w:t>
              </w:r>
              <w:r w:rsidRPr="00687C1B">
                <w:rPr>
                  <w:rFonts w:ascii="Arial" w:hAnsi="Arial" w:cs="Arial"/>
                  <w:sz w:val="22"/>
                  <w:szCs w:val="22"/>
                </w:rPr>
                <w:t>5%</w:t>
              </w:r>
              <w:r w:rsidRPr="00687C1B">
                <w:rPr>
                  <w:rFonts w:ascii="Arial" w:hAnsi="Arial" w:cs="Arial"/>
                  <w:sz w:val="22"/>
                  <w:szCs w:val="22"/>
                </w:rPr>
                <w:t>（含</w:t>
              </w:r>
              <w:r w:rsidRPr="00687C1B">
                <w:rPr>
                  <w:rFonts w:ascii="Arial" w:hAnsi="Arial" w:cs="Arial"/>
                  <w:sz w:val="22"/>
                  <w:szCs w:val="22"/>
                </w:rPr>
                <w:t>5%</w:t>
              </w:r>
              <w:r w:rsidRPr="00687C1B">
                <w:rPr>
                  <w:rFonts w:ascii="Arial" w:hAnsi="Arial" w:cs="Arial"/>
                  <w:sz w:val="22"/>
                  <w:szCs w:val="22"/>
                </w:rPr>
                <w:t>）以上表决权股份的股东单位的款项。</w:t>
              </w:r>
            </w:p>
            <w:p w:rsidR="00DE031E" w:rsidRDefault="00422DCA" w:rsidP="00DE031E">
              <w:pPr>
                <w:rPr>
                  <w:szCs w:val="21"/>
                </w:rPr>
              </w:pPr>
            </w:p>
          </w:sdtContent>
        </w:sdt>
      </w:sdtContent>
    </w:sdt>
    <w:sdt>
      <w:sdtPr>
        <w:rPr>
          <w:rFonts w:ascii="宋体" w:hAnsi="宋体" w:cs="宋体"/>
          <w:b w:val="0"/>
          <w:bCs w:val="0"/>
          <w:kern w:val="0"/>
          <w:szCs w:val="24"/>
        </w:rPr>
        <w:tag w:val="_GBC_b783975b71dc4cc786fb7eec5bc4ab36"/>
        <w:id w:val="24724935"/>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41"/>
            </w:numPr>
            <w:tabs>
              <w:tab w:val="left" w:pos="504"/>
            </w:tabs>
            <w:rPr>
              <w:b w:val="0"/>
            </w:rPr>
          </w:pPr>
          <w:r>
            <w:t>资产减值</w:t>
          </w:r>
          <w:r>
            <w:rPr>
              <w:rFonts w:hint="eastAsia"/>
            </w:rPr>
            <w:t>准备变动表</w:t>
          </w:r>
        </w:p>
        <w:p w:rsidR="00DE031E" w:rsidRDefault="001C1A59">
          <w:pPr>
            <w:snapToGrid w:val="0"/>
            <w:spacing w:line="240" w:lineRule="atLeast"/>
            <w:jc w:val="right"/>
          </w:pPr>
          <w:r>
            <w:t>单位：</w:t>
          </w:r>
          <w:sdt>
            <w:sdtPr>
              <w:alias w:val="单位：财务附注：资产减值准备明细"/>
              <w:tag w:val="_GBC_6ac161231a734e4884f25b1e62f1c758"/>
              <w:id w:val="247248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资产减值准备明细"/>
              <w:tag w:val="_GBC_0c7222bc400b4383ad0677a6e7e79dad"/>
              <w:id w:val="247248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54" w:type="pct"/>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1476"/>
            <w:gridCol w:w="1386"/>
            <w:gridCol w:w="1026"/>
            <w:gridCol w:w="1027"/>
            <w:gridCol w:w="738"/>
            <w:gridCol w:w="1476"/>
          </w:tblGrid>
          <w:tr w:rsidR="00DE031E" w:rsidRPr="00240D3C" w:rsidTr="00DE031E">
            <w:trPr>
              <w:cantSplit/>
              <w:trHeight w:val="20"/>
              <w:jc w:val="center"/>
            </w:trPr>
            <w:tc>
              <w:tcPr>
                <w:tcW w:w="1252" w:type="pct"/>
                <w:vMerge w:val="restart"/>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sz w:val="18"/>
                    <w:szCs w:val="18"/>
                  </w:rPr>
                  <w:t>项目</w:t>
                </w:r>
              </w:p>
            </w:tc>
            <w:tc>
              <w:tcPr>
                <w:tcW w:w="776" w:type="pct"/>
                <w:vMerge w:val="restart"/>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期初余额</w:t>
                </w:r>
              </w:p>
            </w:tc>
            <w:tc>
              <w:tcPr>
                <w:tcW w:w="729" w:type="pct"/>
                <w:vMerge w:val="restart"/>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本期增加</w:t>
                </w:r>
              </w:p>
            </w:tc>
            <w:tc>
              <w:tcPr>
                <w:tcW w:w="540" w:type="pct"/>
                <w:vMerge w:val="restart"/>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汇率调整</w:t>
                </w:r>
              </w:p>
            </w:tc>
            <w:tc>
              <w:tcPr>
                <w:tcW w:w="928" w:type="pct"/>
                <w:gridSpan w:val="2"/>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本期减少</w:t>
                </w:r>
              </w:p>
            </w:tc>
            <w:tc>
              <w:tcPr>
                <w:tcW w:w="776" w:type="pct"/>
                <w:vMerge w:val="restart"/>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期末余额</w:t>
                </w:r>
              </w:p>
            </w:tc>
          </w:tr>
          <w:tr w:rsidR="00DE031E" w:rsidRPr="00240D3C" w:rsidTr="00DE031E">
            <w:trPr>
              <w:cantSplit/>
              <w:trHeight w:val="20"/>
              <w:jc w:val="center"/>
            </w:trPr>
            <w:tc>
              <w:tcPr>
                <w:tcW w:w="1252" w:type="pct"/>
                <w:vMerge/>
                <w:tcBorders>
                  <w:left w:val="single" w:sz="4" w:space="0" w:color="auto"/>
                  <w:bottom w:val="single" w:sz="4" w:space="0" w:color="auto"/>
                  <w:right w:val="single" w:sz="4" w:space="0" w:color="auto"/>
                </w:tcBorders>
              </w:tcPr>
              <w:p w:rsidR="00DE031E" w:rsidRPr="00240D3C" w:rsidRDefault="00DE031E" w:rsidP="00DE031E">
                <w:pPr>
                  <w:jc w:val="center"/>
                  <w:rPr>
                    <w:rFonts w:asciiTheme="minorEastAsia" w:eastAsiaTheme="minorEastAsia" w:hAnsiTheme="minorEastAsia"/>
                    <w:sz w:val="18"/>
                    <w:szCs w:val="18"/>
                  </w:rPr>
                </w:pPr>
              </w:p>
            </w:tc>
            <w:tc>
              <w:tcPr>
                <w:tcW w:w="776" w:type="pct"/>
                <w:vMerge/>
                <w:tcBorders>
                  <w:left w:val="single" w:sz="4" w:space="0" w:color="auto"/>
                  <w:bottom w:val="single" w:sz="4" w:space="0" w:color="auto"/>
                  <w:right w:val="single" w:sz="4" w:space="0" w:color="auto"/>
                </w:tcBorders>
              </w:tcPr>
              <w:p w:rsidR="00DE031E" w:rsidRPr="00240D3C" w:rsidRDefault="00DE031E" w:rsidP="00DE031E">
                <w:pPr>
                  <w:jc w:val="center"/>
                  <w:rPr>
                    <w:rFonts w:asciiTheme="minorEastAsia" w:eastAsiaTheme="minorEastAsia" w:hAnsiTheme="minorEastAsia"/>
                    <w:sz w:val="18"/>
                    <w:szCs w:val="18"/>
                  </w:rPr>
                </w:pPr>
              </w:p>
            </w:tc>
            <w:tc>
              <w:tcPr>
                <w:tcW w:w="729" w:type="pct"/>
                <w:vMerge/>
                <w:tcBorders>
                  <w:left w:val="single" w:sz="4" w:space="0" w:color="auto"/>
                  <w:bottom w:val="single" w:sz="4" w:space="0" w:color="auto"/>
                  <w:right w:val="single" w:sz="4" w:space="0" w:color="auto"/>
                </w:tcBorders>
              </w:tcPr>
              <w:p w:rsidR="00DE031E" w:rsidRPr="00240D3C" w:rsidRDefault="00DE031E" w:rsidP="00DE031E">
                <w:pPr>
                  <w:jc w:val="center"/>
                  <w:rPr>
                    <w:rFonts w:asciiTheme="minorEastAsia" w:eastAsiaTheme="minorEastAsia" w:hAnsiTheme="minorEastAsia"/>
                    <w:sz w:val="18"/>
                    <w:szCs w:val="18"/>
                  </w:rPr>
                </w:pPr>
              </w:p>
            </w:tc>
            <w:tc>
              <w:tcPr>
                <w:tcW w:w="540" w:type="pct"/>
                <w:vMerge/>
                <w:tcBorders>
                  <w:left w:val="single" w:sz="4" w:space="0" w:color="auto"/>
                  <w:bottom w:val="single" w:sz="4" w:space="0" w:color="auto"/>
                  <w:right w:val="single" w:sz="4" w:space="0" w:color="auto"/>
                </w:tcBorders>
              </w:tcPr>
              <w:p w:rsidR="00DE031E" w:rsidRPr="00240D3C" w:rsidRDefault="00DE031E" w:rsidP="00DE031E">
                <w:pPr>
                  <w:jc w:val="center"/>
                  <w:rPr>
                    <w:rFonts w:asciiTheme="minorEastAsia" w:eastAsiaTheme="minorEastAsia" w:hAnsiTheme="minorEastAsia"/>
                    <w:sz w:val="18"/>
                    <w:szCs w:val="18"/>
                  </w:rPr>
                </w:pPr>
              </w:p>
            </w:tc>
            <w:tc>
              <w:tcPr>
                <w:tcW w:w="540" w:type="pct"/>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sz w:val="18"/>
                    <w:szCs w:val="18"/>
                  </w:rPr>
                  <w:t>转回</w:t>
                </w:r>
              </w:p>
            </w:tc>
            <w:tc>
              <w:tcPr>
                <w:tcW w:w="388" w:type="pct"/>
                <w:tcBorders>
                  <w:top w:val="single" w:sz="4" w:space="0" w:color="auto"/>
                  <w:left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sz w:val="18"/>
                    <w:szCs w:val="18"/>
                  </w:rPr>
                  <w:t>转销</w:t>
                </w:r>
              </w:p>
            </w:tc>
            <w:tc>
              <w:tcPr>
                <w:tcW w:w="776" w:type="pct"/>
                <w:vMerge/>
                <w:tcBorders>
                  <w:left w:val="single" w:sz="4" w:space="0" w:color="auto"/>
                  <w:right w:val="single" w:sz="4" w:space="0" w:color="auto"/>
                </w:tcBorders>
              </w:tcPr>
              <w:p w:rsidR="00DE031E" w:rsidRPr="00240D3C" w:rsidRDefault="00DE031E" w:rsidP="00DE031E">
                <w:pPr>
                  <w:jc w:val="center"/>
                  <w:rPr>
                    <w:rFonts w:asciiTheme="minorEastAsia" w:eastAsiaTheme="minorEastAsia" w:hAnsiTheme="minorEastAsia"/>
                    <w:sz w:val="18"/>
                    <w:szCs w:val="18"/>
                  </w:rPr>
                </w:pPr>
              </w:p>
            </w:tc>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5" w:right="-94"/>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 xml:space="preserve">买入返售金融资产减值准备  </w:t>
                </w:r>
              </w:p>
            </w:tc>
            <w:sdt>
              <w:sdtPr>
                <w:rPr>
                  <w:rFonts w:asciiTheme="minorEastAsia" w:eastAsiaTheme="minorEastAsia" w:hAnsiTheme="minorEastAsia"/>
                  <w:color w:val="000000" w:themeColor="text1"/>
                  <w:sz w:val="18"/>
                  <w:szCs w:val="18"/>
                </w:rPr>
                <w:alias w:val="坏账准备－买入返售金融资产余额合计"/>
                <w:tag w:val="_GBC_e812eccf83174c0bbe196c70d8e94636"/>
                <w:id w:val="24724880"/>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sz w:val="18"/>
                        <w:szCs w:val="18"/>
                      </w:rPr>
                      <w:t xml:space="preserve">　</w:t>
                    </w:r>
                  </w:p>
                </w:tc>
              </w:sdtContent>
            </w:sdt>
            <w:sdt>
              <w:sdtPr>
                <w:rPr>
                  <w:rFonts w:asciiTheme="minorEastAsia" w:eastAsiaTheme="minorEastAsia" w:hAnsiTheme="minorEastAsia"/>
                  <w:color w:val="000000" w:themeColor="text1"/>
                  <w:sz w:val="18"/>
                  <w:szCs w:val="18"/>
                </w:rPr>
                <w:alias w:val="坏账准备－买入返售金融资产（增加额）"/>
                <w:tag w:val="_GBC_bb0bfea1f5644911a3a802f82d36c2f0"/>
                <w:id w:val="24724881"/>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坏账准备－买入返售金融资产转回数"/>
                <w:tag w:val="_GBC_646e3dd7795f4bc8b9d7134f002cf83b"/>
                <w:id w:val="24724882"/>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坏账准备－买入返售金融资产转销数"/>
                <w:tag w:val="_GBC_6c05cd55d3914aaa9bedb3c387f73195"/>
                <w:id w:val="24724883"/>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坏账准备－买入返售金融资产余额合计"/>
                <w:tag w:val="_GBC_42992e87137749b4b7e8dbbd8bfea126"/>
                <w:id w:val="24724884"/>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sz w:val="18"/>
                        <w:szCs w:val="18"/>
                      </w:rPr>
                      <w:t xml:space="preserve">　</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坏账准备</w:t>
                </w:r>
              </w:p>
            </w:tc>
            <w:sdt>
              <w:sdtPr>
                <w:rPr>
                  <w:rFonts w:asciiTheme="minorEastAsia" w:eastAsiaTheme="minorEastAsia" w:hAnsiTheme="minorEastAsia"/>
                  <w:color w:val="000000" w:themeColor="text1"/>
                  <w:sz w:val="18"/>
                  <w:szCs w:val="18"/>
                </w:rPr>
                <w:alias w:val="坏账准备－应收款项合计"/>
                <w:tag w:val="_GBC_9af650b4f96b468e85b095122270664b"/>
                <w:id w:val="24724885"/>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18,818,047.25</w:t>
                    </w:r>
                  </w:p>
                </w:tc>
              </w:sdtContent>
            </w:sdt>
            <w:sdt>
              <w:sdtPr>
                <w:rPr>
                  <w:rFonts w:asciiTheme="minorEastAsia" w:eastAsiaTheme="minorEastAsia" w:hAnsiTheme="minorEastAsia"/>
                  <w:color w:val="000000" w:themeColor="text1"/>
                  <w:sz w:val="18"/>
                  <w:szCs w:val="18"/>
                </w:rPr>
                <w:alias w:val="坏账准备－应收款项（增加额）"/>
                <w:tag w:val="_GBC_a3e688e0a68b42b79be954db0b0430a1"/>
                <w:id w:val="24724886"/>
                <w:lock w:val="sdtLocked"/>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-4,311,646.29</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sz w:val="18"/>
                    <w:szCs w:val="18"/>
                  </w:rPr>
                </w:pPr>
                <w:r w:rsidRPr="00240D3C">
                  <w:rPr>
                    <w:rFonts w:asciiTheme="minorEastAsia" w:eastAsiaTheme="minorEastAsia" w:hAnsiTheme="minorEastAsia" w:cs="Arial" w:hint="eastAsia"/>
                    <w:bCs/>
                    <w:color w:val="000000"/>
                    <w:sz w:val="18"/>
                    <w:szCs w:val="18"/>
                  </w:rPr>
                  <w:t>-2,</w:t>
                </w:r>
                <w:r>
                  <w:rPr>
                    <w:rFonts w:asciiTheme="minorEastAsia" w:eastAsiaTheme="minorEastAsia" w:hAnsiTheme="minorEastAsia" w:cs="Arial" w:hint="eastAsia"/>
                    <w:bCs/>
                    <w:color w:val="000000"/>
                    <w:sz w:val="18"/>
                    <w:szCs w:val="18"/>
                  </w:rPr>
                  <w:t>35</w:t>
                </w:r>
                <w:r w:rsidRPr="00240D3C">
                  <w:rPr>
                    <w:rFonts w:asciiTheme="minorEastAsia" w:eastAsiaTheme="minorEastAsia" w:hAnsiTheme="minorEastAsia" w:cs="Arial" w:hint="eastAsia"/>
                    <w:bCs/>
                    <w:color w:val="000000"/>
                    <w:sz w:val="18"/>
                    <w:szCs w:val="18"/>
                  </w:rPr>
                  <w:t>4.10</w:t>
                </w:r>
              </w:p>
            </w:tc>
            <w:sdt>
              <w:sdtPr>
                <w:rPr>
                  <w:rFonts w:asciiTheme="minorEastAsia" w:eastAsiaTheme="minorEastAsia" w:hAnsiTheme="minorEastAsia"/>
                  <w:color w:val="000000" w:themeColor="text1"/>
                  <w:sz w:val="18"/>
                  <w:szCs w:val="18"/>
                </w:rPr>
                <w:alias w:val="坏账准备－应收款项转回数"/>
                <w:tag w:val="_GBC_9852f040ccb24ab68d9d44fbbc0771e9"/>
                <w:id w:val="24724887"/>
                <w:lock w:val="sdtLocked"/>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97,816.68</w:t>
                    </w:r>
                  </w:p>
                </w:tc>
              </w:sdtContent>
            </w:sdt>
            <w:sdt>
              <w:sdtPr>
                <w:rPr>
                  <w:rFonts w:asciiTheme="minorEastAsia" w:eastAsiaTheme="minorEastAsia" w:hAnsiTheme="minorEastAsia"/>
                  <w:color w:val="000000" w:themeColor="text1"/>
                  <w:sz w:val="18"/>
                  <w:szCs w:val="18"/>
                </w:rPr>
                <w:alias w:val="坏账准备－应收款项转销数"/>
                <w:tag w:val="_GBC_334b3e8ce814413bbffb40f8d2cda50e"/>
                <w:id w:val="24724888"/>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坏账准备－应收款项合计"/>
                <w:tag w:val="_GBC_717b8df6a93e475bbbb6d5394c8cbecf"/>
                <w:id w:val="24724889"/>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14,406,230.18</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5" w:right="-94"/>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可供出售金融资产减值准备</w:t>
                </w:r>
              </w:p>
            </w:tc>
            <w:sdt>
              <w:sdtPr>
                <w:rPr>
                  <w:rFonts w:asciiTheme="minorEastAsia" w:eastAsiaTheme="minorEastAsia" w:hAnsiTheme="minorEastAsia"/>
                  <w:color w:val="000000" w:themeColor="text1"/>
                  <w:sz w:val="18"/>
                  <w:szCs w:val="18"/>
                </w:rPr>
                <w:alias w:val="可供出售金融资产减值准备余额合计"/>
                <w:tag w:val="_GBC_a2974861ac934041bf84461cfcc85b7d"/>
                <w:id w:val="24724890"/>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可供出售金融资产减值准备增加数"/>
                <w:tag w:val="_GBC_16295b98ed34481ca209db399c0ef914"/>
                <w:id w:val="24724891"/>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5"/>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可供出售金融资产减值准备转回数"/>
                <w:tag w:val="_GBC_17db79cbb9494aaaaa1f718700fe374b"/>
                <w:id w:val="24724892"/>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可供出售金融资产减值准备转销数"/>
                <w:tag w:val="_GBC_892e11fdbec24bdd82199f76b54a29af"/>
                <w:id w:val="24724893"/>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可供出售金融资产减值准备余额合计"/>
                <w:tag w:val="_GBC_53eec147d6d44fe2b4f6fd9c9d03471d"/>
                <w:id w:val="24724894"/>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0" w:right="-84"/>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持有至到期投资减值准备</w:t>
                </w:r>
              </w:p>
            </w:tc>
            <w:sdt>
              <w:sdtPr>
                <w:rPr>
                  <w:rFonts w:asciiTheme="minorEastAsia" w:eastAsiaTheme="minorEastAsia" w:hAnsiTheme="minorEastAsia"/>
                  <w:color w:val="000000" w:themeColor="text1"/>
                  <w:sz w:val="18"/>
                  <w:szCs w:val="18"/>
                </w:rPr>
                <w:alias w:val="持有至到期投资减值准备余额合计"/>
                <w:tag w:val="_GBC_205eb63a0f004d5aade4e69f6e02b71c"/>
                <w:id w:val="24724895"/>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sz w:val="18"/>
                        <w:szCs w:val="18"/>
                      </w:rPr>
                      <w:t xml:space="preserve">　</w:t>
                    </w:r>
                  </w:p>
                </w:tc>
              </w:sdtContent>
            </w:sdt>
            <w:sdt>
              <w:sdtPr>
                <w:rPr>
                  <w:rFonts w:asciiTheme="minorEastAsia" w:eastAsiaTheme="minorEastAsia" w:hAnsiTheme="minorEastAsia"/>
                  <w:color w:val="000000" w:themeColor="text1"/>
                  <w:sz w:val="18"/>
                  <w:szCs w:val="18"/>
                </w:rPr>
                <w:alias w:val="持有至到期投资减值准备增加数"/>
                <w:tag w:val="_GBC_d01f0cef425b49468efbc41df92ab040"/>
                <w:id w:val="24724896"/>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5"/>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持有至到期投资减值准备转回数"/>
                <w:tag w:val="_GBC_de469f5ddb244dcfade3947cd568ae94"/>
                <w:id w:val="24724897"/>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持有至到期投资减值准备转销数"/>
                <w:tag w:val="_GBC_632b078813114e80906fe47b7895df97"/>
                <w:id w:val="24724898"/>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持有至到期投资减值准备余额合计"/>
                <w:tag w:val="_GBC_ae5c0be19a154d9599fcb02f54391a2f"/>
                <w:id w:val="24724899"/>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sz w:val="18"/>
                        <w:szCs w:val="18"/>
                      </w:rPr>
                      <w:t xml:space="preserve">　</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6" w:right="-97"/>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长期股权投资减值准备</w:t>
                </w:r>
              </w:p>
            </w:tc>
            <w:sdt>
              <w:sdtPr>
                <w:rPr>
                  <w:rFonts w:asciiTheme="minorEastAsia" w:eastAsiaTheme="minorEastAsia" w:hAnsiTheme="minorEastAsia"/>
                  <w:color w:val="000000" w:themeColor="text1"/>
                  <w:sz w:val="18"/>
                  <w:szCs w:val="18"/>
                </w:rPr>
                <w:alias w:val="长期股权投资减值准备余额"/>
                <w:tag w:val="_GBC_63b5e8ff212b45228702a854e46e1824"/>
                <w:id w:val="24724900"/>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669,149,595.78</w:t>
                    </w:r>
                  </w:p>
                </w:tc>
              </w:sdtContent>
            </w:sdt>
            <w:sdt>
              <w:sdtPr>
                <w:rPr>
                  <w:rFonts w:asciiTheme="minorEastAsia" w:eastAsiaTheme="minorEastAsia" w:hAnsiTheme="minorEastAsia"/>
                  <w:color w:val="000000" w:themeColor="text1"/>
                  <w:sz w:val="18"/>
                  <w:szCs w:val="18"/>
                </w:rPr>
                <w:alias w:val="长期股权投资减值准备_本期增加数"/>
                <w:tag w:val="_GBC_48bcea9da8f7404ba5a248d5b3e317cc"/>
                <w:id w:val="24724901"/>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5"/>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长期投资减值准备合计_本期因资产价值回升转回数"/>
                <w:tag w:val="_GBC_70c5e884cb5c4f6c8ccc4aae809ec7f1"/>
                <w:id w:val="24724902"/>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长期投资减值准备合计_本期其他原因转出数"/>
                <w:tag w:val="_GBC_94d5063853b14bbda3f1b7c4059fda4a"/>
                <w:id w:val="24724903"/>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长期股权投资减值准备余额"/>
                <w:tag w:val="_GBC_0466f21059cc4ee7bb2e41ed7f1f7bfc"/>
                <w:id w:val="24724904"/>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669,149,595.78</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0" w:right="-84"/>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投资性房地产减值准备</w:t>
                </w:r>
              </w:p>
            </w:tc>
            <w:sdt>
              <w:sdtPr>
                <w:rPr>
                  <w:rFonts w:asciiTheme="minorEastAsia" w:eastAsiaTheme="minorEastAsia" w:hAnsiTheme="minorEastAsia"/>
                  <w:color w:val="000000" w:themeColor="text1"/>
                  <w:sz w:val="18"/>
                  <w:szCs w:val="18"/>
                </w:rPr>
                <w:alias w:val="投资性房地产减值准备余额合计"/>
                <w:tag w:val="_GBC_ba4785a76a374e49bf637464ac330e1f"/>
                <w:id w:val="24724905"/>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7,893,588.80</w:t>
                    </w:r>
                  </w:p>
                </w:tc>
              </w:sdtContent>
            </w:sdt>
            <w:sdt>
              <w:sdtPr>
                <w:rPr>
                  <w:rFonts w:asciiTheme="minorEastAsia" w:eastAsiaTheme="minorEastAsia" w:hAnsiTheme="minorEastAsia"/>
                  <w:color w:val="000000" w:themeColor="text1"/>
                  <w:sz w:val="18"/>
                  <w:szCs w:val="18"/>
                </w:rPr>
                <w:alias w:val="投资性房地产减值准备增加数"/>
                <w:tag w:val="_GBC_e0705f7818dd4dea896d8270a5c51e0d"/>
                <w:id w:val="24724906"/>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5"/>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投资性房地产减值准备转回数"/>
                <w:tag w:val="_GBC_849f4f45916e4a5aa277652e4f00a0d6"/>
                <w:id w:val="24724907"/>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投资性房地产减值准备转销数"/>
                <w:tag w:val="_GBC_67e2e1ea0f5c4511a061b46498e0b5c3"/>
                <w:id w:val="24724908"/>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投资性房地产减值准备余额合计"/>
                <w:tag w:val="_GBC_281446d497b74c36aca239a86e8cf0a8"/>
                <w:id w:val="24724909"/>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7,893,588.80</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0" w:right="-84"/>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固定资产减值准备</w:t>
                </w:r>
              </w:p>
            </w:tc>
            <w:sdt>
              <w:sdtPr>
                <w:rPr>
                  <w:rFonts w:asciiTheme="minorEastAsia" w:eastAsiaTheme="minorEastAsia" w:hAnsiTheme="minorEastAsia"/>
                  <w:color w:val="000000" w:themeColor="text1"/>
                  <w:sz w:val="18"/>
                  <w:szCs w:val="18"/>
                </w:rPr>
                <w:alias w:val="固定资产减值准备"/>
                <w:tag w:val="_GBC_b5aaffd933024a7da9b6efc9c66657ca"/>
                <w:id w:val="24724910"/>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9,793,588.79</w:t>
                    </w:r>
                  </w:p>
                </w:tc>
              </w:sdtContent>
            </w:sdt>
            <w:sdt>
              <w:sdtPr>
                <w:rPr>
                  <w:rFonts w:asciiTheme="minorEastAsia" w:eastAsiaTheme="minorEastAsia" w:hAnsiTheme="minorEastAsia"/>
                  <w:color w:val="000000" w:themeColor="text1"/>
                  <w:sz w:val="18"/>
                  <w:szCs w:val="18"/>
                </w:rPr>
                <w:alias w:val="固定资产减值准备合计_本期增加数"/>
                <w:tag w:val="_GBC_684d08e6a2924227a7d8c00bc5229174"/>
                <w:id w:val="24724911"/>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5"/>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固定资产减值准备合计_本期因资产价值回升转回数"/>
                <w:tag w:val="_GBC_0e1a8a4b10e34021b864d13c6da3b0aa"/>
                <w:id w:val="24724912"/>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固定资产减值准备合计_本期其他原因转出数"/>
                <w:tag w:val="_GBC_88cb4d81af6e4ff182cbab8701cb573c"/>
                <w:id w:val="24724913"/>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固定资产减值准备"/>
                <w:tag w:val="_GBC_b90f5d81c0f64f558bddd31e4965d7d3"/>
                <w:id w:val="24724914"/>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9,793,588.79</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在建工程减值准备</w:t>
                </w:r>
              </w:p>
            </w:tc>
            <w:sdt>
              <w:sdtPr>
                <w:rPr>
                  <w:rFonts w:asciiTheme="minorEastAsia" w:eastAsiaTheme="minorEastAsia" w:hAnsiTheme="minorEastAsia"/>
                  <w:color w:val="000000" w:themeColor="text1"/>
                  <w:sz w:val="18"/>
                  <w:szCs w:val="18"/>
                </w:rPr>
                <w:alias w:val="在建工程减值准备合计余额"/>
                <w:tag w:val="_GBC_cd6b8e43a6d14d9eb9cebc17b7413e35"/>
                <w:id w:val="24724915"/>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sz w:val="18"/>
                        <w:szCs w:val="18"/>
                      </w:rPr>
                      <w:t xml:space="preserve">　</w:t>
                    </w:r>
                  </w:p>
                </w:tc>
              </w:sdtContent>
            </w:sdt>
            <w:sdt>
              <w:sdtPr>
                <w:rPr>
                  <w:rFonts w:asciiTheme="minorEastAsia" w:eastAsiaTheme="minorEastAsia" w:hAnsiTheme="minorEastAsia"/>
                  <w:color w:val="000000" w:themeColor="text1"/>
                  <w:sz w:val="18"/>
                  <w:szCs w:val="18"/>
                </w:rPr>
                <w:alias w:val="在建工程减值准备合计_本期增加数"/>
                <w:tag w:val="_GBC_313ef612b902430e84bd34948ccbc519"/>
                <w:id w:val="24724916"/>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5"/>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在建工程减值准备合计_本期因资产价值回升转回数"/>
                <w:tag w:val="_GBC_870a1878e15c40bba0327b041af22bc0"/>
                <w:id w:val="24724917"/>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在建工程减值准备合计_本期其他原因转出数"/>
                <w:tag w:val="_GBC_60cd00e3268f422399701d8d6cfdaf33"/>
                <w:id w:val="24724918"/>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在建工程减值准备合计余额"/>
                <w:tag w:val="_GBC_f180eeaa2ca24f0cab803833818d5122"/>
                <w:id w:val="24724919"/>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sz w:val="18"/>
                        <w:szCs w:val="18"/>
                      </w:rPr>
                      <w:t xml:space="preserve">　</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0" w:right="-84"/>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无形资产减值准备</w:t>
                </w:r>
              </w:p>
            </w:tc>
            <w:sdt>
              <w:sdtPr>
                <w:rPr>
                  <w:rFonts w:asciiTheme="minorEastAsia" w:eastAsiaTheme="minorEastAsia" w:hAnsiTheme="minorEastAsia"/>
                  <w:color w:val="000000" w:themeColor="text1"/>
                  <w:sz w:val="18"/>
                  <w:szCs w:val="18"/>
                </w:rPr>
                <w:alias w:val="无形资产减值准备合计余额"/>
                <w:tag w:val="_GBC_08d6dd3de9094e909b693ae88a461341"/>
                <w:id w:val="24724920"/>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无形资产减值准备合计_本期增加数"/>
                <w:tag w:val="_GBC_22798597d17d4f9aa1423273847ffcd3"/>
                <w:id w:val="24724921"/>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5"/>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无形资产减值准备合计_本期因资产价值回升转回数"/>
                <w:tag w:val="_GBC_581481f134f940fd99aa7d686a4c6a27"/>
                <w:id w:val="24724922"/>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无形资产减值准备合计_本期其他原因转出数"/>
                <w:tag w:val="_GBC_50b74ccc5e904639b2725f467b1772a8"/>
                <w:id w:val="24724923"/>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无形资产减值准备合计余额"/>
                <w:tag w:val="_GBC_635dfcdc6a884a87bb7010e20a172fd5"/>
                <w:id w:val="24724924"/>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5"/>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ind w:rightChars="-40" w:right="-84"/>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商誉减值准备</w:t>
                </w:r>
              </w:p>
            </w:tc>
            <w:sdt>
              <w:sdtPr>
                <w:rPr>
                  <w:rFonts w:asciiTheme="minorEastAsia" w:eastAsiaTheme="minorEastAsia" w:hAnsiTheme="minorEastAsia"/>
                  <w:color w:val="000000" w:themeColor="text1"/>
                  <w:sz w:val="18"/>
                  <w:szCs w:val="18"/>
                </w:rPr>
                <w:alias w:val="商誉减值准备余额合计"/>
                <w:tag w:val="_GBC_5daffc279bbd46a18ab15052fc2f88bb"/>
                <w:id w:val="24724925"/>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22,867,603.25</w:t>
                    </w:r>
                  </w:p>
                </w:tc>
              </w:sdtContent>
            </w:sdt>
            <w:sdt>
              <w:sdtPr>
                <w:rPr>
                  <w:rFonts w:asciiTheme="minorEastAsia" w:eastAsiaTheme="minorEastAsia" w:hAnsiTheme="minorEastAsia"/>
                  <w:color w:val="000000" w:themeColor="text1"/>
                  <w:sz w:val="18"/>
                  <w:szCs w:val="18"/>
                </w:rPr>
                <w:alias w:val="商誉减值准备增加数"/>
                <w:tag w:val="_GBC_8fc8b110122b452bbd0beafa285d3ae7"/>
                <w:id w:val="24724926"/>
                <w:lock w:val="sdtLocked"/>
                <w:showingPlcHdr/>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DE031E" w:rsidP="00DE031E">
                <w:pPr>
                  <w:pStyle w:val="a8"/>
                  <w:jc w:val="right"/>
                  <w:rPr>
                    <w:rFonts w:asciiTheme="minorEastAsia" w:eastAsiaTheme="minorEastAsia" w:hAnsiTheme="minorEastAsia"/>
                    <w:sz w:val="18"/>
                    <w:szCs w:val="18"/>
                  </w:rPr>
                </w:pPr>
              </w:p>
            </w:tc>
            <w:sdt>
              <w:sdtPr>
                <w:rPr>
                  <w:rFonts w:asciiTheme="minorEastAsia" w:eastAsiaTheme="minorEastAsia" w:hAnsiTheme="minorEastAsia"/>
                  <w:color w:val="000000" w:themeColor="text1"/>
                  <w:sz w:val="18"/>
                  <w:szCs w:val="18"/>
                </w:rPr>
                <w:alias w:val="商誉减值准备转回数"/>
                <w:tag w:val="_GBC_516d5398e38b447eafb071a3e3cdcd9f"/>
                <w:id w:val="24724927"/>
                <w:lock w:val="sdtLocked"/>
                <w:showingPlcHdr/>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商誉减值准备转销数"/>
                <w:tag w:val="_GBC_e519b80972e4480f97835116ff7e19f3"/>
                <w:id w:val="24724928"/>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商誉减值准备余额合计"/>
                <w:tag w:val="_GBC_be4d93e755ed42289f8a51b599350c51"/>
                <w:id w:val="24724929"/>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color w:val="000000"/>
                        <w:sz w:val="18"/>
                        <w:szCs w:val="18"/>
                      </w:rPr>
                      <w:t>22,867,603.25</w:t>
                    </w:r>
                  </w:p>
                </w:tc>
              </w:sdtContent>
            </w:sdt>
          </w:tr>
          <w:tr w:rsidR="00DE031E" w:rsidRPr="00240D3C" w:rsidTr="00DE031E">
            <w:trPr>
              <w:cantSplit/>
              <w:trHeight w:val="20"/>
              <w:jc w:val="center"/>
            </w:trPr>
            <w:tc>
              <w:tcPr>
                <w:tcW w:w="1252" w:type="pct"/>
                <w:tcBorders>
                  <w:top w:val="single" w:sz="4" w:space="0" w:color="auto"/>
                  <w:left w:val="single" w:sz="4" w:space="0" w:color="auto"/>
                  <w:bottom w:val="single" w:sz="4" w:space="0" w:color="auto"/>
                  <w:right w:val="single" w:sz="4" w:space="0" w:color="auto"/>
                </w:tcBorders>
                <w:vAlign w:val="center"/>
              </w:tcPr>
              <w:p w:rsidR="00DE031E" w:rsidRPr="00240D3C" w:rsidRDefault="001C1A59" w:rsidP="00DE031E">
                <w:pPr>
                  <w:jc w:val="center"/>
                  <w:rPr>
                    <w:rFonts w:asciiTheme="minorEastAsia" w:eastAsiaTheme="minorEastAsia" w:hAnsiTheme="minorEastAsia"/>
                    <w:sz w:val="18"/>
                    <w:szCs w:val="18"/>
                  </w:rPr>
                </w:pPr>
                <w:r w:rsidRPr="00240D3C">
                  <w:rPr>
                    <w:rFonts w:asciiTheme="minorEastAsia" w:eastAsiaTheme="minorEastAsia" w:hAnsiTheme="minorEastAsia" w:hint="eastAsia"/>
                    <w:sz w:val="18"/>
                    <w:szCs w:val="18"/>
                  </w:rPr>
                  <w:t>合计</w:t>
                </w:r>
              </w:p>
            </w:tc>
            <w:sdt>
              <w:sdtPr>
                <w:rPr>
                  <w:rFonts w:asciiTheme="minorEastAsia" w:eastAsiaTheme="minorEastAsia" w:hAnsiTheme="minorEastAsia"/>
                  <w:color w:val="000000" w:themeColor="text1"/>
                  <w:sz w:val="18"/>
                  <w:szCs w:val="18"/>
                </w:rPr>
                <w:alias w:val="资产减值准备总计余额"/>
                <w:tag w:val="_GBC_fb566a8bac3a48c28cf4ab5383f1a3c2"/>
                <w:id w:val="24724930"/>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bCs/>
                        <w:color w:val="000000"/>
                        <w:sz w:val="18"/>
                        <w:szCs w:val="18"/>
                      </w:rPr>
                      <w:t>728,522,423.87</w:t>
                    </w:r>
                  </w:p>
                </w:tc>
              </w:sdtContent>
            </w:sdt>
            <w:sdt>
              <w:sdtPr>
                <w:rPr>
                  <w:rFonts w:asciiTheme="minorEastAsia" w:eastAsiaTheme="minorEastAsia" w:hAnsiTheme="minorEastAsia"/>
                  <w:color w:val="000000" w:themeColor="text1"/>
                  <w:sz w:val="18"/>
                  <w:szCs w:val="18"/>
                </w:rPr>
                <w:alias w:val="资产减值准备总计本期增加数"/>
                <w:tag w:val="_GBC_42099baff0044339a49d0a324169c720"/>
                <w:id w:val="24724931"/>
                <w:lock w:val="sdtLocked"/>
              </w:sdtPr>
              <w:sdtContent>
                <w:tc>
                  <w:tcPr>
                    <w:tcW w:w="729"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bCs/>
                        <w:color w:val="000000"/>
                        <w:sz w:val="18"/>
                        <w:szCs w:val="18"/>
                      </w:rPr>
                      <w:t>-4,311,646.29</w:t>
                    </w:r>
                  </w:p>
                </w:tc>
              </w:sdtContent>
            </w:sd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sz w:val="18"/>
                    <w:szCs w:val="18"/>
                  </w:rPr>
                </w:pPr>
                <w:r w:rsidRPr="00240D3C">
                  <w:rPr>
                    <w:rFonts w:asciiTheme="minorEastAsia" w:eastAsiaTheme="minorEastAsia" w:hAnsiTheme="minorEastAsia" w:cs="Arial" w:hint="eastAsia"/>
                    <w:bCs/>
                    <w:color w:val="000000"/>
                    <w:sz w:val="18"/>
                    <w:szCs w:val="18"/>
                  </w:rPr>
                  <w:t>-2,</w:t>
                </w:r>
                <w:r>
                  <w:rPr>
                    <w:rFonts w:asciiTheme="minorEastAsia" w:eastAsiaTheme="minorEastAsia" w:hAnsiTheme="minorEastAsia" w:cs="Arial" w:hint="eastAsia"/>
                    <w:bCs/>
                    <w:color w:val="000000"/>
                    <w:sz w:val="18"/>
                    <w:szCs w:val="18"/>
                  </w:rPr>
                  <w:t>35</w:t>
                </w:r>
                <w:r w:rsidRPr="00240D3C">
                  <w:rPr>
                    <w:rFonts w:asciiTheme="minorEastAsia" w:eastAsiaTheme="minorEastAsia" w:hAnsiTheme="minorEastAsia" w:cs="Arial" w:hint="eastAsia"/>
                    <w:bCs/>
                    <w:color w:val="000000"/>
                    <w:sz w:val="18"/>
                    <w:szCs w:val="18"/>
                  </w:rPr>
                  <w:t>4.10</w:t>
                </w:r>
              </w:p>
            </w:tc>
            <w:sdt>
              <w:sdtPr>
                <w:rPr>
                  <w:rFonts w:asciiTheme="minorEastAsia" w:eastAsiaTheme="minorEastAsia" w:hAnsiTheme="minorEastAsia"/>
                  <w:color w:val="000000" w:themeColor="text1"/>
                  <w:sz w:val="18"/>
                  <w:szCs w:val="18"/>
                </w:rPr>
                <w:alias w:val="资产减值准备总计本期因资产价值回升转回数"/>
                <w:tag w:val="_GBC_e34efe72a61f488587fadf109afab1df"/>
                <w:id w:val="24724932"/>
                <w:lock w:val="sdtLocked"/>
              </w:sdtPr>
              <w:sdtContent>
                <w:tc>
                  <w:tcPr>
                    <w:tcW w:w="540"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cs="Arial"/>
                        <w:bCs/>
                        <w:color w:val="000000"/>
                        <w:sz w:val="18"/>
                        <w:szCs w:val="18"/>
                      </w:rPr>
                      <w:t>97,816.68</w:t>
                    </w:r>
                  </w:p>
                </w:tc>
              </w:sdtContent>
            </w:sdt>
            <w:sdt>
              <w:sdtPr>
                <w:rPr>
                  <w:rFonts w:asciiTheme="minorEastAsia" w:eastAsiaTheme="minorEastAsia" w:hAnsiTheme="minorEastAsia"/>
                  <w:color w:val="000000" w:themeColor="text1"/>
                  <w:sz w:val="18"/>
                  <w:szCs w:val="18"/>
                </w:rPr>
                <w:alias w:val="资产减值准备总计本期其他原因转出数"/>
                <w:tag w:val="_GBC_95daa93d0ea448c5bd67568585ddb3f0"/>
                <w:id w:val="24724933"/>
                <w:lock w:val="sdtLocked"/>
                <w:showingPlcHdr/>
              </w:sdtPr>
              <w:sdtContent>
                <w:tc>
                  <w:tcPr>
                    <w:tcW w:w="388"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sidRPr="00240D3C">
                      <w:rPr>
                        <w:rFonts w:asciiTheme="minorEastAsia" w:eastAsiaTheme="minorEastAsia" w:hAnsiTheme="minorEastAsia" w:hint="eastAsia"/>
                        <w:color w:val="000000" w:themeColor="text1"/>
                        <w:kern w:val="0"/>
                        <w:sz w:val="18"/>
                        <w:szCs w:val="18"/>
                      </w:rPr>
                      <w:t xml:space="preserve">　</w:t>
                    </w:r>
                  </w:p>
                </w:tc>
              </w:sdtContent>
            </w:sdt>
            <w:sdt>
              <w:sdtPr>
                <w:rPr>
                  <w:rFonts w:asciiTheme="minorEastAsia" w:eastAsiaTheme="minorEastAsia" w:hAnsiTheme="minorEastAsia"/>
                  <w:color w:val="000000" w:themeColor="text1"/>
                  <w:sz w:val="18"/>
                  <w:szCs w:val="18"/>
                </w:rPr>
                <w:alias w:val="资产减值准备总计余额"/>
                <w:tag w:val="_GBC_1f4d4a90235146189df055a979f36b75"/>
                <w:id w:val="24724934"/>
                <w:lock w:val="sdtLocked"/>
              </w:sdtPr>
              <w:sdtContent>
                <w:tc>
                  <w:tcPr>
                    <w:tcW w:w="776" w:type="pct"/>
                    <w:tcBorders>
                      <w:top w:val="single" w:sz="4" w:space="0" w:color="auto"/>
                      <w:left w:val="single" w:sz="4" w:space="0" w:color="auto"/>
                      <w:bottom w:val="single" w:sz="4" w:space="0" w:color="auto"/>
                      <w:right w:val="single" w:sz="4" w:space="0" w:color="auto"/>
                    </w:tcBorders>
                  </w:tcPr>
                  <w:p w:rsidR="00DE031E" w:rsidRPr="00240D3C" w:rsidRDefault="001C1A59" w:rsidP="00DE031E">
                    <w:pPr>
                      <w:pStyle w:val="a8"/>
                      <w:jc w:val="right"/>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724,110,606.80</w:t>
                    </w:r>
                  </w:p>
                </w:tc>
              </w:sdtContent>
            </w:sdt>
          </w:tr>
        </w:tbl>
        <w:p w:rsidR="00DE031E" w:rsidRDefault="00422DCA">
          <w:pPr>
            <w:rPr>
              <w:szCs w:val="21"/>
            </w:rPr>
          </w:pPr>
        </w:p>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短期借款</w:t>
      </w:r>
    </w:p>
    <w:sdt>
      <w:sdtPr>
        <w:alias w:val="是否适用：短期借款"/>
        <w:tag w:val="_GBC_d98543a9d024419d8acf73fdccf363f3"/>
        <w:id w:val="24724936"/>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hint="eastAsia"/>
          <w:b/>
          <w:bCs/>
          <w:szCs w:val="21"/>
        </w:rPr>
        <w:tag w:val="_GBC_7bd2428d8b3140c1a80e7a88bb928c1f"/>
        <w:id w:val="24724949"/>
        <w:lock w:val="sdtLocked"/>
        <w:placeholder>
          <w:docPart w:val="GBC22222222222222222222222222222"/>
        </w:placeholder>
      </w:sdtPr>
      <w:sdtEndPr>
        <w:rPr>
          <w:rFonts w:cstheme="minorBidi" w:hint="default"/>
          <w:b w:val="0"/>
          <w:bCs w:val="0"/>
          <w:color w:val="000000" w:themeColor="text1"/>
          <w:kern w:val="2"/>
        </w:rPr>
      </w:sdtEndPr>
      <w:sdtContent>
        <w:p w:rsidR="00DE031E" w:rsidRDefault="001C1A59">
          <w:pPr>
            <w:jc w:val="right"/>
            <w:rPr>
              <w:szCs w:val="21"/>
            </w:rPr>
          </w:pPr>
          <w:r>
            <w:rPr>
              <w:rFonts w:hint="eastAsia"/>
              <w:szCs w:val="21"/>
            </w:rPr>
            <w:t>单位：</w:t>
          </w:r>
          <w:sdt>
            <w:sdtPr>
              <w:rPr>
                <w:rFonts w:hint="eastAsia"/>
                <w:szCs w:val="21"/>
              </w:rPr>
              <w:alias w:val="单位：财务附注：短期借款分类"/>
              <w:tag w:val="_GBC_f3353209b65c4921b63143340e11aac9"/>
              <w:id w:val="247249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47249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DE031E" w:rsidTr="00693071">
            <w:trPr>
              <w:cantSplit/>
            </w:trPr>
            <w:tc>
              <w:tcPr>
                <w:tcW w:w="1614" w:type="pct"/>
                <w:tcBorders>
                  <w:top w:val="single" w:sz="6" w:space="0" w:color="auto"/>
                  <w:left w:val="single" w:sz="6" w:space="0" w:color="auto"/>
                  <w:bottom w:val="single" w:sz="6" w:space="0" w:color="auto"/>
                  <w:right w:val="single" w:sz="6" w:space="0" w:color="auto"/>
                </w:tcBorders>
                <w:vAlign w:val="center"/>
              </w:tcPr>
              <w:p w:rsidR="00DE031E" w:rsidRDefault="001C1A5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DE031E" w:rsidRDefault="001C1A59">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DE031E" w:rsidRDefault="001C1A59">
                <w:pPr>
                  <w:jc w:val="center"/>
                  <w:rPr>
                    <w:color w:val="000000" w:themeColor="text1"/>
                    <w:szCs w:val="21"/>
                  </w:rPr>
                </w:pPr>
                <w:r>
                  <w:rPr>
                    <w:rFonts w:hint="eastAsia"/>
                    <w:color w:val="000000" w:themeColor="text1"/>
                    <w:szCs w:val="21"/>
                  </w:rPr>
                  <w:t>期初余额</w:t>
                </w:r>
              </w:p>
            </w:tc>
          </w:tr>
          <w:tr w:rsidR="00DE031E" w:rsidTr="0069307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24724939"/>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autoSpaceDE w:val="0"/>
                      <w:autoSpaceDN w:val="0"/>
                      <w:adjustRightInd w:val="0"/>
                      <w:snapToGrid w:val="0"/>
                      <w:spacing w:line="240" w:lineRule="atLeast"/>
                      <w:ind w:right="180"/>
                      <w:jc w:val="right"/>
                      <w:rPr>
                        <w:color w:val="000000" w:themeColor="text1"/>
                        <w:szCs w:val="21"/>
                      </w:rPr>
                    </w:pPr>
                    <w:r>
                      <w:rPr>
                        <w:szCs w:val="21"/>
                      </w:rPr>
                      <w:t>157,722,000.00</w:t>
                    </w:r>
                  </w:p>
                </w:tc>
              </w:sdtContent>
            </w:sdt>
            <w:sdt>
              <w:sdtPr>
                <w:rPr>
                  <w:szCs w:val="21"/>
                </w:rPr>
                <w:alias w:val="短期借款中的质押借款金额"/>
                <w:tag w:val="_GBC_736ea85d58344e97ade3f28fd3ac53e1"/>
                <w:id w:val="24724940"/>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pPr>
                      <w:autoSpaceDE w:val="0"/>
                      <w:autoSpaceDN w:val="0"/>
                      <w:adjustRightInd w:val="0"/>
                      <w:snapToGrid w:val="0"/>
                      <w:spacing w:line="240" w:lineRule="atLeast"/>
                      <w:ind w:right="180"/>
                      <w:jc w:val="right"/>
                      <w:rPr>
                        <w:color w:val="000000" w:themeColor="text1"/>
                        <w:szCs w:val="21"/>
                      </w:rPr>
                    </w:pPr>
                  </w:p>
                </w:tc>
              </w:sdtContent>
            </w:sdt>
          </w:tr>
          <w:tr w:rsidR="00DE031E" w:rsidTr="0069307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24724941"/>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pPr>
                      <w:autoSpaceDE w:val="0"/>
                      <w:autoSpaceDN w:val="0"/>
                      <w:adjustRightInd w:val="0"/>
                      <w:snapToGrid w:val="0"/>
                      <w:spacing w:line="240" w:lineRule="atLeast"/>
                      <w:ind w:right="180"/>
                      <w:jc w:val="right"/>
                      <w:rPr>
                        <w:color w:val="000000" w:themeColor="text1"/>
                        <w:szCs w:val="21"/>
                      </w:rPr>
                    </w:pPr>
                  </w:p>
                </w:tc>
              </w:sdtContent>
            </w:sdt>
            <w:sdt>
              <w:sdtPr>
                <w:rPr>
                  <w:szCs w:val="21"/>
                </w:rPr>
                <w:alias w:val="短期借款中的抵押借款金额"/>
                <w:tag w:val="_GBC_03ed3c0164e1467baae9d9cf13dad016"/>
                <w:id w:val="24724942"/>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pPr>
                      <w:autoSpaceDE w:val="0"/>
                      <w:autoSpaceDN w:val="0"/>
                      <w:adjustRightInd w:val="0"/>
                      <w:snapToGrid w:val="0"/>
                      <w:spacing w:line="240" w:lineRule="atLeast"/>
                      <w:ind w:right="180"/>
                      <w:jc w:val="right"/>
                      <w:rPr>
                        <w:color w:val="000000" w:themeColor="text1"/>
                        <w:szCs w:val="21"/>
                      </w:rPr>
                    </w:pPr>
                  </w:p>
                </w:tc>
              </w:sdtContent>
            </w:sdt>
          </w:tr>
          <w:tr w:rsidR="00DE031E" w:rsidTr="00693071">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rFonts w:asciiTheme="minorEastAsia" w:eastAsiaTheme="minorEastAsia" w:hAnsiTheme="minorEastAsia"/>
                  <w:szCs w:val="21"/>
                </w:rPr>
                <w:alias w:val="短期借款中的担保借款金额"/>
                <w:tag w:val="_GBC_d083a663d10c4f6abcc1725ba665ace2"/>
                <w:id w:val="24724943"/>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E031E" w:rsidRPr="007D66BD" w:rsidRDefault="001C1A59">
                    <w:pPr>
                      <w:autoSpaceDE w:val="0"/>
                      <w:autoSpaceDN w:val="0"/>
                      <w:adjustRightInd w:val="0"/>
                      <w:snapToGrid w:val="0"/>
                      <w:spacing w:line="240" w:lineRule="atLeast"/>
                      <w:ind w:right="180"/>
                      <w:jc w:val="right"/>
                      <w:rPr>
                        <w:rFonts w:asciiTheme="minorEastAsia" w:eastAsiaTheme="minorEastAsia" w:hAnsiTheme="minorEastAsia"/>
                        <w:color w:val="000000" w:themeColor="text1"/>
                        <w:szCs w:val="21"/>
                      </w:rPr>
                    </w:pPr>
                    <w:r>
                      <w:rPr>
                        <w:rFonts w:asciiTheme="minorEastAsia" w:eastAsiaTheme="minorEastAsia" w:hAnsiTheme="minorEastAsia" w:cs="Arial"/>
                        <w:color w:val="000000"/>
                        <w:szCs w:val="21"/>
                      </w:rPr>
                      <w:t>2,196,095,892.48</w:t>
                    </w:r>
                  </w:p>
                </w:tc>
              </w:sdtContent>
            </w:sdt>
            <w:sdt>
              <w:sdtPr>
                <w:rPr>
                  <w:rFonts w:asciiTheme="minorEastAsia" w:eastAsiaTheme="minorEastAsia" w:hAnsiTheme="minorEastAsia"/>
                  <w:szCs w:val="21"/>
                </w:rPr>
                <w:alias w:val="短期借款中的担保借款金额"/>
                <w:tag w:val="_GBC_738784d505b74f349dad8f3a01cfd860"/>
                <w:id w:val="24724944"/>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E031E" w:rsidRPr="007D66BD" w:rsidRDefault="001C1A59">
                    <w:pPr>
                      <w:autoSpaceDE w:val="0"/>
                      <w:autoSpaceDN w:val="0"/>
                      <w:adjustRightInd w:val="0"/>
                      <w:snapToGrid w:val="0"/>
                      <w:spacing w:line="240" w:lineRule="atLeast"/>
                      <w:ind w:right="180"/>
                      <w:jc w:val="right"/>
                      <w:rPr>
                        <w:rFonts w:asciiTheme="minorEastAsia" w:eastAsiaTheme="minorEastAsia" w:hAnsiTheme="minorEastAsia"/>
                        <w:color w:val="000000" w:themeColor="text1"/>
                        <w:szCs w:val="21"/>
                      </w:rPr>
                    </w:pPr>
                    <w:r w:rsidRPr="007D66BD">
                      <w:rPr>
                        <w:rFonts w:asciiTheme="minorEastAsia" w:eastAsiaTheme="minorEastAsia" w:hAnsiTheme="minorEastAsia" w:cs="Arial"/>
                        <w:color w:val="000000"/>
                        <w:szCs w:val="21"/>
                      </w:rPr>
                      <w:t>394,435,000.00</w:t>
                    </w:r>
                  </w:p>
                </w:tc>
              </w:sdtContent>
            </w:sdt>
          </w:tr>
          <w:tr w:rsidR="00DE031E" w:rsidTr="00693071">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rFonts w:asciiTheme="minorEastAsia" w:eastAsiaTheme="minorEastAsia" w:hAnsiTheme="minorEastAsia"/>
                  <w:szCs w:val="21"/>
                </w:rPr>
                <w:alias w:val="短期借款中的信用借款金额"/>
                <w:tag w:val="_GBC_e637a7b6e76d4f24a85bc88dcc649ff3"/>
                <w:id w:val="24724945"/>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E031E" w:rsidRPr="007D66BD" w:rsidRDefault="001C1A59">
                    <w:pPr>
                      <w:autoSpaceDE w:val="0"/>
                      <w:autoSpaceDN w:val="0"/>
                      <w:adjustRightInd w:val="0"/>
                      <w:snapToGrid w:val="0"/>
                      <w:spacing w:line="240" w:lineRule="atLeast"/>
                      <w:ind w:right="180"/>
                      <w:jc w:val="right"/>
                      <w:rPr>
                        <w:rFonts w:asciiTheme="minorEastAsia" w:eastAsiaTheme="minorEastAsia" w:hAnsiTheme="minorEastAsia"/>
                        <w:color w:val="000000" w:themeColor="text1"/>
                        <w:szCs w:val="21"/>
                      </w:rPr>
                    </w:pPr>
                    <w:r>
                      <w:rPr>
                        <w:rFonts w:asciiTheme="minorEastAsia" w:eastAsiaTheme="minorEastAsia" w:hAnsiTheme="minorEastAsia" w:cs="Arial"/>
                        <w:color w:val="000000"/>
                        <w:szCs w:val="21"/>
                      </w:rPr>
                      <w:t>1,953,386,970.00</w:t>
                    </w:r>
                  </w:p>
                </w:tc>
              </w:sdtContent>
            </w:sdt>
            <w:sdt>
              <w:sdtPr>
                <w:rPr>
                  <w:rFonts w:asciiTheme="minorEastAsia" w:eastAsiaTheme="minorEastAsia" w:hAnsiTheme="minorEastAsia"/>
                  <w:szCs w:val="21"/>
                </w:rPr>
                <w:alias w:val="短期借款中的信用借款金额"/>
                <w:tag w:val="_GBC_48bfc7183ced41c8b31fbd0bf439ff9b"/>
                <w:id w:val="24724946"/>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E031E" w:rsidRPr="007D66BD" w:rsidRDefault="001C1A59">
                    <w:pPr>
                      <w:autoSpaceDE w:val="0"/>
                      <w:autoSpaceDN w:val="0"/>
                      <w:adjustRightInd w:val="0"/>
                      <w:snapToGrid w:val="0"/>
                      <w:spacing w:line="240" w:lineRule="atLeast"/>
                      <w:ind w:right="180"/>
                      <w:jc w:val="right"/>
                      <w:rPr>
                        <w:rFonts w:asciiTheme="minorEastAsia" w:eastAsiaTheme="minorEastAsia" w:hAnsiTheme="minorEastAsia"/>
                        <w:color w:val="000000" w:themeColor="text1"/>
                        <w:szCs w:val="21"/>
                      </w:rPr>
                    </w:pPr>
                    <w:r w:rsidRPr="007D66BD">
                      <w:rPr>
                        <w:rFonts w:asciiTheme="minorEastAsia" w:eastAsiaTheme="minorEastAsia" w:hAnsiTheme="minorEastAsia" w:cs="Arial"/>
                        <w:color w:val="000000"/>
                        <w:szCs w:val="21"/>
                      </w:rPr>
                      <w:t>2,449,441,350.00</w:t>
                    </w:r>
                  </w:p>
                </w:tc>
              </w:sdtContent>
            </w:sdt>
          </w:tr>
          <w:tr w:rsidR="00DE031E" w:rsidTr="00693071">
            <w:trPr>
              <w:cantSplit/>
            </w:trPr>
            <w:tc>
              <w:tcPr>
                <w:tcW w:w="1614" w:type="pct"/>
                <w:tcBorders>
                  <w:top w:val="single" w:sz="6" w:space="0" w:color="auto"/>
                  <w:left w:val="single" w:sz="6" w:space="0" w:color="auto"/>
                  <w:bottom w:val="single" w:sz="6" w:space="0" w:color="auto"/>
                  <w:right w:val="single" w:sz="6" w:space="0" w:color="auto"/>
                </w:tcBorders>
                <w:vAlign w:val="center"/>
              </w:tcPr>
              <w:p w:rsidR="00DE031E" w:rsidRDefault="001C1A5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24724947"/>
                <w:lock w:val="sdtLocked"/>
              </w:sdtPr>
              <w:sdtContent>
                <w:tc>
                  <w:tcPr>
                    <w:tcW w:w="1688"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spacing w:line="240" w:lineRule="atLeast"/>
                      <w:ind w:right="180"/>
                      <w:jc w:val="right"/>
                      <w:rPr>
                        <w:color w:val="000000" w:themeColor="text1"/>
                        <w:szCs w:val="21"/>
                      </w:rPr>
                    </w:pPr>
                    <w:r>
                      <w:rPr>
                        <w:szCs w:val="21"/>
                      </w:rPr>
                      <w:t>4,307,204,862.48</w:t>
                    </w:r>
                  </w:p>
                </w:tc>
              </w:sdtContent>
            </w:sdt>
            <w:sdt>
              <w:sdtPr>
                <w:rPr>
                  <w:szCs w:val="21"/>
                </w:rPr>
                <w:alias w:val="短期借款"/>
                <w:tag w:val="_GBC_c626e59e1d454982b8822a88245af715"/>
                <w:id w:val="24724948"/>
                <w:lock w:val="sdtLocked"/>
              </w:sdtPr>
              <w:sdtContent>
                <w:tc>
                  <w:tcPr>
                    <w:tcW w:w="1698"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spacing w:line="240" w:lineRule="atLeast"/>
                      <w:ind w:right="180"/>
                      <w:jc w:val="right"/>
                      <w:rPr>
                        <w:color w:val="000000" w:themeColor="text1"/>
                        <w:szCs w:val="21"/>
                      </w:rPr>
                    </w:pPr>
                    <w:r>
                      <w:rPr>
                        <w:szCs w:val="21"/>
                      </w:rPr>
                      <w:t>2,843,876,350.00</w:t>
                    </w:r>
                  </w:p>
                </w:tc>
              </w:sdtContent>
            </w:sdt>
          </w:tr>
        </w:tbl>
        <w:p w:rsidR="00DE031E" w:rsidRDefault="00422DCA">
          <w:pPr>
            <w:snapToGrid w:val="0"/>
            <w:spacing w:line="240" w:lineRule="atLeast"/>
            <w:rPr>
              <w:color w:val="000000" w:themeColor="text1"/>
              <w:szCs w:val="21"/>
            </w:rPr>
          </w:pPr>
        </w:p>
      </w:sdtContent>
    </w:sdt>
    <w:sdt>
      <w:sdtPr>
        <w:rPr>
          <w:szCs w:val="21"/>
        </w:rPr>
        <w:tag w:val="_GBC_689bb7024eb445578ef7fe99d84377e0"/>
        <w:id w:val="24724951"/>
        <w:lock w:val="sdtLocked"/>
        <w:placeholder>
          <w:docPart w:val="GBC22222222222222222222222222222"/>
        </w:placeholder>
      </w:sdtPr>
      <w:sdtContent>
        <w:sdt>
          <w:sdtPr>
            <w:rPr>
              <w:rFonts w:hint="eastAsia"/>
              <w:szCs w:val="21"/>
            </w:rPr>
            <w:alias w:val="短期借款的说明"/>
            <w:tag w:val="_GBC_6aea0d18303a42f2af99c9e62228eab8"/>
            <w:id w:val="24724950"/>
            <w:lock w:val="sdtLocked"/>
            <w:placeholder>
              <w:docPart w:val="GBC22222222222222222222222222222"/>
            </w:placeholder>
          </w:sdtPr>
          <w:sdtContent>
            <w:p w:rsidR="00DE031E" w:rsidRDefault="001C1A59" w:rsidP="00DE031E">
              <w:pPr>
                <w:spacing w:line="360" w:lineRule="auto"/>
                <w:rPr>
                  <w:rFonts w:hAnsi="Calibri"/>
                  <w:sz w:val="22"/>
                  <w:szCs w:val="22"/>
                </w:rPr>
              </w:pPr>
              <w:r>
                <w:rPr>
                  <w:rFonts w:ascii="Arial" w:hAnsi="Arial" w:cs="Arial"/>
                  <w:sz w:val="22"/>
                  <w:szCs w:val="22"/>
                </w:rPr>
                <w:t>1</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日，短期借款余额较上年末增加</w:t>
              </w:r>
              <w:r>
                <w:rPr>
                  <w:rFonts w:ascii="Arial" w:hAnsi="Arial" w:cs="Arial"/>
                  <w:sz w:val="22"/>
                  <w:szCs w:val="22"/>
                </w:rPr>
                <w:t>1,4</w:t>
              </w:r>
              <w:r>
                <w:rPr>
                  <w:rFonts w:ascii="Arial" w:hAnsi="Arial" w:cs="Arial" w:hint="eastAsia"/>
                  <w:sz w:val="22"/>
                  <w:szCs w:val="22"/>
                </w:rPr>
                <w:t>63</w:t>
              </w:r>
              <w:r>
                <w:rPr>
                  <w:rFonts w:ascii="Arial" w:hAnsi="Arial" w:cs="Arial"/>
                  <w:sz w:val="22"/>
                  <w:szCs w:val="22"/>
                </w:rPr>
                <w:t>,</w:t>
              </w:r>
              <w:r>
                <w:rPr>
                  <w:rFonts w:ascii="Arial" w:hAnsi="Arial" w:cs="Arial" w:hint="eastAsia"/>
                  <w:sz w:val="22"/>
                  <w:szCs w:val="22"/>
                </w:rPr>
                <w:t>328</w:t>
              </w:r>
              <w:r>
                <w:rPr>
                  <w:rFonts w:ascii="Arial" w:hAnsi="Arial" w:cs="Arial"/>
                  <w:sz w:val="22"/>
                  <w:szCs w:val="22"/>
                </w:rPr>
                <w:t>,</w:t>
              </w:r>
              <w:r>
                <w:rPr>
                  <w:rFonts w:ascii="Arial" w:hAnsi="Arial" w:cs="Arial" w:hint="eastAsia"/>
                  <w:sz w:val="22"/>
                  <w:szCs w:val="22"/>
                </w:rPr>
                <w:t>512</w:t>
              </w:r>
              <w:r>
                <w:rPr>
                  <w:rFonts w:ascii="Arial" w:hAnsi="Arial" w:cs="Arial"/>
                  <w:sz w:val="22"/>
                  <w:szCs w:val="22"/>
                </w:rPr>
                <w:t>.</w:t>
              </w:r>
              <w:r>
                <w:rPr>
                  <w:rFonts w:ascii="Arial" w:hAnsi="Arial" w:cs="Arial" w:hint="eastAsia"/>
                  <w:sz w:val="22"/>
                  <w:szCs w:val="22"/>
                </w:rPr>
                <w:t>48</w:t>
              </w:r>
              <w:r>
                <w:rPr>
                  <w:rFonts w:hAnsi="Calibri" w:hint="eastAsia"/>
                  <w:sz w:val="22"/>
                  <w:szCs w:val="22"/>
                </w:rPr>
                <w:t>元，增幅</w:t>
              </w:r>
              <w:r>
                <w:rPr>
                  <w:rFonts w:ascii="Arial" w:hAnsi="Arial" w:cs="Arial" w:hint="eastAsia"/>
                  <w:sz w:val="22"/>
                  <w:szCs w:val="22"/>
                </w:rPr>
                <w:t>51.46</w:t>
              </w:r>
              <w:r>
                <w:rPr>
                  <w:rFonts w:ascii="Arial" w:hAnsi="Arial" w:cs="Arial"/>
                  <w:sz w:val="22"/>
                  <w:szCs w:val="22"/>
                </w:rPr>
                <w:t>%</w:t>
              </w:r>
              <w:r>
                <w:rPr>
                  <w:rFonts w:hAnsi="Calibri" w:hint="eastAsia"/>
                  <w:sz w:val="22"/>
                  <w:szCs w:val="22"/>
                </w:rPr>
                <w:t>，主要是由于本公司之二级子公司招商证券投资管理（香港）有限公司信用贷款规模增加所致。</w:t>
              </w:r>
            </w:p>
            <w:p w:rsidR="00DE031E" w:rsidRDefault="001C1A59" w:rsidP="00DE031E">
              <w:pPr>
                <w:widowControl w:val="0"/>
                <w:autoSpaceDE w:val="0"/>
                <w:autoSpaceDN w:val="0"/>
                <w:adjustRightInd w:val="0"/>
                <w:spacing w:line="360" w:lineRule="auto"/>
                <w:rPr>
                  <w:rFonts w:hAnsi="Calibri"/>
                  <w:sz w:val="22"/>
                  <w:szCs w:val="22"/>
                </w:rPr>
              </w:pPr>
              <w:r>
                <w:rPr>
                  <w:rFonts w:ascii="Arial" w:hAnsi="Arial" w:cs="Arial"/>
                  <w:sz w:val="22"/>
                  <w:szCs w:val="22"/>
                </w:rPr>
                <w:t>2</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日，本公司之二级子公司招商证券（香港）有限公司为取得银行质押借款而设定质押的银行存款情况详见本注释</w:t>
              </w:r>
              <w:r>
                <w:rPr>
                  <w:rFonts w:ascii="Arial" w:hAnsi="Arial" w:cs="Arial"/>
                  <w:sz w:val="22"/>
                  <w:szCs w:val="22"/>
                </w:rPr>
                <w:t>1.</w:t>
              </w:r>
              <w:r>
                <w:rPr>
                  <w:rFonts w:hAnsi="Calibri" w:hint="eastAsia"/>
                  <w:sz w:val="22"/>
                  <w:szCs w:val="22"/>
                </w:rPr>
                <w:t>货币资金。</w:t>
              </w:r>
            </w:p>
            <w:p w:rsidR="00DE031E" w:rsidRDefault="001C1A59" w:rsidP="00DE031E">
              <w:pPr>
                <w:widowControl w:val="0"/>
                <w:autoSpaceDE w:val="0"/>
                <w:autoSpaceDN w:val="0"/>
                <w:adjustRightInd w:val="0"/>
                <w:spacing w:line="360" w:lineRule="auto"/>
                <w:rPr>
                  <w:rFonts w:hAnsi="Calibri"/>
                  <w:sz w:val="22"/>
                  <w:szCs w:val="22"/>
                </w:rPr>
              </w:pPr>
              <w:r>
                <w:rPr>
                  <w:rFonts w:ascii="Arial" w:hAnsi="Arial" w:cs="Arial"/>
                  <w:sz w:val="22"/>
                  <w:szCs w:val="22"/>
                </w:rPr>
                <w:t>3</w:t>
              </w: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日，短期借款中包括的关联方借款情况详见本</w:t>
              </w:r>
              <w:r w:rsidRPr="001776A7">
                <w:rPr>
                  <w:rFonts w:hAnsi="Calibri" w:hint="eastAsia"/>
                  <w:sz w:val="22"/>
                  <w:szCs w:val="22"/>
                </w:rPr>
                <w:t>附注十三、关联方及关联交易。</w:t>
              </w:r>
            </w:p>
            <w:p w:rsidR="00DE031E" w:rsidRDefault="001C1A59" w:rsidP="00DE031E">
              <w:pPr>
                <w:widowControl w:val="0"/>
                <w:autoSpaceDE w:val="0"/>
                <w:autoSpaceDN w:val="0"/>
                <w:adjustRightInd w:val="0"/>
                <w:spacing w:line="360" w:lineRule="auto"/>
                <w:rPr>
                  <w:rFonts w:hAnsi="Calibri"/>
                  <w:sz w:val="22"/>
                  <w:szCs w:val="22"/>
                </w:rPr>
              </w:pPr>
              <w:r>
                <w:rPr>
                  <w:rFonts w:hAnsi="Calibri" w:hint="eastAsia"/>
                  <w:sz w:val="22"/>
                  <w:szCs w:val="22"/>
                </w:rPr>
                <w:t>4)</w:t>
              </w:r>
              <w:r w:rsidRPr="00FB384D">
                <w:rPr>
                  <w:rFonts w:hAnsi="Calibri" w:hint="eastAsia"/>
                  <w:sz w:val="22"/>
                  <w:szCs w:val="22"/>
                </w:rPr>
                <w:t>为促进本公司境外业务转型与发展，补充招证国际日常营运资金，公司利用在中国银行的同业授信额度，以反担保的方式向中国银行申请将其中的一部分授信额度切分给招证国际在境外使用。</w:t>
              </w:r>
              <w:r w:rsidRPr="00FB384D">
                <w:rPr>
                  <w:rFonts w:hAnsi="Calibri"/>
                  <w:sz w:val="22"/>
                  <w:szCs w:val="22"/>
                </w:rPr>
                <w:t>2015 年 5 月 29 日已签署有关授信安排与额度切分协议,中国银行深圳市分行将向中国银行澳门分行切分授信额度总计人民币 15 亿元，并为该授信额度项下债务提供无条件的不可撤销的保证担保。</w:t>
              </w:r>
            </w:p>
            <w:p w:rsidR="00DE031E" w:rsidRDefault="00DE031E" w:rsidP="00DE031E">
              <w:pPr>
                <w:widowControl w:val="0"/>
                <w:autoSpaceDE w:val="0"/>
                <w:autoSpaceDN w:val="0"/>
                <w:adjustRightInd w:val="0"/>
                <w:spacing w:line="360" w:lineRule="auto"/>
                <w:rPr>
                  <w:rFonts w:hAnsi="Calibri"/>
                  <w:sz w:val="22"/>
                  <w:szCs w:val="22"/>
                </w:rPr>
              </w:pPr>
            </w:p>
            <w:p w:rsidR="00DE031E" w:rsidRDefault="00DE031E" w:rsidP="00DE031E">
              <w:pPr>
                <w:widowControl w:val="0"/>
                <w:autoSpaceDE w:val="0"/>
                <w:autoSpaceDN w:val="0"/>
                <w:adjustRightInd w:val="0"/>
                <w:spacing w:line="360" w:lineRule="auto"/>
                <w:rPr>
                  <w:rFonts w:hAnsi="Calibri"/>
                  <w:sz w:val="22"/>
                  <w:szCs w:val="22"/>
                </w:rPr>
              </w:pPr>
            </w:p>
            <w:p w:rsidR="00DE031E" w:rsidRDefault="00422DCA" w:rsidP="00DE031E">
              <w:pPr>
                <w:widowControl w:val="0"/>
                <w:autoSpaceDE w:val="0"/>
                <w:autoSpaceDN w:val="0"/>
                <w:adjustRightInd w:val="0"/>
                <w:spacing w:line="360" w:lineRule="auto"/>
                <w:rPr>
                  <w:szCs w:val="21"/>
                </w:rPr>
              </w:pPr>
            </w:p>
          </w:sdtContent>
        </w:sdt>
      </w:sdtContent>
    </w:sdt>
    <w:sdt>
      <w:sdtPr>
        <w:rPr>
          <w:rFonts w:ascii="宋体" w:hAnsi="宋体" w:cs="宋体"/>
          <w:b w:val="0"/>
          <w:bCs w:val="0"/>
          <w:kern w:val="0"/>
          <w:szCs w:val="24"/>
        </w:rPr>
        <w:tag w:val="_GBC_b56bd7cdaa6745cb8784707d45ba572d"/>
        <w:id w:val="24724961"/>
        <w:lock w:val="sdtLocked"/>
        <w:placeholder>
          <w:docPart w:val="GBC22222222222222222222222222222"/>
        </w:placeholder>
      </w:sdtPr>
      <w:sdtContent>
        <w:p w:rsidR="00DE031E" w:rsidRDefault="001C1A59" w:rsidP="009950AC">
          <w:pPr>
            <w:pStyle w:val="3"/>
            <w:numPr>
              <w:ilvl w:val="0"/>
              <w:numId w:val="41"/>
            </w:numPr>
            <w:tabs>
              <w:tab w:val="left" w:pos="504"/>
            </w:tabs>
            <w:spacing w:line="360" w:lineRule="auto"/>
            <w:rPr>
              <w:rFonts w:ascii="宋体" w:hAnsi="宋体" w:cs="宋体"/>
              <w:bCs w:val="0"/>
              <w:kern w:val="0"/>
              <w:szCs w:val="24"/>
            </w:rPr>
          </w:pPr>
          <w:r w:rsidRPr="00051F10">
            <w:rPr>
              <w:rFonts w:ascii="宋体" w:hAnsi="宋体" w:cs="宋体" w:hint="eastAsia"/>
              <w:bCs w:val="0"/>
              <w:kern w:val="0"/>
              <w:szCs w:val="24"/>
            </w:rPr>
            <w:t>应付短期融资券</w:t>
          </w:r>
        </w:p>
        <w:p w:rsidR="00A15A30" w:rsidRPr="00A15A30" w:rsidRDefault="00A15A30" w:rsidP="00A15A30">
          <w:pPr>
            <w:jc w:val="right"/>
          </w:pPr>
          <w:r>
            <w:rPr>
              <w:rFonts w:hint="eastAsia"/>
            </w:rPr>
            <w:t>单位：元  币种：人民币</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3"/>
            <w:gridCol w:w="1790"/>
            <w:gridCol w:w="1724"/>
            <w:gridCol w:w="1724"/>
            <w:gridCol w:w="1724"/>
          </w:tblGrid>
          <w:tr w:rsidR="00DE031E" w:rsidRPr="00F040B1" w:rsidTr="00DE031E">
            <w:trPr>
              <w:trHeight w:val="340"/>
            </w:trPr>
            <w:tc>
              <w:tcPr>
                <w:tcW w:w="1132" w:type="pct"/>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项目</w:t>
                </w:r>
              </w:p>
            </w:tc>
            <w:tc>
              <w:tcPr>
                <w:tcW w:w="991"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b/>
                    <w:bCs/>
                    <w:sz w:val="18"/>
                    <w:szCs w:val="18"/>
                  </w:rPr>
                </w:pPr>
                <w:r w:rsidRPr="00F040B1">
                  <w:rPr>
                    <w:rFonts w:ascii="Arial" w:hAnsi="Arial" w:cs="Arial" w:hint="eastAsia"/>
                    <w:b/>
                    <w:bCs/>
                    <w:sz w:val="18"/>
                    <w:szCs w:val="18"/>
                  </w:rPr>
                  <w:t>2014</w:t>
                </w:r>
                <w:r w:rsidRPr="00F040B1">
                  <w:rPr>
                    <w:rFonts w:ascii="Arial" w:hAnsi="Arial" w:cs="Arial" w:hint="eastAsia"/>
                    <w:b/>
                    <w:bCs/>
                    <w:sz w:val="18"/>
                    <w:szCs w:val="18"/>
                  </w:rPr>
                  <w:t>年</w:t>
                </w:r>
                <w:r w:rsidRPr="00F040B1">
                  <w:rPr>
                    <w:rFonts w:ascii="Arial" w:hAnsi="Arial" w:cs="Arial" w:hint="eastAsia"/>
                    <w:b/>
                    <w:bCs/>
                    <w:sz w:val="18"/>
                    <w:szCs w:val="18"/>
                  </w:rPr>
                  <w:t>12</w:t>
                </w:r>
                <w:r w:rsidRPr="00F040B1">
                  <w:rPr>
                    <w:rFonts w:ascii="Arial" w:hAnsi="Arial" w:cs="Arial" w:hint="eastAsia"/>
                    <w:b/>
                    <w:bCs/>
                    <w:sz w:val="18"/>
                    <w:szCs w:val="18"/>
                  </w:rPr>
                  <w:t>月</w:t>
                </w:r>
                <w:r w:rsidRPr="00F040B1">
                  <w:rPr>
                    <w:rFonts w:ascii="Arial" w:hAnsi="Arial" w:cs="Arial" w:hint="eastAsia"/>
                    <w:b/>
                    <w:bCs/>
                    <w:sz w:val="18"/>
                    <w:szCs w:val="18"/>
                  </w:rPr>
                  <w:t>31</w:t>
                </w:r>
                <w:r w:rsidRPr="00F040B1">
                  <w:rPr>
                    <w:rFonts w:ascii="Arial" w:hAnsi="Arial" w:cs="Arial" w:hint="eastAsia"/>
                    <w:b/>
                    <w:bCs/>
                    <w:sz w:val="18"/>
                    <w:szCs w:val="18"/>
                  </w:rPr>
                  <w:t>日</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b/>
                    <w:bCs/>
                    <w:sz w:val="18"/>
                    <w:szCs w:val="18"/>
                  </w:rPr>
                </w:pPr>
                <w:r w:rsidRPr="00F040B1">
                  <w:rPr>
                    <w:rFonts w:ascii="Arial" w:hAnsi="Arial" w:cs="Arial"/>
                    <w:b/>
                    <w:bCs/>
                    <w:sz w:val="18"/>
                    <w:szCs w:val="18"/>
                  </w:rPr>
                  <w:t>本年增加</w:t>
                </w:r>
              </w:p>
            </w:tc>
            <w:tc>
              <w:tcPr>
                <w:tcW w:w="954" w:type="pct"/>
                <w:shd w:val="clear" w:color="auto" w:fill="auto"/>
                <w:noWrap/>
                <w:tcMar>
                  <w:left w:w="57" w:type="dxa"/>
                  <w:right w:w="57" w:type="dxa"/>
                </w:tcMar>
                <w:vAlign w:val="center"/>
                <w:hideMark/>
              </w:tcPr>
              <w:p w:rsidR="00DE031E" w:rsidRPr="00F040B1" w:rsidRDefault="001C1A59" w:rsidP="00DE031E">
                <w:pPr>
                  <w:jc w:val="center"/>
                  <w:rPr>
                    <w:rFonts w:ascii="Arial" w:hAnsi="Arial" w:cs="Arial"/>
                    <w:b/>
                    <w:bCs/>
                    <w:sz w:val="18"/>
                    <w:szCs w:val="18"/>
                  </w:rPr>
                </w:pPr>
                <w:r w:rsidRPr="00F040B1">
                  <w:rPr>
                    <w:rFonts w:ascii="Arial" w:hAnsi="Arial" w:cs="Arial"/>
                    <w:b/>
                    <w:bCs/>
                    <w:sz w:val="18"/>
                    <w:szCs w:val="18"/>
                  </w:rPr>
                  <w:t>本年减少</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b/>
                    <w:bCs/>
                    <w:sz w:val="18"/>
                    <w:szCs w:val="18"/>
                  </w:rPr>
                </w:pPr>
                <w:r w:rsidRPr="00F040B1">
                  <w:rPr>
                    <w:rFonts w:ascii="Arial" w:hAnsi="Arial" w:cs="Arial" w:hint="eastAsia"/>
                    <w:b/>
                    <w:bCs/>
                    <w:sz w:val="18"/>
                    <w:szCs w:val="18"/>
                  </w:rPr>
                  <w:t>2015</w:t>
                </w:r>
                <w:r w:rsidRPr="00F040B1">
                  <w:rPr>
                    <w:rFonts w:ascii="Arial" w:hAnsi="Arial" w:cs="Arial" w:hint="eastAsia"/>
                    <w:b/>
                    <w:bCs/>
                    <w:sz w:val="18"/>
                    <w:szCs w:val="18"/>
                  </w:rPr>
                  <w:t>年</w:t>
                </w:r>
                <w:r w:rsidRPr="00F040B1">
                  <w:rPr>
                    <w:rFonts w:ascii="Arial" w:hAnsi="Arial" w:cs="Arial" w:hint="eastAsia"/>
                    <w:b/>
                    <w:bCs/>
                    <w:sz w:val="18"/>
                    <w:szCs w:val="18"/>
                  </w:rPr>
                  <w:t>6</w:t>
                </w:r>
                <w:r w:rsidRPr="00F040B1">
                  <w:rPr>
                    <w:rFonts w:ascii="Arial" w:hAnsi="Arial" w:cs="Arial" w:hint="eastAsia"/>
                    <w:b/>
                    <w:bCs/>
                    <w:sz w:val="18"/>
                    <w:szCs w:val="18"/>
                  </w:rPr>
                  <w:t>月</w:t>
                </w:r>
                <w:r w:rsidRPr="00F040B1">
                  <w:rPr>
                    <w:rFonts w:ascii="Arial" w:hAnsi="Arial" w:cs="Arial" w:hint="eastAsia"/>
                    <w:b/>
                    <w:bCs/>
                    <w:sz w:val="18"/>
                    <w:szCs w:val="18"/>
                  </w:rPr>
                  <w:t>30</w:t>
                </w:r>
                <w:r w:rsidRPr="00F040B1">
                  <w:rPr>
                    <w:rFonts w:ascii="Arial" w:hAnsi="Arial" w:cs="Arial" w:hint="eastAsia"/>
                    <w:b/>
                    <w:bCs/>
                    <w:sz w:val="18"/>
                    <w:szCs w:val="18"/>
                  </w:rPr>
                  <w:t>日</w:t>
                </w:r>
              </w:p>
            </w:tc>
          </w:tr>
          <w:tr w:rsidR="00DE031E" w:rsidRPr="00F040B1" w:rsidTr="00DE031E">
            <w:trPr>
              <w:trHeight w:val="340"/>
            </w:trPr>
            <w:tc>
              <w:tcPr>
                <w:tcW w:w="1132" w:type="pct"/>
                <w:shd w:val="clear" w:color="auto" w:fill="auto"/>
                <w:noWrap/>
                <w:vAlign w:val="center"/>
                <w:hideMark/>
              </w:tcPr>
              <w:p w:rsidR="00DE031E" w:rsidRPr="00F040B1" w:rsidRDefault="001C1A59" w:rsidP="00DE031E">
                <w:pPr>
                  <w:rPr>
                    <w:rFonts w:ascii="Arial" w:hAnsi="Arial" w:cs="Arial"/>
                    <w:bCs/>
                    <w:sz w:val="18"/>
                    <w:szCs w:val="18"/>
                  </w:rPr>
                </w:pPr>
                <w:r w:rsidRPr="00F040B1">
                  <w:rPr>
                    <w:rFonts w:ascii="Arial" w:hAnsi="Arial" w:cs="Arial"/>
                    <w:bCs/>
                    <w:sz w:val="18"/>
                    <w:szCs w:val="18"/>
                  </w:rPr>
                  <w:t>应付短期融资券</w:t>
                </w:r>
              </w:p>
            </w:tc>
            <w:tc>
              <w:tcPr>
                <w:tcW w:w="991"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8,400,000,000.00</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16,500,000,000.00</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16,650,000,000.00</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8,250,000,000.00</w:t>
                </w:r>
              </w:p>
            </w:tc>
          </w:tr>
          <w:tr w:rsidR="00DE031E" w:rsidRPr="00F040B1" w:rsidTr="00DE031E">
            <w:trPr>
              <w:trHeight w:val="340"/>
            </w:trPr>
            <w:tc>
              <w:tcPr>
                <w:tcW w:w="1132" w:type="pct"/>
                <w:shd w:val="clear" w:color="auto" w:fill="auto"/>
                <w:noWrap/>
                <w:vAlign w:val="center"/>
                <w:hideMark/>
              </w:tcPr>
              <w:p w:rsidR="00DE031E" w:rsidRPr="00F040B1" w:rsidRDefault="001C1A59" w:rsidP="00DE031E">
                <w:pPr>
                  <w:rPr>
                    <w:rFonts w:ascii="Arial" w:hAnsi="Arial" w:cs="Arial"/>
                    <w:bCs/>
                    <w:sz w:val="18"/>
                    <w:szCs w:val="18"/>
                  </w:rPr>
                </w:pPr>
                <w:r w:rsidRPr="00F040B1">
                  <w:rPr>
                    <w:rFonts w:ascii="Arial" w:hAnsi="Arial" w:cs="Arial"/>
                    <w:bCs/>
                    <w:sz w:val="18"/>
                    <w:szCs w:val="18"/>
                  </w:rPr>
                  <w:t>应付短期公司债</w:t>
                </w:r>
              </w:p>
            </w:tc>
            <w:tc>
              <w:tcPr>
                <w:tcW w:w="991"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4,000,000,000.00</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15,000,000,000.00</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4,000,000,000.00</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15,000,000,000.00</w:t>
                </w:r>
              </w:p>
            </w:tc>
          </w:tr>
          <w:tr w:rsidR="00DE031E" w:rsidRPr="00F040B1" w:rsidTr="00DE031E">
            <w:trPr>
              <w:trHeight w:val="340"/>
            </w:trPr>
            <w:tc>
              <w:tcPr>
                <w:tcW w:w="1132" w:type="pct"/>
                <w:shd w:val="clear" w:color="auto" w:fill="auto"/>
                <w:noWrap/>
                <w:vAlign w:val="center"/>
                <w:hideMark/>
              </w:tcPr>
              <w:p w:rsidR="00DE031E" w:rsidRPr="00F040B1" w:rsidRDefault="001C1A59" w:rsidP="00DE031E">
                <w:pPr>
                  <w:rPr>
                    <w:rFonts w:ascii="Arial" w:hAnsi="Arial" w:cs="Arial"/>
                    <w:bCs/>
                    <w:sz w:val="18"/>
                    <w:szCs w:val="18"/>
                  </w:rPr>
                </w:pPr>
                <w:r w:rsidRPr="00F040B1">
                  <w:rPr>
                    <w:rFonts w:ascii="Arial" w:hAnsi="Arial" w:cs="Arial"/>
                    <w:bCs/>
                    <w:sz w:val="18"/>
                    <w:szCs w:val="18"/>
                  </w:rPr>
                  <w:t>应付收益凭证</w:t>
                </w:r>
              </w:p>
            </w:tc>
            <w:tc>
              <w:tcPr>
                <w:tcW w:w="991" w:type="pct"/>
                <w:shd w:val="clear" w:color="auto" w:fill="auto"/>
                <w:noWrap/>
                <w:tcMar>
                  <w:left w:w="57" w:type="dxa"/>
                  <w:right w:w="57" w:type="dxa"/>
                </w:tcMar>
                <w:vAlign w:val="center"/>
                <w:hideMark/>
              </w:tcPr>
              <w:p w:rsidR="00DE031E" w:rsidRPr="00F040B1" w:rsidRDefault="00422DCA" w:rsidP="00DE031E">
                <w:pPr>
                  <w:jc w:val="right"/>
                  <w:rPr>
                    <w:rFonts w:ascii="Arial" w:hAnsi="Arial" w:cs="Arial"/>
                    <w:color w:val="000000"/>
                    <w:sz w:val="18"/>
                    <w:szCs w:val="18"/>
                  </w:rPr>
                </w:pPr>
                <w:r w:rsidRPr="00F040B1">
                  <w:rPr>
                    <w:rFonts w:ascii="Arial" w:hAnsi="Arial" w:cs="Arial"/>
                    <w:color w:val="000000"/>
                    <w:sz w:val="18"/>
                    <w:szCs w:val="18"/>
                  </w:rPr>
                  <w:fldChar w:fldCharType="begin"/>
                </w:r>
                <w:r w:rsidR="001C1A59" w:rsidRPr="00F040B1">
                  <w:rPr>
                    <w:rFonts w:ascii="Arial" w:hAnsi="Arial" w:cs="Arial"/>
                    <w:color w:val="000000"/>
                    <w:sz w:val="18"/>
                    <w:szCs w:val="18"/>
                  </w:rPr>
                  <w:instrText xml:space="preserve"> =2,033,147,014.00-70000000 \# "#,##0.00" </w:instrText>
                </w:r>
                <w:r w:rsidRPr="00F040B1">
                  <w:rPr>
                    <w:rFonts w:ascii="Arial" w:hAnsi="Arial" w:cs="Arial"/>
                    <w:color w:val="000000"/>
                    <w:sz w:val="18"/>
                    <w:szCs w:val="18"/>
                  </w:rPr>
                  <w:fldChar w:fldCharType="separate"/>
                </w:r>
                <w:r w:rsidR="001C1A59" w:rsidRPr="00F040B1">
                  <w:rPr>
                    <w:rFonts w:ascii="Arial" w:hAnsi="Arial" w:cs="Arial"/>
                    <w:noProof/>
                    <w:color w:val="000000"/>
                    <w:sz w:val="18"/>
                    <w:szCs w:val="18"/>
                  </w:rPr>
                  <w:t>1,963,147,014.00</w:t>
                </w:r>
                <w:r w:rsidRPr="00F040B1">
                  <w:rPr>
                    <w:rFonts w:ascii="Arial" w:hAnsi="Arial" w:cs="Arial"/>
                    <w:color w:val="000000"/>
                    <w:sz w:val="18"/>
                    <w:szCs w:val="18"/>
                  </w:rPr>
                  <w:fldChar w:fldCharType="end"/>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23,023,080,000.00</w:t>
                </w:r>
              </w:p>
            </w:tc>
            <w:tc>
              <w:tcPr>
                <w:tcW w:w="954" w:type="pct"/>
                <w:shd w:val="clear" w:color="auto" w:fill="auto"/>
                <w:noWrap/>
                <w:tcMar>
                  <w:left w:w="57" w:type="dxa"/>
                  <w:right w:w="57" w:type="dxa"/>
                </w:tcMar>
                <w:vAlign w:val="center"/>
                <w:hideMark/>
              </w:tcPr>
              <w:p w:rsidR="00DE031E" w:rsidRPr="00F040B1" w:rsidRDefault="00422DCA" w:rsidP="00DE031E">
                <w:pPr>
                  <w:jc w:val="right"/>
                  <w:rPr>
                    <w:rFonts w:ascii="Arial" w:hAnsi="Arial" w:cs="Arial"/>
                    <w:color w:val="000000"/>
                    <w:sz w:val="18"/>
                    <w:szCs w:val="18"/>
                  </w:rPr>
                </w:pPr>
                <w:r w:rsidRPr="00F040B1">
                  <w:rPr>
                    <w:rFonts w:ascii="Arial" w:hAnsi="Arial" w:cs="Arial"/>
                    <w:color w:val="000000"/>
                    <w:sz w:val="18"/>
                    <w:szCs w:val="18"/>
                  </w:rPr>
                  <w:fldChar w:fldCharType="begin"/>
                </w:r>
                <w:r w:rsidR="001C1A59" w:rsidRPr="00F040B1">
                  <w:rPr>
                    <w:rFonts w:ascii="Arial" w:hAnsi="Arial" w:cs="Arial"/>
                    <w:color w:val="000000"/>
                    <w:sz w:val="18"/>
                    <w:szCs w:val="18"/>
                  </w:rPr>
                  <w:instrText xml:space="preserve"> =3,457,197,014.00-70000000 \# "#,##0.00" </w:instrText>
                </w:r>
                <w:r w:rsidRPr="00F040B1">
                  <w:rPr>
                    <w:rFonts w:ascii="Arial" w:hAnsi="Arial" w:cs="Arial"/>
                    <w:color w:val="000000"/>
                    <w:sz w:val="18"/>
                    <w:szCs w:val="18"/>
                  </w:rPr>
                  <w:fldChar w:fldCharType="separate"/>
                </w:r>
                <w:r w:rsidR="001C1A59" w:rsidRPr="00F040B1">
                  <w:rPr>
                    <w:rFonts w:ascii="Arial" w:hAnsi="Arial" w:cs="Arial"/>
                    <w:noProof/>
                    <w:color w:val="000000"/>
                    <w:sz w:val="18"/>
                    <w:szCs w:val="18"/>
                  </w:rPr>
                  <w:t>3,387,197,014.00</w:t>
                </w:r>
                <w:r w:rsidRPr="00F040B1">
                  <w:rPr>
                    <w:rFonts w:ascii="Arial" w:hAnsi="Arial" w:cs="Arial"/>
                    <w:color w:val="000000"/>
                    <w:sz w:val="18"/>
                    <w:szCs w:val="18"/>
                  </w:rPr>
                  <w:fldChar w:fldCharType="end"/>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21,599,030,000.00</w:t>
                </w:r>
              </w:p>
            </w:tc>
          </w:tr>
          <w:tr w:rsidR="00DE031E" w:rsidRPr="00F040B1" w:rsidTr="00DE031E">
            <w:trPr>
              <w:trHeight w:val="340"/>
            </w:trPr>
            <w:tc>
              <w:tcPr>
                <w:tcW w:w="1132" w:type="pct"/>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合计</w:t>
                </w:r>
              </w:p>
            </w:tc>
            <w:tc>
              <w:tcPr>
                <w:tcW w:w="991"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14,363,147,014.00</w:t>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54,523,080,000.00</w:t>
                </w:r>
              </w:p>
            </w:tc>
            <w:tc>
              <w:tcPr>
                <w:tcW w:w="954" w:type="pct"/>
                <w:shd w:val="clear" w:color="auto" w:fill="auto"/>
                <w:noWrap/>
                <w:tcMar>
                  <w:left w:w="57" w:type="dxa"/>
                  <w:right w:w="57" w:type="dxa"/>
                </w:tcMar>
                <w:vAlign w:val="center"/>
                <w:hideMark/>
              </w:tcPr>
              <w:p w:rsidR="00DE031E" w:rsidRPr="00F040B1" w:rsidRDefault="00422DCA" w:rsidP="00DE031E">
                <w:pPr>
                  <w:jc w:val="right"/>
                  <w:rPr>
                    <w:rFonts w:ascii="Arial" w:hAnsi="Arial" w:cs="Arial"/>
                    <w:b/>
                    <w:bCs/>
                    <w:color w:val="000000"/>
                    <w:sz w:val="18"/>
                    <w:szCs w:val="18"/>
                  </w:rPr>
                </w:pPr>
                <w:r w:rsidRPr="00F040B1">
                  <w:rPr>
                    <w:rFonts w:ascii="Arial" w:hAnsi="Arial" w:cs="Arial"/>
                    <w:b/>
                    <w:bCs/>
                    <w:color w:val="000000"/>
                    <w:sz w:val="18"/>
                    <w:szCs w:val="18"/>
                  </w:rPr>
                  <w:fldChar w:fldCharType="begin"/>
                </w:r>
                <w:r w:rsidR="001C1A59" w:rsidRPr="00F040B1">
                  <w:rPr>
                    <w:rFonts w:ascii="Arial" w:hAnsi="Arial" w:cs="Arial"/>
                    <w:b/>
                    <w:bCs/>
                    <w:color w:val="000000"/>
                    <w:sz w:val="18"/>
                    <w:szCs w:val="18"/>
                  </w:rPr>
                  <w:instrText xml:space="preserve"> =SUM(ABOVE) \# "#,##0.00" </w:instrText>
                </w:r>
                <w:r w:rsidRPr="00F040B1">
                  <w:rPr>
                    <w:rFonts w:ascii="Arial" w:hAnsi="Arial" w:cs="Arial"/>
                    <w:b/>
                    <w:bCs/>
                    <w:color w:val="000000"/>
                    <w:sz w:val="18"/>
                    <w:szCs w:val="18"/>
                  </w:rPr>
                  <w:fldChar w:fldCharType="separate"/>
                </w:r>
                <w:r w:rsidR="001C1A59" w:rsidRPr="00F040B1">
                  <w:rPr>
                    <w:rFonts w:ascii="Arial" w:hAnsi="Arial" w:cs="Arial"/>
                    <w:b/>
                    <w:bCs/>
                    <w:noProof/>
                    <w:color w:val="000000"/>
                    <w:sz w:val="18"/>
                    <w:szCs w:val="18"/>
                  </w:rPr>
                  <w:t>24,037,197,014.00</w:t>
                </w:r>
                <w:r w:rsidRPr="00F040B1">
                  <w:rPr>
                    <w:rFonts w:ascii="Arial" w:hAnsi="Arial" w:cs="Arial"/>
                    <w:b/>
                    <w:bCs/>
                    <w:color w:val="000000"/>
                    <w:sz w:val="18"/>
                    <w:szCs w:val="18"/>
                  </w:rPr>
                  <w:fldChar w:fldCharType="end"/>
                </w:r>
              </w:p>
            </w:tc>
            <w:tc>
              <w:tcPr>
                <w:tcW w:w="954" w:type="pct"/>
                <w:shd w:val="clear" w:color="auto" w:fill="auto"/>
                <w:noWrap/>
                <w:tcMar>
                  <w:left w:w="57" w:type="dxa"/>
                  <w:right w:w="57" w:type="dxa"/>
                </w:tcMar>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44,849,030,000.00</w:t>
                </w:r>
              </w:p>
            </w:tc>
          </w:tr>
        </w:tbl>
        <w:p w:rsidR="00DE031E" w:rsidRDefault="001C1A59" w:rsidP="003A0284">
          <w:pPr>
            <w:widowControl w:val="0"/>
            <w:autoSpaceDE w:val="0"/>
            <w:autoSpaceDN w:val="0"/>
            <w:adjustRightInd w:val="0"/>
            <w:spacing w:beforeLines="50" w:line="360" w:lineRule="auto"/>
          </w:pPr>
          <w:r>
            <w:rPr>
              <w:rFonts w:hAnsi="Calibri" w:hint="eastAsia"/>
              <w:sz w:val="22"/>
              <w:szCs w:val="22"/>
            </w:rPr>
            <w:t>1）截至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日，应付短期融资款余额较上年末增加</w:t>
          </w:r>
          <w:r>
            <w:rPr>
              <w:rFonts w:ascii="Arial" w:hAnsi="Arial" w:cs="Arial" w:hint="eastAsia"/>
              <w:sz w:val="22"/>
              <w:szCs w:val="22"/>
            </w:rPr>
            <w:t>30</w:t>
          </w:r>
          <w:r>
            <w:rPr>
              <w:rFonts w:ascii="Arial" w:hAnsi="Arial" w:cs="Arial"/>
              <w:sz w:val="22"/>
              <w:szCs w:val="22"/>
            </w:rPr>
            <w:t>,</w:t>
          </w:r>
          <w:r>
            <w:rPr>
              <w:rFonts w:ascii="Arial" w:hAnsi="Arial" w:cs="Arial" w:hint="eastAsia"/>
              <w:sz w:val="22"/>
              <w:szCs w:val="22"/>
            </w:rPr>
            <w:t>485</w:t>
          </w:r>
          <w:r>
            <w:rPr>
              <w:rFonts w:ascii="Arial" w:hAnsi="Arial" w:cs="Arial"/>
              <w:sz w:val="22"/>
              <w:szCs w:val="22"/>
            </w:rPr>
            <w:t>,</w:t>
          </w:r>
          <w:r>
            <w:rPr>
              <w:rFonts w:ascii="Arial" w:hAnsi="Arial" w:cs="Arial" w:hint="eastAsia"/>
              <w:sz w:val="22"/>
              <w:szCs w:val="22"/>
            </w:rPr>
            <w:t>882</w:t>
          </w:r>
          <w:r>
            <w:rPr>
              <w:rFonts w:ascii="Arial" w:hAnsi="Arial" w:cs="Arial"/>
              <w:sz w:val="22"/>
              <w:szCs w:val="22"/>
            </w:rPr>
            <w:t>,</w:t>
          </w:r>
          <w:r>
            <w:rPr>
              <w:rFonts w:ascii="Arial" w:hAnsi="Arial" w:cs="Arial" w:hint="eastAsia"/>
              <w:sz w:val="22"/>
              <w:szCs w:val="22"/>
            </w:rPr>
            <w:t>986</w:t>
          </w:r>
          <w:r>
            <w:rPr>
              <w:rFonts w:ascii="Arial" w:hAnsi="Arial" w:cs="Arial"/>
              <w:sz w:val="22"/>
              <w:szCs w:val="22"/>
            </w:rPr>
            <w:t>.00</w:t>
          </w:r>
          <w:r>
            <w:rPr>
              <w:rFonts w:hAnsi="Calibri" w:hint="eastAsia"/>
              <w:sz w:val="22"/>
              <w:szCs w:val="22"/>
            </w:rPr>
            <w:t>元，增幅</w:t>
          </w:r>
          <w:r>
            <w:rPr>
              <w:rFonts w:ascii="Arial" w:hAnsi="Arial" w:cs="Arial" w:hint="eastAsia"/>
              <w:sz w:val="22"/>
              <w:szCs w:val="22"/>
            </w:rPr>
            <w:t>212.25</w:t>
          </w:r>
          <w:r>
            <w:rPr>
              <w:rFonts w:ascii="Arial" w:hAnsi="Arial" w:cs="Arial"/>
              <w:sz w:val="22"/>
              <w:szCs w:val="22"/>
            </w:rPr>
            <w:t>%</w:t>
          </w:r>
          <w:r>
            <w:rPr>
              <w:rFonts w:hAnsi="Calibri" w:hint="eastAsia"/>
              <w:sz w:val="22"/>
              <w:szCs w:val="22"/>
            </w:rPr>
            <w:t>，主要是由于公司本年发行短期公司债和收益凭证所致。</w:t>
          </w:r>
        </w:p>
        <w:p w:rsidR="00DE031E" w:rsidRPr="00687C1B" w:rsidRDefault="001C1A59" w:rsidP="003A0284">
          <w:pPr>
            <w:pStyle w:val="31"/>
            <w:spacing w:beforeLines="50" w:afterLines="50"/>
            <w:ind w:firstLineChars="0" w:firstLine="0"/>
            <w:rPr>
              <w:rFonts w:ascii="Arial" w:hAnsi="Arial" w:cs="Arial"/>
              <w:sz w:val="22"/>
              <w:szCs w:val="22"/>
            </w:rPr>
          </w:pPr>
          <w:r>
            <w:rPr>
              <w:rFonts w:ascii="Arial" w:hAnsi="Arial" w:cs="Arial" w:hint="eastAsia"/>
              <w:sz w:val="22"/>
              <w:szCs w:val="22"/>
            </w:rPr>
            <w:t>2</w:t>
          </w:r>
          <w:r>
            <w:rPr>
              <w:rFonts w:ascii="Arial" w:hAnsi="Arial" w:cs="Arial" w:hint="eastAsia"/>
              <w:sz w:val="22"/>
              <w:szCs w:val="22"/>
            </w:rPr>
            <w:t>）</w:t>
          </w:r>
          <w:r>
            <w:rPr>
              <w:rFonts w:ascii="Arial" w:hAnsi="Arial" w:cs="Arial" w:hint="eastAsia"/>
              <w:sz w:val="22"/>
              <w:szCs w:val="22"/>
            </w:rPr>
            <w:t>2015</w:t>
          </w:r>
          <w:r>
            <w:rPr>
              <w:rFonts w:ascii="Arial" w:hAnsi="Arial" w:cs="Arial" w:hint="eastAsia"/>
              <w:sz w:val="22"/>
              <w:szCs w:val="22"/>
            </w:rPr>
            <w:t>年</w:t>
          </w:r>
          <w:r>
            <w:rPr>
              <w:rFonts w:ascii="Arial" w:hAnsi="Arial" w:cs="Arial" w:hint="eastAsia"/>
              <w:sz w:val="22"/>
              <w:szCs w:val="22"/>
            </w:rPr>
            <w:t>6</w:t>
          </w:r>
          <w:r>
            <w:rPr>
              <w:rFonts w:ascii="Arial" w:hAnsi="Arial" w:cs="Arial" w:hint="eastAsia"/>
              <w:sz w:val="22"/>
              <w:szCs w:val="22"/>
            </w:rPr>
            <w:t>月</w:t>
          </w:r>
          <w:r>
            <w:rPr>
              <w:rFonts w:ascii="Arial" w:hAnsi="Arial" w:cs="Arial" w:hint="eastAsia"/>
              <w:sz w:val="22"/>
              <w:szCs w:val="22"/>
            </w:rPr>
            <w:t>30</w:t>
          </w:r>
          <w:r>
            <w:rPr>
              <w:rFonts w:ascii="Arial" w:hAnsi="Arial" w:cs="Arial" w:hint="eastAsia"/>
              <w:sz w:val="22"/>
              <w:szCs w:val="22"/>
            </w:rPr>
            <w:t>日</w:t>
          </w:r>
          <w:r w:rsidRPr="00687C1B">
            <w:rPr>
              <w:rFonts w:ascii="Arial" w:hAnsi="Arial" w:cs="Arial"/>
              <w:sz w:val="22"/>
              <w:szCs w:val="22"/>
            </w:rPr>
            <w:t>未到期的短期融资款情况如下：</w:t>
          </w:r>
        </w:p>
        <w:tbl>
          <w:tblPr>
            <w:tblW w:w="5000" w:type="pct"/>
            <w:tblLook w:val="04A0"/>
          </w:tblPr>
          <w:tblGrid>
            <w:gridCol w:w="2802"/>
            <w:gridCol w:w="1479"/>
            <w:gridCol w:w="1332"/>
            <w:gridCol w:w="1216"/>
            <w:gridCol w:w="2220"/>
          </w:tblGrid>
          <w:tr w:rsidR="00DE031E" w:rsidRPr="00F040B1" w:rsidTr="00DE031E">
            <w:trPr>
              <w:trHeight w:val="340"/>
              <w:tblHeader/>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b/>
                    <w:bCs/>
                    <w:sz w:val="18"/>
                    <w:szCs w:val="18"/>
                  </w:rPr>
                </w:pPr>
                <w:r w:rsidRPr="00F040B1">
                  <w:rPr>
                    <w:rFonts w:ascii="Arial" w:hAnsi="Arial" w:cs="Arial"/>
                    <w:b/>
                    <w:bCs/>
                    <w:sz w:val="18"/>
                    <w:szCs w:val="18"/>
                  </w:rPr>
                  <w:t>类型</w:t>
                </w:r>
              </w:p>
            </w:tc>
            <w:tc>
              <w:tcPr>
                <w:tcW w:w="827" w:type="pct"/>
                <w:tcBorders>
                  <w:top w:val="nil"/>
                  <w:left w:val="nil"/>
                  <w:bottom w:val="nil"/>
                  <w:right w:val="nil"/>
                </w:tcBorders>
                <w:shd w:val="clear" w:color="auto" w:fill="auto"/>
                <w:noWrap/>
                <w:vAlign w:val="center"/>
                <w:hideMark/>
              </w:tcPr>
              <w:p w:rsidR="00DE031E" w:rsidRPr="00F040B1" w:rsidRDefault="00650239" w:rsidP="00DE031E">
                <w:pPr>
                  <w:jc w:val="right"/>
                  <w:rPr>
                    <w:rFonts w:ascii="Arial" w:hAnsi="Arial" w:cs="Arial"/>
                    <w:b/>
                    <w:bCs/>
                    <w:sz w:val="18"/>
                    <w:szCs w:val="18"/>
                  </w:rPr>
                </w:pPr>
                <w:r>
                  <w:rPr>
                    <w:rFonts w:ascii="Arial" w:hAnsi="Arial" w:cs="Arial" w:hint="eastAsia"/>
                    <w:b/>
                    <w:bCs/>
                    <w:sz w:val="18"/>
                    <w:szCs w:val="18"/>
                  </w:rPr>
                  <w:t>起息</w:t>
                </w:r>
                <w:r w:rsidR="001C1A59" w:rsidRPr="00F040B1">
                  <w:rPr>
                    <w:rFonts w:ascii="Arial" w:hAnsi="Arial" w:cs="Arial"/>
                    <w:b/>
                    <w:bCs/>
                    <w:sz w:val="18"/>
                    <w:szCs w:val="18"/>
                  </w:rPr>
                  <w:t>日期</w:t>
                </w:r>
              </w:p>
            </w:tc>
            <w:tc>
              <w:tcPr>
                <w:tcW w:w="74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sz w:val="18"/>
                    <w:szCs w:val="18"/>
                  </w:rPr>
                </w:pPr>
                <w:r w:rsidRPr="00F040B1">
                  <w:rPr>
                    <w:rFonts w:ascii="Arial" w:hAnsi="Arial" w:cs="Arial"/>
                    <w:b/>
                    <w:bCs/>
                    <w:sz w:val="18"/>
                    <w:szCs w:val="18"/>
                  </w:rPr>
                  <w:t>到期日期</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sz w:val="18"/>
                    <w:szCs w:val="18"/>
                  </w:rPr>
                </w:pPr>
                <w:r w:rsidRPr="00F040B1">
                  <w:rPr>
                    <w:rFonts w:ascii="Arial" w:hAnsi="Arial" w:cs="Arial"/>
                    <w:b/>
                    <w:bCs/>
                    <w:sz w:val="18"/>
                    <w:szCs w:val="18"/>
                  </w:rPr>
                  <w:t>票面利率</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sz w:val="18"/>
                    <w:szCs w:val="18"/>
                  </w:rPr>
                </w:pPr>
                <w:r w:rsidRPr="00F040B1">
                  <w:rPr>
                    <w:rFonts w:ascii="Arial" w:hAnsi="Arial" w:cs="Arial"/>
                    <w:b/>
                    <w:bCs/>
                    <w:sz w:val="18"/>
                    <w:szCs w:val="18"/>
                  </w:rPr>
                  <w:t>年末金额</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招商</w:t>
                </w:r>
                <w:r w:rsidRPr="00F040B1">
                  <w:rPr>
                    <w:rFonts w:ascii="Arial" w:hAnsi="Arial" w:cs="Arial"/>
                    <w:color w:val="000000"/>
                    <w:sz w:val="18"/>
                    <w:szCs w:val="18"/>
                  </w:rPr>
                  <w:t>CP05</w:t>
                </w:r>
              </w:p>
            </w:tc>
            <w:tc>
              <w:tcPr>
                <w:tcW w:w="827" w:type="pct"/>
                <w:tcBorders>
                  <w:top w:val="nil"/>
                  <w:left w:val="nil"/>
                  <w:bottom w:val="nil"/>
                  <w:right w:val="nil"/>
                </w:tcBorders>
                <w:shd w:val="clear" w:color="auto" w:fill="auto"/>
                <w:noWrap/>
                <w:vAlign w:val="center"/>
                <w:hideMark/>
              </w:tcPr>
              <w:p w:rsidR="00DE031E" w:rsidRPr="00F040B1" w:rsidRDefault="001C1A59" w:rsidP="00650239">
                <w:pPr>
                  <w:jc w:val="right"/>
                  <w:rPr>
                    <w:rFonts w:ascii="Arial" w:hAnsi="Arial" w:cs="Arial"/>
                    <w:color w:val="000000"/>
                    <w:sz w:val="18"/>
                    <w:szCs w:val="18"/>
                  </w:rPr>
                </w:pPr>
                <w:r w:rsidRPr="00F040B1">
                  <w:rPr>
                    <w:rFonts w:ascii="Arial" w:hAnsi="Arial" w:cs="Arial"/>
                    <w:color w:val="000000"/>
                    <w:sz w:val="18"/>
                    <w:szCs w:val="18"/>
                  </w:rPr>
                  <w:t>2015/5/</w:t>
                </w:r>
                <w:r w:rsidR="00650239">
                  <w:rPr>
                    <w:rFonts w:ascii="Arial" w:hAnsi="Arial" w:cs="Arial" w:hint="eastAsia"/>
                    <w:color w:val="000000"/>
                    <w:sz w:val="18"/>
                    <w:szCs w:val="18"/>
                  </w:rPr>
                  <w:t>7</w:t>
                </w:r>
              </w:p>
            </w:tc>
            <w:tc>
              <w:tcPr>
                <w:tcW w:w="74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2015/8/5</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3.76%</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2,850,000,000.00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招商</w:t>
                </w:r>
                <w:r w:rsidRPr="00F040B1">
                  <w:rPr>
                    <w:rFonts w:ascii="Arial" w:hAnsi="Arial" w:cs="Arial"/>
                    <w:color w:val="000000"/>
                    <w:sz w:val="18"/>
                    <w:szCs w:val="18"/>
                  </w:rPr>
                  <w:t>CP06</w:t>
                </w:r>
              </w:p>
            </w:tc>
            <w:tc>
              <w:tcPr>
                <w:tcW w:w="827" w:type="pct"/>
                <w:tcBorders>
                  <w:top w:val="nil"/>
                  <w:left w:val="nil"/>
                  <w:bottom w:val="nil"/>
                  <w:right w:val="nil"/>
                </w:tcBorders>
                <w:shd w:val="clear" w:color="auto" w:fill="auto"/>
                <w:noWrap/>
                <w:vAlign w:val="center"/>
                <w:hideMark/>
              </w:tcPr>
              <w:p w:rsidR="00DE031E" w:rsidRPr="00F040B1" w:rsidRDefault="001C1A59" w:rsidP="00650239">
                <w:pPr>
                  <w:jc w:val="right"/>
                  <w:rPr>
                    <w:rFonts w:ascii="Arial" w:hAnsi="Arial" w:cs="Arial"/>
                    <w:color w:val="000000"/>
                    <w:sz w:val="18"/>
                    <w:szCs w:val="18"/>
                  </w:rPr>
                </w:pPr>
                <w:r w:rsidRPr="00F040B1">
                  <w:rPr>
                    <w:rFonts w:ascii="Arial" w:hAnsi="Arial" w:cs="Arial"/>
                    <w:color w:val="000000"/>
                    <w:sz w:val="18"/>
                    <w:szCs w:val="18"/>
                  </w:rPr>
                  <w:t>2015/5/</w:t>
                </w:r>
                <w:r w:rsidR="00650239">
                  <w:rPr>
                    <w:rFonts w:ascii="Arial" w:hAnsi="Arial" w:cs="Arial" w:hint="eastAsia"/>
                    <w:color w:val="000000"/>
                    <w:sz w:val="18"/>
                    <w:szCs w:val="18"/>
                  </w:rPr>
                  <w:t>20</w:t>
                </w:r>
              </w:p>
            </w:tc>
            <w:tc>
              <w:tcPr>
                <w:tcW w:w="74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2015/8/18</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2.83%</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1,800,000,000.00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招商</w:t>
                </w:r>
                <w:r w:rsidRPr="00F040B1">
                  <w:rPr>
                    <w:rFonts w:ascii="Arial" w:hAnsi="Arial" w:cs="Arial"/>
                    <w:color w:val="000000"/>
                    <w:sz w:val="18"/>
                    <w:szCs w:val="18"/>
                  </w:rPr>
                  <w:t>CP07</w:t>
                </w:r>
              </w:p>
            </w:tc>
            <w:tc>
              <w:tcPr>
                <w:tcW w:w="827" w:type="pct"/>
                <w:tcBorders>
                  <w:top w:val="nil"/>
                  <w:left w:val="nil"/>
                  <w:bottom w:val="nil"/>
                  <w:right w:val="nil"/>
                </w:tcBorders>
                <w:shd w:val="clear" w:color="auto" w:fill="auto"/>
                <w:noWrap/>
                <w:vAlign w:val="center"/>
                <w:hideMark/>
              </w:tcPr>
              <w:p w:rsidR="00DE031E" w:rsidRPr="00F040B1" w:rsidRDefault="001C1A59" w:rsidP="00650239">
                <w:pPr>
                  <w:jc w:val="right"/>
                  <w:rPr>
                    <w:rFonts w:ascii="Arial" w:hAnsi="Arial" w:cs="Arial"/>
                    <w:color w:val="000000"/>
                    <w:sz w:val="18"/>
                    <w:szCs w:val="18"/>
                  </w:rPr>
                </w:pPr>
                <w:r w:rsidRPr="00F040B1">
                  <w:rPr>
                    <w:rFonts w:ascii="Arial" w:hAnsi="Arial" w:cs="Arial"/>
                    <w:color w:val="000000"/>
                    <w:sz w:val="18"/>
                    <w:szCs w:val="18"/>
                  </w:rPr>
                  <w:t>2015/6/</w:t>
                </w:r>
                <w:r w:rsidR="00650239">
                  <w:rPr>
                    <w:rFonts w:ascii="Arial" w:hAnsi="Arial" w:cs="Arial" w:hint="eastAsia"/>
                    <w:color w:val="000000"/>
                    <w:sz w:val="18"/>
                    <w:szCs w:val="18"/>
                  </w:rPr>
                  <w:t>24</w:t>
                </w:r>
              </w:p>
            </w:tc>
            <w:tc>
              <w:tcPr>
                <w:tcW w:w="74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2015/9/22</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3.70%</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1,800,000,000.00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招商</w:t>
                </w:r>
                <w:r w:rsidRPr="00F040B1">
                  <w:rPr>
                    <w:rFonts w:ascii="Arial" w:hAnsi="Arial" w:cs="Arial"/>
                    <w:color w:val="000000"/>
                    <w:sz w:val="18"/>
                    <w:szCs w:val="18"/>
                  </w:rPr>
                  <w:t>CP08</w:t>
                </w:r>
              </w:p>
            </w:tc>
            <w:tc>
              <w:tcPr>
                <w:tcW w:w="827" w:type="pct"/>
                <w:tcBorders>
                  <w:top w:val="nil"/>
                  <w:left w:val="nil"/>
                  <w:bottom w:val="nil"/>
                  <w:right w:val="nil"/>
                </w:tcBorders>
                <w:shd w:val="clear" w:color="auto" w:fill="auto"/>
                <w:noWrap/>
                <w:vAlign w:val="center"/>
                <w:hideMark/>
              </w:tcPr>
              <w:p w:rsidR="00DE031E" w:rsidRPr="00F040B1" w:rsidRDefault="001C1A59" w:rsidP="00650239">
                <w:pPr>
                  <w:jc w:val="right"/>
                  <w:rPr>
                    <w:rFonts w:ascii="Arial" w:hAnsi="Arial" w:cs="Arial"/>
                    <w:color w:val="000000"/>
                    <w:sz w:val="18"/>
                    <w:szCs w:val="18"/>
                  </w:rPr>
                </w:pPr>
                <w:r w:rsidRPr="00F040B1">
                  <w:rPr>
                    <w:rFonts w:ascii="Arial" w:hAnsi="Arial" w:cs="Arial"/>
                    <w:color w:val="000000"/>
                    <w:sz w:val="18"/>
                    <w:szCs w:val="18"/>
                  </w:rPr>
                  <w:t>2015/6/</w:t>
                </w:r>
                <w:r w:rsidR="00662AB5">
                  <w:rPr>
                    <w:rFonts w:ascii="Arial" w:hAnsi="Arial" w:cs="Arial" w:hint="eastAsia"/>
                    <w:color w:val="000000"/>
                    <w:sz w:val="18"/>
                    <w:szCs w:val="18"/>
                  </w:rPr>
                  <w:t>2</w:t>
                </w:r>
                <w:r w:rsidR="00650239">
                  <w:rPr>
                    <w:rFonts w:ascii="Arial" w:hAnsi="Arial" w:cs="Arial" w:hint="eastAsia"/>
                    <w:color w:val="000000"/>
                    <w:sz w:val="18"/>
                    <w:szCs w:val="18"/>
                  </w:rPr>
                  <w:t>9</w:t>
                </w:r>
              </w:p>
            </w:tc>
            <w:tc>
              <w:tcPr>
                <w:tcW w:w="74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2015/9/25</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3.60%</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1,800,000,000.00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第一期证券公司短期公司债券</w:t>
                </w:r>
              </w:p>
            </w:tc>
            <w:tc>
              <w:tcPr>
                <w:tcW w:w="82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2015/1/13</w:t>
                </w:r>
              </w:p>
            </w:tc>
            <w:tc>
              <w:tcPr>
                <w:tcW w:w="74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2016/1/13</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5.30%</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3,000,000,000.00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7C1B24">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第</w:t>
                </w:r>
                <w:r w:rsidR="007C1B24">
                  <w:rPr>
                    <w:rFonts w:ascii="Arial" w:hAnsi="Arial" w:cs="Arial" w:hint="eastAsia"/>
                    <w:color w:val="000000"/>
                    <w:sz w:val="18"/>
                    <w:szCs w:val="18"/>
                  </w:rPr>
                  <w:t>二</w:t>
                </w:r>
                <w:r w:rsidRPr="00F040B1">
                  <w:rPr>
                    <w:rFonts w:ascii="Arial" w:hAnsi="Arial" w:cs="Arial"/>
                    <w:color w:val="000000"/>
                    <w:sz w:val="18"/>
                    <w:szCs w:val="18"/>
                  </w:rPr>
                  <w:t>期证券公司短期公司债券</w:t>
                </w:r>
              </w:p>
            </w:tc>
            <w:tc>
              <w:tcPr>
                <w:tcW w:w="827" w:type="pct"/>
                <w:tcBorders>
                  <w:top w:val="nil"/>
                  <w:left w:val="nil"/>
                  <w:bottom w:val="nil"/>
                  <w:right w:val="nil"/>
                </w:tcBorders>
                <w:shd w:val="clear" w:color="auto" w:fill="auto"/>
                <w:noWrap/>
                <w:vAlign w:val="center"/>
                <w:hideMark/>
              </w:tcPr>
              <w:p w:rsidR="00DE031E" w:rsidRPr="00F040B1" w:rsidRDefault="001C1A59" w:rsidP="00ED7C67">
                <w:pPr>
                  <w:jc w:val="right"/>
                  <w:rPr>
                    <w:rFonts w:ascii="Arial" w:hAnsi="Arial" w:cs="Arial"/>
                    <w:color w:val="000000"/>
                    <w:sz w:val="18"/>
                    <w:szCs w:val="18"/>
                  </w:rPr>
                </w:pPr>
                <w:r w:rsidRPr="00F040B1">
                  <w:rPr>
                    <w:rFonts w:ascii="Arial" w:hAnsi="Arial" w:cs="Arial"/>
                    <w:color w:val="000000"/>
                    <w:sz w:val="18"/>
                    <w:szCs w:val="18"/>
                  </w:rPr>
                  <w:t>2015/1/</w:t>
                </w:r>
                <w:r w:rsidR="00ED7C67">
                  <w:rPr>
                    <w:rFonts w:ascii="Arial" w:hAnsi="Arial" w:cs="Arial" w:hint="eastAsia"/>
                    <w:color w:val="000000"/>
                    <w:sz w:val="18"/>
                    <w:szCs w:val="18"/>
                  </w:rPr>
                  <w:t>21</w:t>
                </w:r>
              </w:p>
            </w:tc>
            <w:tc>
              <w:tcPr>
                <w:tcW w:w="746" w:type="pct"/>
                <w:tcBorders>
                  <w:top w:val="nil"/>
                  <w:left w:val="nil"/>
                  <w:bottom w:val="nil"/>
                  <w:right w:val="nil"/>
                </w:tcBorders>
                <w:shd w:val="clear" w:color="auto" w:fill="auto"/>
                <w:noWrap/>
                <w:vAlign w:val="center"/>
                <w:hideMark/>
              </w:tcPr>
              <w:p w:rsidR="00DE031E" w:rsidRPr="00F040B1" w:rsidRDefault="001C1A59" w:rsidP="00EF372E">
                <w:pPr>
                  <w:jc w:val="right"/>
                  <w:rPr>
                    <w:rFonts w:ascii="Arial" w:hAnsi="Arial" w:cs="Arial"/>
                    <w:color w:val="000000"/>
                    <w:sz w:val="18"/>
                    <w:szCs w:val="18"/>
                  </w:rPr>
                </w:pPr>
                <w:r w:rsidRPr="00F040B1">
                  <w:rPr>
                    <w:rFonts w:ascii="Arial" w:hAnsi="Arial" w:cs="Arial"/>
                    <w:color w:val="000000"/>
                    <w:sz w:val="18"/>
                    <w:szCs w:val="18"/>
                  </w:rPr>
                  <w:t>2015/7/2</w:t>
                </w:r>
                <w:r w:rsidR="00EF372E">
                  <w:rPr>
                    <w:rFonts w:ascii="Arial" w:hAnsi="Arial" w:cs="Arial" w:hint="eastAsia"/>
                    <w:color w:val="000000"/>
                    <w:sz w:val="18"/>
                    <w:szCs w:val="18"/>
                  </w:rPr>
                  <w:t>1</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5.29%</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4,000,000,000.00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7C1B24">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第</w:t>
                </w:r>
                <w:r w:rsidR="007C1B24">
                  <w:rPr>
                    <w:rFonts w:ascii="Arial" w:hAnsi="Arial" w:cs="Arial" w:hint="eastAsia"/>
                    <w:color w:val="000000"/>
                    <w:sz w:val="18"/>
                    <w:szCs w:val="18"/>
                  </w:rPr>
                  <w:t>三</w:t>
                </w:r>
                <w:r w:rsidRPr="00F040B1">
                  <w:rPr>
                    <w:rFonts w:ascii="Arial" w:hAnsi="Arial" w:cs="Arial"/>
                    <w:color w:val="000000"/>
                    <w:sz w:val="18"/>
                    <w:szCs w:val="18"/>
                  </w:rPr>
                  <w:t>期证券公司短期公司债券</w:t>
                </w:r>
              </w:p>
            </w:tc>
            <w:tc>
              <w:tcPr>
                <w:tcW w:w="82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2015/3/10</w:t>
                </w:r>
              </w:p>
            </w:tc>
            <w:tc>
              <w:tcPr>
                <w:tcW w:w="746" w:type="pct"/>
                <w:tcBorders>
                  <w:top w:val="nil"/>
                  <w:left w:val="nil"/>
                  <w:bottom w:val="nil"/>
                  <w:right w:val="nil"/>
                </w:tcBorders>
                <w:shd w:val="clear" w:color="auto" w:fill="auto"/>
                <w:noWrap/>
                <w:vAlign w:val="center"/>
                <w:hideMark/>
              </w:tcPr>
              <w:p w:rsidR="00DE031E" w:rsidRPr="00F040B1" w:rsidRDefault="001C1A59" w:rsidP="00EF372E">
                <w:pPr>
                  <w:jc w:val="right"/>
                  <w:rPr>
                    <w:rFonts w:ascii="Arial" w:hAnsi="Arial" w:cs="Arial"/>
                    <w:color w:val="000000"/>
                    <w:sz w:val="18"/>
                    <w:szCs w:val="18"/>
                  </w:rPr>
                </w:pPr>
                <w:r w:rsidRPr="00F040B1">
                  <w:rPr>
                    <w:rFonts w:ascii="Arial" w:hAnsi="Arial" w:cs="Arial"/>
                    <w:color w:val="000000"/>
                    <w:sz w:val="18"/>
                    <w:szCs w:val="18"/>
                  </w:rPr>
                  <w:t>2016/3/</w:t>
                </w:r>
                <w:r w:rsidR="00EF372E">
                  <w:rPr>
                    <w:rFonts w:ascii="Arial" w:hAnsi="Arial" w:cs="Arial" w:hint="eastAsia"/>
                    <w:color w:val="000000"/>
                    <w:sz w:val="18"/>
                    <w:szCs w:val="18"/>
                  </w:rPr>
                  <w:t>10</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5.34%</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4,000,000,000.00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7C1B24">
                <w:pPr>
                  <w:rPr>
                    <w:rFonts w:ascii="Arial" w:hAnsi="Arial" w:cs="Arial"/>
                    <w:color w:val="000000"/>
                    <w:sz w:val="18"/>
                    <w:szCs w:val="18"/>
                  </w:rPr>
                </w:pPr>
                <w:r w:rsidRPr="00F040B1">
                  <w:rPr>
                    <w:rFonts w:ascii="Arial" w:hAnsi="Arial" w:cs="Arial"/>
                    <w:color w:val="000000"/>
                    <w:sz w:val="18"/>
                    <w:szCs w:val="18"/>
                  </w:rPr>
                  <w:t>15</w:t>
                </w:r>
                <w:r w:rsidRPr="00F040B1">
                  <w:rPr>
                    <w:rFonts w:ascii="Arial" w:hAnsi="Arial" w:cs="Arial"/>
                    <w:color w:val="000000"/>
                    <w:sz w:val="18"/>
                    <w:szCs w:val="18"/>
                  </w:rPr>
                  <w:t>第</w:t>
                </w:r>
                <w:r w:rsidR="007C1B24">
                  <w:rPr>
                    <w:rFonts w:ascii="Arial" w:hAnsi="Arial" w:cs="Arial" w:hint="eastAsia"/>
                    <w:color w:val="000000"/>
                    <w:sz w:val="18"/>
                    <w:szCs w:val="18"/>
                  </w:rPr>
                  <w:t>四</w:t>
                </w:r>
                <w:r w:rsidRPr="00F040B1">
                  <w:rPr>
                    <w:rFonts w:ascii="Arial" w:hAnsi="Arial" w:cs="Arial"/>
                    <w:color w:val="000000"/>
                    <w:sz w:val="18"/>
                    <w:szCs w:val="18"/>
                  </w:rPr>
                  <w:t>期证券公司短期公司债券</w:t>
                </w:r>
              </w:p>
            </w:tc>
            <w:tc>
              <w:tcPr>
                <w:tcW w:w="82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2015/4/1</w:t>
                </w:r>
              </w:p>
            </w:tc>
            <w:tc>
              <w:tcPr>
                <w:tcW w:w="746" w:type="pct"/>
                <w:tcBorders>
                  <w:top w:val="nil"/>
                  <w:left w:val="nil"/>
                  <w:bottom w:val="nil"/>
                  <w:right w:val="nil"/>
                </w:tcBorders>
                <w:shd w:val="clear" w:color="auto" w:fill="auto"/>
                <w:noWrap/>
                <w:vAlign w:val="center"/>
                <w:hideMark/>
              </w:tcPr>
              <w:p w:rsidR="00DE031E" w:rsidRPr="00F040B1" w:rsidRDefault="001C1A59" w:rsidP="00EF372E">
                <w:pPr>
                  <w:jc w:val="right"/>
                  <w:rPr>
                    <w:rFonts w:ascii="Arial" w:hAnsi="Arial" w:cs="Arial"/>
                    <w:color w:val="000000"/>
                    <w:sz w:val="18"/>
                    <w:szCs w:val="18"/>
                  </w:rPr>
                </w:pPr>
                <w:r w:rsidRPr="00F040B1">
                  <w:rPr>
                    <w:rFonts w:ascii="Arial" w:hAnsi="Arial" w:cs="Arial"/>
                    <w:color w:val="000000"/>
                    <w:sz w:val="18"/>
                    <w:szCs w:val="18"/>
                  </w:rPr>
                  <w:t>2016/</w:t>
                </w:r>
                <w:r w:rsidR="00EF372E">
                  <w:rPr>
                    <w:rFonts w:ascii="Arial" w:hAnsi="Arial" w:cs="Arial" w:hint="eastAsia"/>
                    <w:color w:val="000000"/>
                    <w:sz w:val="18"/>
                    <w:szCs w:val="18"/>
                  </w:rPr>
                  <w:t>4</w:t>
                </w:r>
                <w:r w:rsidRPr="00F040B1">
                  <w:rPr>
                    <w:rFonts w:ascii="Arial" w:hAnsi="Arial" w:cs="Arial"/>
                    <w:color w:val="000000"/>
                    <w:sz w:val="18"/>
                    <w:szCs w:val="18"/>
                  </w:rPr>
                  <w:t>/1</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5.40%</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4,000,000,000.00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color w:val="000000"/>
                    <w:sz w:val="18"/>
                    <w:szCs w:val="18"/>
                  </w:rPr>
                </w:pPr>
                <w:r w:rsidRPr="00F040B1">
                  <w:rPr>
                    <w:rFonts w:ascii="Arial" w:hAnsi="Arial" w:cs="Arial"/>
                    <w:color w:val="000000"/>
                    <w:sz w:val="18"/>
                    <w:szCs w:val="18"/>
                  </w:rPr>
                  <w:t>收益凭证</w:t>
                </w:r>
              </w:p>
            </w:tc>
            <w:tc>
              <w:tcPr>
                <w:tcW w:w="827" w:type="pct"/>
                <w:tcBorders>
                  <w:top w:val="nil"/>
                  <w:left w:val="nil"/>
                  <w:bottom w:val="nil"/>
                  <w:right w:val="nil"/>
                </w:tcBorders>
                <w:shd w:val="clear" w:color="auto" w:fill="auto"/>
                <w:noWrap/>
                <w:vAlign w:val="center"/>
                <w:hideMark/>
              </w:tcPr>
              <w:p w:rsidR="00DE031E" w:rsidRPr="00F040B1" w:rsidRDefault="001C1A59" w:rsidP="00DE031E">
                <w:pPr>
                  <w:spacing w:line="200" w:lineRule="exact"/>
                  <w:jc w:val="right"/>
                  <w:rPr>
                    <w:rFonts w:ascii="Arial" w:hAnsi="Arial" w:cs="Arial"/>
                    <w:color w:val="000000"/>
                    <w:sz w:val="18"/>
                    <w:szCs w:val="18"/>
                  </w:rPr>
                </w:pPr>
                <w:r w:rsidRPr="00F040B1">
                  <w:rPr>
                    <w:rFonts w:ascii="Arial" w:hAnsi="Arial" w:cs="Arial"/>
                    <w:color w:val="000000"/>
                    <w:sz w:val="18"/>
                    <w:szCs w:val="18"/>
                  </w:rPr>
                  <w:t>2014/1</w:t>
                </w:r>
                <w:r w:rsidRPr="00F040B1">
                  <w:rPr>
                    <w:rFonts w:ascii="Arial" w:hAnsi="Arial" w:cs="Arial" w:hint="eastAsia"/>
                    <w:color w:val="000000"/>
                    <w:sz w:val="18"/>
                    <w:szCs w:val="18"/>
                  </w:rPr>
                  <w:t>2</w:t>
                </w:r>
                <w:r w:rsidRPr="00F040B1">
                  <w:rPr>
                    <w:rFonts w:ascii="Arial" w:hAnsi="Arial" w:cs="Arial"/>
                    <w:color w:val="000000"/>
                    <w:sz w:val="18"/>
                    <w:szCs w:val="18"/>
                  </w:rPr>
                  <w:t>/</w:t>
                </w:r>
                <w:r w:rsidRPr="00F040B1">
                  <w:rPr>
                    <w:rFonts w:ascii="Arial" w:hAnsi="Arial" w:cs="Arial" w:hint="eastAsia"/>
                    <w:color w:val="000000"/>
                    <w:sz w:val="18"/>
                    <w:szCs w:val="18"/>
                  </w:rPr>
                  <w:t>30</w:t>
                </w:r>
                <w:r w:rsidRPr="00F040B1">
                  <w:rPr>
                    <w:rFonts w:ascii="Arial" w:hAnsi="Arial" w:cs="Arial"/>
                    <w:color w:val="000000"/>
                    <w:sz w:val="18"/>
                    <w:szCs w:val="18"/>
                  </w:rPr>
                  <w:t>～</w:t>
                </w:r>
              </w:p>
              <w:p w:rsidR="00DE031E" w:rsidRPr="00F040B1" w:rsidRDefault="001C1A59" w:rsidP="00DE031E">
                <w:pPr>
                  <w:spacing w:line="200" w:lineRule="exact"/>
                  <w:jc w:val="right"/>
                  <w:rPr>
                    <w:rFonts w:ascii="Arial" w:hAnsi="Arial" w:cs="Arial"/>
                    <w:color w:val="000000"/>
                    <w:sz w:val="18"/>
                    <w:szCs w:val="18"/>
                  </w:rPr>
                </w:pPr>
                <w:r w:rsidRPr="00F040B1">
                  <w:rPr>
                    <w:rFonts w:ascii="Arial" w:hAnsi="Arial" w:cs="Arial"/>
                    <w:color w:val="000000"/>
                    <w:sz w:val="18"/>
                    <w:szCs w:val="18"/>
                  </w:rPr>
                  <w:t>201</w:t>
                </w:r>
                <w:r w:rsidRPr="00F040B1">
                  <w:rPr>
                    <w:rFonts w:ascii="Arial" w:hAnsi="Arial" w:cs="Arial" w:hint="eastAsia"/>
                    <w:color w:val="000000"/>
                    <w:sz w:val="18"/>
                    <w:szCs w:val="18"/>
                  </w:rPr>
                  <w:t>5</w:t>
                </w:r>
                <w:r w:rsidRPr="00F040B1">
                  <w:rPr>
                    <w:rFonts w:ascii="Arial" w:hAnsi="Arial" w:cs="Arial"/>
                    <w:color w:val="000000"/>
                    <w:sz w:val="18"/>
                    <w:szCs w:val="18"/>
                  </w:rPr>
                  <w:t>/</w:t>
                </w:r>
                <w:r w:rsidRPr="00F040B1">
                  <w:rPr>
                    <w:rFonts w:ascii="Arial" w:hAnsi="Arial" w:cs="Arial" w:hint="eastAsia"/>
                    <w:color w:val="000000"/>
                    <w:sz w:val="18"/>
                    <w:szCs w:val="18"/>
                  </w:rPr>
                  <w:t>6</w:t>
                </w:r>
                <w:r w:rsidRPr="00F040B1">
                  <w:rPr>
                    <w:rFonts w:ascii="Arial" w:hAnsi="Arial" w:cs="Arial"/>
                    <w:color w:val="000000"/>
                    <w:sz w:val="18"/>
                    <w:szCs w:val="18"/>
                  </w:rPr>
                  <w:t>/</w:t>
                </w:r>
                <w:r w:rsidRPr="00F040B1">
                  <w:rPr>
                    <w:rFonts w:ascii="Arial" w:hAnsi="Arial" w:cs="Arial" w:hint="eastAsia"/>
                    <w:color w:val="000000"/>
                    <w:sz w:val="18"/>
                    <w:szCs w:val="18"/>
                  </w:rPr>
                  <w:t>29</w:t>
                </w:r>
              </w:p>
            </w:tc>
            <w:tc>
              <w:tcPr>
                <w:tcW w:w="746" w:type="pct"/>
                <w:tcBorders>
                  <w:top w:val="nil"/>
                  <w:left w:val="nil"/>
                  <w:bottom w:val="nil"/>
                  <w:right w:val="nil"/>
                </w:tcBorders>
                <w:shd w:val="clear" w:color="auto" w:fill="auto"/>
                <w:noWrap/>
                <w:vAlign w:val="center"/>
                <w:hideMark/>
              </w:tcPr>
              <w:p w:rsidR="00DE031E" w:rsidRPr="00F040B1" w:rsidRDefault="001C1A59" w:rsidP="00DE031E">
                <w:pPr>
                  <w:spacing w:line="200" w:lineRule="exact"/>
                  <w:jc w:val="right"/>
                  <w:rPr>
                    <w:rFonts w:ascii="Arial" w:hAnsi="Arial" w:cs="Arial"/>
                    <w:color w:val="000000"/>
                    <w:sz w:val="18"/>
                    <w:szCs w:val="18"/>
                  </w:rPr>
                </w:pPr>
                <w:r w:rsidRPr="00F040B1">
                  <w:rPr>
                    <w:rFonts w:ascii="Arial" w:hAnsi="Arial" w:cs="Arial"/>
                    <w:color w:val="000000"/>
                    <w:sz w:val="18"/>
                    <w:szCs w:val="18"/>
                  </w:rPr>
                  <w:t>2015/</w:t>
                </w:r>
                <w:r w:rsidRPr="00F040B1">
                  <w:rPr>
                    <w:rFonts w:ascii="Arial" w:hAnsi="Arial" w:cs="Arial" w:hint="eastAsia"/>
                    <w:color w:val="000000"/>
                    <w:sz w:val="18"/>
                    <w:szCs w:val="18"/>
                  </w:rPr>
                  <w:t>7</w:t>
                </w:r>
                <w:r w:rsidRPr="00F040B1">
                  <w:rPr>
                    <w:rFonts w:ascii="Arial" w:hAnsi="Arial" w:cs="Arial"/>
                    <w:color w:val="000000"/>
                    <w:sz w:val="18"/>
                    <w:szCs w:val="18"/>
                  </w:rPr>
                  <w:t>/</w:t>
                </w:r>
                <w:r w:rsidRPr="00F040B1">
                  <w:rPr>
                    <w:rFonts w:ascii="Arial" w:hAnsi="Arial" w:cs="Arial" w:hint="eastAsia"/>
                    <w:color w:val="000000"/>
                    <w:sz w:val="18"/>
                    <w:szCs w:val="18"/>
                  </w:rPr>
                  <w:t>9</w:t>
                </w:r>
                <w:r w:rsidRPr="00F040B1">
                  <w:rPr>
                    <w:rFonts w:ascii="Arial" w:hAnsi="Arial" w:cs="Arial"/>
                    <w:color w:val="000000"/>
                    <w:sz w:val="18"/>
                    <w:szCs w:val="18"/>
                  </w:rPr>
                  <w:t>～</w:t>
                </w:r>
              </w:p>
              <w:p w:rsidR="00DE031E" w:rsidRPr="00F040B1" w:rsidRDefault="001C1A59" w:rsidP="00DE031E">
                <w:pPr>
                  <w:spacing w:line="200" w:lineRule="exact"/>
                  <w:jc w:val="right"/>
                  <w:rPr>
                    <w:rFonts w:ascii="Arial" w:hAnsi="Arial" w:cs="Arial"/>
                    <w:color w:val="000000"/>
                    <w:sz w:val="18"/>
                    <w:szCs w:val="18"/>
                  </w:rPr>
                </w:pPr>
                <w:r w:rsidRPr="00F040B1">
                  <w:rPr>
                    <w:rFonts w:ascii="Arial" w:hAnsi="Arial" w:cs="Arial"/>
                    <w:color w:val="000000"/>
                    <w:sz w:val="18"/>
                    <w:szCs w:val="18"/>
                  </w:rPr>
                  <w:t>201</w:t>
                </w:r>
                <w:r w:rsidRPr="00F040B1">
                  <w:rPr>
                    <w:rFonts w:ascii="Arial" w:hAnsi="Arial" w:cs="Arial" w:hint="eastAsia"/>
                    <w:color w:val="000000"/>
                    <w:sz w:val="18"/>
                    <w:szCs w:val="18"/>
                  </w:rPr>
                  <w:t>7</w:t>
                </w:r>
                <w:r w:rsidRPr="00F040B1">
                  <w:rPr>
                    <w:rFonts w:ascii="Arial" w:hAnsi="Arial" w:cs="Arial"/>
                    <w:color w:val="000000"/>
                    <w:sz w:val="18"/>
                    <w:szCs w:val="18"/>
                  </w:rPr>
                  <w:t>/</w:t>
                </w:r>
                <w:r w:rsidRPr="00F040B1">
                  <w:rPr>
                    <w:rFonts w:ascii="Arial" w:hAnsi="Arial" w:cs="Arial" w:hint="eastAsia"/>
                    <w:color w:val="000000"/>
                    <w:sz w:val="18"/>
                    <w:szCs w:val="18"/>
                  </w:rPr>
                  <w:t>1</w:t>
                </w:r>
                <w:r w:rsidRPr="00F040B1">
                  <w:rPr>
                    <w:rFonts w:ascii="Arial" w:hAnsi="Arial" w:cs="Arial"/>
                    <w:color w:val="000000"/>
                    <w:sz w:val="18"/>
                    <w:szCs w:val="18"/>
                  </w:rPr>
                  <w:t>/</w:t>
                </w:r>
                <w:r w:rsidRPr="00F040B1">
                  <w:rPr>
                    <w:rFonts w:ascii="Arial" w:hAnsi="Arial" w:cs="Arial" w:hint="eastAsia"/>
                    <w:color w:val="000000"/>
                    <w:sz w:val="18"/>
                    <w:szCs w:val="18"/>
                  </w:rPr>
                  <w:t>9</w:t>
                </w:r>
              </w:p>
            </w:tc>
            <w:tc>
              <w:tcPr>
                <w:tcW w:w="682" w:type="pct"/>
                <w:tcBorders>
                  <w:top w:val="nil"/>
                  <w:left w:val="nil"/>
                  <w:bottom w:val="nil"/>
                  <w:right w:val="nil"/>
                </w:tcBorders>
                <w:shd w:val="clear" w:color="auto" w:fill="auto"/>
                <w:noWrap/>
                <w:vAlign w:val="center"/>
                <w:hideMark/>
              </w:tcPr>
              <w:p w:rsidR="00DE031E" w:rsidRPr="00F040B1" w:rsidRDefault="001C1A59" w:rsidP="00DE031E">
                <w:pPr>
                  <w:spacing w:line="200" w:lineRule="exact"/>
                  <w:jc w:val="right"/>
                  <w:rPr>
                    <w:rFonts w:ascii="Arial" w:hAnsi="Arial" w:cs="Arial"/>
                    <w:color w:val="000000"/>
                    <w:sz w:val="18"/>
                    <w:szCs w:val="18"/>
                  </w:rPr>
                </w:pPr>
                <w:r w:rsidRPr="00F040B1">
                  <w:rPr>
                    <w:rFonts w:ascii="Arial" w:hAnsi="Arial" w:cs="Arial" w:hint="eastAsia"/>
                    <w:color w:val="000000"/>
                    <w:sz w:val="18"/>
                    <w:szCs w:val="18"/>
                  </w:rPr>
                  <w:t>4.9</w:t>
                </w:r>
                <w:r w:rsidRPr="00F040B1">
                  <w:rPr>
                    <w:rFonts w:ascii="Arial" w:hAnsi="Arial" w:cs="Arial"/>
                    <w:color w:val="000000"/>
                    <w:sz w:val="18"/>
                    <w:szCs w:val="18"/>
                  </w:rPr>
                  <w:t>%</w:t>
                </w:r>
                <w:r w:rsidRPr="00F040B1">
                  <w:rPr>
                    <w:rFonts w:ascii="Arial" w:hAnsi="Arial" w:cs="Arial"/>
                    <w:color w:val="000000"/>
                    <w:sz w:val="18"/>
                    <w:szCs w:val="18"/>
                  </w:rPr>
                  <w:t>～</w:t>
                </w:r>
              </w:p>
              <w:p w:rsidR="00DE031E" w:rsidRPr="00F040B1" w:rsidRDefault="001C1A59" w:rsidP="00DE031E">
                <w:pPr>
                  <w:spacing w:line="200" w:lineRule="exact"/>
                  <w:jc w:val="right"/>
                  <w:rPr>
                    <w:rFonts w:ascii="Arial" w:hAnsi="Arial" w:cs="Arial"/>
                    <w:color w:val="000000"/>
                    <w:sz w:val="18"/>
                    <w:szCs w:val="18"/>
                  </w:rPr>
                </w:pPr>
                <w:r w:rsidRPr="00F040B1">
                  <w:rPr>
                    <w:rFonts w:ascii="Arial" w:hAnsi="Arial" w:cs="Arial" w:hint="eastAsia"/>
                    <w:color w:val="000000"/>
                    <w:sz w:val="18"/>
                    <w:szCs w:val="18"/>
                  </w:rPr>
                  <w:t>6.5</w:t>
                </w:r>
                <w:r w:rsidRPr="00F040B1">
                  <w:rPr>
                    <w:rFonts w:ascii="Arial" w:hAnsi="Arial" w:cs="Arial"/>
                    <w:color w:val="000000"/>
                    <w:sz w:val="18"/>
                    <w:szCs w:val="18"/>
                  </w:rPr>
                  <w:t>%</w:t>
                </w:r>
              </w:p>
            </w:tc>
            <w:tc>
              <w:tcPr>
                <w:tcW w:w="12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21,599,030,000.00</w:t>
                </w:r>
              </w:p>
            </w:tc>
          </w:tr>
          <w:tr w:rsidR="00DE031E" w:rsidRPr="00F040B1" w:rsidTr="00DE031E">
            <w:trPr>
              <w:trHeight w:val="340"/>
            </w:trPr>
            <w:tc>
              <w:tcPr>
                <w:tcW w:w="1509" w:type="pct"/>
                <w:tcBorders>
                  <w:top w:val="nil"/>
                  <w:left w:val="nil"/>
                  <w:bottom w:val="nil"/>
                  <w:right w:val="nil"/>
                </w:tcBorders>
                <w:shd w:val="clear" w:color="auto" w:fill="auto"/>
                <w:noWrap/>
                <w:vAlign w:val="center"/>
                <w:hideMark/>
              </w:tcPr>
              <w:p w:rsidR="00DE031E" w:rsidRPr="00F040B1" w:rsidRDefault="001C1A59" w:rsidP="00DE031E">
                <w:pPr>
                  <w:rPr>
                    <w:rFonts w:ascii="Arial" w:hAnsi="Arial" w:cs="Arial"/>
                    <w:b/>
                    <w:bCs/>
                    <w:color w:val="000000"/>
                    <w:sz w:val="18"/>
                    <w:szCs w:val="18"/>
                  </w:rPr>
                </w:pPr>
                <w:r w:rsidRPr="00F040B1">
                  <w:rPr>
                    <w:rFonts w:cs="Arial" w:hint="eastAsia"/>
                    <w:b/>
                    <w:bCs/>
                    <w:color w:val="000000"/>
                    <w:sz w:val="18"/>
                    <w:szCs w:val="18"/>
                  </w:rPr>
                  <w:t>合计</w:t>
                </w:r>
              </w:p>
            </w:tc>
            <w:tc>
              <w:tcPr>
                <w:tcW w:w="827"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746"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682"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color w:val="000000"/>
                    <w:sz w:val="18"/>
                    <w:szCs w:val="18"/>
                  </w:rPr>
                </w:pPr>
              </w:p>
            </w:tc>
            <w:tc>
              <w:tcPr>
                <w:tcW w:w="1236" w:type="pct"/>
                <w:tcBorders>
                  <w:top w:val="nil"/>
                  <w:left w:val="nil"/>
                  <w:bottom w:val="nil"/>
                  <w:right w:val="nil"/>
                </w:tcBorders>
                <w:shd w:val="clear" w:color="auto" w:fill="auto"/>
                <w:noWrap/>
                <w:vAlign w:val="center"/>
                <w:hideMark/>
              </w:tcPr>
              <w:p w:rsidR="00DE031E" w:rsidRPr="00F040B1" w:rsidRDefault="00422DCA" w:rsidP="00DE031E">
                <w:pPr>
                  <w:jc w:val="right"/>
                  <w:rPr>
                    <w:rFonts w:ascii="Arial" w:hAnsi="Arial" w:cs="Arial"/>
                    <w:b/>
                    <w:bCs/>
                    <w:color w:val="000000"/>
                    <w:sz w:val="18"/>
                    <w:szCs w:val="18"/>
                  </w:rPr>
                </w:pPr>
                <w:r w:rsidRPr="00F040B1">
                  <w:rPr>
                    <w:rFonts w:ascii="Arial" w:hAnsi="Arial" w:cs="Arial"/>
                    <w:b/>
                    <w:bCs/>
                    <w:color w:val="000000"/>
                    <w:sz w:val="18"/>
                    <w:szCs w:val="18"/>
                  </w:rPr>
                  <w:fldChar w:fldCharType="begin"/>
                </w:r>
                <w:r w:rsidR="001C1A59" w:rsidRPr="00F040B1">
                  <w:rPr>
                    <w:rFonts w:ascii="Arial" w:hAnsi="Arial" w:cs="Arial"/>
                    <w:b/>
                    <w:bCs/>
                    <w:color w:val="000000"/>
                    <w:sz w:val="18"/>
                    <w:szCs w:val="18"/>
                  </w:rPr>
                  <w:instrText xml:space="preserve"> =SUM(ABOVE) \# "#,##0.00" </w:instrText>
                </w:r>
                <w:r w:rsidRPr="00F040B1">
                  <w:rPr>
                    <w:rFonts w:ascii="Arial" w:hAnsi="Arial" w:cs="Arial"/>
                    <w:b/>
                    <w:bCs/>
                    <w:color w:val="000000"/>
                    <w:sz w:val="18"/>
                    <w:szCs w:val="18"/>
                  </w:rPr>
                  <w:fldChar w:fldCharType="separate"/>
                </w:r>
                <w:r w:rsidR="001C1A59" w:rsidRPr="00F040B1">
                  <w:rPr>
                    <w:rFonts w:ascii="Arial" w:hAnsi="Arial" w:cs="Arial"/>
                    <w:b/>
                    <w:bCs/>
                    <w:noProof/>
                    <w:color w:val="000000"/>
                    <w:sz w:val="18"/>
                    <w:szCs w:val="18"/>
                  </w:rPr>
                  <w:t>44,849,030,000.00</w:t>
                </w:r>
                <w:r w:rsidRPr="00F040B1">
                  <w:rPr>
                    <w:rFonts w:ascii="Arial" w:hAnsi="Arial" w:cs="Arial"/>
                    <w:b/>
                    <w:bCs/>
                    <w:color w:val="000000"/>
                    <w:sz w:val="18"/>
                    <w:szCs w:val="18"/>
                  </w:rPr>
                  <w:fldChar w:fldCharType="end"/>
                </w:r>
              </w:p>
            </w:tc>
          </w:tr>
        </w:tbl>
        <w:p w:rsidR="00DE031E" w:rsidRDefault="001C1A59" w:rsidP="009950AC">
          <w:pPr>
            <w:pStyle w:val="3"/>
            <w:numPr>
              <w:ilvl w:val="0"/>
              <w:numId w:val="41"/>
            </w:numPr>
            <w:tabs>
              <w:tab w:val="left" w:pos="504"/>
            </w:tabs>
            <w:spacing w:line="360" w:lineRule="auto"/>
          </w:pPr>
          <w:r>
            <w:t>拆入资金</w:t>
          </w:r>
        </w:p>
        <w:sdt>
          <w:sdtPr>
            <w:alias w:val="是否适用：拆入资金"/>
            <w:tag w:val="_GBC_4e7c01f60856413e99ebc14ff3a2766e"/>
            <w:id w:val="24724952"/>
            <w:lock w:val="sd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t>单位：</w:t>
          </w:r>
          <w:sdt>
            <w:sdtPr>
              <w:alias w:val="单位：财务附注：拆入资金"/>
              <w:tag w:val="_GBC_1bf248d4851848b882b306c608dfb483"/>
              <w:id w:val="247249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拆入资金"/>
              <w:tag w:val="_GBC_9862a954802c4700bca7b7083e3d23af"/>
              <w:id w:val="24724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510"/>
            <w:gridCol w:w="2692"/>
            <w:gridCol w:w="2691"/>
          </w:tblGrid>
          <w:tr w:rsidR="00DE031E" w:rsidTr="00693071">
            <w:trPr>
              <w:cantSplit/>
            </w:trPr>
            <w:tc>
              <w:tcPr>
                <w:tcW w:w="1973" w:type="pct"/>
              </w:tcPr>
              <w:p w:rsidR="00DE031E" w:rsidRDefault="001C1A59">
                <w:pPr>
                  <w:autoSpaceDE w:val="0"/>
                  <w:autoSpaceDN w:val="0"/>
                  <w:adjustRightInd w:val="0"/>
                  <w:snapToGrid w:val="0"/>
                  <w:spacing w:line="240" w:lineRule="atLeast"/>
                  <w:jc w:val="center"/>
                </w:pPr>
                <w:r>
                  <w:t>项目</w:t>
                </w:r>
              </w:p>
            </w:tc>
            <w:tc>
              <w:tcPr>
                <w:tcW w:w="1513" w:type="pct"/>
              </w:tcPr>
              <w:p w:rsidR="00DE031E" w:rsidRDefault="001C1A59">
                <w:pPr>
                  <w:jc w:val="center"/>
                </w:pPr>
                <w:r>
                  <w:t>期末账面余额</w:t>
                </w:r>
              </w:p>
            </w:tc>
            <w:tc>
              <w:tcPr>
                <w:tcW w:w="1513" w:type="pct"/>
              </w:tcPr>
              <w:p w:rsidR="00DE031E" w:rsidRDefault="001C1A59">
                <w:pPr>
                  <w:jc w:val="center"/>
                </w:pPr>
                <w:r>
                  <w:t>期初账面余额</w:t>
                </w:r>
              </w:p>
            </w:tc>
          </w:tr>
          <w:tr w:rsidR="00DE031E" w:rsidTr="00693071">
            <w:trPr>
              <w:cantSplit/>
            </w:trPr>
            <w:tc>
              <w:tcPr>
                <w:tcW w:w="1973" w:type="pct"/>
              </w:tcPr>
              <w:p w:rsidR="00DE031E" w:rsidRDefault="001C1A59">
                <w:pPr>
                  <w:autoSpaceDE w:val="0"/>
                  <w:autoSpaceDN w:val="0"/>
                  <w:adjustRightInd w:val="0"/>
                  <w:snapToGrid w:val="0"/>
                  <w:spacing w:line="240" w:lineRule="atLeast"/>
                </w:pPr>
                <w:r>
                  <w:t>银行拆入款项</w:t>
                </w:r>
              </w:p>
            </w:tc>
            <w:sdt>
              <w:sdtPr>
                <w:rPr>
                  <w:color w:val="000000" w:themeColor="text1"/>
                </w:rPr>
                <w:alias w:val="银行金融机构拆入"/>
                <w:tag w:val="_GBC_df12121e66a0440cb31908e832ab60eb"/>
                <w:id w:val="24724955"/>
                <w:lock w:val="sdtLocked"/>
                <w:showingPlcHdr/>
              </w:sdtPr>
              <w:sdtContent>
                <w:tc>
                  <w:tcPr>
                    <w:tcW w:w="1513" w:type="pct"/>
                  </w:tcPr>
                  <w:p w:rsidR="00DE031E" w:rsidRDefault="00DE031E">
                    <w:pPr>
                      <w:autoSpaceDE w:val="0"/>
                      <w:autoSpaceDN w:val="0"/>
                      <w:adjustRightInd w:val="0"/>
                      <w:snapToGrid w:val="0"/>
                      <w:spacing w:line="240" w:lineRule="atLeast"/>
                      <w:ind w:right="180"/>
                      <w:jc w:val="right"/>
                      <w:rPr>
                        <w:color w:val="000000" w:themeColor="text1"/>
                      </w:rPr>
                    </w:pPr>
                  </w:p>
                </w:tc>
              </w:sdtContent>
            </w:sdt>
            <w:sdt>
              <w:sdtPr>
                <w:rPr>
                  <w:color w:val="000000" w:themeColor="text1"/>
                </w:rPr>
                <w:alias w:val="银行金融机构拆入"/>
                <w:tag w:val="_GBC_9ddef27079464ffea7a86b93f4086925"/>
                <w:id w:val="24724956"/>
                <w:lock w:val="sdtLocked"/>
              </w:sdtPr>
              <w:sdtContent>
                <w:tc>
                  <w:tcPr>
                    <w:tcW w:w="1513" w:type="pct"/>
                  </w:tcPr>
                  <w:p w:rsidR="00DE031E" w:rsidRDefault="001C1A59">
                    <w:pPr>
                      <w:autoSpaceDE w:val="0"/>
                      <w:autoSpaceDN w:val="0"/>
                      <w:adjustRightInd w:val="0"/>
                      <w:snapToGrid w:val="0"/>
                      <w:spacing w:line="240" w:lineRule="atLeast"/>
                      <w:ind w:right="180"/>
                      <w:jc w:val="right"/>
                      <w:rPr>
                        <w:color w:val="000000" w:themeColor="text1"/>
                      </w:rPr>
                    </w:pPr>
                    <w:r>
                      <w:rPr>
                        <w:color w:val="000000" w:themeColor="text1"/>
                      </w:rPr>
                      <w:t>2,600,000,000.00</w:t>
                    </w:r>
                  </w:p>
                </w:tc>
              </w:sdtContent>
            </w:sdt>
          </w:tr>
          <w:tr w:rsidR="00DE031E" w:rsidTr="00693071">
            <w:trPr>
              <w:cantSplit/>
            </w:trPr>
            <w:tc>
              <w:tcPr>
                <w:tcW w:w="1973" w:type="pct"/>
              </w:tcPr>
              <w:p w:rsidR="00DE031E" w:rsidRDefault="001C1A59">
                <w:pPr>
                  <w:autoSpaceDE w:val="0"/>
                  <w:autoSpaceDN w:val="0"/>
                  <w:adjustRightInd w:val="0"/>
                  <w:snapToGrid w:val="0"/>
                  <w:spacing w:line="240" w:lineRule="atLeast"/>
                </w:pPr>
                <w:r>
                  <w:rPr>
                    <w:rFonts w:hint="eastAsia"/>
                  </w:rPr>
                  <w:t>转融通融入款项</w:t>
                </w:r>
              </w:p>
            </w:tc>
            <w:sdt>
              <w:sdtPr>
                <w:rPr>
                  <w:color w:val="000000" w:themeColor="text1"/>
                </w:rPr>
                <w:alias w:val="非银行金融机构拆入"/>
                <w:tag w:val="_GBC_5bafd1f48c5e4205b44ecb94c3460050"/>
                <w:id w:val="24724957"/>
                <w:lock w:val="sdtLocked"/>
              </w:sdtPr>
              <w:sdtContent>
                <w:tc>
                  <w:tcPr>
                    <w:tcW w:w="1513" w:type="pct"/>
                  </w:tcPr>
                  <w:p w:rsidR="00DE031E" w:rsidRDefault="001C1A59">
                    <w:pPr>
                      <w:autoSpaceDE w:val="0"/>
                      <w:autoSpaceDN w:val="0"/>
                      <w:adjustRightInd w:val="0"/>
                      <w:snapToGrid w:val="0"/>
                      <w:spacing w:line="240" w:lineRule="atLeast"/>
                      <w:ind w:right="180"/>
                      <w:jc w:val="right"/>
                      <w:rPr>
                        <w:color w:val="000000" w:themeColor="text1"/>
                      </w:rPr>
                    </w:pPr>
                    <w:r>
                      <w:rPr>
                        <w:color w:val="000000" w:themeColor="text1"/>
                      </w:rPr>
                      <w:t>1,000,000,000.00</w:t>
                    </w:r>
                  </w:p>
                </w:tc>
              </w:sdtContent>
            </w:sdt>
            <w:sdt>
              <w:sdtPr>
                <w:rPr>
                  <w:color w:val="000000" w:themeColor="text1"/>
                </w:rPr>
                <w:alias w:val="非银行金融机构拆入"/>
                <w:tag w:val="_GBC_98029f73047d4423b37e78b08d8eef71"/>
                <w:id w:val="24724958"/>
                <w:lock w:val="sdtLocked"/>
              </w:sdtPr>
              <w:sdtContent>
                <w:tc>
                  <w:tcPr>
                    <w:tcW w:w="1513" w:type="pct"/>
                  </w:tcPr>
                  <w:p w:rsidR="00DE031E" w:rsidRDefault="001C1A59">
                    <w:pPr>
                      <w:autoSpaceDE w:val="0"/>
                      <w:autoSpaceDN w:val="0"/>
                      <w:adjustRightInd w:val="0"/>
                      <w:snapToGrid w:val="0"/>
                      <w:spacing w:line="240" w:lineRule="atLeast"/>
                      <w:ind w:right="180"/>
                      <w:jc w:val="right"/>
                      <w:rPr>
                        <w:color w:val="000000" w:themeColor="text1"/>
                      </w:rPr>
                    </w:pPr>
                    <w:r>
                      <w:rPr>
                        <w:color w:val="000000" w:themeColor="text1"/>
                      </w:rPr>
                      <w:t>2,000,000,000.00</w:t>
                    </w:r>
                  </w:p>
                </w:tc>
              </w:sdtContent>
            </w:sdt>
          </w:tr>
          <w:tr w:rsidR="00DE031E" w:rsidTr="00693071">
            <w:trPr>
              <w:cantSplit/>
            </w:trPr>
            <w:tc>
              <w:tcPr>
                <w:tcW w:w="1973" w:type="pct"/>
              </w:tcPr>
              <w:p w:rsidR="00DE031E" w:rsidRDefault="001C1A59">
                <w:pPr>
                  <w:autoSpaceDE w:val="0"/>
                  <w:autoSpaceDN w:val="0"/>
                  <w:adjustRightInd w:val="0"/>
                  <w:snapToGrid w:val="0"/>
                  <w:spacing w:line="240" w:lineRule="atLeast"/>
                  <w:jc w:val="center"/>
                </w:pPr>
                <w:r>
                  <w:t>合计</w:t>
                </w:r>
              </w:p>
            </w:tc>
            <w:sdt>
              <w:sdtPr>
                <w:rPr>
                  <w:color w:val="000000" w:themeColor="text1"/>
                </w:rPr>
                <w:alias w:val="拆入资金"/>
                <w:tag w:val="_GBC_9fc72933709a463c85175a93247df447"/>
                <w:id w:val="24724959"/>
                <w:lock w:val="sdtLocked"/>
              </w:sdtPr>
              <w:sdtContent>
                <w:tc>
                  <w:tcPr>
                    <w:tcW w:w="1513" w:type="pct"/>
                  </w:tcPr>
                  <w:p w:rsidR="00DE031E" w:rsidRDefault="001C1A59">
                    <w:pPr>
                      <w:autoSpaceDE w:val="0"/>
                      <w:autoSpaceDN w:val="0"/>
                      <w:adjustRightInd w:val="0"/>
                      <w:snapToGrid w:val="0"/>
                      <w:spacing w:line="240" w:lineRule="atLeast"/>
                      <w:ind w:right="180"/>
                      <w:jc w:val="right"/>
                      <w:rPr>
                        <w:color w:val="000000" w:themeColor="text1"/>
                      </w:rPr>
                    </w:pPr>
                    <w:r>
                      <w:rPr>
                        <w:color w:val="000000" w:themeColor="text1"/>
                      </w:rPr>
                      <w:t>1,000,000,000.00</w:t>
                    </w:r>
                  </w:p>
                </w:tc>
              </w:sdtContent>
            </w:sdt>
            <w:sdt>
              <w:sdtPr>
                <w:rPr>
                  <w:color w:val="000000" w:themeColor="text1"/>
                </w:rPr>
                <w:alias w:val="拆入资金"/>
                <w:tag w:val="_GBC_9bf6f51f66b64eceb6784a979200acac"/>
                <w:id w:val="24724960"/>
                <w:lock w:val="sdtLocked"/>
              </w:sdtPr>
              <w:sdtContent>
                <w:tc>
                  <w:tcPr>
                    <w:tcW w:w="1513" w:type="pct"/>
                  </w:tcPr>
                  <w:p w:rsidR="00DE031E" w:rsidRDefault="001C1A59">
                    <w:pPr>
                      <w:autoSpaceDE w:val="0"/>
                      <w:autoSpaceDN w:val="0"/>
                      <w:adjustRightInd w:val="0"/>
                      <w:snapToGrid w:val="0"/>
                      <w:spacing w:line="240" w:lineRule="atLeast"/>
                      <w:ind w:right="180"/>
                      <w:jc w:val="right"/>
                      <w:rPr>
                        <w:color w:val="000000" w:themeColor="text1"/>
                      </w:rPr>
                    </w:pPr>
                    <w:r>
                      <w:rPr>
                        <w:color w:val="000000" w:themeColor="text1"/>
                      </w:rPr>
                      <w:t>4,600,000,000.00</w:t>
                    </w:r>
                  </w:p>
                </w:tc>
              </w:sdtContent>
            </w:sdt>
          </w:tr>
        </w:tbl>
      </w:sdtContent>
    </w:sdt>
    <w:p w:rsidR="00DE031E" w:rsidRPr="00051F10" w:rsidRDefault="001C1A59" w:rsidP="003A0284">
      <w:pPr>
        <w:pStyle w:val="a9"/>
        <w:numPr>
          <w:ilvl w:val="0"/>
          <w:numId w:val="53"/>
        </w:numPr>
        <w:spacing w:beforeLines="50" w:line="360" w:lineRule="auto"/>
        <w:ind w:left="755" w:hangingChars="343" w:hanging="755"/>
        <w:rPr>
          <w:rFonts w:ascii="Arial" w:hAnsi="Arial" w:cs="Arial"/>
          <w:sz w:val="22"/>
        </w:rPr>
      </w:pPr>
      <w:r w:rsidRPr="00051F10">
        <w:rPr>
          <w:rFonts w:ascii="Arial" w:hAnsi="Arial" w:cs="Arial"/>
          <w:sz w:val="22"/>
        </w:rPr>
        <w:t>转融通融入资金的剩余期限和利率区间</w:t>
      </w:r>
    </w:p>
    <w:tbl>
      <w:tblPr>
        <w:tblW w:w="8849" w:type="dxa"/>
        <w:jc w:val="center"/>
        <w:tblInd w:w="103" w:type="dxa"/>
        <w:tblLook w:val="04A0"/>
      </w:tblPr>
      <w:tblGrid>
        <w:gridCol w:w="1761"/>
        <w:gridCol w:w="1843"/>
        <w:gridCol w:w="1276"/>
        <w:gridCol w:w="2268"/>
        <w:gridCol w:w="1701"/>
      </w:tblGrid>
      <w:tr w:rsidR="00DE031E" w:rsidRPr="00F040B1" w:rsidTr="00DE031E">
        <w:trPr>
          <w:trHeight w:val="270"/>
          <w:jc w:val="center"/>
        </w:trPr>
        <w:tc>
          <w:tcPr>
            <w:tcW w:w="1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b/>
                <w:bCs/>
                <w:color w:val="000000"/>
                <w:sz w:val="18"/>
                <w:szCs w:val="18"/>
              </w:rPr>
            </w:pPr>
            <w:r w:rsidRPr="00F040B1">
              <w:rPr>
                <w:rFonts w:hint="eastAsia"/>
                <w:b/>
                <w:bCs/>
                <w:color w:val="000000"/>
                <w:sz w:val="18"/>
                <w:szCs w:val="18"/>
              </w:rPr>
              <w:t>项目</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2015</w:t>
            </w:r>
            <w:r w:rsidRPr="00F040B1">
              <w:rPr>
                <w:rFonts w:ascii="Arial" w:hAnsi="Arial" w:cs="Arial"/>
                <w:b/>
                <w:bCs/>
                <w:color w:val="000000"/>
                <w:sz w:val="18"/>
                <w:szCs w:val="18"/>
              </w:rPr>
              <w:t>年</w:t>
            </w:r>
            <w:r w:rsidRPr="00F040B1">
              <w:rPr>
                <w:rFonts w:ascii="Arial" w:hAnsi="Arial" w:cs="Arial"/>
                <w:b/>
                <w:bCs/>
                <w:color w:val="000000"/>
                <w:sz w:val="18"/>
                <w:szCs w:val="18"/>
              </w:rPr>
              <w:t>6</w:t>
            </w:r>
            <w:r w:rsidRPr="00F040B1">
              <w:rPr>
                <w:rFonts w:ascii="Arial" w:hAnsi="Arial" w:cs="Arial"/>
                <w:b/>
                <w:bCs/>
                <w:color w:val="000000"/>
                <w:sz w:val="18"/>
                <w:szCs w:val="18"/>
              </w:rPr>
              <w:t>月</w:t>
            </w:r>
            <w:r w:rsidRPr="00F040B1">
              <w:rPr>
                <w:rFonts w:ascii="Arial" w:hAnsi="Arial" w:cs="Arial"/>
                <w:b/>
                <w:bCs/>
                <w:color w:val="000000"/>
                <w:sz w:val="18"/>
                <w:szCs w:val="18"/>
              </w:rPr>
              <w:t>30</w:t>
            </w:r>
            <w:r w:rsidRPr="00F040B1">
              <w:rPr>
                <w:rFonts w:ascii="Arial" w:hAnsi="Arial" w:cs="Arial"/>
                <w:b/>
                <w:bCs/>
                <w:color w:val="000000"/>
                <w:sz w:val="18"/>
                <w:szCs w:val="18"/>
              </w:rPr>
              <w:t>日</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031E" w:rsidRPr="00F040B1" w:rsidRDefault="001C1A59" w:rsidP="00DE031E">
            <w:pPr>
              <w:jc w:val="right"/>
              <w:rPr>
                <w:b/>
                <w:bCs/>
                <w:color w:val="000000"/>
                <w:sz w:val="18"/>
                <w:szCs w:val="18"/>
              </w:rPr>
            </w:pPr>
            <w:r w:rsidRPr="00F040B1">
              <w:rPr>
                <w:rFonts w:hint="eastAsia"/>
                <w:b/>
                <w:bCs/>
                <w:color w:val="000000"/>
                <w:sz w:val="18"/>
                <w:szCs w:val="18"/>
              </w:rPr>
              <w:t>利率区间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2014</w:t>
            </w:r>
            <w:r w:rsidRPr="00F040B1">
              <w:rPr>
                <w:rFonts w:ascii="Arial" w:hAnsi="Arial" w:cs="Arial"/>
                <w:b/>
                <w:bCs/>
                <w:color w:val="000000"/>
                <w:sz w:val="18"/>
                <w:szCs w:val="18"/>
              </w:rPr>
              <w:t>年</w:t>
            </w:r>
            <w:r w:rsidRPr="00F040B1">
              <w:rPr>
                <w:rFonts w:ascii="Arial" w:hAnsi="Arial" w:cs="Arial"/>
                <w:b/>
                <w:bCs/>
                <w:color w:val="000000"/>
                <w:sz w:val="18"/>
                <w:szCs w:val="18"/>
              </w:rPr>
              <w:t>12</w:t>
            </w:r>
            <w:r w:rsidRPr="00F040B1">
              <w:rPr>
                <w:rFonts w:ascii="Arial" w:hAnsi="Arial" w:cs="Arial"/>
                <w:b/>
                <w:bCs/>
                <w:color w:val="000000"/>
                <w:sz w:val="18"/>
                <w:szCs w:val="18"/>
              </w:rPr>
              <w:t>月</w:t>
            </w:r>
            <w:r w:rsidRPr="00F040B1">
              <w:rPr>
                <w:rFonts w:ascii="Arial" w:hAnsi="Arial" w:cs="Arial"/>
                <w:b/>
                <w:bCs/>
                <w:color w:val="000000"/>
                <w:sz w:val="18"/>
                <w:szCs w:val="18"/>
              </w:rPr>
              <w:t>31</w:t>
            </w:r>
            <w:r w:rsidRPr="00F040B1">
              <w:rPr>
                <w:rFonts w:ascii="Arial" w:hAnsi="Arial" w:cs="Arial"/>
                <w:b/>
                <w:bCs/>
                <w:color w:val="000000"/>
                <w:sz w:val="18"/>
                <w:szCs w:val="18"/>
              </w:rPr>
              <w:t>日</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031E" w:rsidRPr="00F040B1" w:rsidRDefault="001C1A59" w:rsidP="00DE031E">
            <w:pPr>
              <w:jc w:val="right"/>
              <w:rPr>
                <w:b/>
                <w:bCs/>
                <w:color w:val="000000"/>
                <w:sz w:val="18"/>
                <w:szCs w:val="18"/>
              </w:rPr>
            </w:pPr>
            <w:r w:rsidRPr="00F040B1">
              <w:rPr>
                <w:rFonts w:hint="eastAsia"/>
                <w:b/>
                <w:bCs/>
                <w:color w:val="000000"/>
                <w:sz w:val="18"/>
                <w:szCs w:val="18"/>
              </w:rPr>
              <w:t>利率区间</w:t>
            </w:r>
          </w:p>
        </w:tc>
      </w:tr>
      <w:tr w:rsidR="00DE031E" w:rsidRPr="00F040B1" w:rsidTr="00DE031E">
        <w:trPr>
          <w:trHeight w:val="27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color w:val="000000"/>
                <w:sz w:val="18"/>
                <w:szCs w:val="18"/>
              </w:rPr>
            </w:pPr>
            <w:r w:rsidRPr="00F040B1">
              <w:rPr>
                <w:rFonts w:hint="eastAsia"/>
                <w:color w:val="000000"/>
                <w:sz w:val="18"/>
                <w:szCs w:val="18"/>
              </w:rPr>
              <w:t>一个月以内</w:t>
            </w:r>
          </w:p>
        </w:tc>
        <w:tc>
          <w:tcPr>
            <w:tcW w:w="1843"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 xml:space="preserve">　</w:t>
            </w:r>
          </w:p>
        </w:tc>
      </w:tr>
      <w:tr w:rsidR="00DE031E" w:rsidRPr="00F040B1" w:rsidTr="00DE031E">
        <w:trPr>
          <w:trHeight w:val="27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color w:val="000000"/>
                <w:sz w:val="18"/>
                <w:szCs w:val="18"/>
              </w:rPr>
            </w:pPr>
            <w:r w:rsidRPr="00F040B1">
              <w:rPr>
                <w:rFonts w:hint="eastAsia"/>
                <w:color w:val="000000"/>
                <w:sz w:val="18"/>
                <w:szCs w:val="18"/>
              </w:rPr>
              <w:t>三个月至一年内</w:t>
            </w:r>
          </w:p>
        </w:tc>
        <w:tc>
          <w:tcPr>
            <w:tcW w:w="1843"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1,000,000,000.00</w:t>
            </w:r>
          </w:p>
        </w:tc>
        <w:tc>
          <w:tcPr>
            <w:tcW w:w="1276"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6.30%</w:t>
            </w:r>
          </w:p>
        </w:tc>
        <w:tc>
          <w:tcPr>
            <w:tcW w:w="2268"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2,000,000,000.00</w:t>
            </w:r>
          </w:p>
        </w:tc>
        <w:tc>
          <w:tcPr>
            <w:tcW w:w="1701"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5.80%</w:t>
            </w:r>
          </w:p>
        </w:tc>
      </w:tr>
      <w:tr w:rsidR="00DE031E" w:rsidRPr="00F040B1" w:rsidTr="00DE031E">
        <w:trPr>
          <w:trHeight w:val="27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rPr>
                <w:b/>
                <w:bCs/>
                <w:color w:val="000000"/>
                <w:sz w:val="18"/>
                <w:szCs w:val="18"/>
              </w:rPr>
            </w:pPr>
            <w:r w:rsidRPr="00F040B1">
              <w:rPr>
                <w:rFonts w:hint="eastAsia"/>
                <w:b/>
                <w:bCs/>
                <w:color w:val="000000"/>
                <w:sz w:val="18"/>
                <w:szCs w:val="18"/>
              </w:rPr>
              <w:t>合计</w:t>
            </w:r>
          </w:p>
        </w:tc>
        <w:tc>
          <w:tcPr>
            <w:tcW w:w="1843"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1,000,000,000.00</w:t>
            </w:r>
          </w:p>
        </w:tc>
        <w:tc>
          <w:tcPr>
            <w:tcW w:w="1276"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rPr>
                <w:rFonts w:ascii="Calibri" w:hAnsi="Calibri" w:cs="Calibri"/>
                <w:color w:val="000000"/>
                <w:sz w:val="20"/>
                <w:szCs w:val="20"/>
              </w:rPr>
            </w:pPr>
            <w:r w:rsidRPr="00F040B1">
              <w:rPr>
                <w:rFonts w:ascii="Calibri" w:hAnsi="Calibri" w:cs="Calibri"/>
                <w:color w:val="000000"/>
                <w:sz w:val="20"/>
                <w:szCs w:val="20"/>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2,000,000,000.00</w:t>
            </w:r>
          </w:p>
        </w:tc>
        <w:tc>
          <w:tcPr>
            <w:tcW w:w="1701" w:type="dxa"/>
            <w:tcBorders>
              <w:top w:val="nil"/>
              <w:left w:val="nil"/>
              <w:bottom w:val="single" w:sz="4" w:space="0" w:color="auto"/>
              <w:right w:val="single" w:sz="4" w:space="0" w:color="auto"/>
            </w:tcBorders>
            <w:shd w:val="clear" w:color="auto" w:fill="auto"/>
            <w:vAlign w:val="bottom"/>
            <w:hideMark/>
          </w:tcPr>
          <w:p w:rsidR="00DE031E" w:rsidRPr="00F040B1" w:rsidRDefault="001C1A59" w:rsidP="00DE031E">
            <w:pPr>
              <w:rPr>
                <w:rFonts w:ascii="Calibri" w:hAnsi="Calibri" w:cs="Calibri"/>
                <w:color w:val="000000"/>
                <w:sz w:val="20"/>
                <w:szCs w:val="20"/>
              </w:rPr>
            </w:pPr>
            <w:r w:rsidRPr="00F040B1">
              <w:rPr>
                <w:rFonts w:ascii="Calibri" w:hAnsi="Calibri" w:cs="Calibri"/>
                <w:color w:val="000000"/>
                <w:sz w:val="20"/>
                <w:szCs w:val="20"/>
              </w:rPr>
              <w:t xml:space="preserve">　</w:t>
            </w:r>
          </w:p>
        </w:tc>
      </w:tr>
    </w:tbl>
    <w:p w:rsidR="00DE031E" w:rsidRPr="00EF735F" w:rsidRDefault="001C1A59" w:rsidP="003A0284">
      <w:pPr>
        <w:pStyle w:val="a9"/>
        <w:numPr>
          <w:ilvl w:val="0"/>
          <w:numId w:val="53"/>
        </w:numPr>
        <w:spacing w:beforeLines="50" w:line="360" w:lineRule="auto"/>
        <w:ind w:firstLineChars="0"/>
        <w:rPr>
          <w:rFonts w:asciiTheme="minorEastAsia" w:eastAsiaTheme="minorEastAsia" w:hAnsiTheme="minorEastAsia"/>
        </w:rPr>
      </w:pPr>
      <w:r w:rsidRPr="00EF735F">
        <w:rPr>
          <w:rFonts w:asciiTheme="minorEastAsia" w:eastAsiaTheme="minorEastAsia" w:hAnsiTheme="minorEastAsia" w:hint="eastAsia"/>
        </w:rPr>
        <w:t>截至2015年6月30日，拆入资金余额较上年末减少3,600,000,000.00元，减幅为78.26%，</w:t>
      </w:r>
    </w:p>
    <w:p w:rsidR="00DE031E" w:rsidRDefault="001C1A59" w:rsidP="003A0284">
      <w:pPr>
        <w:spacing w:beforeLines="50" w:line="360" w:lineRule="auto"/>
        <w:rPr>
          <w:rFonts w:asciiTheme="minorEastAsia" w:eastAsiaTheme="minorEastAsia" w:hAnsiTheme="minorEastAsia"/>
        </w:rPr>
      </w:pPr>
      <w:r w:rsidRPr="00EF735F">
        <w:rPr>
          <w:rFonts w:asciiTheme="minorEastAsia" w:eastAsiaTheme="minorEastAsia" w:hAnsiTheme="minorEastAsia" w:hint="eastAsia"/>
        </w:rPr>
        <w:t>主要是由于本公司本年转融通融入资金和拆入资金净额减少所致。</w:t>
      </w:r>
    </w:p>
    <w:p w:rsidR="00DE031E" w:rsidRDefault="00DE031E" w:rsidP="00DE031E">
      <w:pPr>
        <w:spacing w:line="360" w:lineRule="auto"/>
        <w:rPr>
          <w:rFonts w:asciiTheme="minorEastAsia" w:eastAsiaTheme="minorEastAsia" w:hAnsiTheme="minorEastAsia"/>
        </w:rPr>
      </w:pPr>
    </w:p>
    <w:p w:rsidR="00DE031E" w:rsidRPr="00EF735F" w:rsidRDefault="00DE031E" w:rsidP="00DE031E">
      <w:pPr>
        <w:spacing w:line="360" w:lineRule="auto"/>
        <w:rPr>
          <w:rFonts w:asciiTheme="minorEastAsia" w:eastAsiaTheme="minorEastAsia" w:hAnsiTheme="minorEastAsia"/>
        </w:rPr>
      </w:pPr>
    </w:p>
    <w:sdt>
      <w:sdtPr>
        <w:rPr>
          <w:rFonts w:ascii="宋体" w:hAnsi="宋体" w:cs="宋体"/>
          <w:b w:val="0"/>
          <w:bCs w:val="0"/>
          <w:kern w:val="0"/>
          <w:szCs w:val="24"/>
        </w:rPr>
        <w:tag w:val="_GBC_da45947eccbd4a0dba11ef22ac554898"/>
        <w:id w:val="24724995"/>
        <w:lock w:val="sdtLocked"/>
        <w:placeholder>
          <w:docPart w:val="GBC22222222222222222222222222222"/>
        </w:placeholder>
      </w:sdtPr>
      <w:sdtEndPr>
        <w:rPr>
          <w:color w:val="000000" w:themeColor="text1"/>
        </w:rPr>
      </w:sdtEndPr>
      <w:sdtContent>
        <w:p w:rsidR="00DE031E" w:rsidRDefault="001C1A59" w:rsidP="009950AC">
          <w:pPr>
            <w:pStyle w:val="3"/>
            <w:numPr>
              <w:ilvl w:val="0"/>
              <w:numId w:val="41"/>
            </w:numPr>
            <w:tabs>
              <w:tab w:val="left" w:pos="504"/>
            </w:tabs>
            <w:spacing w:line="360" w:lineRule="auto"/>
          </w:pPr>
          <w:r>
            <w:rPr>
              <w:rFonts w:hint="eastAsia"/>
            </w:rPr>
            <w:t>以公允价值计量且其变动计入当期损益的金融负债</w:t>
          </w:r>
        </w:p>
        <w:sdt>
          <w:sdtPr>
            <w:alias w:val="是否适用：以公允价值计量且其变动计入当期损益的金融负债"/>
            <w:tag w:val="_GBC_a4be483ab69c4002a950efb656ef50b1"/>
            <w:id w:val="24724962"/>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t>单位：</w:t>
          </w:r>
          <w:sdt>
            <w:sdtPr>
              <w:alias w:val="单位：财务附注：以公允价值计量且其变动计入当期损益的金融负债"/>
              <w:tag w:val="_GBC_bc2268e4d7ae45ec93b2fca40c1cb262"/>
              <w:id w:val="247249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以公允价值计量且其变动计入当期损益的金融负债"/>
              <w:tag w:val="_GBC_394cf3cb4452443abfc833693fd6956e"/>
              <w:id w:val="247249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561" w:type="pct"/>
            <w:jc w:val="center"/>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2"/>
            <w:gridCol w:w="1476"/>
            <w:gridCol w:w="1137"/>
            <w:gridCol w:w="1476"/>
            <w:gridCol w:w="1476"/>
            <w:gridCol w:w="1310"/>
            <w:gridCol w:w="1477"/>
          </w:tblGrid>
          <w:tr w:rsidR="00DE031E" w:rsidRPr="00FB384D" w:rsidTr="00DE031E">
            <w:trPr>
              <w:jc w:val="center"/>
            </w:trPr>
            <w:tc>
              <w:tcPr>
                <w:tcW w:w="851" w:type="pct"/>
              </w:tcPr>
              <w:p w:rsidR="00DE031E" w:rsidRPr="00FB384D" w:rsidRDefault="00DE031E" w:rsidP="00DE031E">
                <w:pPr>
                  <w:rPr>
                    <w:sz w:val="18"/>
                    <w:szCs w:val="18"/>
                  </w:rPr>
                </w:pPr>
              </w:p>
            </w:tc>
            <w:tc>
              <w:tcPr>
                <w:tcW w:w="2031" w:type="pct"/>
                <w:gridSpan w:val="3"/>
              </w:tcPr>
              <w:p w:rsidR="00DE031E" w:rsidRPr="00FB384D" w:rsidRDefault="001C1A59" w:rsidP="00DE031E">
                <w:pPr>
                  <w:jc w:val="center"/>
                  <w:rPr>
                    <w:sz w:val="18"/>
                    <w:szCs w:val="18"/>
                  </w:rPr>
                </w:pPr>
                <w:r w:rsidRPr="00FB384D">
                  <w:rPr>
                    <w:rFonts w:hint="eastAsia"/>
                    <w:sz w:val="18"/>
                    <w:szCs w:val="18"/>
                  </w:rPr>
                  <w:t>期末公允价值</w:t>
                </w:r>
              </w:p>
            </w:tc>
            <w:tc>
              <w:tcPr>
                <w:tcW w:w="2118" w:type="pct"/>
                <w:gridSpan w:val="3"/>
              </w:tcPr>
              <w:p w:rsidR="00DE031E" w:rsidRPr="00FB384D" w:rsidRDefault="001C1A59" w:rsidP="00DE031E">
                <w:pPr>
                  <w:jc w:val="center"/>
                  <w:rPr>
                    <w:sz w:val="18"/>
                    <w:szCs w:val="18"/>
                  </w:rPr>
                </w:pPr>
                <w:r w:rsidRPr="00FB384D">
                  <w:rPr>
                    <w:rFonts w:hint="eastAsia"/>
                    <w:sz w:val="18"/>
                    <w:szCs w:val="18"/>
                  </w:rPr>
                  <w:t>期初公允价值</w:t>
                </w:r>
              </w:p>
            </w:tc>
          </w:tr>
          <w:tr w:rsidR="00DE031E" w:rsidRPr="00FB384D" w:rsidTr="00DE031E">
            <w:trPr>
              <w:jc w:val="center"/>
            </w:trPr>
            <w:tc>
              <w:tcPr>
                <w:tcW w:w="851" w:type="pct"/>
                <w:vAlign w:val="center"/>
              </w:tcPr>
              <w:p w:rsidR="00DE031E" w:rsidRPr="00FB384D" w:rsidRDefault="001C1A59" w:rsidP="00DE031E">
                <w:pPr>
                  <w:jc w:val="center"/>
                  <w:rPr>
                    <w:sz w:val="18"/>
                    <w:szCs w:val="18"/>
                  </w:rPr>
                </w:pPr>
                <w:r w:rsidRPr="00FB384D">
                  <w:rPr>
                    <w:rFonts w:hint="eastAsia"/>
                    <w:sz w:val="18"/>
                    <w:szCs w:val="18"/>
                  </w:rPr>
                  <w:t>项目</w:t>
                </w:r>
              </w:p>
            </w:tc>
            <w:tc>
              <w:tcPr>
                <w:tcW w:w="733" w:type="pct"/>
                <w:vAlign w:val="center"/>
              </w:tcPr>
              <w:p w:rsidR="00DE031E" w:rsidRPr="00FB384D" w:rsidRDefault="001C1A59" w:rsidP="00DE031E">
                <w:pPr>
                  <w:jc w:val="center"/>
                  <w:rPr>
                    <w:sz w:val="18"/>
                    <w:szCs w:val="18"/>
                  </w:rPr>
                </w:pPr>
                <w:r w:rsidRPr="00FB384D">
                  <w:rPr>
                    <w:rFonts w:hint="eastAsia"/>
                    <w:sz w:val="18"/>
                    <w:szCs w:val="18"/>
                  </w:rPr>
                  <w:t>为交易目的而持有的金融负债</w:t>
                </w:r>
              </w:p>
            </w:tc>
            <w:tc>
              <w:tcPr>
                <w:tcW w:w="565" w:type="pct"/>
                <w:vAlign w:val="center"/>
              </w:tcPr>
              <w:p w:rsidR="00DE031E" w:rsidRPr="00FB384D" w:rsidRDefault="001C1A59" w:rsidP="00DE031E">
                <w:pPr>
                  <w:jc w:val="center"/>
                  <w:rPr>
                    <w:sz w:val="18"/>
                    <w:szCs w:val="18"/>
                  </w:rPr>
                </w:pPr>
                <w:r w:rsidRPr="00FB384D">
                  <w:rPr>
                    <w:rFonts w:hint="eastAsia"/>
                    <w:sz w:val="18"/>
                    <w:szCs w:val="18"/>
                  </w:rPr>
                  <w:t>指定以公允价值计量且变动计入当期损益的金融负债</w:t>
                </w:r>
              </w:p>
            </w:tc>
            <w:tc>
              <w:tcPr>
                <w:tcW w:w="733" w:type="pct"/>
                <w:vAlign w:val="center"/>
              </w:tcPr>
              <w:p w:rsidR="00DE031E" w:rsidRPr="00FB384D" w:rsidRDefault="001C1A59" w:rsidP="00DE031E">
                <w:pPr>
                  <w:jc w:val="center"/>
                  <w:rPr>
                    <w:sz w:val="18"/>
                    <w:szCs w:val="18"/>
                  </w:rPr>
                </w:pPr>
                <w:r w:rsidRPr="00FB384D">
                  <w:rPr>
                    <w:rFonts w:hint="eastAsia"/>
                    <w:sz w:val="18"/>
                    <w:szCs w:val="18"/>
                  </w:rPr>
                  <w:t>公允价值合计</w:t>
                </w:r>
              </w:p>
            </w:tc>
            <w:tc>
              <w:tcPr>
                <w:tcW w:w="733" w:type="pct"/>
                <w:vAlign w:val="center"/>
              </w:tcPr>
              <w:p w:rsidR="00DE031E" w:rsidRPr="00FB384D" w:rsidRDefault="001C1A59" w:rsidP="00DE031E">
                <w:pPr>
                  <w:jc w:val="center"/>
                  <w:rPr>
                    <w:sz w:val="18"/>
                    <w:szCs w:val="18"/>
                  </w:rPr>
                </w:pPr>
                <w:r w:rsidRPr="00FB384D">
                  <w:rPr>
                    <w:rFonts w:hint="eastAsia"/>
                    <w:sz w:val="18"/>
                    <w:szCs w:val="18"/>
                  </w:rPr>
                  <w:t>为交易目的而持有的金融负债</w:t>
                </w:r>
              </w:p>
            </w:tc>
            <w:tc>
              <w:tcPr>
                <w:tcW w:w="651" w:type="pct"/>
                <w:vAlign w:val="center"/>
              </w:tcPr>
              <w:p w:rsidR="00DE031E" w:rsidRPr="00FB384D" w:rsidRDefault="001C1A59" w:rsidP="00DE031E">
                <w:pPr>
                  <w:jc w:val="center"/>
                  <w:rPr>
                    <w:sz w:val="18"/>
                    <w:szCs w:val="18"/>
                  </w:rPr>
                </w:pPr>
                <w:r w:rsidRPr="00FB384D">
                  <w:rPr>
                    <w:rFonts w:hint="eastAsia"/>
                    <w:sz w:val="18"/>
                    <w:szCs w:val="18"/>
                  </w:rPr>
                  <w:t>指定以公允价值计量且变动计入当期损益的金融负债</w:t>
                </w:r>
              </w:p>
            </w:tc>
            <w:tc>
              <w:tcPr>
                <w:tcW w:w="733" w:type="pct"/>
                <w:vAlign w:val="center"/>
              </w:tcPr>
              <w:p w:rsidR="00DE031E" w:rsidRPr="00FB384D" w:rsidRDefault="001C1A59" w:rsidP="00DE031E">
                <w:pPr>
                  <w:jc w:val="center"/>
                  <w:rPr>
                    <w:sz w:val="18"/>
                    <w:szCs w:val="18"/>
                  </w:rPr>
                </w:pPr>
                <w:r w:rsidRPr="00FB384D">
                  <w:rPr>
                    <w:rFonts w:hint="eastAsia"/>
                    <w:sz w:val="18"/>
                    <w:szCs w:val="18"/>
                  </w:rPr>
                  <w:t>公允价值合计</w:t>
                </w:r>
              </w:p>
            </w:tc>
          </w:tr>
          <w:tr w:rsidR="00DE031E" w:rsidRPr="00FB384D" w:rsidTr="00DE031E">
            <w:trPr>
              <w:jc w:val="center"/>
            </w:trPr>
            <w:tc>
              <w:tcPr>
                <w:tcW w:w="851" w:type="pct"/>
              </w:tcPr>
              <w:p w:rsidR="00DE031E" w:rsidRPr="00FB384D" w:rsidRDefault="001C1A59" w:rsidP="00DE031E">
                <w:pPr>
                  <w:rPr>
                    <w:sz w:val="18"/>
                    <w:szCs w:val="18"/>
                  </w:rPr>
                </w:pPr>
                <w:r w:rsidRPr="00FB384D">
                  <w:rPr>
                    <w:rFonts w:hint="eastAsia"/>
                    <w:sz w:val="18"/>
                    <w:szCs w:val="18"/>
                  </w:rPr>
                  <w:t>债券</w:t>
                </w:r>
              </w:p>
            </w:tc>
            <w:sdt>
              <w:sdtPr>
                <w:rPr>
                  <w:sz w:val="18"/>
                  <w:szCs w:val="18"/>
                </w:rPr>
                <w:alias w:val="为交易目的而持有的金融负债公允价值_债券"/>
                <w:tag w:val="_GBC_2abce49684b14f4093f443b6bda86481"/>
                <w:id w:val="24724965"/>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64,830,501.15</w:t>
                    </w:r>
                  </w:p>
                </w:tc>
              </w:sdtContent>
            </w:sdt>
            <w:sdt>
              <w:sdtPr>
                <w:rPr>
                  <w:sz w:val="18"/>
                  <w:szCs w:val="18"/>
                </w:rPr>
                <w:alias w:val="指定以公允价值计量且变动计入当期损益的金融负债公允价值_债券"/>
                <w:tag w:val="_GBC_e092d82b46a44ea1ada91c478fc1ec3b"/>
                <w:id w:val="24724966"/>
                <w:lock w:val="sdtLocked"/>
                <w:showingPlcHdr/>
              </w:sdtPr>
              <w:sdtEndPr>
                <w:rPr>
                  <w:rFonts w:hint="eastAsia"/>
                </w:rPr>
              </w:sdtEndPr>
              <w:sdtContent>
                <w:tc>
                  <w:tcPr>
                    <w:tcW w:w="565"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金融负债公允价值合计_债券"/>
                <w:tag w:val="_GBC_3c9ecbe8871a4899a6d2a24158c766ea"/>
                <w:id w:val="24724967"/>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64,830,501.15</w:t>
                    </w:r>
                  </w:p>
                </w:tc>
              </w:sdtContent>
            </w:sdt>
            <w:sdt>
              <w:sdtPr>
                <w:rPr>
                  <w:sz w:val="18"/>
                  <w:szCs w:val="18"/>
                </w:rPr>
                <w:alias w:val="为交易目的而持有的金融负债公允价值_债券"/>
                <w:tag w:val="_GBC_aac6fcd91eb14c718a0b0807564d7e54"/>
                <w:id w:val="24724968"/>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16,245,163.39</w:t>
                    </w:r>
                  </w:p>
                </w:tc>
              </w:sdtContent>
            </w:sdt>
            <w:sdt>
              <w:sdtPr>
                <w:rPr>
                  <w:sz w:val="18"/>
                  <w:szCs w:val="18"/>
                </w:rPr>
                <w:alias w:val="指定以公允价值计量且变动计入当期损益的金融负债公允价值_债券"/>
                <w:tag w:val="_GBC_9994a94729db40e1809a5314836e0a40"/>
                <w:id w:val="24724969"/>
                <w:lock w:val="sdtLocked"/>
                <w:showingPlcHdr/>
              </w:sdtPr>
              <w:sdtEndPr>
                <w:rPr>
                  <w:rFonts w:hint="eastAsia"/>
                </w:rPr>
              </w:sdtEndPr>
              <w:sdtContent>
                <w:tc>
                  <w:tcPr>
                    <w:tcW w:w="651" w:type="pct"/>
                    <w:vAlign w:val="center"/>
                  </w:tcPr>
                  <w:p w:rsidR="00DE031E" w:rsidRPr="00FB384D" w:rsidRDefault="00DE031E" w:rsidP="00DE031E">
                    <w:pPr>
                      <w:jc w:val="right"/>
                      <w:rPr>
                        <w:sz w:val="18"/>
                        <w:szCs w:val="18"/>
                      </w:rPr>
                    </w:pPr>
                  </w:p>
                </w:tc>
              </w:sdtContent>
            </w:sdt>
            <w:sdt>
              <w:sdtPr>
                <w:rPr>
                  <w:sz w:val="18"/>
                  <w:szCs w:val="18"/>
                </w:rPr>
                <w:alias w:val="金融负债公允价值合计_债券"/>
                <w:tag w:val="_GBC_99a5aba1ac094deb840ca0c0f110629e"/>
                <w:id w:val="24724970"/>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16,245,163.39</w:t>
                    </w:r>
                  </w:p>
                </w:tc>
              </w:sdtContent>
            </w:sdt>
          </w:tr>
          <w:tr w:rsidR="00DE031E" w:rsidRPr="00FB384D" w:rsidTr="00DE031E">
            <w:trPr>
              <w:jc w:val="center"/>
            </w:trPr>
            <w:tc>
              <w:tcPr>
                <w:tcW w:w="851" w:type="pct"/>
              </w:tcPr>
              <w:p w:rsidR="00DE031E" w:rsidRPr="00FB384D" w:rsidRDefault="001C1A59" w:rsidP="00DE031E">
                <w:pPr>
                  <w:rPr>
                    <w:sz w:val="18"/>
                    <w:szCs w:val="18"/>
                  </w:rPr>
                </w:pPr>
                <w:r w:rsidRPr="00FB384D">
                  <w:rPr>
                    <w:rFonts w:hint="eastAsia"/>
                    <w:sz w:val="18"/>
                    <w:szCs w:val="18"/>
                  </w:rPr>
                  <w:t>其中：结构性票据</w:t>
                </w:r>
              </w:p>
            </w:tc>
            <w:tc>
              <w:tcPr>
                <w:tcW w:w="733" w:type="pct"/>
                <w:vAlign w:val="center"/>
              </w:tcPr>
              <w:p w:rsidR="00DE031E" w:rsidRPr="00FB384D" w:rsidRDefault="001C1A59" w:rsidP="00DE031E">
                <w:pPr>
                  <w:jc w:val="right"/>
                  <w:rPr>
                    <w:sz w:val="18"/>
                    <w:szCs w:val="18"/>
                  </w:rPr>
                </w:pPr>
                <w:r w:rsidRPr="00FB384D">
                  <w:rPr>
                    <w:sz w:val="18"/>
                    <w:szCs w:val="18"/>
                  </w:rPr>
                  <w:t xml:space="preserve"> 42,764,914.98</w:t>
                </w:r>
              </w:p>
            </w:tc>
            <w:tc>
              <w:tcPr>
                <w:tcW w:w="565" w:type="pct"/>
                <w:vAlign w:val="center"/>
              </w:tcPr>
              <w:p w:rsidR="00DE031E" w:rsidRPr="00FB384D" w:rsidRDefault="00DE031E" w:rsidP="00DE031E">
                <w:pPr>
                  <w:jc w:val="right"/>
                  <w:rPr>
                    <w:sz w:val="18"/>
                    <w:szCs w:val="18"/>
                  </w:rPr>
                </w:pPr>
              </w:p>
            </w:tc>
            <w:tc>
              <w:tcPr>
                <w:tcW w:w="733" w:type="pct"/>
                <w:vAlign w:val="center"/>
              </w:tcPr>
              <w:p w:rsidR="00DE031E" w:rsidRPr="00FB384D" w:rsidRDefault="001C1A59" w:rsidP="00DE031E">
                <w:pPr>
                  <w:jc w:val="right"/>
                  <w:rPr>
                    <w:sz w:val="18"/>
                    <w:szCs w:val="18"/>
                  </w:rPr>
                </w:pPr>
                <w:r w:rsidRPr="00FB384D">
                  <w:rPr>
                    <w:sz w:val="18"/>
                    <w:szCs w:val="18"/>
                  </w:rPr>
                  <w:t>42,764,914.98</w:t>
                </w:r>
              </w:p>
            </w:tc>
            <w:tc>
              <w:tcPr>
                <w:tcW w:w="733" w:type="pct"/>
                <w:vAlign w:val="center"/>
              </w:tcPr>
              <w:p w:rsidR="00DE031E" w:rsidRPr="00FB384D" w:rsidRDefault="001C1A59" w:rsidP="00DE031E">
                <w:pPr>
                  <w:jc w:val="right"/>
                  <w:rPr>
                    <w:sz w:val="18"/>
                    <w:szCs w:val="18"/>
                  </w:rPr>
                </w:pPr>
                <w:r w:rsidRPr="00FB384D">
                  <w:rPr>
                    <w:sz w:val="18"/>
                    <w:szCs w:val="18"/>
                  </w:rPr>
                  <w:t>16,245,163.39</w:t>
                </w:r>
              </w:p>
            </w:tc>
            <w:tc>
              <w:tcPr>
                <w:tcW w:w="651" w:type="pct"/>
                <w:vAlign w:val="center"/>
              </w:tcPr>
              <w:p w:rsidR="00DE031E" w:rsidRPr="00FB384D" w:rsidRDefault="00DE031E" w:rsidP="00DE031E">
                <w:pPr>
                  <w:jc w:val="right"/>
                  <w:rPr>
                    <w:sz w:val="18"/>
                    <w:szCs w:val="18"/>
                  </w:rPr>
                </w:pPr>
              </w:p>
            </w:tc>
            <w:tc>
              <w:tcPr>
                <w:tcW w:w="733" w:type="pct"/>
                <w:vAlign w:val="center"/>
              </w:tcPr>
              <w:p w:rsidR="00DE031E" w:rsidRPr="00FB384D" w:rsidRDefault="001C1A59" w:rsidP="00DE031E">
                <w:pPr>
                  <w:jc w:val="right"/>
                  <w:rPr>
                    <w:sz w:val="18"/>
                    <w:szCs w:val="18"/>
                  </w:rPr>
                </w:pPr>
                <w:r w:rsidRPr="00FB384D">
                  <w:rPr>
                    <w:sz w:val="18"/>
                    <w:szCs w:val="18"/>
                  </w:rPr>
                  <w:t>16,245,163.39</w:t>
                </w:r>
              </w:p>
            </w:tc>
          </w:tr>
          <w:tr w:rsidR="00DE031E" w:rsidRPr="00FB384D" w:rsidTr="00DE031E">
            <w:trPr>
              <w:jc w:val="center"/>
            </w:trPr>
            <w:tc>
              <w:tcPr>
                <w:tcW w:w="851" w:type="pct"/>
              </w:tcPr>
              <w:p w:rsidR="00DE031E" w:rsidRPr="00FB384D" w:rsidRDefault="001C1A59" w:rsidP="00DE031E">
                <w:pPr>
                  <w:rPr>
                    <w:sz w:val="18"/>
                    <w:szCs w:val="18"/>
                  </w:rPr>
                </w:pPr>
                <w:r w:rsidRPr="00FB384D">
                  <w:rPr>
                    <w:rFonts w:hint="eastAsia"/>
                    <w:sz w:val="18"/>
                    <w:szCs w:val="18"/>
                  </w:rPr>
                  <w:t>基金</w:t>
                </w:r>
              </w:p>
            </w:tc>
            <w:sdt>
              <w:sdtPr>
                <w:rPr>
                  <w:sz w:val="18"/>
                  <w:szCs w:val="18"/>
                </w:rPr>
                <w:alias w:val="为交易目的而持有的金融负债公允价值_基金"/>
                <w:tag w:val="_GBC_72bac843df8848afae08c0411c088e70"/>
                <w:id w:val="24724971"/>
                <w:lock w:val="sdtLocked"/>
                <w:showingPlcHdr/>
              </w:sdtPr>
              <w:sdtEndPr>
                <w:rPr>
                  <w:rFonts w:hint="eastAsia"/>
                </w:rPr>
              </w:sdtEndPr>
              <w:sdtContent>
                <w:tc>
                  <w:tcPr>
                    <w:tcW w:w="733" w:type="pct"/>
                    <w:vAlign w:val="center"/>
                  </w:tcPr>
                  <w:p w:rsidR="00DE031E" w:rsidRPr="00FB384D" w:rsidRDefault="00DE031E" w:rsidP="00DE031E">
                    <w:pPr>
                      <w:jc w:val="right"/>
                      <w:rPr>
                        <w:sz w:val="18"/>
                        <w:szCs w:val="18"/>
                      </w:rPr>
                    </w:pPr>
                  </w:p>
                </w:tc>
              </w:sdtContent>
            </w:sdt>
            <w:sdt>
              <w:sdtPr>
                <w:rPr>
                  <w:sz w:val="18"/>
                  <w:szCs w:val="18"/>
                </w:rPr>
                <w:alias w:val="指定以公允价值计量且变动计入当期损益的金融负债公允价值_基金"/>
                <w:tag w:val="_GBC_dfa4f3f6e5e141399c488f1273faa4be"/>
                <w:id w:val="24724972"/>
                <w:lock w:val="sdtLocked"/>
                <w:showingPlcHdr/>
              </w:sdtPr>
              <w:sdtEndPr>
                <w:rPr>
                  <w:rFonts w:hint="eastAsia"/>
                </w:rPr>
              </w:sdtEndPr>
              <w:sdtContent>
                <w:tc>
                  <w:tcPr>
                    <w:tcW w:w="565"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金融负债公允价值合计_基金"/>
                <w:tag w:val="_GBC_4345120833b94a5880f88441c0d948c1"/>
                <w:id w:val="24724973"/>
                <w:lock w:val="sdtLocked"/>
                <w:showingPlcHdr/>
              </w:sdtPr>
              <w:sdtEndPr>
                <w:rPr>
                  <w:rFonts w:hint="eastAsia"/>
                </w:rPr>
              </w:sdtEndPr>
              <w:sdtContent>
                <w:tc>
                  <w:tcPr>
                    <w:tcW w:w="733" w:type="pct"/>
                    <w:vAlign w:val="center"/>
                  </w:tcPr>
                  <w:p w:rsidR="00DE031E" w:rsidRPr="00FB384D" w:rsidRDefault="00DE031E" w:rsidP="00DE031E">
                    <w:pPr>
                      <w:jc w:val="right"/>
                      <w:rPr>
                        <w:sz w:val="18"/>
                        <w:szCs w:val="18"/>
                      </w:rPr>
                    </w:pPr>
                  </w:p>
                </w:tc>
              </w:sdtContent>
            </w:sdt>
            <w:sdt>
              <w:sdtPr>
                <w:rPr>
                  <w:sz w:val="18"/>
                  <w:szCs w:val="18"/>
                </w:rPr>
                <w:alias w:val="为交易目的而持有的金融负债公允价值_基金"/>
                <w:tag w:val="_GBC_98269bd4959b4a6d8cb1c9d7a199f428"/>
                <w:id w:val="24724974"/>
                <w:lock w:val="sdtLocked"/>
                <w:showingPlcHdr/>
              </w:sdtPr>
              <w:sdtEndPr>
                <w:rPr>
                  <w:rFonts w:hint="eastAsia"/>
                </w:rPr>
              </w:sdtEndPr>
              <w:sdtContent>
                <w:tc>
                  <w:tcPr>
                    <w:tcW w:w="733" w:type="pct"/>
                    <w:vAlign w:val="center"/>
                  </w:tcPr>
                  <w:p w:rsidR="00DE031E" w:rsidRPr="00FB384D" w:rsidRDefault="00DE031E" w:rsidP="00DE031E">
                    <w:pPr>
                      <w:jc w:val="right"/>
                      <w:rPr>
                        <w:sz w:val="18"/>
                        <w:szCs w:val="18"/>
                      </w:rPr>
                    </w:pPr>
                  </w:p>
                </w:tc>
              </w:sdtContent>
            </w:sdt>
            <w:sdt>
              <w:sdtPr>
                <w:rPr>
                  <w:sz w:val="18"/>
                  <w:szCs w:val="18"/>
                </w:rPr>
                <w:alias w:val="指定以公允价值计量且变动计入当期损益的金融负债公允价值_基金"/>
                <w:tag w:val="_GBC_0bbd46c08b0c4d60a15aba0769198fc2"/>
                <w:id w:val="24724975"/>
                <w:lock w:val="sdtLocked"/>
                <w:showingPlcHdr/>
              </w:sdtPr>
              <w:sdtEndPr>
                <w:rPr>
                  <w:rFonts w:hint="eastAsia"/>
                </w:rPr>
              </w:sdtEndPr>
              <w:sdtContent>
                <w:tc>
                  <w:tcPr>
                    <w:tcW w:w="651"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金融负债公允价值合计_基金"/>
                <w:tag w:val="_GBC_06bac7daf93c42c29f30e74639c20dd7"/>
                <w:id w:val="24724976"/>
                <w:lock w:val="sdtLocked"/>
                <w:showingPlcHdr/>
              </w:sdtPr>
              <w:sdtEndPr>
                <w:rPr>
                  <w:rFonts w:hint="eastAsia"/>
                </w:rPr>
              </w:sdtEndPr>
              <w:sdtContent>
                <w:tc>
                  <w:tcPr>
                    <w:tcW w:w="733" w:type="pct"/>
                    <w:vAlign w:val="center"/>
                  </w:tcPr>
                  <w:p w:rsidR="00DE031E" w:rsidRPr="00FB384D" w:rsidRDefault="00DE031E" w:rsidP="00DE031E">
                    <w:pPr>
                      <w:jc w:val="right"/>
                      <w:rPr>
                        <w:sz w:val="18"/>
                        <w:szCs w:val="18"/>
                      </w:rPr>
                    </w:pPr>
                  </w:p>
                </w:tc>
              </w:sdtContent>
            </w:sdt>
          </w:tr>
          <w:tr w:rsidR="00DE031E" w:rsidRPr="00FB384D" w:rsidTr="00DE031E">
            <w:trPr>
              <w:jc w:val="center"/>
            </w:trPr>
            <w:tc>
              <w:tcPr>
                <w:tcW w:w="851" w:type="pct"/>
              </w:tcPr>
              <w:p w:rsidR="00DE031E" w:rsidRPr="00FB384D" w:rsidRDefault="001C1A59" w:rsidP="00DE031E">
                <w:pPr>
                  <w:rPr>
                    <w:sz w:val="18"/>
                    <w:szCs w:val="18"/>
                  </w:rPr>
                </w:pPr>
                <w:r w:rsidRPr="00FB384D">
                  <w:rPr>
                    <w:rFonts w:hint="eastAsia"/>
                    <w:sz w:val="18"/>
                    <w:szCs w:val="18"/>
                  </w:rPr>
                  <w:t>股票</w:t>
                </w:r>
              </w:p>
            </w:tc>
            <w:sdt>
              <w:sdtPr>
                <w:rPr>
                  <w:sz w:val="18"/>
                  <w:szCs w:val="18"/>
                </w:rPr>
                <w:alias w:val="为交易目的而持有的金融负债公允价值_股票"/>
                <w:tag w:val="_GBC_b175b6027b6c407481dceeb664ddb9ac"/>
                <w:id w:val="24724977"/>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111,236,476.29</w:t>
                    </w:r>
                  </w:p>
                </w:tc>
              </w:sdtContent>
            </w:sdt>
            <w:sdt>
              <w:sdtPr>
                <w:rPr>
                  <w:sz w:val="18"/>
                  <w:szCs w:val="18"/>
                </w:rPr>
                <w:alias w:val="指定以公允价值计量且变动计入当期损益的金融负债公允价值_股票"/>
                <w:tag w:val="_GBC_191ac167157e468284c402d19dd4891f"/>
                <w:id w:val="24724978"/>
                <w:lock w:val="sdtLocked"/>
                <w:showingPlcHdr/>
              </w:sdtPr>
              <w:sdtEndPr>
                <w:rPr>
                  <w:rFonts w:hint="eastAsia"/>
                </w:rPr>
              </w:sdtEndPr>
              <w:sdtContent>
                <w:tc>
                  <w:tcPr>
                    <w:tcW w:w="565"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金融负债公允价值合计_股票"/>
                <w:tag w:val="_GBC_7591aed4ac854e8ca8b386a8c356a445"/>
                <w:id w:val="24724979"/>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111,236,476.29</w:t>
                    </w:r>
                  </w:p>
                </w:tc>
              </w:sdtContent>
            </w:sdt>
            <w:sdt>
              <w:sdtPr>
                <w:rPr>
                  <w:sz w:val="18"/>
                  <w:szCs w:val="18"/>
                </w:rPr>
                <w:alias w:val="为交易目的而持有的金融负债公允价值_股票"/>
                <w:tag w:val="_GBC_8167d5f8dcb44489ad7dfea6aabf74d6"/>
                <w:id w:val="24724980"/>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94,752,792.46</w:t>
                    </w:r>
                  </w:p>
                </w:tc>
              </w:sdtContent>
            </w:sdt>
            <w:sdt>
              <w:sdtPr>
                <w:rPr>
                  <w:sz w:val="18"/>
                  <w:szCs w:val="18"/>
                </w:rPr>
                <w:alias w:val="指定以公允价值计量且变动计入当期损益的金融负债公允价值_股票"/>
                <w:tag w:val="_GBC_5abc9a367b3b44d181811aaca78a3923"/>
                <w:id w:val="24724981"/>
                <w:lock w:val="sdtLocked"/>
                <w:showingPlcHdr/>
              </w:sdtPr>
              <w:sdtEndPr>
                <w:rPr>
                  <w:rFonts w:hint="eastAsia"/>
                </w:rPr>
              </w:sdtEndPr>
              <w:sdtContent>
                <w:tc>
                  <w:tcPr>
                    <w:tcW w:w="651"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金融负债公允价值合计_股票"/>
                <w:tag w:val="_GBC_58f53b3af1e740188f05ce8b7a266b98"/>
                <w:id w:val="24724982"/>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94,752,792.46</w:t>
                    </w:r>
                  </w:p>
                </w:tc>
              </w:sdtContent>
            </w:sdt>
          </w:tr>
          <w:tr w:rsidR="00DE031E" w:rsidRPr="00FB384D" w:rsidTr="00DE031E">
            <w:trPr>
              <w:jc w:val="center"/>
            </w:trPr>
            <w:tc>
              <w:tcPr>
                <w:tcW w:w="851" w:type="pct"/>
              </w:tcPr>
              <w:p w:rsidR="00DE031E" w:rsidRPr="00FB384D" w:rsidRDefault="001C1A59" w:rsidP="00DE031E">
                <w:pPr>
                  <w:rPr>
                    <w:sz w:val="18"/>
                    <w:szCs w:val="18"/>
                  </w:rPr>
                </w:pPr>
                <w:r w:rsidRPr="00FB384D">
                  <w:rPr>
                    <w:rFonts w:hint="eastAsia"/>
                    <w:sz w:val="18"/>
                    <w:szCs w:val="18"/>
                  </w:rPr>
                  <w:t>其他</w:t>
                </w:r>
              </w:p>
            </w:tc>
            <w:sdt>
              <w:sdtPr>
                <w:rPr>
                  <w:sz w:val="18"/>
                  <w:szCs w:val="18"/>
                </w:rPr>
                <w:alias w:val="为交易目的而持有的金融负债公允价值_其他"/>
                <w:tag w:val="_GBC_79227c90211c4249b49daa91abc8dac8"/>
                <w:id w:val="24724983"/>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54,250,957.75</w:t>
                    </w:r>
                  </w:p>
                </w:tc>
              </w:sdtContent>
            </w:sdt>
            <w:sdt>
              <w:sdtPr>
                <w:rPr>
                  <w:sz w:val="18"/>
                  <w:szCs w:val="18"/>
                </w:rPr>
                <w:alias w:val="指定以公允价值计量且变动计入当期损益的金融负债公允价值_其他"/>
                <w:tag w:val="_GBC_8292588a49ba4808b50fc608c0be86b5"/>
                <w:id w:val="24724984"/>
                <w:lock w:val="sdtLocked"/>
                <w:showingPlcHdr/>
              </w:sdtPr>
              <w:sdtEndPr>
                <w:rPr>
                  <w:rFonts w:hint="eastAsia"/>
                </w:rPr>
              </w:sdtEndPr>
              <w:sdtContent>
                <w:tc>
                  <w:tcPr>
                    <w:tcW w:w="565"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金融负债公允价值合计_其他"/>
                <w:tag w:val="_GBC_90c22f0873a0492fb6a8ea926f52890a"/>
                <w:id w:val="24724985"/>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54,250,957.75</w:t>
                    </w:r>
                  </w:p>
                </w:tc>
              </w:sdtContent>
            </w:sdt>
            <w:sdt>
              <w:sdtPr>
                <w:rPr>
                  <w:sz w:val="18"/>
                  <w:szCs w:val="18"/>
                </w:rPr>
                <w:alias w:val="为交易目的而持有的金融负债公允价值_其他"/>
                <w:tag w:val="_GBC_0f503581d2134b1ea272e9123c287cc9"/>
                <w:id w:val="24724986"/>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99,698,980.69</w:t>
                    </w:r>
                  </w:p>
                </w:tc>
              </w:sdtContent>
            </w:sdt>
            <w:sdt>
              <w:sdtPr>
                <w:rPr>
                  <w:sz w:val="18"/>
                  <w:szCs w:val="18"/>
                </w:rPr>
                <w:alias w:val="指定以公允价值计量且变动计入当期损益的金融负债公允价值_其他"/>
                <w:tag w:val="_GBC_5fcb177b8bcd4eb4a3f956ed560103fe"/>
                <w:id w:val="24724987"/>
                <w:lock w:val="sdtLocked"/>
                <w:showingPlcHdr/>
              </w:sdtPr>
              <w:sdtEndPr>
                <w:rPr>
                  <w:rFonts w:hint="eastAsia"/>
                </w:rPr>
              </w:sdtEndPr>
              <w:sdtContent>
                <w:tc>
                  <w:tcPr>
                    <w:tcW w:w="651"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金融负债公允价值合计_其他"/>
                <w:tag w:val="_GBC_4eb76b99acad4b22824468e61f15ce60"/>
                <w:id w:val="24724988"/>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99,698,980.69</w:t>
                    </w:r>
                  </w:p>
                </w:tc>
              </w:sdtContent>
            </w:sdt>
          </w:tr>
          <w:tr w:rsidR="00DE031E" w:rsidRPr="00FB384D" w:rsidTr="00DE031E">
            <w:trPr>
              <w:jc w:val="center"/>
            </w:trPr>
            <w:tc>
              <w:tcPr>
                <w:tcW w:w="851" w:type="pct"/>
              </w:tcPr>
              <w:p w:rsidR="00DE031E" w:rsidRPr="00FB384D" w:rsidRDefault="001C1A59" w:rsidP="00DE031E">
                <w:pPr>
                  <w:rPr>
                    <w:sz w:val="18"/>
                    <w:szCs w:val="18"/>
                  </w:rPr>
                </w:pPr>
                <w:r w:rsidRPr="00FB384D">
                  <w:rPr>
                    <w:rFonts w:hint="eastAsia"/>
                    <w:sz w:val="18"/>
                    <w:szCs w:val="18"/>
                  </w:rPr>
                  <w:t>合计</w:t>
                </w:r>
              </w:p>
            </w:tc>
            <w:sdt>
              <w:sdtPr>
                <w:rPr>
                  <w:sz w:val="18"/>
                  <w:szCs w:val="18"/>
                </w:rPr>
                <w:alias w:val="为交易目的而持有的金融负债公允价值合计"/>
                <w:tag w:val="_GBC_dacbf0ccd6864746ba4b3ea78f284f42"/>
                <w:id w:val="24724989"/>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230,317,935.19</w:t>
                    </w:r>
                  </w:p>
                </w:tc>
              </w:sdtContent>
            </w:sdt>
            <w:sdt>
              <w:sdtPr>
                <w:rPr>
                  <w:sz w:val="18"/>
                  <w:szCs w:val="18"/>
                </w:rPr>
                <w:alias w:val="指定为以公允价值计量且其变动计入当期损益的金融负债"/>
                <w:tag w:val="_GBC_ae49c631b53649a89ac010d598582d79"/>
                <w:id w:val="24724990"/>
                <w:lock w:val="sdtLocked"/>
                <w:showingPlcHdr/>
              </w:sdtPr>
              <w:sdtEndPr>
                <w:rPr>
                  <w:rFonts w:hint="eastAsia"/>
                </w:rPr>
              </w:sdtEndPr>
              <w:sdtContent>
                <w:tc>
                  <w:tcPr>
                    <w:tcW w:w="565"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以公允价值计量且其变动计入当期损益的金融负债"/>
                <w:tag w:val="_GBC_e05027be21e1407288987a7bdfacbfea"/>
                <w:id w:val="24724991"/>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230,317,935.19</w:t>
                    </w:r>
                  </w:p>
                </w:tc>
              </w:sdtContent>
            </w:sdt>
            <w:sdt>
              <w:sdtPr>
                <w:rPr>
                  <w:sz w:val="18"/>
                  <w:szCs w:val="18"/>
                </w:rPr>
                <w:alias w:val="为交易目的而持有的金融负债公允价值合计"/>
                <w:tag w:val="_GBC_f435be38319d4786a70d339c96cd5daa"/>
                <w:id w:val="24724992"/>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210,696,936.54</w:t>
                    </w:r>
                  </w:p>
                </w:tc>
              </w:sdtContent>
            </w:sdt>
            <w:sdt>
              <w:sdtPr>
                <w:rPr>
                  <w:sz w:val="18"/>
                  <w:szCs w:val="18"/>
                </w:rPr>
                <w:alias w:val="指定为以公允价值计量且其变动计入当期损益的金融负债"/>
                <w:tag w:val="_GBC_0fc152373ad547fda63789f4c7727368"/>
                <w:id w:val="24724993"/>
                <w:lock w:val="sdtLocked"/>
                <w:showingPlcHdr/>
              </w:sdtPr>
              <w:sdtEndPr>
                <w:rPr>
                  <w:rFonts w:hint="eastAsia"/>
                </w:rPr>
              </w:sdtEndPr>
              <w:sdtContent>
                <w:tc>
                  <w:tcPr>
                    <w:tcW w:w="651" w:type="pct"/>
                    <w:vAlign w:val="center"/>
                  </w:tcPr>
                  <w:p w:rsidR="00DE031E" w:rsidRPr="00FB384D" w:rsidRDefault="001C1A59" w:rsidP="00DE031E">
                    <w:pPr>
                      <w:jc w:val="right"/>
                      <w:rPr>
                        <w:sz w:val="18"/>
                        <w:szCs w:val="18"/>
                      </w:rPr>
                    </w:pPr>
                    <w:r w:rsidRPr="00FB384D">
                      <w:rPr>
                        <w:rStyle w:val="af5"/>
                        <w:rFonts w:hint="eastAsia"/>
                        <w:sz w:val="18"/>
                        <w:szCs w:val="18"/>
                      </w:rPr>
                      <w:t xml:space="preserve">　</w:t>
                    </w:r>
                  </w:p>
                </w:tc>
              </w:sdtContent>
            </w:sdt>
            <w:sdt>
              <w:sdtPr>
                <w:rPr>
                  <w:sz w:val="18"/>
                  <w:szCs w:val="18"/>
                </w:rPr>
                <w:alias w:val="以公允价值计量且其变动计入当期损益的金融负债"/>
                <w:tag w:val="_GBC_24c88c1ad7f1483b83823f326c877fd0"/>
                <w:id w:val="24724994"/>
                <w:lock w:val="sdtLocked"/>
              </w:sdtPr>
              <w:sdtEndPr>
                <w:rPr>
                  <w:rFonts w:hint="eastAsia"/>
                </w:rPr>
              </w:sdtEndPr>
              <w:sdtContent>
                <w:tc>
                  <w:tcPr>
                    <w:tcW w:w="733" w:type="pct"/>
                    <w:vAlign w:val="center"/>
                  </w:tcPr>
                  <w:p w:rsidR="00DE031E" w:rsidRPr="00FB384D" w:rsidRDefault="001C1A59" w:rsidP="00DE031E">
                    <w:pPr>
                      <w:jc w:val="right"/>
                      <w:rPr>
                        <w:sz w:val="18"/>
                        <w:szCs w:val="18"/>
                      </w:rPr>
                    </w:pPr>
                    <w:r w:rsidRPr="00FB384D">
                      <w:rPr>
                        <w:sz w:val="18"/>
                        <w:szCs w:val="18"/>
                      </w:rPr>
                      <w:t>210,696,936.54</w:t>
                    </w:r>
                  </w:p>
                </w:tc>
              </w:sdtContent>
            </w:sdt>
          </w:tr>
        </w:tbl>
        <w:p w:rsidR="00DE031E" w:rsidRPr="00E65662" w:rsidRDefault="00422DCA">
          <w:pPr>
            <w:rPr>
              <w:color w:val="000000" w:themeColor="text1"/>
            </w:rPr>
          </w:pPr>
        </w:p>
      </w:sdtContent>
    </w:sdt>
    <w:p w:rsidR="00DE031E" w:rsidRDefault="001C1A59" w:rsidP="009950AC">
      <w:pPr>
        <w:pStyle w:val="3"/>
        <w:numPr>
          <w:ilvl w:val="0"/>
          <w:numId w:val="41"/>
        </w:numPr>
        <w:tabs>
          <w:tab w:val="left" w:pos="504"/>
        </w:tabs>
        <w:spacing w:line="360" w:lineRule="auto"/>
      </w:pPr>
      <w:r>
        <w:rPr>
          <w:rFonts w:hint="eastAsia"/>
        </w:rPr>
        <w:t>卖出</w:t>
      </w:r>
      <w:r>
        <w:t>回购金融资产款</w:t>
      </w:r>
    </w:p>
    <w:sdt>
      <w:sdtPr>
        <w:alias w:val="是否适用：卖出回购金融资产款"/>
        <w:tag w:val="_GBC_c08b763ffd924b98ad9431799a95c20a"/>
        <w:id w:val="24724996"/>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Times New Roman" w:hAnsi="Times New Roman" w:cs="宋体" w:hint="eastAsia"/>
          <w:b w:val="0"/>
          <w:bCs w:val="0"/>
          <w:kern w:val="0"/>
          <w:szCs w:val="21"/>
        </w:rPr>
        <w:tag w:val="_GBC_5adf247e3f994eeb920de84539469c52"/>
        <w:id w:val="24725007"/>
        <w:lock w:val="sdtLocked"/>
        <w:placeholder>
          <w:docPart w:val="GBC22222222222222222222222222222"/>
        </w:placeholder>
      </w:sdtPr>
      <w:sdtEndPr>
        <w:rPr>
          <w:rFonts w:ascii="宋体" w:hAnsi="宋体"/>
          <w:szCs w:val="24"/>
        </w:rPr>
      </w:sdtEndPr>
      <w:sdtContent>
        <w:p w:rsidR="00DE031E" w:rsidRDefault="001C1A59" w:rsidP="009950AC">
          <w:pPr>
            <w:pStyle w:val="4"/>
            <w:numPr>
              <w:ilvl w:val="0"/>
              <w:numId w:val="54"/>
            </w:numPr>
            <w:spacing w:line="360" w:lineRule="auto"/>
          </w:pPr>
          <w:r>
            <w:rPr>
              <w:rFonts w:hint="eastAsia"/>
            </w:rPr>
            <w:t>按金融资产种类</w:t>
          </w:r>
        </w:p>
        <w:p w:rsidR="00DE031E" w:rsidRDefault="001C1A59">
          <w:pPr>
            <w:jc w:val="right"/>
          </w:pPr>
          <w:r>
            <w:t>单位：</w:t>
          </w:r>
          <w:sdt>
            <w:sdtPr>
              <w:rPr>
                <w:rFonts w:hint="eastAsia"/>
              </w:rPr>
              <w:alias w:val="单位：财务附注：卖出回购金融资产款"/>
              <w:tag w:val="_GBC_8e8f7fd74e49408aa12c3245e81da5e6"/>
              <w:id w:val="247249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rPr>
                <w:rFonts w:hint="eastAsia"/>
              </w:rPr>
              <w:alias w:val="币种：财务附注：卖出回购金融资产款"/>
              <w:tag w:val="_GBC_bab533dc38554755b3c4d126562b270c"/>
              <w:id w:val="24724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12" w:type="pct"/>
            <w:tblInd w:w="80" w:type="dxa"/>
            <w:tblBorders>
              <w:top w:val="single" w:sz="4" w:space="0" w:color="auto"/>
              <w:left w:val="single" w:sz="4" w:space="0" w:color="auto"/>
              <w:bottom w:val="single" w:sz="4" w:space="0" w:color="auto"/>
              <w:right w:val="single" w:sz="4" w:space="0" w:color="auto"/>
            </w:tblBorders>
            <w:tblLook w:val="0000"/>
          </w:tblPr>
          <w:tblGrid>
            <w:gridCol w:w="3150"/>
            <w:gridCol w:w="3046"/>
            <w:gridCol w:w="2694"/>
          </w:tblGrid>
          <w:tr w:rsidR="00DE031E" w:rsidTr="00DE031E">
            <w:tc>
              <w:tcPr>
                <w:tcW w:w="1772"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r>
                  <w:rPr>
                    <w:rFonts w:hint="eastAsia"/>
                  </w:rPr>
                  <w:t>项目</w:t>
                </w:r>
              </w:p>
            </w:tc>
            <w:tc>
              <w:tcPr>
                <w:tcW w:w="1713"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center"/>
                </w:pPr>
                <w:r>
                  <w:rPr>
                    <w:rFonts w:hint="eastAsia"/>
                  </w:rPr>
                  <w:t>期末账面余额</w:t>
                </w:r>
              </w:p>
            </w:tc>
            <w:tc>
              <w:tcPr>
                <w:tcW w:w="151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center"/>
                </w:pPr>
                <w:r>
                  <w:rPr>
                    <w:rFonts w:hint="eastAsia"/>
                  </w:rPr>
                  <w:t>期初账面余额</w:t>
                </w:r>
              </w:p>
            </w:tc>
          </w:tr>
          <w:tr w:rsidR="00DE031E" w:rsidTr="00DE031E">
            <w:tc>
              <w:tcPr>
                <w:tcW w:w="1772"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r>
                  <w:rPr>
                    <w:rFonts w:hint="eastAsia"/>
                  </w:rPr>
                  <w:t>债券</w:t>
                </w:r>
              </w:p>
            </w:tc>
            <w:sdt>
              <w:sdtPr>
                <w:alias w:val="卖出回购金融资产中债券金额"/>
                <w:tag w:val="_GBC_01ef5918de3d4186a8aa0da3a918659e"/>
                <w:id w:val="24724999"/>
                <w:lock w:val="sdtLocked"/>
              </w:sdtPr>
              <w:sdtContent>
                <w:tc>
                  <w:tcPr>
                    <w:tcW w:w="1713"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pPr>
                    <w:r>
                      <w:t>14,197,473,190.06</w:t>
                    </w:r>
                  </w:p>
                </w:tc>
              </w:sdtContent>
            </w:sdt>
            <w:sdt>
              <w:sdtPr>
                <w:alias w:val="卖出回购金融资产中债券金额"/>
                <w:tag w:val="_GBC_859473870d6d4e668b2f329f87d9fb73"/>
                <w:id w:val="24725000"/>
                <w:lock w:val="sdtLocked"/>
              </w:sdtPr>
              <w:sdtContent>
                <w:tc>
                  <w:tcPr>
                    <w:tcW w:w="1515"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pPr>
                    <w:r>
                      <w:t>15,745,662,287.62</w:t>
                    </w:r>
                  </w:p>
                </w:tc>
              </w:sdtContent>
            </w:sdt>
          </w:tr>
          <w:sdt>
            <w:sdtPr>
              <w:rPr>
                <w:szCs w:val="21"/>
              </w:rPr>
              <w:alias w:val="按金融资产种类分类的卖出回购金融资产明细"/>
              <w:tag w:val="_GBC_785fbc7d018b4ec39c7b9c138f3c3971"/>
              <w:id w:val="24725004"/>
              <w:lock w:val="sdtLocked"/>
            </w:sdtPr>
            <w:sdtEndPr>
              <w:rPr>
                <w:rFonts w:hint="eastAsia"/>
              </w:rPr>
            </w:sdtEndPr>
            <w:sdtContent>
              <w:tr w:rsidR="00DE031E" w:rsidTr="00DE031E">
                <w:sdt>
                  <w:sdtPr>
                    <w:rPr>
                      <w:szCs w:val="21"/>
                    </w:rPr>
                    <w:alias w:val="按金融资产种类分类的卖出回购金融资产明细－项目"/>
                    <w:tag w:val="_GBC_50b0d01f9b2740c69785831514cafe96"/>
                    <w:id w:val="24725001"/>
                    <w:lock w:val="sdtLocked"/>
                  </w:sdtPr>
                  <w:sdtEndPr>
                    <w:rPr>
                      <w:szCs w:val="24"/>
                    </w:rPr>
                  </w:sdtEndPr>
                  <w:sdtContent>
                    <w:tc>
                      <w:tcPr>
                        <w:tcW w:w="1772" w:type="pct"/>
                        <w:tcBorders>
                          <w:top w:val="outset" w:sz="6" w:space="0" w:color="auto"/>
                          <w:left w:val="outset" w:sz="6" w:space="0" w:color="auto"/>
                          <w:bottom w:val="outset" w:sz="6" w:space="0" w:color="auto"/>
                          <w:right w:val="outset" w:sz="6" w:space="0" w:color="auto"/>
                        </w:tcBorders>
                        <w:shd w:val="clear" w:color="auto" w:fill="auto"/>
                      </w:tcPr>
                      <w:p w:rsidR="00DE031E" w:rsidRDefault="001C1A59" w:rsidP="00DE031E">
                        <w:pPr>
                          <w:autoSpaceDE w:val="0"/>
                          <w:autoSpaceDN w:val="0"/>
                          <w:adjustRightInd w:val="0"/>
                          <w:snapToGrid w:val="0"/>
                          <w:spacing w:line="240" w:lineRule="atLeast"/>
                        </w:pPr>
                        <w:r>
                          <w:rPr>
                            <w:rFonts w:hint="eastAsia"/>
                            <w:szCs w:val="21"/>
                          </w:rPr>
                          <w:t>融资融券收益权</w:t>
                        </w:r>
                      </w:p>
                    </w:tc>
                  </w:sdtContent>
                </w:sdt>
                <w:sdt>
                  <w:sdtPr>
                    <w:alias w:val="按金融资产种类分类的卖出回购金融资产明细－金额"/>
                    <w:tag w:val="_GBC_532f4f2b4dfd4c9a97d73ec9d25e5cc6"/>
                    <w:id w:val="24725002"/>
                    <w:lock w:val="sdtLocked"/>
                  </w:sdtPr>
                  <w:sdtContent>
                    <w:tc>
                      <w:tcPr>
                        <w:tcW w:w="1713" w:type="pct"/>
                        <w:tcBorders>
                          <w:top w:val="outset" w:sz="6" w:space="0" w:color="auto"/>
                          <w:left w:val="outset" w:sz="6" w:space="0" w:color="auto"/>
                          <w:bottom w:val="outset" w:sz="6" w:space="0" w:color="auto"/>
                          <w:right w:val="outset" w:sz="6" w:space="0" w:color="auto"/>
                        </w:tcBorders>
                      </w:tcPr>
                      <w:p w:rsidR="00DE031E" w:rsidRDefault="001C1A59" w:rsidP="00DE031E">
                        <w:pPr>
                          <w:ind w:right="13"/>
                          <w:jc w:val="right"/>
                        </w:pPr>
                        <w:r>
                          <w:t>45,065,000,000.00</w:t>
                        </w:r>
                      </w:p>
                    </w:tc>
                  </w:sdtContent>
                </w:sdt>
                <w:sdt>
                  <w:sdtPr>
                    <w:alias w:val="按金融资产种类分类的卖出回购金融资产明细－金额"/>
                    <w:tag w:val="_GBC_dcfd3f54a41b4821a2df6dc4da53948a"/>
                    <w:id w:val="24725003"/>
                    <w:lock w:val="sdtLocked"/>
                  </w:sdtPr>
                  <w:sdtContent>
                    <w:tc>
                      <w:tcPr>
                        <w:tcW w:w="1515" w:type="pct"/>
                        <w:tcBorders>
                          <w:top w:val="outset" w:sz="6" w:space="0" w:color="auto"/>
                          <w:left w:val="outset" w:sz="6" w:space="0" w:color="auto"/>
                          <w:bottom w:val="outset" w:sz="6" w:space="0" w:color="auto"/>
                          <w:right w:val="outset" w:sz="6" w:space="0" w:color="auto"/>
                        </w:tcBorders>
                      </w:tcPr>
                      <w:p w:rsidR="00DE031E" w:rsidRDefault="001C1A59" w:rsidP="00DE031E">
                        <w:pPr>
                          <w:ind w:right="13"/>
                          <w:jc w:val="right"/>
                        </w:pPr>
                        <w:r>
                          <w:t>33,392,853,500.00</w:t>
                        </w:r>
                      </w:p>
                    </w:tc>
                  </w:sdtContent>
                </w:sdt>
              </w:tr>
            </w:sdtContent>
          </w:sdt>
          <w:tr w:rsidR="00DE031E" w:rsidRPr="009F432F" w:rsidTr="00DE031E">
            <w:tc>
              <w:tcPr>
                <w:tcW w:w="1772"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center"/>
                </w:pPr>
                <w:r>
                  <w:rPr>
                    <w:rFonts w:hint="eastAsia"/>
                  </w:rPr>
                  <w:t>合计</w:t>
                </w:r>
              </w:p>
            </w:tc>
            <w:sdt>
              <w:sdtPr>
                <w:alias w:val="卖出回购金融资产款"/>
                <w:tag w:val="_GBC_1e36b47545df4d3b9f6317d4911060b0"/>
                <w:id w:val="24725005"/>
                <w:lock w:val="sdtLocked"/>
              </w:sdtPr>
              <w:sdtContent>
                <w:tc>
                  <w:tcPr>
                    <w:tcW w:w="1713" w:type="pct"/>
                    <w:tcBorders>
                      <w:top w:val="outset" w:sz="6" w:space="0" w:color="auto"/>
                      <w:left w:val="outset" w:sz="6" w:space="0" w:color="auto"/>
                      <w:bottom w:val="outset" w:sz="6" w:space="0" w:color="auto"/>
                      <w:right w:val="outset" w:sz="6" w:space="0" w:color="auto"/>
                    </w:tcBorders>
                  </w:tcPr>
                  <w:p w:rsidR="00DE031E" w:rsidRDefault="001C1A59" w:rsidP="00DE031E">
                    <w:pPr>
                      <w:jc w:val="right"/>
                    </w:pPr>
                    <w:r>
                      <w:t>59,262,473,190.06</w:t>
                    </w:r>
                  </w:p>
                </w:tc>
              </w:sdtContent>
            </w:sdt>
            <w:sdt>
              <w:sdtPr>
                <w:alias w:val="卖出回购金融资产款"/>
                <w:tag w:val="_GBC_0ac9e7412d564ddf9deda871cafe796b"/>
                <w:id w:val="24725006"/>
                <w:lock w:val="sdtLocked"/>
              </w:sdtPr>
              <w:sdtContent>
                <w:tc>
                  <w:tcPr>
                    <w:tcW w:w="1515" w:type="pct"/>
                    <w:tcBorders>
                      <w:top w:val="outset" w:sz="6" w:space="0" w:color="auto"/>
                      <w:left w:val="outset" w:sz="6" w:space="0" w:color="auto"/>
                      <w:bottom w:val="outset" w:sz="6" w:space="0" w:color="auto"/>
                      <w:right w:val="outset" w:sz="6" w:space="0" w:color="auto"/>
                    </w:tcBorders>
                  </w:tcPr>
                  <w:p w:rsidR="00DE031E" w:rsidRDefault="001C1A59" w:rsidP="00DE031E">
                    <w:pPr>
                      <w:jc w:val="right"/>
                    </w:pPr>
                    <w:r>
                      <w:t>49,138,515,787.62</w:t>
                    </w:r>
                  </w:p>
                </w:tc>
              </w:sdtContent>
            </w:sdt>
          </w:tr>
        </w:tbl>
        <w:p w:rsidR="00DE031E" w:rsidRPr="009F432F" w:rsidRDefault="00422DCA" w:rsidP="00DE031E"/>
      </w:sdtContent>
    </w:sdt>
    <w:sdt>
      <w:sdtPr>
        <w:rPr>
          <w:rFonts w:ascii="宋体" w:hAnsi="宋体" w:cs="宋体" w:hint="eastAsia"/>
          <w:b w:val="0"/>
          <w:bCs w:val="0"/>
          <w:kern w:val="0"/>
          <w:szCs w:val="24"/>
        </w:rPr>
        <w:tag w:val="_GBC_e2ac914eed45480581725aa66a3a01c1"/>
        <w:id w:val="24725022"/>
        <w:lock w:val="sdtLocked"/>
        <w:placeholder>
          <w:docPart w:val="GBC22222222222222222222222222222"/>
        </w:placeholder>
      </w:sdtPr>
      <w:sdtEndPr>
        <w:rPr>
          <w:rFonts w:hint="default"/>
        </w:rPr>
      </w:sdtEndPr>
      <w:sdtContent>
        <w:p w:rsidR="00DE031E" w:rsidRDefault="001C1A59" w:rsidP="009950AC">
          <w:pPr>
            <w:pStyle w:val="4"/>
            <w:numPr>
              <w:ilvl w:val="0"/>
              <w:numId w:val="54"/>
            </w:numPr>
            <w:spacing w:line="360" w:lineRule="auto"/>
          </w:pPr>
          <w:r>
            <w:rPr>
              <w:rFonts w:hint="eastAsia"/>
            </w:rPr>
            <w:t>报价回购融入资金按剩余期限分类</w:t>
          </w:r>
        </w:p>
        <w:p w:rsidR="00DE031E" w:rsidRDefault="001C1A59">
          <w:pPr>
            <w:jc w:val="right"/>
          </w:pPr>
          <w:r>
            <w:rPr>
              <w:rFonts w:hint="eastAsia"/>
            </w:rPr>
            <w:t>单位：</w:t>
          </w:r>
          <w:sdt>
            <w:sdtPr>
              <w:rPr>
                <w:rFonts w:hint="eastAsia"/>
              </w:rPr>
              <w:alias w:val="单位：财务附注：报价回购融入资金"/>
              <w:tag w:val="_GBC_9d0c8c555f604a988375402cee7f0f66"/>
              <w:id w:val="247250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报价回购融入资金"/>
              <w:tag w:val="_GBC_d48e9c9979434c94be28b6660f756ef0"/>
              <w:id w:val="24725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52"/>
            <w:gridCol w:w="1784"/>
            <w:gridCol w:w="1435"/>
            <w:gridCol w:w="1804"/>
            <w:gridCol w:w="1547"/>
          </w:tblGrid>
          <w:tr w:rsidR="00DE031E" w:rsidTr="00DB0FB7">
            <w:trPr>
              <w:trHeight w:val="269"/>
              <w:jc w:val="center"/>
            </w:trPr>
            <w:tc>
              <w:tcPr>
                <w:tcW w:w="1318" w:type="pct"/>
                <w:shd w:val="clear" w:color="auto" w:fill="auto"/>
                <w:vAlign w:val="center"/>
              </w:tcPr>
              <w:p w:rsidR="00DE031E" w:rsidRDefault="001C1A59">
                <w:pPr>
                  <w:jc w:val="center"/>
                </w:pPr>
                <w:r>
                  <w:t>期    限</w:t>
                </w:r>
              </w:p>
            </w:tc>
            <w:tc>
              <w:tcPr>
                <w:tcW w:w="1000" w:type="pct"/>
                <w:shd w:val="clear" w:color="auto" w:fill="auto"/>
                <w:vAlign w:val="center"/>
              </w:tcPr>
              <w:p w:rsidR="00DE031E" w:rsidRDefault="001C1A59">
                <w:pPr>
                  <w:jc w:val="center"/>
                </w:pPr>
                <w:r>
                  <w:t>期末账面余额</w:t>
                </w:r>
              </w:p>
            </w:tc>
            <w:tc>
              <w:tcPr>
                <w:tcW w:w="804" w:type="pct"/>
                <w:shd w:val="clear" w:color="auto" w:fill="auto"/>
                <w:vAlign w:val="center"/>
              </w:tcPr>
              <w:p w:rsidR="00DE031E" w:rsidRDefault="001C1A59">
                <w:pPr>
                  <w:jc w:val="center"/>
                </w:pPr>
                <w:r>
                  <w:t>利率区间</w:t>
                </w:r>
              </w:p>
            </w:tc>
            <w:tc>
              <w:tcPr>
                <w:tcW w:w="1011" w:type="pct"/>
                <w:shd w:val="clear" w:color="auto" w:fill="auto"/>
                <w:vAlign w:val="center"/>
              </w:tcPr>
              <w:p w:rsidR="00DE031E" w:rsidRDefault="001C1A59">
                <w:pPr>
                  <w:jc w:val="center"/>
                </w:pPr>
                <w:r>
                  <w:rPr>
                    <w:rFonts w:hint="eastAsia"/>
                  </w:rPr>
                  <w:t>期初</w:t>
                </w:r>
                <w:r>
                  <w:t>账面余额</w:t>
                </w:r>
              </w:p>
            </w:tc>
            <w:tc>
              <w:tcPr>
                <w:tcW w:w="868" w:type="pct"/>
                <w:shd w:val="clear" w:color="auto" w:fill="auto"/>
                <w:vAlign w:val="center"/>
              </w:tcPr>
              <w:p w:rsidR="00DE031E" w:rsidRDefault="001C1A59">
                <w:pPr>
                  <w:jc w:val="center"/>
                </w:pPr>
                <w:r>
                  <w:t>利率区间</w:t>
                </w:r>
              </w:p>
            </w:tc>
          </w:tr>
          <w:tr w:rsidR="00DE031E" w:rsidTr="00DB0FB7">
            <w:trPr>
              <w:jc w:val="center"/>
            </w:trPr>
            <w:tc>
              <w:tcPr>
                <w:tcW w:w="1318" w:type="pct"/>
                <w:shd w:val="clear" w:color="auto" w:fill="auto"/>
                <w:vAlign w:val="center"/>
              </w:tcPr>
              <w:p w:rsidR="00DE031E" w:rsidRDefault="001C1A59">
                <w:pPr>
                  <w:autoSpaceDN w:val="0"/>
                  <w:textAlignment w:val="bottom"/>
                </w:pPr>
                <w:r>
                  <w:t>一个月内</w:t>
                </w:r>
              </w:p>
            </w:tc>
            <w:sdt>
              <w:sdtPr>
                <w:rPr>
                  <w:color w:val="000000" w:themeColor="text1"/>
                </w:rPr>
                <w:alias w:val="报价回购融入资金一个月内账面余额"/>
                <w:tag w:val="_GBC_60d673d6c8c64cda84478dd57201e5d4"/>
                <w:id w:val="24725010"/>
                <w:lock w:val="sdtLocked"/>
              </w:sdtPr>
              <w:sdtContent>
                <w:tc>
                  <w:tcPr>
                    <w:tcW w:w="1000" w:type="pct"/>
                  </w:tcPr>
                  <w:p w:rsidR="00DE031E" w:rsidRDefault="001C1A59">
                    <w:pPr>
                      <w:jc w:val="right"/>
                      <w:rPr>
                        <w:color w:val="000000" w:themeColor="text1"/>
                      </w:rPr>
                    </w:pPr>
                    <w:r>
                      <w:rPr>
                        <w:color w:val="000000" w:themeColor="text1"/>
                      </w:rPr>
                      <w:t>29,091,000.00</w:t>
                    </w:r>
                  </w:p>
                </w:tc>
              </w:sdtContent>
            </w:sdt>
            <w:sdt>
              <w:sdtPr>
                <w:alias w:val="报价回购融入资金利率区间"/>
                <w:tag w:val="_GBC_1d73befb09694167b5aa85add6c9ea31"/>
                <w:id w:val="24725011"/>
                <w:lock w:val="sdtLocked"/>
              </w:sdtPr>
              <w:sdtContent>
                <w:tc>
                  <w:tcPr>
                    <w:tcW w:w="804" w:type="pct"/>
                    <w:vMerge w:val="restart"/>
                    <w:vAlign w:val="center"/>
                  </w:tcPr>
                  <w:p w:rsidR="00DE031E" w:rsidRDefault="001C1A59" w:rsidP="00DE031E">
                    <w:pPr>
                      <w:autoSpaceDN w:val="0"/>
                      <w:jc w:val="center"/>
                      <w:textAlignment w:val="center"/>
                    </w:pPr>
                    <w:r>
                      <w:rPr>
                        <w:rFonts w:hint="eastAsia"/>
                      </w:rPr>
                      <w:t>1%-3.5%</w:t>
                    </w:r>
                  </w:p>
                  <w:p w:rsidR="00DE031E" w:rsidRDefault="001C1A59" w:rsidP="00DE031E">
                    <w:pPr>
                      <w:autoSpaceDN w:val="0"/>
                      <w:jc w:val="center"/>
                      <w:textAlignment w:val="center"/>
                    </w:pPr>
                    <w:r>
                      <w:rPr>
                        <w:rFonts w:hint="eastAsia"/>
                      </w:rPr>
                      <w:t>3.6%</w:t>
                    </w:r>
                  </w:p>
                  <w:p w:rsidR="00DE031E" w:rsidRDefault="00DE031E" w:rsidP="00DE031E">
                    <w:pPr>
                      <w:autoSpaceDN w:val="0"/>
                      <w:jc w:val="center"/>
                      <w:textAlignment w:val="center"/>
                    </w:pPr>
                  </w:p>
                  <w:p w:rsidR="00DE031E" w:rsidRDefault="00DE031E" w:rsidP="00DE031E">
                    <w:pPr>
                      <w:autoSpaceDN w:val="0"/>
                      <w:jc w:val="center"/>
                      <w:textAlignment w:val="center"/>
                    </w:pPr>
                  </w:p>
                  <w:p w:rsidR="00DE031E" w:rsidRDefault="00DE031E" w:rsidP="00DE031E">
                    <w:pPr>
                      <w:autoSpaceDN w:val="0"/>
                      <w:jc w:val="center"/>
                      <w:textAlignment w:val="center"/>
                    </w:pPr>
                  </w:p>
                </w:tc>
              </w:sdtContent>
            </w:sdt>
            <w:sdt>
              <w:sdtPr>
                <w:rPr>
                  <w:color w:val="000000" w:themeColor="text1"/>
                </w:rPr>
                <w:alias w:val="报价回购融入资金一个月内账面余额"/>
                <w:tag w:val="_GBC_b4ff21687b4b42718b648222008b0f97"/>
                <w:id w:val="24725012"/>
                <w:lock w:val="sdtLocked"/>
              </w:sdtPr>
              <w:sdtContent>
                <w:tc>
                  <w:tcPr>
                    <w:tcW w:w="1011" w:type="pct"/>
                  </w:tcPr>
                  <w:p w:rsidR="00DE031E" w:rsidRDefault="001C1A59">
                    <w:pPr>
                      <w:jc w:val="right"/>
                      <w:rPr>
                        <w:color w:val="000000" w:themeColor="text1"/>
                      </w:rPr>
                    </w:pPr>
                    <w:r>
                      <w:rPr>
                        <w:color w:val="000000" w:themeColor="text1"/>
                      </w:rPr>
                      <w:t>22,720,000.00</w:t>
                    </w:r>
                  </w:p>
                </w:tc>
              </w:sdtContent>
            </w:sdt>
            <w:sdt>
              <w:sdtPr>
                <w:alias w:val="报价回购融入资金利率区间"/>
                <w:tag w:val="_GBC_e04d036dde834ad5a0d9cf6726eda019"/>
                <w:id w:val="24725013"/>
                <w:lock w:val="sdtLocked"/>
              </w:sdtPr>
              <w:sdtContent>
                <w:tc>
                  <w:tcPr>
                    <w:tcW w:w="868" w:type="pct"/>
                    <w:vMerge w:val="restart"/>
                    <w:vAlign w:val="center"/>
                  </w:tcPr>
                  <w:p w:rsidR="00DE031E" w:rsidRDefault="001C1A59" w:rsidP="00DE031E">
                    <w:pPr>
                      <w:autoSpaceDN w:val="0"/>
                      <w:jc w:val="center"/>
                      <w:textAlignment w:val="center"/>
                    </w:pPr>
                    <w:r>
                      <w:rPr>
                        <w:rFonts w:hint="eastAsia"/>
                      </w:rPr>
                      <w:t>2.3%-3.5%</w:t>
                    </w:r>
                  </w:p>
                  <w:p w:rsidR="00DE031E" w:rsidRDefault="001C1A59" w:rsidP="00DE031E">
                    <w:pPr>
                      <w:autoSpaceDN w:val="0"/>
                      <w:jc w:val="center"/>
                      <w:textAlignment w:val="center"/>
                    </w:pPr>
                    <w:r>
                      <w:rPr>
                        <w:rFonts w:hint="eastAsia"/>
                      </w:rPr>
                      <w:t>4%</w:t>
                    </w:r>
                  </w:p>
                  <w:p w:rsidR="00DE031E" w:rsidRDefault="00DE031E" w:rsidP="00DE031E">
                    <w:pPr>
                      <w:autoSpaceDN w:val="0"/>
                      <w:jc w:val="center"/>
                      <w:textAlignment w:val="center"/>
                    </w:pPr>
                  </w:p>
                  <w:p w:rsidR="00DE031E" w:rsidRDefault="00DE031E" w:rsidP="00DE031E">
                    <w:pPr>
                      <w:autoSpaceDN w:val="0"/>
                      <w:jc w:val="center"/>
                      <w:textAlignment w:val="center"/>
                    </w:pPr>
                  </w:p>
                  <w:p w:rsidR="00DE031E" w:rsidRDefault="00DE031E" w:rsidP="00DE031E">
                    <w:pPr>
                      <w:autoSpaceDN w:val="0"/>
                      <w:jc w:val="center"/>
                      <w:textAlignment w:val="center"/>
                    </w:pPr>
                  </w:p>
                </w:tc>
              </w:sdtContent>
            </w:sdt>
          </w:tr>
          <w:tr w:rsidR="00DE031E" w:rsidTr="00DB0FB7">
            <w:trPr>
              <w:jc w:val="center"/>
            </w:trPr>
            <w:tc>
              <w:tcPr>
                <w:tcW w:w="1318" w:type="pct"/>
                <w:shd w:val="clear" w:color="auto" w:fill="auto"/>
                <w:vAlign w:val="center"/>
              </w:tcPr>
              <w:p w:rsidR="00DE031E" w:rsidRDefault="001C1A59">
                <w:pPr>
                  <w:autoSpaceDN w:val="0"/>
                  <w:ind w:rightChars="-115" w:right="-241"/>
                  <w:textAlignment w:val="bottom"/>
                </w:pPr>
                <w:r>
                  <w:t>一个月至三个月内</w:t>
                </w:r>
              </w:p>
            </w:tc>
            <w:sdt>
              <w:sdtPr>
                <w:rPr>
                  <w:color w:val="000000" w:themeColor="text1"/>
                </w:rPr>
                <w:alias w:val="报价回购融入资金一个月至三个月内账面余额"/>
                <w:tag w:val="_GBC_2f5757f1ec804cf5a6fafebe559007a6"/>
                <w:id w:val="24725014"/>
                <w:lock w:val="sdtLocked"/>
              </w:sdtPr>
              <w:sdtContent>
                <w:tc>
                  <w:tcPr>
                    <w:tcW w:w="1000" w:type="pct"/>
                  </w:tcPr>
                  <w:p w:rsidR="00DE031E" w:rsidRDefault="001C1A59">
                    <w:pPr>
                      <w:jc w:val="right"/>
                      <w:rPr>
                        <w:color w:val="000000" w:themeColor="text1"/>
                      </w:rPr>
                    </w:pPr>
                    <w:r>
                      <w:rPr>
                        <w:color w:val="000000" w:themeColor="text1"/>
                      </w:rPr>
                      <w:t>221,000.00</w:t>
                    </w:r>
                  </w:p>
                </w:tc>
              </w:sdtContent>
            </w:sdt>
            <w:tc>
              <w:tcPr>
                <w:tcW w:w="804" w:type="pct"/>
                <w:vMerge/>
                <w:vAlign w:val="center"/>
              </w:tcPr>
              <w:p w:rsidR="00DE031E" w:rsidRDefault="00DE031E">
                <w:pPr>
                  <w:autoSpaceDN w:val="0"/>
                  <w:jc w:val="right"/>
                  <w:textAlignment w:val="center"/>
                </w:pPr>
              </w:p>
            </w:tc>
            <w:sdt>
              <w:sdtPr>
                <w:rPr>
                  <w:color w:val="000000" w:themeColor="text1"/>
                </w:rPr>
                <w:alias w:val="报价回购融入资金一个月至三个月内账面余额"/>
                <w:tag w:val="_GBC_47636ba2717f4a29b2e1f3ef86493274"/>
                <w:id w:val="24725015"/>
                <w:lock w:val="sdtLocked"/>
              </w:sdtPr>
              <w:sdtContent>
                <w:tc>
                  <w:tcPr>
                    <w:tcW w:w="1011" w:type="pct"/>
                  </w:tcPr>
                  <w:p w:rsidR="00DE031E" w:rsidRDefault="001C1A59">
                    <w:pPr>
                      <w:jc w:val="right"/>
                      <w:rPr>
                        <w:color w:val="000000" w:themeColor="text1"/>
                      </w:rPr>
                    </w:pPr>
                    <w:r>
                      <w:rPr>
                        <w:color w:val="000000" w:themeColor="text1"/>
                      </w:rPr>
                      <w:t>50,000.00</w:t>
                    </w:r>
                  </w:p>
                </w:tc>
              </w:sdtContent>
            </w:sdt>
            <w:tc>
              <w:tcPr>
                <w:tcW w:w="868" w:type="pct"/>
                <w:vMerge/>
                <w:vAlign w:val="center"/>
              </w:tcPr>
              <w:p w:rsidR="00DE031E" w:rsidRDefault="00DE031E">
                <w:pPr>
                  <w:autoSpaceDN w:val="0"/>
                  <w:jc w:val="right"/>
                  <w:textAlignment w:val="center"/>
                </w:pPr>
              </w:p>
            </w:tc>
          </w:tr>
          <w:tr w:rsidR="00DE031E" w:rsidTr="00DB0FB7">
            <w:trPr>
              <w:jc w:val="center"/>
            </w:trPr>
            <w:tc>
              <w:tcPr>
                <w:tcW w:w="1318" w:type="pct"/>
                <w:shd w:val="clear" w:color="auto" w:fill="auto"/>
                <w:vAlign w:val="center"/>
              </w:tcPr>
              <w:p w:rsidR="00DE031E" w:rsidRDefault="001C1A59">
                <w:pPr>
                  <w:autoSpaceDN w:val="0"/>
                  <w:textAlignment w:val="bottom"/>
                </w:pPr>
                <w:r>
                  <w:t>三个月至一年内</w:t>
                </w:r>
              </w:p>
            </w:tc>
            <w:sdt>
              <w:sdtPr>
                <w:rPr>
                  <w:color w:val="000000" w:themeColor="text1"/>
                </w:rPr>
                <w:alias w:val="报价回购融入资金三个月至一年内账面余额"/>
                <w:tag w:val="_GBC_4b80cb20bcad4fcd8bd0a67b071e71fe"/>
                <w:id w:val="24725016"/>
                <w:lock w:val="sdtLocked"/>
                <w:showingPlcHdr/>
              </w:sdtPr>
              <w:sdtContent>
                <w:tc>
                  <w:tcPr>
                    <w:tcW w:w="1000" w:type="pct"/>
                  </w:tcPr>
                  <w:p w:rsidR="00DE031E" w:rsidRDefault="00DE031E">
                    <w:pPr>
                      <w:jc w:val="right"/>
                      <w:rPr>
                        <w:color w:val="000000" w:themeColor="text1"/>
                      </w:rPr>
                    </w:pPr>
                  </w:p>
                </w:tc>
              </w:sdtContent>
            </w:sdt>
            <w:tc>
              <w:tcPr>
                <w:tcW w:w="804" w:type="pct"/>
                <w:vMerge/>
                <w:vAlign w:val="center"/>
              </w:tcPr>
              <w:p w:rsidR="00DE031E" w:rsidRDefault="00DE031E">
                <w:pPr>
                  <w:autoSpaceDN w:val="0"/>
                  <w:jc w:val="right"/>
                  <w:textAlignment w:val="center"/>
                </w:pPr>
              </w:p>
            </w:tc>
            <w:sdt>
              <w:sdtPr>
                <w:rPr>
                  <w:color w:val="000000" w:themeColor="text1"/>
                </w:rPr>
                <w:alias w:val="报价回购融入资金三个月至一年内账面余额"/>
                <w:tag w:val="_GBC_f5496544d70d41dfb54e221517b8ff84"/>
                <w:id w:val="24725017"/>
                <w:lock w:val="sdtLocked"/>
                <w:showingPlcHdr/>
              </w:sdtPr>
              <w:sdtContent>
                <w:tc>
                  <w:tcPr>
                    <w:tcW w:w="1011" w:type="pct"/>
                  </w:tcPr>
                  <w:p w:rsidR="00DE031E" w:rsidRDefault="00DE031E">
                    <w:pPr>
                      <w:jc w:val="right"/>
                      <w:rPr>
                        <w:color w:val="000000" w:themeColor="text1"/>
                      </w:rPr>
                    </w:pPr>
                  </w:p>
                </w:tc>
              </w:sdtContent>
            </w:sdt>
            <w:tc>
              <w:tcPr>
                <w:tcW w:w="868" w:type="pct"/>
                <w:vMerge/>
                <w:vAlign w:val="center"/>
              </w:tcPr>
              <w:p w:rsidR="00DE031E" w:rsidRDefault="00DE031E">
                <w:pPr>
                  <w:autoSpaceDN w:val="0"/>
                  <w:jc w:val="right"/>
                  <w:textAlignment w:val="center"/>
                </w:pPr>
              </w:p>
            </w:tc>
          </w:tr>
          <w:tr w:rsidR="00DE031E" w:rsidTr="00DB0FB7">
            <w:trPr>
              <w:jc w:val="center"/>
            </w:trPr>
            <w:tc>
              <w:tcPr>
                <w:tcW w:w="1318" w:type="pct"/>
                <w:shd w:val="clear" w:color="auto" w:fill="auto"/>
                <w:vAlign w:val="center"/>
              </w:tcPr>
              <w:p w:rsidR="00DE031E" w:rsidRDefault="001C1A59">
                <w:pPr>
                  <w:autoSpaceDN w:val="0"/>
                  <w:textAlignment w:val="bottom"/>
                </w:pPr>
                <w:r>
                  <w:t>一年以上</w:t>
                </w:r>
              </w:p>
            </w:tc>
            <w:sdt>
              <w:sdtPr>
                <w:rPr>
                  <w:color w:val="000000" w:themeColor="text1"/>
                </w:rPr>
                <w:alias w:val="报价回购融入资金一年以上账面余额"/>
                <w:tag w:val="_GBC_c74d95d390ce47d9892ba0e4a2a45fa8"/>
                <w:id w:val="24725018"/>
                <w:lock w:val="sdtLocked"/>
                <w:showingPlcHdr/>
              </w:sdtPr>
              <w:sdtContent>
                <w:tc>
                  <w:tcPr>
                    <w:tcW w:w="1000" w:type="pct"/>
                  </w:tcPr>
                  <w:p w:rsidR="00DE031E" w:rsidRDefault="00DE031E">
                    <w:pPr>
                      <w:jc w:val="right"/>
                      <w:rPr>
                        <w:color w:val="000000" w:themeColor="text1"/>
                      </w:rPr>
                    </w:pPr>
                  </w:p>
                </w:tc>
              </w:sdtContent>
            </w:sdt>
            <w:tc>
              <w:tcPr>
                <w:tcW w:w="804" w:type="pct"/>
                <w:vMerge/>
                <w:vAlign w:val="center"/>
              </w:tcPr>
              <w:p w:rsidR="00DE031E" w:rsidRDefault="00DE031E">
                <w:pPr>
                  <w:autoSpaceDN w:val="0"/>
                  <w:jc w:val="right"/>
                  <w:textAlignment w:val="center"/>
                </w:pPr>
              </w:p>
            </w:tc>
            <w:sdt>
              <w:sdtPr>
                <w:rPr>
                  <w:color w:val="000000" w:themeColor="text1"/>
                </w:rPr>
                <w:alias w:val="报价回购融入资金一年以上账面余额"/>
                <w:tag w:val="_GBC_163cf581a1594e838f2fcf6fdf32cd2a"/>
                <w:id w:val="24725019"/>
                <w:lock w:val="sdtLocked"/>
                <w:showingPlcHdr/>
              </w:sdtPr>
              <w:sdtContent>
                <w:tc>
                  <w:tcPr>
                    <w:tcW w:w="1011" w:type="pct"/>
                  </w:tcPr>
                  <w:p w:rsidR="00DE031E" w:rsidRDefault="00DE031E">
                    <w:pPr>
                      <w:jc w:val="right"/>
                      <w:rPr>
                        <w:color w:val="000000" w:themeColor="text1"/>
                      </w:rPr>
                    </w:pPr>
                  </w:p>
                </w:tc>
              </w:sdtContent>
            </w:sdt>
            <w:tc>
              <w:tcPr>
                <w:tcW w:w="868" w:type="pct"/>
                <w:vMerge/>
                <w:vAlign w:val="center"/>
              </w:tcPr>
              <w:p w:rsidR="00DE031E" w:rsidRDefault="00DE031E">
                <w:pPr>
                  <w:autoSpaceDN w:val="0"/>
                  <w:jc w:val="right"/>
                  <w:textAlignment w:val="center"/>
                </w:pPr>
              </w:p>
            </w:tc>
          </w:tr>
          <w:tr w:rsidR="00DE031E" w:rsidTr="00DB0FB7">
            <w:trPr>
              <w:jc w:val="center"/>
            </w:trPr>
            <w:tc>
              <w:tcPr>
                <w:tcW w:w="1318" w:type="pct"/>
                <w:shd w:val="clear" w:color="auto" w:fill="auto"/>
                <w:vAlign w:val="center"/>
              </w:tcPr>
              <w:p w:rsidR="00DE031E" w:rsidRDefault="001C1A59">
                <w:pPr>
                  <w:autoSpaceDN w:val="0"/>
                  <w:jc w:val="center"/>
                  <w:textAlignment w:val="top"/>
                </w:pPr>
                <w:r>
                  <w:t>合计</w:t>
                </w:r>
              </w:p>
            </w:tc>
            <w:sdt>
              <w:sdtPr>
                <w:rPr>
                  <w:color w:val="000000" w:themeColor="text1"/>
                </w:rPr>
                <w:alias w:val="报价回购融入资金"/>
                <w:tag w:val="_GBC_f8f5e3fd064a401285ebba70c265b2c3"/>
                <w:id w:val="24725020"/>
                <w:lock w:val="sdtLocked"/>
              </w:sdtPr>
              <w:sdtContent>
                <w:tc>
                  <w:tcPr>
                    <w:tcW w:w="1000" w:type="pct"/>
                    <w:vAlign w:val="center"/>
                  </w:tcPr>
                  <w:p w:rsidR="00DE031E" w:rsidRDefault="001C1A59">
                    <w:pPr>
                      <w:autoSpaceDN w:val="0"/>
                      <w:jc w:val="right"/>
                      <w:textAlignment w:val="center"/>
                      <w:rPr>
                        <w:color w:val="000000" w:themeColor="text1"/>
                      </w:rPr>
                    </w:pPr>
                    <w:r>
                      <w:rPr>
                        <w:color w:val="000000" w:themeColor="text1"/>
                      </w:rPr>
                      <w:t>29,312,000.00</w:t>
                    </w:r>
                  </w:p>
                </w:tc>
              </w:sdtContent>
            </w:sdt>
            <w:tc>
              <w:tcPr>
                <w:tcW w:w="804" w:type="pct"/>
                <w:vMerge/>
                <w:vAlign w:val="center"/>
              </w:tcPr>
              <w:p w:rsidR="00DE031E" w:rsidRDefault="00DE031E">
                <w:pPr>
                  <w:autoSpaceDN w:val="0"/>
                  <w:jc w:val="right"/>
                  <w:textAlignment w:val="center"/>
                </w:pPr>
              </w:p>
            </w:tc>
            <w:sdt>
              <w:sdtPr>
                <w:rPr>
                  <w:color w:val="000000" w:themeColor="text1"/>
                </w:rPr>
                <w:alias w:val="报价回购融入资金"/>
                <w:tag w:val="_GBC_b6e90b8f7e934fcfb4c77d36fd4746aa"/>
                <w:id w:val="24725021"/>
                <w:lock w:val="sdtLocked"/>
              </w:sdtPr>
              <w:sdtContent>
                <w:tc>
                  <w:tcPr>
                    <w:tcW w:w="1011" w:type="pct"/>
                    <w:vAlign w:val="center"/>
                  </w:tcPr>
                  <w:p w:rsidR="00DE031E" w:rsidRDefault="001C1A59">
                    <w:pPr>
                      <w:autoSpaceDN w:val="0"/>
                      <w:jc w:val="right"/>
                      <w:textAlignment w:val="center"/>
                      <w:rPr>
                        <w:color w:val="000000" w:themeColor="text1"/>
                      </w:rPr>
                    </w:pPr>
                    <w:r>
                      <w:rPr>
                        <w:color w:val="000000" w:themeColor="text1"/>
                      </w:rPr>
                      <w:t>22,770,000.00</w:t>
                    </w:r>
                  </w:p>
                </w:tc>
              </w:sdtContent>
            </w:sdt>
            <w:tc>
              <w:tcPr>
                <w:tcW w:w="868" w:type="pct"/>
                <w:vMerge/>
                <w:vAlign w:val="center"/>
              </w:tcPr>
              <w:p w:rsidR="00DE031E" w:rsidRDefault="00DE031E">
                <w:pPr>
                  <w:autoSpaceDN w:val="0"/>
                  <w:jc w:val="right"/>
                  <w:textAlignment w:val="center"/>
                </w:pPr>
              </w:p>
            </w:tc>
          </w:tr>
        </w:tbl>
        <w:p w:rsidR="00DE031E" w:rsidRDefault="00422DCA"/>
      </w:sdtContent>
    </w:sdt>
    <w:sdt>
      <w:sdtPr>
        <w:tag w:val="_GBC_c3b9466c77054c3ca3c678618b3d5d73"/>
        <w:id w:val="24725024"/>
        <w:lock w:val="sdtLocked"/>
        <w:placeholder>
          <w:docPart w:val="GBC22222222222222222222222222222"/>
        </w:placeholder>
      </w:sdtPr>
      <w:sdtContent>
        <w:sdt>
          <w:sdtPr>
            <w:rPr>
              <w:color w:val="000000" w:themeColor="text1"/>
            </w:rPr>
            <w:alias w:val="卖出回购金融资产款注释"/>
            <w:tag w:val="_GBC_aa500491861c435c9fddf0a6bb4caa99"/>
            <w:id w:val="24725023"/>
            <w:lock w:val="sdtLocked"/>
            <w:placeholder>
              <w:docPart w:val="GBC22222222222222222222222222222"/>
            </w:placeholder>
          </w:sdtPr>
          <w:sdtEndPr>
            <w:rPr>
              <w:color w:val="auto"/>
            </w:rPr>
          </w:sdtEndPr>
          <w:sdtContent>
            <w:p w:rsidR="00DE031E" w:rsidRPr="00E114FF" w:rsidRDefault="001C1A59" w:rsidP="00DE031E">
              <w:pPr>
                <w:snapToGrid w:val="0"/>
                <w:spacing w:line="360" w:lineRule="auto"/>
                <w:rPr>
                  <w:b/>
                  <w:color w:val="000000" w:themeColor="text1"/>
                </w:rPr>
              </w:pPr>
              <w:r w:rsidRPr="00E114FF">
                <w:rPr>
                  <w:rFonts w:hint="eastAsia"/>
                  <w:b/>
                  <w:color w:val="000000" w:themeColor="text1"/>
                </w:rPr>
                <w:t>（3）卖出回购金融资产的担保物信息</w:t>
              </w:r>
            </w:p>
            <w:tbl>
              <w:tblPr>
                <w:tblW w:w="5000" w:type="pct"/>
                <w:tblLook w:val="04A0"/>
              </w:tblPr>
              <w:tblGrid>
                <w:gridCol w:w="4077"/>
                <w:gridCol w:w="2523"/>
                <w:gridCol w:w="2449"/>
              </w:tblGrid>
              <w:tr w:rsidR="00DE031E" w:rsidRPr="00F040B1" w:rsidTr="00DE031E">
                <w:trPr>
                  <w:trHeight w:val="270"/>
                </w:trPr>
                <w:tc>
                  <w:tcPr>
                    <w:tcW w:w="2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jc w:val="center"/>
                      <w:rPr>
                        <w:b/>
                        <w:bCs/>
                        <w:color w:val="000000"/>
                        <w:sz w:val="18"/>
                        <w:szCs w:val="18"/>
                      </w:rPr>
                    </w:pPr>
                    <w:r w:rsidRPr="00F040B1">
                      <w:rPr>
                        <w:rFonts w:hint="eastAsia"/>
                        <w:b/>
                        <w:bCs/>
                        <w:color w:val="000000"/>
                        <w:sz w:val="18"/>
                        <w:szCs w:val="18"/>
                      </w:rPr>
                      <w:t>项目</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rsidR="00DE031E" w:rsidRPr="00F040B1" w:rsidRDefault="001C1A59" w:rsidP="00DE031E">
                    <w:pPr>
                      <w:jc w:val="center"/>
                      <w:rPr>
                        <w:rFonts w:ascii="Arial" w:hAnsi="Arial" w:cs="Arial"/>
                        <w:b/>
                        <w:bCs/>
                        <w:color w:val="000000"/>
                        <w:sz w:val="18"/>
                        <w:szCs w:val="18"/>
                      </w:rPr>
                    </w:pPr>
                    <w:r w:rsidRPr="00F040B1">
                      <w:rPr>
                        <w:rFonts w:ascii="Arial" w:hAnsi="Arial" w:cs="Arial"/>
                        <w:b/>
                        <w:bCs/>
                        <w:color w:val="000000"/>
                        <w:sz w:val="18"/>
                        <w:szCs w:val="18"/>
                      </w:rPr>
                      <w:t>2015</w:t>
                    </w:r>
                    <w:r w:rsidRPr="00F040B1">
                      <w:rPr>
                        <w:rFonts w:ascii="Arial" w:hAnsi="Arial" w:cs="Arial"/>
                        <w:b/>
                        <w:bCs/>
                        <w:color w:val="000000"/>
                        <w:sz w:val="18"/>
                        <w:szCs w:val="18"/>
                      </w:rPr>
                      <w:t>年</w:t>
                    </w:r>
                    <w:r w:rsidRPr="00F040B1">
                      <w:rPr>
                        <w:rFonts w:ascii="Arial" w:hAnsi="Arial" w:cs="Arial"/>
                        <w:b/>
                        <w:bCs/>
                        <w:color w:val="000000"/>
                        <w:sz w:val="18"/>
                        <w:szCs w:val="18"/>
                      </w:rPr>
                      <w:t>6</w:t>
                    </w:r>
                    <w:r w:rsidRPr="00F040B1">
                      <w:rPr>
                        <w:rFonts w:ascii="Arial" w:hAnsi="Arial" w:cs="Arial"/>
                        <w:b/>
                        <w:bCs/>
                        <w:color w:val="000000"/>
                        <w:sz w:val="18"/>
                        <w:szCs w:val="18"/>
                      </w:rPr>
                      <w:t>月</w:t>
                    </w:r>
                    <w:r w:rsidRPr="00F040B1">
                      <w:rPr>
                        <w:rFonts w:ascii="Arial" w:hAnsi="Arial" w:cs="Arial"/>
                        <w:b/>
                        <w:bCs/>
                        <w:color w:val="000000"/>
                        <w:sz w:val="18"/>
                        <w:szCs w:val="18"/>
                      </w:rPr>
                      <w:t>30</w:t>
                    </w:r>
                    <w:r w:rsidRPr="00F040B1">
                      <w:rPr>
                        <w:rFonts w:ascii="Arial" w:hAnsi="Arial" w:cs="Arial"/>
                        <w:b/>
                        <w:bCs/>
                        <w:color w:val="000000"/>
                        <w:sz w:val="18"/>
                        <w:szCs w:val="18"/>
                      </w:rPr>
                      <w:t>日</w:t>
                    </w:r>
                  </w:p>
                </w:tc>
                <w:tc>
                  <w:tcPr>
                    <w:tcW w:w="1353" w:type="pct"/>
                    <w:tcBorders>
                      <w:top w:val="single" w:sz="4" w:space="0" w:color="auto"/>
                      <w:left w:val="nil"/>
                      <w:bottom w:val="single" w:sz="4" w:space="0" w:color="auto"/>
                      <w:right w:val="single" w:sz="4" w:space="0" w:color="auto"/>
                    </w:tcBorders>
                    <w:shd w:val="clear" w:color="auto" w:fill="auto"/>
                    <w:noWrap/>
                    <w:vAlign w:val="center"/>
                    <w:hideMark/>
                  </w:tcPr>
                  <w:p w:rsidR="00DE031E" w:rsidRPr="00F040B1" w:rsidRDefault="001C1A59" w:rsidP="00DE031E">
                    <w:pPr>
                      <w:jc w:val="center"/>
                      <w:rPr>
                        <w:rFonts w:ascii="Arial" w:hAnsi="Arial" w:cs="Arial"/>
                        <w:b/>
                        <w:bCs/>
                        <w:color w:val="000000"/>
                        <w:sz w:val="18"/>
                        <w:szCs w:val="18"/>
                      </w:rPr>
                    </w:pPr>
                    <w:r w:rsidRPr="00F040B1">
                      <w:rPr>
                        <w:rFonts w:ascii="Arial" w:hAnsi="Arial" w:cs="Arial"/>
                        <w:b/>
                        <w:bCs/>
                        <w:color w:val="000000"/>
                        <w:sz w:val="18"/>
                        <w:szCs w:val="18"/>
                      </w:rPr>
                      <w:t>2014</w:t>
                    </w:r>
                    <w:r w:rsidRPr="00F040B1">
                      <w:rPr>
                        <w:rFonts w:ascii="Arial" w:hAnsi="Arial" w:cs="Arial"/>
                        <w:b/>
                        <w:bCs/>
                        <w:color w:val="000000"/>
                        <w:sz w:val="18"/>
                        <w:szCs w:val="18"/>
                      </w:rPr>
                      <w:t>年</w:t>
                    </w:r>
                    <w:r w:rsidRPr="00F040B1">
                      <w:rPr>
                        <w:rFonts w:ascii="Arial" w:hAnsi="Arial" w:cs="Arial"/>
                        <w:b/>
                        <w:bCs/>
                        <w:color w:val="000000"/>
                        <w:sz w:val="18"/>
                        <w:szCs w:val="18"/>
                      </w:rPr>
                      <w:t>12</w:t>
                    </w:r>
                    <w:r w:rsidRPr="00F040B1">
                      <w:rPr>
                        <w:rFonts w:ascii="Arial" w:hAnsi="Arial" w:cs="Arial"/>
                        <w:b/>
                        <w:bCs/>
                        <w:color w:val="000000"/>
                        <w:sz w:val="18"/>
                        <w:szCs w:val="18"/>
                      </w:rPr>
                      <w:t>月</w:t>
                    </w:r>
                    <w:r w:rsidRPr="00F040B1">
                      <w:rPr>
                        <w:rFonts w:ascii="Arial" w:hAnsi="Arial" w:cs="Arial"/>
                        <w:b/>
                        <w:bCs/>
                        <w:color w:val="000000"/>
                        <w:sz w:val="18"/>
                        <w:szCs w:val="18"/>
                      </w:rPr>
                      <w:t>31</w:t>
                    </w:r>
                    <w:r w:rsidRPr="00F040B1">
                      <w:rPr>
                        <w:rFonts w:ascii="Arial" w:hAnsi="Arial" w:cs="Arial"/>
                        <w:b/>
                        <w:bCs/>
                        <w:color w:val="000000"/>
                        <w:sz w:val="18"/>
                        <w:szCs w:val="18"/>
                      </w:rPr>
                      <w:t>日</w:t>
                    </w:r>
                  </w:p>
                </w:tc>
              </w:tr>
              <w:tr w:rsidR="00DE031E" w:rsidRPr="00F040B1" w:rsidTr="00DE031E">
                <w:trPr>
                  <w:trHeight w:val="27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jc w:val="both"/>
                      <w:rPr>
                        <w:color w:val="000000"/>
                        <w:sz w:val="18"/>
                        <w:szCs w:val="18"/>
                      </w:rPr>
                    </w:pPr>
                    <w:r w:rsidRPr="00F040B1">
                      <w:rPr>
                        <w:rFonts w:hint="eastAsia"/>
                        <w:color w:val="000000"/>
                        <w:sz w:val="18"/>
                        <w:szCs w:val="18"/>
                      </w:rPr>
                      <w:t>质押式回购</w:t>
                    </w:r>
                  </w:p>
                </w:tc>
                <w:tc>
                  <w:tcPr>
                    <w:tcW w:w="1394"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4,309,741,920.00</w:t>
                    </w:r>
                  </w:p>
                </w:tc>
                <w:tc>
                  <w:tcPr>
                    <w:tcW w:w="1353" w:type="pct"/>
                    <w:tcBorders>
                      <w:top w:val="nil"/>
                      <w:left w:val="nil"/>
                      <w:bottom w:val="single" w:sz="4" w:space="0" w:color="auto"/>
                      <w:right w:val="single" w:sz="4" w:space="0" w:color="auto"/>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11,797,580,758.60</w:t>
                    </w:r>
                  </w:p>
                </w:tc>
              </w:tr>
              <w:tr w:rsidR="00DE031E" w:rsidRPr="00F040B1" w:rsidTr="00DE031E">
                <w:trPr>
                  <w:trHeight w:val="27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jc w:val="both"/>
                      <w:rPr>
                        <w:color w:val="000000"/>
                        <w:sz w:val="18"/>
                        <w:szCs w:val="18"/>
                      </w:rPr>
                    </w:pPr>
                    <w:r w:rsidRPr="00F040B1">
                      <w:rPr>
                        <w:rFonts w:hint="eastAsia"/>
                        <w:color w:val="000000"/>
                        <w:sz w:val="18"/>
                        <w:szCs w:val="18"/>
                      </w:rPr>
                      <w:t>买断式回购</w:t>
                    </w:r>
                  </w:p>
                </w:tc>
                <w:tc>
                  <w:tcPr>
                    <w:tcW w:w="1394"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14,111,851,790.18</w:t>
                    </w:r>
                  </w:p>
                </w:tc>
                <w:tc>
                  <w:tcPr>
                    <w:tcW w:w="1353" w:type="pct"/>
                    <w:tcBorders>
                      <w:top w:val="nil"/>
                      <w:left w:val="nil"/>
                      <w:bottom w:val="single" w:sz="4" w:space="0" w:color="auto"/>
                      <w:right w:val="single" w:sz="4" w:space="0" w:color="auto"/>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4,862,237,720.00</w:t>
                    </w:r>
                  </w:p>
                </w:tc>
              </w:tr>
              <w:tr w:rsidR="00DE031E" w:rsidRPr="00F040B1" w:rsidTr="00DE031E">
                <w:trPr>
                  <w:trHeight w:val="27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jc w:val="both"/>
                      <w:rPr>
                        <w:color w:val="000000"/>
                        <w:sz w:val="18"/>
                        <w:szCs w:val="18"/>
                      </w:rPr>
                    </w:pPr>
                    <w:r w:rsidRPr="00F040B1">
                      <w:rPr>
                        <w:rFonts w:hint="eastAsia"/>
                        <w:color w:val="000000"/>
                        <w:sz w:val="18"/>
                        <w:szCs w:val="18"/>
                      </w:rPr>
                      <w:t>债券质押式报价回购</w:t>
                    </w:r>
                  </w:p>
                </w:tc>
                <w:tc>
                  <w:tcPr>
                    <w:tcW w:w="1394"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72,289,920.00</w:t>
                    </w:r>
                  </w:p>
                </w:tc>
                <w:tc>
                  <w:tcPr>
                    <w:tcW w:w="1353" w:type="pct"/>
                    <w:tcBorders>
                      <w:top w:val="nil"/>
                      <w:left w:val="nil"/>
                      <w:bottom w:val="single" w:sz="4" w:space="0" w:color="auto"/>
                      <w:right w:val="single" w:sz="4" w:space="0" w:color="auto"/>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40,360,000.00</w:t>
                    </w:r>
                  </w:p>
                </w:tc>
              </w:tr>
              <w:tr w:rsidR="00DE031E" w:rsidRPr="00F040B1" w:rsidTr="00DE031E">
                <w:trPr>
                  <w:trHeight w:val="27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jc w:val="both"/>
                      <w:rPr>
                        <w:color w:val="000000"/>
                        <w:sz w:val="18"/>
                        <w:szCs w:val="18"/>
                      </w:rPr>
                    </w:pPr>
                    <w:r w:rsidRPr="00F040B1">
                      <w:rPr>
                        <w:rFonts w:hint="eastAsia"/>
                        <w:color w:val="000000"/>
                        <w:sz w:val="18"/>
                        <w:szCs w:val="18"/>
                      </w:rPr>
                      <w:t>融资融券收益权回购业务</w:t>
                    </w:r>
                  </w:p>
                </w:tc>
                <w:tc>
                  <w:tcPr>
                    <w:tcW w:w="1394"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51,633,964,639.61</w:t>
                    </w:r>
                  </w:p>
                </w:tc>
                <w:tc>
                  <w:tcPr>
                    <w:tcW w:w="1353" w:type="pct"/>
                    <w:tcBorders>
                      <w:top w:val="nil"/>
                      <w:left w:val="nil"/>
                      <w:bottom w:val="single" w:sz="4" w:space="0" w:color="auto"/>
                      <w:right w:val="single" w:sz="4" w:space="0" w:color="auto"/>
                    </w:tcBorders>
                    <w:shd w:val="clear" w:color="auto" w:fill="auto"/>
                    <w:noWrap/>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38,717,457,459.86</w:t>
                    </w:r>
                  </w:p>
                </w:tc>
              </w:tr>
              <w:tr w:rsidR="00DE031E" w:rsidRPr="00F040B1" w:rsidTr="00DE031E">
                <w:trPr>
                  <w:trHeight w:val="27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DE031E" w:rsidRPr="00F040B1" w:rsidRDefault="001C1A59" w:rsidP="00DE031E">
                    <w:pPr>
                      <w:jc w:val="both"/>
                      <w:rPr>
                        <w:b/>
                        <w:bCs/>
                        <w:color w:val="000000"/>
                        <w:sz w:val="18"/>
                        <w:szCs w:val="18"/>
                      </w:rPr>
                    </w:pPr>
                    <w:r w:rsidRPr="00F040B1">
                      <w:rPr>
                        <w:rFonts w:hint="eastAsia"/>
                        <w:b/>
                        <w:bCs/>
                        <w:color w:val="000000"/>
                        <w:sz w:val="18"/>
                        <w:szCs w:val="18"/>
                      </w:rPr>
                      <w:t>合计</w:t>
                    </w:r>
                  </w:p>
                </w:tc>
                <w:tc>
                  <w:tcPr>
                    <w:tcW w:w="1394" w:type="pct"/>
                    <w:tcBorders>
                      <w:top w:val="nil"/>
                      <w:left w:val="nil"/>
                      <w:bottom w:val="single" w:sz="4" w:space="0" w:color="auto"/>
                      <w:right w:val="single" w:sz="4" w:space="0" w:color="auto"/>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70,127,848,269.79</w:t>
                    </w:r>
                  </w:p>
                </w:tc>
                <w:tc>
                  <w:tcPr>
                    <w:tcW w:w="1353" w:type="pct"/>
                    <w:tcBorders>
                      <w:top w:val="nil"/>
                      <w:left w:val="nil"/>
                      <w:bottom w:val="single" w:sz="4" w:space="0" w:color="auto"/>
                      <w:right w:val="single" w:sz="4" w:space="0" w:color="auto"/>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55,417,635,938.46</w:t>
                    </w:r>
                  </w:p>
                </w:tc>
              </w:tr>
            </w:tbl>
            <w:p w:rsidR="00DE031E" w:rsidRDefault="001C1A59" w:rsidP="003A0284">
              <w:pPr>
                <w:snapToGrid w:val="0"/>
                <w:spacing w:beforeLines="50" w:line="360" w:lineRule="auto"/>
                <w:ind w:firstLineChars="200" w:firstLine="440"/>
                <w:rPr>
                  <w:rFonts w:ascii="Arial" w:hAnsi="Arial" w:cs="Arial"/>
                  <w:sz w:val="22"/>
                </w:rPr>
              </w:pPr>
              <w:r w:rsidRPr="005E27FC">
                <w:rPr>
                  <w:rFonts w:ascii="Arial" w:hAnsi="Arial" w:cs="Arial"/>
                  <w:sz w:val="22"/>
                </w:rPr>
                <w:t>截至</w:t>
              </w:r>
              <w:r w:rsidRPr="005E27FC">
                <w:rPr>
                  <w:rFonts w:ascii="Arial" w:hAnsi="Arial" w:cs="Arial"/>
                  <w:sz w:val="22"/>
                </w:rPr>
                <w:t>201</w:t>
              </w:r>
              <w:r w:rsidRPr="005E27FC">
                <w:rPr>
                  <w:rFonts w:ascii="Arial" w:hAnsi="Arial" w:cs="Arial" w:hint="eastAsia"/>
                  <w:sz w:val="22"/>
                </w:rPr>
                <w:t>5</w:t>
              </w:r>
              <w:r w:rsidRPr="005E27FC">
                <w:rPr>
                  <w:rFonts w:ascii="Arial" w:hAnsi="Arial" w:cs="Arial"/>
                  <w:sz w:val="22"/>
                </w:rPr>
                <w:t>年</w:t>
              </w:r>
              <w:r w:rsidRPr="005E27FC">
                <w:rPr>
                  <w:rFonts w:ascii="Arial" w:hAnsi="Arial" w:cs="Arial" w:hint="eastAsia"/>
                  <w:sz w:val="22"/>
                </w:rPr>
                <w:t>6</w:t>
              </w:r>
              <w:r w:rsidRPr="005E27FC">
                <w:rPr>
                  <w:rFonts w:ascii="Arial" w:hAnsi="Arial" w:cs="Arial"/>
                  <w:sz w:val="22"/>
                </w:rPr>
                <w:t>月</w:t>
              </w:r>
              <w:r w:rsidRPr="005E27FC">
                <w:rPr>
                  <w:rFonts w:ascii="Arial" w:hAnsi="Arial" w:cs="Arial"/>
                  <w:sz w:val="22"/>
                </w:rPr>
                <w:t>3</w:t>
              </w:r>
              <w:r w:rsidRPr="005E27FC">
                <w:rPr>
                  <w:rFonts w:ascii="Arial" w:hAnsi="Arial" w:cs="Arial" w:hint="eastAsia"/>
                  <w:sz w:val="22"/>
                </w:rPr>
                <w:t>0</w:t>
              </w:r>
              <w:r w:rsidRPr="005E27FC">
                <w:rPr>
                  <w:rFonts w:ascii="Arial" w:hAnsi="Arial" w:cs="Arial"/>
                  <w:sz w:val="22"/>
                </w:rPr>
                <w:t>日，公司在银行间市场借入债券</w:t>
              </w:r>
              <w:r w:rsidR="00422DCA" w:rsidRPr="005E27FC">
                <w:rPr>
                  <w:rFonts w:ascii="Arial" w:hAnsi="Arial" w:cs="Arial"/>
                  <w:sz w:val="22"/>
                </w:rPr>
                <w:fldChar w:fldCharType="begin"/>
              </w:r>
              <w:r w:rsidRPr="005E27FC">
                <w:rPr>
                  <w:rFonts w:ascii="Arial" w:hAnsi="Arial" w:cs="Arial"/>
                  <w:sz w:val="22"/>
                </w:rPr>
                <w:instrText xml:space="preserve"> =1,459,430,700.00 \# "#,##0.00" </w:instrText>
              </w:r>
              <w:r w:rsidR="00422DCA" w:rsidRPr="005E27FC">
                <w:rPr>
                  <w:rFonts w:ascii="Arial" w:hAnsi="Arial" w:cs="Arial"/>
                  <w:sz w:val="22"/>
                </w:rPr>
                <w:fldChar w:fldCharType="separate"/>
              </w:r>
              <w:r w:rsidRPr="005E27FC">
                <w:rPr>
                  <w:rFonts w:ascii="Arial" w:hAnsi="Arial" w:cs="Arial"/>
                  <w:noProof/>
                  <w:sz w:val="22"/>
                </w:rPr>
                <w:t>1,459,430,700.00</w:t>
              </w:r>
              <w:r w:rsidR="00422DCA" w:rsidRPr="005E27FC">
                <w:rPr>
                  <w:rFonts w:ascii="Arial" w:hAnsi="Arial" w:cs="Arial"/>
                  <w:sz w:val="22"/>
                </w:rPr>
                <w:fldChar w:fldCharType="end"/>
              </w:r>
              <w:r w:rsidRPr="005E27FC">
                <w:rPr>
                  <w:rFonts w:ascii="Arial" w:hAnsi="Arial" w:cs="Arial"/>
                  <w:sz w:val="22"/>
                </w:rPr>
                <w:t>元，其中已用于回购业务的债券市值</w:t>
              </w:r>
              <w:r w:rsidR="00422DCA" w:rsidRPr="005E27FC">
                <w:rPr>
                  <w:rFonts w:ascii="Arial" w:hAnsi="Arial" w:cs="Arial"/>
                  <w:sz w:val="22"/>
                </w:rPr>
                <w:fldChar w:fldCharType="begin"/>
              </w:r>
              <w:r w:rsidRPr="005E27FC">
                <w:rPr>
                  <w:rFonts w:ascii="Arial" w:hAnsi="Arial" w:cs="Arial"/>
                  <w:sz w:val="22"/>
                </w:rPr>
                <w:instrText xml:space="preserve"> =1,459,430,700.00 \# "#,##0.00" </w:instrText>
              </w:r>
              <w:r w:rsidR="00422DCA" w:rsidRPr="005E27FC">
                <w:rPr>
                  <w:rFonts w:ascii="Arial" w:hAnsi="Arial" w:cs="Arial"/>
                  <w:sz w:val="22"/>
                </w:rPr>
                <w:fldChar w:fldCharType="separate"/>
              </w:r>
              <w:r w:rsidRPr="005E27FC">
                <w:rPr>
                  <w:rFonts w:ascii="Arial" w:hAnsi="Arial" w:cs="Arial"/>
                  <w:noProof/>
                  <w:sz w:val="22"/>
                </w:rPr>
                <w:t>1,459,430,700.00</w:t>
              </w:r>
              <w:r w:rsidR="00422DCA" w:rsidRPr="005E27FC">
                <w:rPr>
                  <w:rFonts w:ascii="Arial" w:hAnsi="Arial" w:cs="Arial"/>
                  <w:sz w:val="22"/>
                </w:rPr>
                <w:fldChar w:fldCharType="end"/>
              </w:r>
              <w:r w:rsidRPr="005E27FC">
                <w:rPr>
                  <w:rFonts w:ascii="Arial" w:hAnsi="Arial" w:cs="Arial"/>
                  <w:sz w:val="22"/>
                </w:rPr>
                <w:t>元。</w:t>
              </w:r>
            </w:p>
            <w:p w:rsidR="00DE031E" w:rsidRPr="005E27FC" w:rsidRDefault="00422DCA" w:rsidP="00DE031E">
              <w:pPr>
                <w:snapToGrid w:val="0"/>
                <w:spacing w:line="360" w:lineRule="auto"/>
                <w:ind w:firstLineChars="200" w:firstLine="420"/>
                <w:rPr>
                  <w:rFonts w:ascii="Arial" w:hAnsi="Arial" w:cs="Arial"/>
                  <w:sz w:val="22"/>
                </w:rPr>
              </w:pPr>
            </w:p>
          </w:sdtContent>
        </w:sdt>
      </w:sdtContent>
    </w:sdt>
    <w:sdt>
      <w:sdtPr>
        <w:rPr>
          <w:rFonts w:ascii="宋体" w:hAnsi="宋体" w:cs="宋体"/>
          <w:b w:val="0"/>
          <w:bCs w:val="0"/>
          <w:kern w:val="0"/>
          <w:szCs w:val="24"/>
        </w:rPr>
        <w:tag w:val="_GBC_4cb969ecee8448fab27e110ab4cb89f0"/>
        <w:id w:val="24725039"/>
        <w:lock w:val="sdtLocked"/>
        <w:placeholder>
          <w:docPart w:val="GBC22222222222222222222222222222"/>
        </w:placeholder>
      </w:sdtPr>
      <w:sdtEndPr>
        <w:rPr>
          <w:color w:val="000000" w:themeColor="text1"/>
        </w:rPr>
      </w:sdtEndPr>
      <w:sdtContent>
        <w:p w:rsidR="00DE031E" w:rsidRDefault="001C1A59" w:rsidP="009950AC">
          <w:pPr>
            <w:pStyle w:val="3"/>
            <w:numPr>
              <w:ilvl w:val="0"/>
              <w:numId w:val="41"/>
            </w:numPr>
            <w:tabs>
              <w:tab w:val="left" w:pos="504"/>
            </w:tabs>
            <w:spacing w:line="360" w:lineRule="auto"/>
          </w:pPr>
          <w:r>
            <w:t>代理买卖证券款</w:t>
          </w:r>
        </w:p>
        <w:sdt>
          <w:sdtPr>
            <w:alias w:val="是否适用：代理买卖证券款"/>
            <w:tag w:val="_GBC_73089294614d44438107825660722514"/>
            <w:id w:val="24725025"/>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t>单位：</w:t>
          </w:r>
          <w:sdt>
            <w:sdtPr>
              <w:alias w:val="单位：财务辅助：代理买卖证券款"/>
              <w:tag w:val="_GBC_65efa3f48a6044b188f9c2cc31c0112f"/>
              <w:id w:val="247250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代理买卖证券款"/>
              <w:tag w:val="_GBC_b8feaab284aa40db9161d16649d90300"/>
              <w:id w:val="24725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64" w:type="pct"/>
            <w:tblInd w:w="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50"/>
            <w:gridCol w:w="3017"/>
            <w:gridCol w:w="3017"/>
          </w:tblGrid>
          <w:tr w:rsidR="00DE031E" w:rsidTr="00DE031E">
            <w:tc>
              <w:tcPr>
                <w:tcW w:w="1642" w:type="pct"/>
              </w:tcPr>
              <w:p w:rsidR="00DE031E" w:rsidRDefault="001C1A59">
                <w:pPr>
                  <w:jc w:val="center"/>
                </w:pPr>
                <w:r>
                  <w:t>项目</w:t>
                </w:r>
              </w:p>
            </w:tc>
            <w:tc>
              <w:tcPr>
                <w:tcW w:w="1679" w:type="pct"/>
              </w:tcPr>
              <w:p w:rsidR="00DE031E" w:rsidRDefault="001C1A59">
                <w:pPr>
                  <w:jc w:val="center"/>
                </w:pPr>
                <w:r>
                  <w:t>期末账面余额</w:t>
                </w:r>
              </w:p>
            </w:tc>
            <w:tc>
              <w:tcPr>
                <w:tcW w:w="1679" w:type="pct"/>
              </w:tcPr>
              <w:p w:rsidR="00DE031E" w:rsidRDefault="001C1A59">
                <w:pPr>
                  <w:jc w:val="center"/>
                </w:pPr>
                <w:r>
                  <w:rPr>
                    <w:rFonts w:hint="eastAsia"/>
                  </w:rPr>
                  <w:t>期初</w:t>
                </w:r>
                <w:r>
                  <w:t>账面余额</w:t>
                </w:r>
              </w:p>
            </w:tc>
          </w:tr>
          <w:tr w:rsidR="00DE031E" w:rsidTr="00DE031E">
            <w:tc>
              <w:tcPr>
                <w:tcW w:w="1642" w:type="pct"/>
              </w:tcPr>
              <w:p w:rsidR="00DE031E" w:rsidRDefault="001C1A59">
                <w:pPr>
                  <w:rPr>
                    <w:color w:val="0000FF"/>
                  </w:rPr>
                </w:pPr>
                <w:r>
                  <w:t>个人</w:t>
                </w:r>
              </w:p>
            </w:tc>
            <w:sdt>
              <w:sdtPr>
                <w:rPr>
                  <w:color w:val="000000" w:themeColor="text1"/>
                </w:rPr>
                <w:alias w:val="个人的代理买卖证券款"/>
                <w:tag w:val="_GBC_975fc1a53d084bbab40abf6f655d8293"/>
                <w:id w:val="24725028"/>
                <w:lock w:val="sdtLocked"/>
              </w:sdtPr>
              <w:sdtContent>
                <w:tc>
                  <w:tcPr>
                    <w:tcW w:w="1679" w:type="pct"/>
                  </w:tcPr>
                  <w:p w:rsidR="00DE031E" w:rsidRDefault="001C1A59">
                    <w:pPr>
                      <w:jc w:val="right"/>
                      <w:rPr>
                        <w:color w:val="000000" w:themeColor="text1"/>
                      </w:rPr>
                    </w:pPr>
                    <w:r>
                      <w:rPr>
                        <w:color w:val="000000" w:themeColor="text1"/>
                      </w:rPr>
                      <w:t>82,303,019,651.16</w:t>
                    </w:r>
                  </w:p>
                </w:tc>
              </w:sdtContent>
            </w:sdt>
            <w:sdt>
              <w:sdtPr>
                <w:rPr>
                  <w:color w:val="000000" w:themeColor="text1"/>
                </w:rPr>
                <w:alias w:val="个人的代理买卖证券款"/>
                <w:tag w:val="_GBC_fe95cf4779154affb4dca18561bbe74c"/>
                <w:id w:val="24725029"/>
                <w:lock w:val="sdtLocked"/>
              </w:sdtPr>
              <w:sdtContent>
                <w:tc>
                  <w:tcPr>
                    <w:tcW w:w="1679" w:type="pct"/>
                  </w:tcPr>
                  <w:p w:rsidR="00DE031E" w:rsidRDefault="001C1A59">
                    <w:pPr>
                      <w:jc w:val="right"/>
                      <w:rPr>
                        <w:color w:val="000000" w:themeColor="text1"/>
                      </w:rPr>
                    </w:pPr>
                    <w:r>
                      <w:rPr>
                        <w:color w:val="000000" w:themeColor="text1"/>
                      </w:rPr>
                      <w:t>38,990,426,808.03</w:t>
                    </w:r>
                  </w:p>
                </w:tc>
              </w:sdtContent>
            </w:sdt>
          </w:tr>
          <w:tr w:rsidR="00DE031E" w:rsidTr="00DE031E">
            <w:tc>
              <w:tcPr>
                <w:tcW w:w="1642" w:type="pct"/>
              </w:tcPr>
              <w:p w:rsidR="00DE031E" w:rsidRDefault="001C1A59">
                <w:r>
                  <w:rPr>
                    <w:rFonts w:hint="eastAsia"/>
                  </w:rPr>
                  <w:t>机构</w:t>
                </w:r>
              </w:p>
            </w:tc>
            <w:sdt>
              <w:sdtPr>
                <w:rPr>
                  <w:color w:val="000000" w:themeColor="text1"/>
                </w:rPr>
                <w:alias w:val="机构的代理买卖证券款"/>
                <w:tag w:val="_GBC_d2192b712a1f45719e07040d116f0538"/>
                <w:id w:val="24725030"/>
                <w:lock w:val="sdtLocked"/>
              </w:sdtPr>
              <w:sdtContent>
                <w:tc>
                  <w:tcPr>
                    <w:tcW w:w="1679" w:type="pct"/>
                  </w:tcPr>
                  <w:p w:rsidR="00DE031E" w:rsidRDefault="001C1A59">
                    <w:pPr>
                      <w:jc w:val="right"/>
                      <w:rPr>
                        <w:color w:val="000000" w:themeColor="text1"/>
                      </w:rPr>
                    </w:pPr>
                    <w:r>
                      <w:rPr>
                        <w:color w:val="000000" w:themeColor="text1"/>
                      </w:rPr>
                      <w:t>23,125,735,223.76</w:t>
                    </w:r>
                  </w:p>
                </w:tc>
              </w:sdtContent>
            </w:sdt>
            <w:sdt>
              <w:sdtPr>
                <w:rPr>
                  <w:color w:val="000000" w:themeColor="text1"/>
                </w:rPr>
                <w:alias w:val="机构的代理买卖证券款"/>
                <w:tag w:val="_GBC_37818acba1674c6e85c8b6994650ab43"/>
                <w:id w:val="24725031"/>
                <w:lock w:val="sdtLocked"/>
              </w:sdtPr>
              <w:sdtContent>
                <w:tc>
                  <w:tcPr>
                    <w:tcW w:w="1679" w:type="pct"/>
                  </w:tcPr>
                  <w:p w:rsidR="00DE031E" w:rsidRDefault="001C1A59">
                    <w:pPr>
                      <w:jc w:val="right"/>
                      <w:rPr>
                        <w:color w:val="000000" w:themeColor="text1"/>
                      </w:rPr>
                    </w:pPr>
                    <w:r>
                      <w:rPr>
                        <w:color w:val="000000" w:themeColor="text1"/>
                      </w:rPr>
                      <w:t>6,365,652,622.15</w:t>
                    </w:r>
                  </w:p>
                </w:tc>
              </w:sdtContent>
            </w:sdt>
          </w:tr>
          <w:sdt>
            <w:sdtPr>
              <w:alias w:val="其他客户的代理买卖证券款明细"/>
              <w:tag w:val="_GBC_46143d394bb441e8b1cc09e87a0d3fdb"/>
              <w:id w:val="24725035"/>
              <w:lock w:val="sdtLocked"/>
            </w:sdtPr>
            <w:sdtEndPr>
              <w:rPr>
                <w:color w:val="000000" w:themeColor="text1"/>
              </w:rPr>
            </w:sdtEndPr>
            <w:sdtContent>
              <w:tr w:rsidR="00DE031E" w:rsidTr="00DE031E">
                <w:sdt>
                  <w:sdtPr>
                    <w:alias w:val="其他客户的代理买卖证券款明细－类别"/>
                    <w:tag w:val="_GBC_901f65028647420488af11d374950ac3"/>
                    <w:id w:val="24725032"/>
                    <w:lock w:val="sdtLocked"/>
                  </w:sdtPr>
                  <w:sdtContent>
                    <w:tc>
                      <w:tcPr>
                        <w:tcW w:w="1642" w:type="pct"/>
                      </w:tcPr>
                      <w:p w:rsidR="00DE031E" w:rsidRDefault="001C1A59" w:rsidP="00DE031E">
                        <w:pPr>
                          <w:jc w:val="both"/>
                        </w:pPr>
                        <w:r>
                          <w:rPr>
                            <w:rFonts w:hint="eastAsia"/>
                          </w:rPr>
                          <w:t>中国香港</w:t>
                        </w:r>
                      </w:p>
                    </w:tc>
                  </w:sdtContent>
                </w:sdt>
                <w:sdt>
                  <w:sdtPr>
                    <w:rPr>
                      <w:color w:val="000000" w:themeColor="text1"/>
                    </w:rPr>
                    <w:alias w:val="其他客户的代理买卖证券款明细－金额"/>
                    <w:tag w:val="_GBC_0847ef9770404dfeb935b7ef349732fa"/>
                    <w:id w:val="24725033"/>
                    <w:lock w:val="sdtLocked"/>
                  </w:sdtPr>
                  <w:sdtContent>
                    <w:tc>
                      <w:tcPr>
                        <w:tcW w:w="1679" w:type="pct"/>
                      </w:tcPr>
                      <w:p w:rsidR="00DE031E" w:rsidRDefault="001C1A59">
                        <w:pPr>
                          <w:jc w:val="right"/>
                          <w:rPr>
                            <w:color w:val="000000" w:themeColor="text1"/>
                          </w:rPr>
                        </w:pPr>
                        <w:r>
                          <w:rPr>
                            <w:color w:val="000000" w:themeColor="text1"/>
                          </w:rPr>
                          <w:t>6,959,220,673.81</w:t>
                        </w:r>
                      </w:p>
                    </w:tc>
                  </w:sdtContent>
                </w:sdt>
                <w:sdt>
                  <w:sdtPr>
                    <w:rPr>
                      <w:color w:val="000000" w:themeColor="text1"/>
                    </w:rPr>
                    <w:alias w:val="其他客户的代理买卖证券款明细－金额"/>
                    <w:tag w:val="_GBC_32643f8cabba4473b1d0f1b24700d404"/>
                    <w:id w:val="24725034"/>
                    <w:lock w:val="sdtLocked"/>
                  </w:sdtPr>
                  <w:sdtContent>
                    <w:tc>
                      <w:tcPr>
                        <w:tcW w:w="1679" w:type="pct"/>
                      </w:tcPr>
                      <w:p w:rsidR="00DE031E" w:rsidRDefault="001C1A59">
                        <w:pPr>
                          <w:jc w:val="right"/>
                          <w:rPr>
                            <w:color w:val="000000" w:themeColor="text1"/>
                          </w:rPr>
                        </w:pPr>
                        <w:r>
                          <w:rPr>
                            <w:color w:val="000000" w:themeColor="text1"/>
                          </w:rPr>
                          <w:t>5,294,020,673.96</w:t>
                        </w:r>
                      </w:p>
                    </w:tc>
                  </w:sdtContent>
                </w:sdt>
              </w:tr>
            </w:sdtContent>
          </w:sdt>
          <w:tr w:rsidR="00DE031E" w:rsidTr="00DE031E">
            <w:tc>
              <w:tcPr>
                <w:tcW w:w="1642" w:type="pct"/>
              </w:tcPr>
              <w:p w:rsidR="00DE031E" w:rsidRDefault="001C1A59">
                <w:pPr>
                  <w:jc w:val="center"/>
                </w:pPr>
                <w:r>
                  <w:t>合计</w:t>
                </w:r>
              </w:p>
            </w:tc>
            <w:sdt>
              <w:sdtPr>
                <w:rPr>
                  <w:color w:val="000000" w:themeColor="text1"/>
                </w:rPr>
                <w:alias w:val="代理买卖证券款"/>
                <w:tag w:val="_GBC_5188f81b78ad4951a479276830194248"/>
                <w:id w:val="24725036"/>
                <w:lock w:val="sdtLocked"/>
              </w:sdtPr>
              <w:sdtContent>
                <w:tc>
                  <w:tcPr>
                    <w:tcW w:w="1679" w:type="pct"/>
                  </w:tcPr>
                  <w:p w:rsidR="00DE031E" w:rsidRDefault="001C1A59">
                    <w:pPr>
                      <w:jc w:val="right"/>
                      <w:rPr>
                        <w:color w:val="000000" w:themeColor="text1"/>
                      </w:rPr>
                    </w:pPr>
                    <w:r>
                      <w:rPr>
                        <w:color w:val="000000" w:themeColor="text1"/>
                      </w:rPr>
                      <w:t>112,387,975,548.73</w:t>
                    </w:r>
                  </w:p>
                </w:tc>
              </w:sdtContent>
            </w:sdt>
            <w:sdt>
              <w:sdtPr>
                <w:rPr>
                  <w:color w:val="000000" w:themeColor="text1"/>
                </w:rPr>
                <w:alias w:val="代理买卖证券款"/>
                <w:tag w:val="_GBC_8b17844f09354a9eb5b2110b19a93f61"/>
                <w:id w:val="24725037"/>
                <w:lock w:val="sdtLocked"/>
              </w:sdtPr>
              <w:sdtContent>
                <w:tc>
                  <w:tcPr>
                    <w:tcW w:w="1679" w:type="pct"/>
                  </w:tcPr>
                  <w:p w:rsidR="00DE031E" w:rsidRDefault="001C1A59">
                    <w:pPr>
                      <w:jc w:val="right"/>
                      <w:rPr>
                        <w:color w:val="000000" w:themeColor="text1"/>
                      </w:rPr>
                    </w:pPr>
                    <w:r>
                      <w:rPr>
                        <w:color w:val="000000" w:themeColor="text1"/>
                      </w:rPr>
                      <w:t>50,650,100,104.14</w:t>
                    </w:r>
                  </w:p>
                </w:tc>
              </w:sdtContent>
            </w:sdt>
          </w:tr>
        </w:tbl>
        <w:sdt>
          <w:sdtPr>
            <w:rPr>
              <w:color w:val="000000" w:themeColor="text1"/>
            </w:rPr>
            <w:alias w:val="信用交易代理买卖证券款的说明"/>
            <w:tag w:val="_GBC_d922dbf7e47046b58833b12032332f01"/>
            <w:id w:val="24725038"/>
            <w:lock w:val="sdtLocked"/>
            <w:placeholder>
              <w:docPart w:val="GBC22222222222222222222222222222"/>
            </w:placeholder>
          </w:sdtPr>
          <w:sdtContent>
            <w:p w:rsidR="00DE031E" w:rsidRDefault="001C1A59" w:rsidP="003A0284">
              <w:pPr>
                <w:widowControl w:val="0"/>
                <w:autoSpaceDE w:val="0"/>
                <w:autoSpaceDN w:val="0"/>
                <w:adjustRightInd w:val="0"/>
                <w:spacing w:beforeLines="50" w:line="360" w:lineRule="auto"/>
                <w:ind w:firstLineChars="200" w:firstLine="420"/>
                <w:rPr>
                  <w:color w:val="000000" w:themeColor="text1"/>
                </w:rPr>
              </w:pP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日，代理买卖证券款余额较年初增加</w:t>
              </w:r>
              <w:r>
                <w:rPr>
                  <w:rFonts w:ascii="Arial" w:hAnsi="Arial" w:cs="Arial" w:hint="eastAsia"/>
                  <w:sz w:val="22"/>
                  <w:szCs w:val="22"/>
                </w:rPr>
                <w:t>61</w:t>
              </w:r>
              <w:r>
                <w:rPr>
                  <w:rFonts w:ascii="Arial" w:hAnsi="Arial" w:cs="Arial"/>
                  <w:sz w:val="22"/>
                  <w:szCs w:val="22"/>
                </w:rPr>
                <w:t>,</w:t>
              </w:r>
              <w:r>
                <w:rPr>
                  <w:rFonts w:ascii="Arial" w:hAnsi="Arial" w:cs="Arial" w:hint="eastAsia"/>
                  <w:sz w:val="22"/>
                  <w:szCs w:val="22"/>
                </w:rPr>
                <w:t>737</w:t>
              </w:r>
              <w:r>
                <w:rPr>
                  <w:rFonts w:ascii="Arial" w:hAnsi="Arial" w:cs="Arial"/>
                  <w:sz w:val="22"/>
                  <w:szCs w:val="22"/>
                </w:rPr>
                <w:t>,</w:t>
              </w:r>
              <w:r>
                <w:rPr>
                  <w:rFonts w:ascii="Arial" w:hAnsi="Arial" w:cs="Arial" w:hint="eastAsia"/>
                  <w:sz w:val="22"/>
                  <w:szCs w:val="22"/>
                </w:rPr>
                <w:t>875</w:t>
              </w:r>
              <w:r>
                <w:rPr>
                  <w:rFonts w:ascii="Arial" w:hAnsi="Arial" w:cs="Arial"/>
                  <w:sz w:val="22"/>
                  <w:szCs w:val="22"/>
                </w:rPr>
                <w:t>,</w:t>
              </w:r>
              <w:r>
                <w:rPr>
                  <w:rFonts w:ascii="Arial" w:hAnsi="Arial" w:cs="Arial" w:hint="eastAsia"/>
                  <w:sz w:val="22"/>
                  <w:szCs w:val="22"/>
                </w:rPr>
                <w:t>444</w:t>
              </w:r>
              <w:r>
                <w:rPr>
                  <w:rFonts w:ascii="Arial" w:hAnsi="Arial" w:cs="Arial"/>
                  <w:sz w:val="22"/>
                  <w:szCs w:val="22"/>
                </w:rPr>
                <w:t>.</w:t>
              </w:r>
              <w:r>
                <w:rPr>
                  <w:rFonts w:ascii="Arial" w:hAnsi="Arial" w:cs="Arial" w:hint="eastAsia"/>
                  <w:sz w:val="22"/>
                  <w:szCs w:val="22"/>
                </w:rPr>
                <w:t>59</w:t>
              </w:r>
              <w:r>
                <w:rPr>
                  <w:rFonts w:hAnsi="Calibri" w:hint="eastAsia"/>
                  <w:sz w:val="22"/>
                  <w:szCs w:val="22"/>
                </w:rPr>
                <w:t>元，增幅</w:t>
              </w:r>
              <w:r>
                <w:rPr>
                  <w:rFonts w:ascii="Arial" w:hAnsi="Arial" w:cs="Arial" w:hint="eastAsia"/>
                  <w:sz w:val="22"/>
                  <w:szCs w:val="22"/>
                </w:rPr>
                <w:t>121.89</w:t>
              </w:r>
              <w:r>
                <w:rPr>
                  <w:rFonts w:ascii="Arial" w:hAnsi="Arial" w:cs="Arial"/>
                  <w:sz w:val="22"/>
                  <w:szCs w:val="22"/>
                </w:rPr>
                <w:t>%</w:t>
              </w:r>
              <w:r>
                <w:rPr>
                  <w:rFonts w:hAnsi="Calibri" w:hint="eastAsia"/>
                  <w:sz w:val="22"/>
                  <w:szCs w:val="22"/>
                </w:rPr>
                <w:t>，主要原因系客户交易结算资金余额增加。</w:t>
              </w:r>
            </w:p>
          </w:sdtContent>
        </w:sdt>
      </w:sdtContent>
    </w:sdt>
    <w:sdt>
      <w:sdtPr>
        <w:rPr>
          <w:rFonts w:ascii="宋体" w:hAnsi="宋体" w:cs="宋体"/>
          <w:b w:val="0"/>
          <w:bCs w:val="0"/>
          <w:kern w:val="0"/>
          <w:szCs w:val="24"/>
        </w:rPr>
        <w:tag w:val="_GBC_69b6594da0ca4674906082fcaa1cd9d0"/>
        <w:id w:val="24725058"/>
        <w:lock w:val="sdtLocked"/>
        <w:placeholder>
          <w:docPart w:val="GBC22222222222222222222222222222"/>
        </w:placeholder>
      </w:sdtPr>
      <w:sdtContent>
        <w:p w:rsidR="00DE031E" w:rsidRDefault="001C1A59" w:rsidP="009950AC">
          <w:pPr>
            <w:pStyle w:val="3"/>
            <w:numPr>
              <w:ilvl w:val="0"/>
              <w:numId w:val="41"/>
            </w:numPr>
            <w:tabs>
              <w:tab w:val="left" w:pos="504"/>
            </w:tabs>
            <w:spacing w:line="360" w:lineRule="auto"/>
          </w:pPr>
          <w:r>
            <w:t>代理承销证券款</w:t>
          </w:r>
        </w:p>
        <w:sdt>
          <w:sdtPr>
            <w:alias w:val="是否适用：代理承销证券款"/>
            <w:tag w:val="_GBC_58f1a2a49cfe4bbfbadf5dde8b7a23a4"/>
            <w:id w:val="24725040"/>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b/>
            </w:rPr>
          </w:pPr>
          <w:r>
            <w:t>单位：</w:t>
          </w:r>
          <w:sdt>
            <w:sdtPr>
              <w:alias w:val="单位：财务附注：代理承销证券款"/>
              <w:tag w:val="_GBC_d1f55887c85249209730419cda9dbd1c"/>
              <w:id w:val="247250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代理承销证券款"/>
              <w:tag w:val="_GBC_a0049eb29880422b983094b4e2a1a12f"/>
              <w:id w:val="24725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77"/>
            <w:gridCol w:w="3037"/>
            <w:gridCol w:w="3035"/>
          </w:tblGrid>
          <w:tr w:rsidR="00DE031E" w:rsidTr="00DE031E">
            <w:tc>
              <w:tcPr>
                <w:tcW w:w="1645" w:type="pct"/>
              </w:tcPr>
              <w:p w:rsidR="00DE031E" w:rsidRDefault="001C1A59">
                <w:pPr>
                  <w:jc w:val="center"/>
                </w:pPr>
                <w:r>
                  <w:t>项目</w:t>
                </w:r>
              </w:p>
            </w:tc>
            <w:tc>
              <w:tcPr>
                <w:tcW w:w="1678" w:type="pct"/>
              </w:tcPr>
              <w:p w:rsidR="00DE031E" w:rsidRDefault="001C1A59">
                <w:pPr>
                  <w:jc w:val="center"/>
                </w:pPr>
                <w:r>
                  <w:t>期末账面余额</w:t>
                </w:r>
              </w:p>
            </w:tc>
            <w:tc>
              <w:tcPr>
                <w:tcW w:w="1677" w:type="pct"/>
              </w:tcPr>
              <w:p w:rsidR="00DE031E" w:rsidRDefault="001C1A59">
                <w:pPr>
                  <w:jc w:val="center"/>
                </w:pPr>
                <w:r>
                  <w:rPr>
                    <w:rFonts w:hint="eastAsia"/>
                  </w:rPr>
                  <w:t>期初</w:t>
                </w:r>
                <w:r>
                  <w:t>账面余额</w:t>
                </w:r>
              </w:p>
            </w:tc>
          </w:tr>
          <w:tr w:rsidR="00DE031E" w:rsidTr="00DE031E">
            <w:tc>
              <w:tcPr>
                <w:tcW w:w="1645" w:type="pct"/>
              </w:tcPr>
              <w:p w:rsidR="00DE031E" w:rsidRDefault="001C1A59">
                <w:r>
                  <w:t>股票</w:t>
                </w:r>
              </w:p>
            </w:tc>
            <w:sdt>
              <w:sdtPr>
                <w:alias w:val="代理承销证券款中承销股票金额"/>
                <w:tag w:val="_GBC_f2de64070dbf4aed9a59257fa3755785"/>
                <w:id w:val="24725043"/>
                <w:lock w:val="sdtLocked"/>
              </w:sdtPr>
              <w:sdtContent>
                <w:tc>
                  <w:tcPr>
                    <w:tcW w:w="1678" w:type="pct"/>
                  </w:tcPr>
                  <w:p w:rsidR="00DE031E" w:rsidRDefault="001C1A59">
                    <w:pPr>
                      <w:jc w:val="right"/>
                    </w:pPr>
                    <w:r w:rsidRPr="000D56C4">
                      <w:t>70,000,000.00</w:t>
                    </w:r>
                  </w:p>
                </w:tc>
              </w:sdtContent>
            </w:sdt>
            <w:sdt>
              <w:sdtPr>
                <w:alias w:val="代理承销证券款中承销股票金额"/>
                <w:tag w:val="_GBC_ab630a437bfb466480b8719e55c2d6f5"/>
                <w:id w:val="24725044"/>
                <w:lock w:val="sdtLocked"/>
                <w:showingPlcHdr/>
              </w:sdtPr>
              <w:sdtContent>
                <w:tc>
                  <w:tcPr>
                    <w:tcW w:w="1677" w:type="pct"/>
                  </w:tcPr>
                  <w:p w:rsidR="00DE031E" w:rsidRDefault="001C1A59">
                    <w:pPr>
                      <w:jc w:val="right"/>
                    </w:pPr>
                    <w:r>
                      <w:rPr>
                        <w:rFonts w:hint="eastAsia"/>
                        <w:color w:val="333399"/>
                      </w:rPr>
                      <w:t xml:space="preserve">　</w:t>
                    </w:r>
                  </w:p>
                </w:tc>
              </w:sdtContent>
            </w:sdt>
          </w:tr>
          <w:tr w:rsidR="00DE031E" w:rsidTr="00DE031E">
            <w:tc>
              <w:tcPr>
                <w:tcW w:w="1645" w:type="pct"/>
              </w:tcPr>
              <w:p w:rsidR="00DE031E" w:rsidRDefault="001C1A59">
                <w:r>
                  <w:t>债券</w:t>
                </w:r>
              </w:p>
            </w:tc>
            <w:sdt>
              <w:sdtPr>
                <w:alias w:val="代理承销证券款中承销债券金额"/>
                <w:tag w:val="_GBC_3a34a35bbba445ff80d3f88bba2b2b9a"/>
                <w:id w:val="24725045"/>
                <w:lock w:val="sdtLocked"/>
                <w:showingPlcHdr/>
              </w:sdtPr>
              <w:sdtContent>
                <w:tc>
                  <w:tcPr>
                    <w:tcW w:w="1678" w:type="pct"/>
                  </w:tcPr>
                  <w:p w:rsidR="00DE031E" w:rsidRDefault="001C1A59">
                    <w:pPr>
                      <w:jc w:val="right"/>
                    </w:pPr>
                    <w:r>
                      <w:rPr>
                        <w:rFonts w:hint="eastAsia"/>
                        <w:color w:val="333399"/>
                      </w:rPr>
                      <w:t xml:space="preserve">　</w:t>
                    </w:r>
                  </w:p>
                </w:tc>
              </w:sdtContent>
            </w:sdt>
            <w:sdt>
              <w:sdtPr>
                <w:alias w:val="代理承销证券款中承销债券金额"/>
                <w:tag w:val="_GBC_0b5189c293a14598ae60cb148fdb9b6d"/>
                <w:id w:val="24725046"/>
                <w:lock w:val="sdtLocked"/>
                <w:showingPlcHdr/>
              </w:sdtPr>
              <w:sdtContent>
                <w:tc>
                  <w:tcPr>
                    <w:tcW w:w="1677" w:type="pct"/>
                  </w:tcPr>
                  <w:p w:rsidR="00DE031E" w:rsidRDefault="001C1A59">
                    <w:pPr>
                      <w:jc w:val="right"/>
                    </w:pPr>
                    <w:r>
                      <w:rPr>
                        <w:rFonts w:hint="eastAsia"/>
                        <w:color w:val="333399"/>
                      </w:rPr>
                      <w:t xml:space="preserve">　</w:t>
                    </w:r>
                  </w:p>
                </w:tc>
              </w:sdtContent>
            </w:sdt>
          </w:tr>
          <w:tr w:rsidR="00DE031E" w:rsidTr="00DE031E">
            <w:tc>
              <w:tcPr>
                <w:tcW w:w="1645" w:type="pct"/>
              </w:tcPr>
              <w:p w:rsidR="00DE031E" w:rsidRDefault="001C1A59">
                <w:r>
                  <w:t>其中：国债</w:t>
                </w:r>
              </w:p>
            </w:tc>
            <w:sdt>
              <w:sdtPr>
                <w:alias w:val="代理承销证券款中承销国债金额"/>
                <w:tag w:val="_GBC_ad8f196d95ae45c382fd98c58768946f"/>
                <w:id w:val="24725047"/>
                <w:lock w:val="sdtLocked"/>
                <w:showingPlcHdr/>
              </w:sdtPr>
              <w:sdtContent>
                <w:tc>
                  <w:tcPr>
                    <w:tcW w:w="1678" w:type="pct"/>
                  </w:tcPr>
                  <w:p w:rsidR="00DE031E" w:rsidRDefault="001C1A59">
                    <w:pPr>
                      <w:jc w:val="right"/>
                    </w:pPr>
                    <w:r>
                      <w:rPr>
                        <w:rFonts w:hint="eastAsia"/>
                        <w:color w:val="333399"/>
                      </w:rPr>
                      <w:t xml:space="preserve">　</w:t>
                    </w:r>
                  </w:p>
                </w:tc>
              </w:sdtContent>
            </w:sdt>
            <w:sdt>
              <w:sdtPr>
                <w:alias w:val="代理承销证券款中承销国债金额"/>
                <w:tag w:val="_GBC_30773f07725b43edb8489c5c0c59150f"/>
                <w:id w:val="24725048"/>
                <w:lock w:val="sdtLocked"/>
                <w:showingPlcHdr/>
              </w:sdtPr>
              <w:sdtContent>
                <w:tc>
                  <w:tcPr>
                    <w:tcW w:w="1677" w:type="pct"/>
                  </w:tcPr>
                  <w:p w:rsidR="00DE031E" w:rsidRDefault="001C1A59">
                    <w:pPr>
                      <w:jc w:val="right"/>
                    </w:pPr>
                    <w:r>
                      <w:rPr>
                        <w:rFonts w:hint="eastAsia"/>
                        <w:color w:val="333399"/>
                      </w:rPr>
                      <w:t xml:space="preserve">　</w:t>
                    </w:r>
                  </w:p>
                </w:tc>
              </w:sdtContent>
            </w:sdt>
          </w:tr>
          <w:tr w:rsidR="00DE031E" w:rsidTr="00DE031E">
            <w:tc>
              <w:tcPr>
                <w:tcW w:w="1645" w:type="pct"/>
              </w:tcPr>
              <w:p w:rsidR="00DE031E" w:rsidRDefault="001C1A59">
                <w:r>
                  <w:t xml:space="preserve">      金融债券</w:t>
                </w:r>
              </w:p>
            </w:tc>
            <w:sdt>
              <w:sdtPr>
                <w:alias w:val="代理承销证券款中承销金融债券金额"/>
                <w:tag w:val="_GBC_398a8c7ecc5741549ac9976831ebd74e"/>
                <w:id w:val="24725049"/>
                <w:lock w:val="sdtLocked"/>
                <w:showingPlcHdr/>
              </w:sdtPr>
              <w:sdtContent>
                <w:tc>
                  <w:tcPr>
                    <w:tcW w:w="1678" w:type="pct"/>
                  </w:tcPr>
                  <w:p w:rsidR="00DE031E" w:rsidRDefault="001C1A59">
                    <w:pPr>
                      <w:jc w:val="right"/>
                    </w:pPr>
                    <w:r>
                      <w:rPr>
                        <w:rFonts w:hint="eastAsia"/>
                        <w:color w:val="333399"/>
                      </w:rPr>
                      <w:t xml:space="preserve">　</w:t>
                    </w:r>
                  </w:p>
                </w:tc>
              </w:sdtContent>
            </w:sdt>
            <w:sdt>
              <w:sdtPr>
                <w:alias w:val="代理承销证券款中承销金融债券金额"/>
                <w:tag w:val="_GBC_1460f7c4594c40769187394628fc8bc7"/>
                <w:id w:val="24725050"/>
                <w:lock w:val="sdtLocked"/>
                <w:showingPlcHdr/>
              </w:sdtPr>
              <w:sdtContent>
                <w:tc>
                  <w:tcPr>
                    <w:tcW w:w="1677" w:type="pct"/>
                  </w:tcPr>
                  <w:p w:rsidR="00DE031E" w:rsidRDefault="001C1A59">
                    <w:pPr>
                      <w:jc w:val="right"/>
                    </w:pPr>
                    <w:r>
                      <w:rPr>
                        <w:rFonts w:hint="eastAsia"/>
                        <w:color w:val="333399"/>
                      </w:rPr>
                      <w:t xml:space="preserve">　</w:t>
                    </w:r>
                  </w:p>
                </w:tc>
              </w:sdtContent>
            </w:sdt>
          </w:tr>
          <w:tr w:rsidR="00DE031E" w:rsidTr="00DE031E">
            <w:tc>
              <w:tcPr>
                <w:tcW w:w="1645" w:type="pct"/>
              </w:tcPr>
              <w:p w:rsidR="00DE031E" w:rsidRDefault="001C1A59">
                <w:r>
                  <w:t xml:space="preserve">      企业债券</w:t>
                </w:r>
              </w:p>
            </w:tc>
            <w:sdt>
              <w:sdtPr>
                <w:alias w:val="代理承销证券款中承销企业债券金额"/>
                <w:tag w:val="_GBC_c810b64e19144ac8bd3d2f66a8e262f7"/>
                <w:id w:val="24725051"/>
                <w:lock w:val="sdtLocked"/>
                <w:showingPlcHdr/>
              </w:sdtPr>
              <w:sdtContent>
                <w:tc>
                  <w:tcPr>
                    <w:tcW w:w="1678" w:type="pct"/>
                  </w:tcPr>
                  <w:p w:rsidR="00DE031E" w:rsidRDefault="001C1A59">
                    <w:pPr>
                      <w:jc w:val="right"/>
                    </w:pPr>
                    <w:r>
                      <w:rPr>
                        <w:rFonts w:hint="eastAsia"/>
                        <w:color w:val="333399"/>
                      </w:rPr>
                      <w:t xml:space="preserve">　</w:t>
                    </w:r>
                  </w:p>
                </w:tc>
              </w:sdtContent>
            </w:sdt>
            <w:sdt>
              <w:sdtPr>
                <w:alias w:val="代理承销证券款中承销企业债券金额"/>
                <w:tag w:val="_GBC_dac3de309ab34180ad6c84da0dbd7391"/>
                <w:id w:val="24725052"/>
                <w:lock w:val="sdtLocked"/>
                <w:showingPlcHdr/>
              </w:sdtPr>
              <w:sdtContent>
                <w:tc>
                  <w:tcPr>
                    <w:tcW w:w="1677" w:type="pct"/>
                  </w:tcPr>
                  <w:p w:rsidR="00DE031E" w:rsidRDefault="001C1A59">
                    <w:pPr>
                      <w:jc w:val="right"/>
                    </w:pPr>
                    <w:r>
                      <w:rPr>
                        <w:rFonts w:hint="eastAsia"/>
                        <w:color w:val="333399"/>
                      </w:rPr>
                      <w:t xml:space="preserve">　</w:t>
                    </w:r>
                  </w:p>
                </w:tc>
              </w:sdtContent>
            </w:sdt>
          </w:tr>
          <w:tr w:rsidR="00DE031E" w:rsidTr="00DE031E">
            <w:tc>
              <w:tcPr>
                <w:tcW w:w="1645" w:type="pct"/>
              </w:tcPr>
              <w:p w:rsidR="00DE031E" w:rsidRDefault="001C1A59">
                <w:r>
                  <w:t>其他有价证券</w:t>
                </w:r>
              </w:p>
            </w:tc>
            <w:sdt>
              <w:sdtPr>
                <w:alias w:val="代理承销证券款中承销其他有价证券金额"/>
                <w:tag w:val="_GBC_561ff70258b8438ca29f0e2755e29830"/>
                <w:id w:val="24725053"/>
                <w:lock w:val="sdtLocked"/>
                <w:showingPlcHdr/>
              </w:sdtPr>
              <w:sdtContent>
                <w:tc>
                  <w:tcPr>
                    <w:tcW w:w="1678" w:type="pct"/>
                  </w:tcPr>
                  <w:p w:rsidR="00DE031E" w:rsidRDefault="001C1A59">
                    <w:pPr>
                      <w:jc w:val="right"/>
                    </w:pPr>
                    <w:r>
                      <w:rPr>
                        <w:rFonts w:hint="eastAsia"/>
                        <w:color w:val="333399"/>
                      </w:rPr>
                      <w:t xml:space="preserve">　</w:t>
                    </w:r>
                  </w:p>
                </w:tc>
              </w:sdtContent>
            </w:sdt>
            <w:sdt>
              <w:sdtPr>
                <w:alias w:val="代理承销证券款中承销其他有价证券金额"/>
                <w:tag w:val="_GBC_f3110943fd4b48c0a79a8ba900a8d316"/>
                <w:id w:val="24725054"/>
                <w:lock w:val="sdtLocked"/>
                <w:showingPlcHdr/>
              </w:sdtPr>
              <w:sdtContent>
                <w:tc>
                  <w:tcPr>
                    <w:tcW w:w="1677" w:type="pct"/>
                  </w:tcPr>
                  <w:p w:rsidR="00DE031E" w:rsidRDefault="001C1A59">
                    <w:pPr>
                      <w:jc w:val="right"/>
                    </w:pPr>
                    <w:r>
                      <w:rPr>
                        <w:rFonts w:hint="eastAsia"/>
                        <w:color w:val="333399"/>
                      </w:rPr>
                      <w:t xml:space="preserve">　</w:t>
                    </w:r>
                  </w:p>
                </w:tc>
              </w:sdtContent>
            </w:sdt>
          </w:tr>
          <w:tr w:rsidR="00DE031E" w:rsidTr="00DE031E">
            <w:tc>
              <w:tcPr>
                <w:tcW w:w="1645" w:type="pct"/>
              </w:tcPr>
              <w:p w:rsidR="00DE031E" w:rsidRDefault="001C1A59">
                <w:pPr>
                  <w:jc w:val="center"/>
                </w:pPr>
                <w:r>
                  <w:t>合计</w:t>
                </w:r>
              </w:p>
            </w:tc>
            <w:sdt>
              <w:sdtPr>
                <w:alias w:val="代理承销证券款"/>
                <w:tag w:val="_GBC_7cc5c8c8f24f48ceb61b00839bd241ba"/>
                <w:id w:val="24725055"/>
                <w:lock w:val="sdtLocked"/>
              </w:sdtPr>
              <w:sdtContent>
                <w:tc>
                  <w:tcPr>
                    <w:tcW w:w="1678" w:type="pct"/>
                  </w:tcPr>
                  <w:p w:rsidR="00DE031E" w:rsidRDefault="001C1A59">
                    <w:pPr>
                      <w:jc w:val="right"/>
                    </w:pPr>
                    <w:r w:rsidRPr="000D56C4">
                      <w:t>70,000,000.00</w:t>
                    </w:r>
                  </w:p>
                </w:tc>
              </w:sdtContent>
            </w:sdt>
            <w:sdt>
              <w:sdtPr>
                <w:alias w:val="代理承销证券款"/>
                <w:tag w:val="_GBC_6e5b18c353c44d6a886a65865e64cf2b"/>
                <w:id w:val="24725056"/>
                <w:lock w:val="sdtLocked"/>
                <w:showingPlcHdr/>
              </w:sdtPr>
              <w:sdtContent>
                <w:tc>
                  <w:tcPr>
                    <w:tcW w:w="1677" w:type="pct"/>
                  </w:tcPr>
                  <w:p w:rsidR="00DE031E" w:rsidRDefault="001C1A59">
                    <w:pPr>
                      <w:jc w:val="right"/>
                    </w:pPr>
                    <w:r>
                      <w:rPr>
                        <w:rFonts w:hint="eastAsia"/>
                        <w:color w:val="333399"/>
                      </w:rPr>
                      <w:t xml:space="preserve">　</w:t>
                    </w:r>
                  </w:p>
                </w:tc>
              </w:sdtContent>
            </w:sdt>
          </w:tr>
        </w:tbl>
        <w:sdt>
          <w:sdtPr>
            <w:rPr>
              <w:color w:val="FF0000"/>
            </w:rPr>
            <w:alias w:val="代理承销证券款的说明"/>
            <w:tag w:val="_GBC_54eab7b08af44ff48a3109061f7ab4c1"/>
            <w:id w:val="24725057"/>
            <w:lock w:val="sdtLocked"/>
            <w:placeholder>
              <w:docPart w:val="GBC22222222222222222222222222222"/>
            </w:placeholder>
            <w:showingPlcHdr/>
          </w:sdtPr>
          <w:sdtEndPr>
            <w:rPr>
              <w:color w:val="000000" w:themeColor="text1"/>
            </w:rPr>
          </w:sdtEndPr>
          <w:sdtContent>
            <w:p w:rsidR="00DE031E" w:rsidRPr="00B82467" w:rsidRDefault="001C1A59">
              <w:pPr>
                <w:snapToGrid w:val="0"/>
                <w:spacing w:line="240" w:lineRule="atLeast"/>
                <w:ind w:rightChars="-159" w:right="-334"/>
                <w:rPr>
                  <w:color w:val="000000" w:themeColor="text1"/>
                </w:rPr>
              </w:pPr>
              <w:r w:rsidRPr="00B82467">
                <w:rPr>
                  <w:rStyle w:val="af5"/>
                  <w:rFonts w:hint="eastAsia"/>
                </w:rPr>
                <w:t xml:space="preserve">　　　</w:t>
              </w:r>
            </w:p>
          </w:sdtContent>
        </w:sdt>
      </w:sdtContent>
    </w:sdt>
    <w:sdt>
      <w:sdtPr>
        <w:rPr>
          <w:rFonts w:ascii="宋体" w:hAnsi="宋体" w:cs="宋体" w:hint="eastAsia"/>
          <w:b w:val="0"/>
          <w:bCs w:val="0"/>
          <w:kern w:val="0"/>
          <w:szCs w:val="24"/>
        </w:rPr>
        <w:tag w:val="_GBC_ef38611ac7284e83813a024e74aed9a3"/>
        <w:id w:val="24725069"/>
        <w:lock w:val="sdtLocked"/>
        <w:placeholder>
          <w:docPart w:val="GBC22222222222222222222222222222"/>
        </w:placeholder>
      </w:sdtPr>
      <w:sdtEndPr>
        <w:rPr>
          <w:rFonts w:hint="default"/>
          <w:color w:val="000000" w:themeColor="text1"/>
        </w:rPr>
      </w:sdtEndPr>
      <w:sdtContent>
        <w:p w:rsidR="00DE031E" w:rsidRDefault="001C1A59" w:rsidP="009950AC">
          <w:pPr>
            <w:pStyle w:val="3"/>
            <w:numPr>
              <w:ilvl w:val="0"/>
              <w:numId w:val="41"/>
            </w:numPr>
            <w:tabs>
              <w:tab w:val="left" w:pos="504"/>
            </w:tabs>
            <w:spacing w:line="360" w:lineRule="auto"/>
          </w:pPr>
          <w:r>
            <w:rPr>
              <w:rFonts w:hint="eastAsia"/>
            </w:rPr>
            <w:t>信用交易代理买卖证券款</w:t>
          </w:r>
        </w:p>
        <w:sdt>
          <w:sdtPr>
            <w:alias w:val="是否适用：信用交易代理买卖证券款"/>
            <w:tag w:val="_GBC_6b46eee91eff4765a28052bde0a47528"/>
            <w:id w:val="24725059"/>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rPr>
              <w:rFonts w:hint="eastAsia"/>
            </w:rPr>
            <w:t>单位：</w:t>
          </w:r>
          <w:sdt>
            <w:sdtPr>
              <w:rPr>
                <w:rFonts w:hint="eastAsia"/>
              </w:rPr>
              <w:alias w:val="单位：财务附注：信用交易代理买卖证券款"/>
              <w:tag w:val="_GBC_7ab66d5ca063419a85ca2d157f4aef84"/>
              <w:id w:val="247250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alias w:val="币种：财务附注：信用交易代理买卖证券款"/>
              <w:tag w:val="_GBC_9ed622f6165e49eb8b80b7f50a404fad"/>
              <w:id w:val="24725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18"/>
            <w:gridCol w:w="3016"/>
            <w:gridCol w:w="3015"/>
          </w:tblGrid>
          <w:tr w:rsidR="00DE031E" w:rsidTr="00DB0FB7">
            <w:tc>
              <w:tcPr>
                <w:tcW w:w="1667"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pPr>
                  <w:jc w:val="center"/>
                </w:pPr>
                <w:r>
                  <w:rPr>
                    <w:rFonts w:hint="eastAsia"/>
                  </w:rPr>
                  <w:t>项目</w:t>
                </w:r>
              </w:p>
            </w:tc>
            <w:tc>
              <w:tcPr>
                <w:tcW w:w="1666"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pPr>
                  <w:jc w:val="center"/>
                </w:pPr>
                <w:r>
                  <w:rPr>
                    <w:rFonts w:hint="eastAsia"/>
                  </w:rPr>
                  <w:t>期末账面余额</w:t>
                </w:r>
              </w:p>
            </w:tc>
            <w:tc>
              <w:tcPr>
                <w:tcW w:w="1666"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pPr>
                  <w:jc w:val="center"/>
                </w:pPr>
                <w:r>
                  <w:rPr>
                    <w:rFonts w:hint="eastAsia"/>
                  </w:rPr>
                  <w:t>期初账面余额</w:t>
                </w:r>
              </w:p>
            </w:tc>
          </w:tr>
          <w:tr w:rsidR="00DE031E" w:rsidTr="00DB0FB7">
            <w:tc>
              <w:tcPr>
                <w:tcW w:w="1667"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
                  <w:rPr>
                    <w:rFonts w:hint="eastAsia"/>
                  </w:rPr>
                  <w:t>个人</w:t>
                </w:r>
              </w:p>
            </w:tc>
            <w:sdt>
              <w:sdtPr>
                <w:rPr>
                  <w:color w:val="000000" w:themeColor="text1"/>
                </w:rPr>
                <w:alias w:val="个人的信用交易代理买卖证券款"/>
                <w:tag w:val="_GBC_7bf1dd5dae4646f19e274ff4aa27ac4c"/>
                <w:id w:val="24725062"/>
                <w:lock w:val="sdtLocked"/>
              </w:sdtPr>
              <w:sdtContent>
                <w:tc>
                  <w:tcPr>
                    <w:tcW w:w="1666" w:type="pct"/>
                    <w:tcBorders>
                      <w:top w:val="outset" w:sz="6" w:space="0" w:color="auto"/>
                      <w:left w:val="outset" w:sz="6" w:space="0" w:color="auto"/>
                      <w:bottom w:val="outset" w:sz="6" w:space="0" w:color="auto"/>
                      <w:right w:val="outset" w:sz="6" w:space="0" w:color="auto"/>
                    </w:tcBorders>
                    <w:vAlign w:val="center"/>
                  </w:tcPr>
                  <w:p w:rsidR="00DE031E" w:rsidRDefault="001C1A59">
                    <w:pPr>
                      <w:jc w:val="right"/>
                      <w:rPr>
                        <w:color w:val="000000" w:themeColor="text1"/>
                      </w:rPr>
                    </w:pPr>
                    <w:r>
                      <w:rPr>
                        <w:color w:val="000000" w:themeColor="text1"/>
                      </w:rPr>
                      <w:t>20,191,237,098.32</w:t>
                    </w:r>
                  </w:p>
                </w:tc>
              </w:sdtContent>
            </w:sdt>
            <w:sdt>
              <w:sdtPr>
                <w:rPr>
                  <w:color w:val="000000" w:themeColor="text1"/>
                </w:rPr>
                <w:alias w:val="个人的信用交易代理买卖证券款"/>
                <w:tag w:val="_GBC_fdd0583845ca44aebb1069e59ae85a37"/>
                <w:id w:val="24725063"/>
                <w:lock w:val="sdtLocked"/>
              </w:sdtPr>
              <w:sdtContent>
                <w:tc>
                  <w:tcPr>
                    <w:tcW w:w="1666" w:type="pct"/>
                    <w:tcBorders>
                      <w:top w:val="outset" w:sz="6" w:space="0" w:color="auto"/>
                      <w:left w:val="outset" w:sz="6" w:space="0" w:color="auto"/>
                      <w:bottom w:val="outset" w:sz="6" w:space="0" w:color="auto"/>
                      <w:right w:val="outset" w:sz="6" w:space="0" w:color="auto"/>
                    </w:tcBorders>
                    <w:vAlign w:val="center"/>
                  </w:tcPr>
                  <w:p w:rsidR="00DE031E" w:rsidRDefault="001C1A59">
                    <w:pPr>
                      <w:jc w:val="right"/>
                      <w:rPr>
                        <w:color w:val="000000" w:themeColor="text1"/>
                      </w:rPr>
                    </w:pPr>
                    <w:r>
                      <w:rPr>
                        <w:color w:val="000000" w:themeColor="text1"/>
                      </w:rPr>
                      <w:t>6,625,096,345.91</w:t>
                    </w:r>
                  </w:p>
                </w:tc>
              </w:sdtContent>
            </w:sdt>
          </w:tr>
          <w:tr w:rsidR="00DE031E" w:rsidTr="00DB0FB7">
            <w:tc>
              <w:tcPr>
                <w:tcW w:w="1667"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
                  <w:rPr>
                    <w:rFonts w:hint="eastAsia"/>
                  </w:rPr>
                  <w:t>机构</w:t>
                </w:r>
              </w:p>
            </w:tc>
            <w:sdt>
              <w:sdtPr>
                <w:rPr>
                  <w:color w:val="000000" w:themeColor="text1"/>
                </w:rPr>
                <w:alias w:val="机构的信用交易代理买卖证券款"/>
                <w:tag w:val="_GBC_164b4d1195a7405a9124c8bca4cd9894"/>
                <w:id w:val="24725064"/>
                <w:lock w:val="sdtLocked"/>
              </w:sdtPr>
              <w:sdtContent>
                <w:tc>
                  <w:tcPr>
                    <w:tcW w:w="1666" w:type="pct"/>
                    <w:tcBorders>
                      <w:top w:val="outset" w:sz="6" w:space="0" w:color="auto"/>
                      <w:left w:val="outset" w:sz="6" w:space="0" w:color="auto"/>
                      <w:bottom w:val="outset" w:sz="6" w:space="0" w:color="auto"/>
                      <w:right w:val="outset" w:sz="6" w:space="0" w:color="auto"/>
                    </w:tcBorders>
                    <w:vAlign w:val="center"/>
                  </w:tcPr>
                  <w:p w:rsidR="00DE031E" w:rsidRDefault="001C1A59">
                    <w:pPr>
                      <w:jc w:val="right"/>
                      <w:rPr>
                        <w:color w:val="000000" w:themeColor="text1"/>
                      </w:rPr>
                    </w:pPr>
                    <w:r>
                      <w:rPr>
                        <w:color w:val="000000" w:themeColor="text1"/>
                      </w:rPr>
                      <w:t>957,939,260.53</w:t>
                    </w:r>
                  </w:p>
                </w:tc>
              </w:sdtContent>
            </w:sdt>
            <w:sdt>
              <w:sdtPr>
                <w:rPr>
                  <w:color w:val="000000" w:themeColor="text1"/>
                </w:rPr>
                <w:alias w:val="机构的信用交易代理买卖证券款"/>
                <w:tag w:val="_GBC_d080334b251247f2857158c81028b0fd"/>
                <w:id w:val="24725065"/>
                <w:lock w:val="sdtLocked"/>
              </w:sdtPr>
              <w:sdtContent>
                <w:tc>
                  <w:tcPr>
                    <w:tcW w:w="1666" w:type="pct"/>
                    <w:tcBorders>
                      <w:top w:val="outset" w:sz="6" w:space="0" w:color="auto"/>
                      <w:left w:val="outset" w:sz="6" w:space="0" w:color="auto"/>
                      <w:bottom w:val="outset" w:sz="6" w:space="0" w:color="auto"/>
                      <w:right w:val="outset" w:sz="6" w:space="0" w:color="auto"/>
                    </w:tcBorders>
                    <w:vAlign w:val="center"/>
                  </w:tcPr>
                  <w:p w:rsidR="00DE031E" w:rsidRDefault="001C1A59">
                    <w:pPr>
                      <w:jc w:val="right"/>
                      <w:rPr>
                        <w:color w:val="000000" w:themeColor="text1"/>
                      </w:rPr>
                    </w:pPr>
                    <w:r>
                      <w:rPr>
                        <w:color w:val="000000" w:themeColor="text1"/>
                      </w:rPr>
                      <w:t>419,026,228.30</w:t>
                    </w:r>
                  </w:p>
                </w:tc>
              </w:sdtContent>
            </w:sdt>
          </w:tr>
          <w:tr w:rsidR="00DE031E" w:rsidTr="00DE031E">
            <w:trPr>
              <w:trHeight w:val="275"/>
            </w:trPr>
            <w:tc>
              <w:tcPr>
                <w:tcW w:w="1667"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spacing w:line="360" w:lineRule="auto"/>
                  <w:jc w:val="center"/>
                </w:pPr>
                <w:r>
                  <w:rPr>
                    <w:rFonts w:hint="eastAsia"/>
                  </w:rPr>
                  <w:t>合计</w:t>
                </w:r>
              </w:p>
            </w:tc>
            <w:sdt>
              <w:sdtPr>
                <w:rPr>
                  <w:color w:val="000000" w:themeColor="text1"/>
                </w:rPr>
                <w:alias w:val="信用交易代理买卖证券款"/>
                <w:tag w:val="_GBC_e371da6238b54dd983825bac764b95d4"/>
                <w:id w:val="24725066"/>
                <w:lock w:val="sdtLocked"/>
              </w:sdtPr>
              <w:sdtContent>
                <w:tc>
                  <w:tcPr>
                    <w:tcW w:w="16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spacing w:line="360" w:lineRule="auto"/>
                      <w:jc w:val="right"/>
                      <w:rPr>
                        <w:color w:val="000000" w:themeColor="text1"/>
                      </w:rPr>
                    </w:pPr>
                    <w:r>
                      <w:rPr>
                        <w:color w:val="000000" w:themeColor="text1"/>
                      </w:rPr>
                      <w:t>21,149,176,358.85</w:t>
                    </w:r>
                  </w:p>
                </w:tc>
              </w:sdtContent>
            </w:sdt>
            <w:sdt>
              <w:sdtPr>
                <w:rPr>
                  <w:color w:val="000000" w:themeColor="text1"/>
                </w:rPr>
                <w:alias w:val="信用交易代理买卖证券款"/>
                <w:tag w:val="_GBC_e453db4caf8a47cbb7f946cc7c9c175f"/>
                <w:id w:val="24725067"/>
                <w:lock w:val="sdtLocked"/>
              </w:sdtPr>
              <w:sdtContent>
                <w:tc>
                  <w:tcPr>
                    <w:tcW w:w="16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spacing w:line="360" w:lineRule="auto"/>
                      <w:jc w:val="right"/>
                      <w:rPr>
                        <w:color w:val="000000" w:themeColor="text1"/>
                      </w:rPr>
                    </w:pPr>
                    <w:r>
                      <w:rPr>
                        <w:color w:val="000000" w:themeColor="text1"/>
                      </w:rPr>
                      <w:t>7,044,122,574.21</w:t>
                    </w:r>
                  </w:p>
                </w:tc>
              </w:sdtContent>
            </w:sdt>
          </w:tr>
        </w:tbl>
        <w:sdt>
          <w:sdtPr>
            <w:rPr>
              <w:color w:val="000000" w:themeColor="text1"/>
            </w:rPr>
            <w:alias w:val="信用交易代理买卖证券款的说明"/>
            <w:tag w:val="_GBC_65152f0bdd964eb481622456fe537304"/>
            <w:id w:val="24725068"/>
            <w:lock w:val="sdtLocked"/>
            <w:placeholder>
              <w:docPart w:val="GBC22222222222222222222222222222"/>
            </w:placeholder>
          </w:sdtPr>
          <w:sdtContent>
            <w:p w:rsidR="00DE031E" w:rsidRDefault="001C1A59" w:rsidP="003A0284">
              <w:pPr>
                <w:widowControl w:val="0"/>
                <w:autoSpaceDE w:val="0"/>
                <w:autoSpaceDN w:val="0"/>
                <w:adjustRightInd w:val="0"/>
                <w:spacing w:beforeLines="50" w:line="360" w:lineRule="auto"/>
                <w:ind w:firstLineChars="200" w:firstLine="420"/>
                <w:rPr>
                  <w:color w:val="000000" w:themeColor="text1"/>
                </w:rPr>
              </w:pP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日，信用交易代理买卖证券款余额较年初增加</w:t>
              </w:r>
              <w:r>
                <w:rPr>
                  <w:rFonts w:ascii="Arial" w:hAnsi="Arial" w:cs="Arial" w:hint="eastAsia"/>
                  <w:sz w:val="22"/>
                  <w:szCs w:val="22"/>
                </w:rPr>
                <w:t>14</w:t>
              </w:r>
              <w:r>
                <w:rPr>
                  <w:rFonts w:ascii="Arial" w:hAnsi="Arial" w:cs="Arial"/>
                  <w:sz w:val="22"/>
                  <w:szCs w:val="22"/>
                </w:rPr>
                <w:t>,</w:t>
              </w:r>
              <w:r>
                <w:rPr>
                  <w:rFonts w:ascii="Arial" w:hAnsi="Arial" w:cs="Arial" w:hint="eastAsia"/>
                  <w:sz w:val="22"/>
                  <w:szCs w:val="22"/>
                </w:rPr>
                <w:t>105</w:t>
              </w:r>
              <w:r>
                <w:rPr>
                  <w:rFonts w:ascii="Arial" w:hAnsi="Arial" w:cs="Arial"/>
                  <w:sz w:val="22"/>
                  <w:szCs w:val="22"/>
                </w:rPr>
                <w:t>,</w:t>
              </w:r>
              <w:r>
                <w:rPr>
                  <w:rFonts w:ascii="Arial" w:hAnsi="Arial" w:cs="Arial" w:hint="eastAsia"/>
                  <w:sz w:val="22"/>
                  <w:szCs w:val="22"/>
                </w:rPr>
                <w:t>053</w:t>
              </w:r>
              <w:r>
                <w:rPr>
                  <w:rFonts w:ascii="Arial" w:hAnsi="Arial" w:cs="Arial"/>
                  <w:sz w:val="22"/>
                  <w:szCs w:val="22"/>
                </w:rPr>
                <w:t>,</w:t>
              </w:r>
              <w:r>
                <w:rPr>
                  <w:rFonts w:ascii="Arial" w:hAnsi="Arial" w:cs="Arial" w:hint="eastAsia"/>
                  <w:sz w:val="22"/>
                  <w:szCs w:val="22"/>
                </w:rPr>
                <w:t>784</w:t>
              </w:r>
              <w:r>
                <w:rPr>
                  <w:rFonts w:ascii="Arial" w:hAnsi="Arial" w:cs="Arial"/>
                  <w:sz w:val="22"/>
                  <w:szCs w:val="22"/>
                </w:rPr>
                <w:t>.</w:t>
              </w:r>
              <w:r>
                <w:rPr>
                  <w:rFonts w:ascii="Arial" w:hAnsi="Arial" w:cs="Arial" w:hint="eastAsia"/>
                  <w:sz w:val="22"/>
                  <w:szCs w:val="22"/>
                </w:rPr>
                <w:t>64</w:t>
              </w:r>
              <w:r>
                <w:rPr>
                  <w:rFonts w:hAnsi="Calibri" w:hint="eastAsia"/>
                  <w:sz w:val="22"/>
                  <w:szCs w:val="22"/>
                </w:rPr>
                <w:t>元，增幅</w:t>
              </w:r>
              <w:r>
                <w:rPr>
                  <w:rFonts w:ascii="Arial" w:hAnsi="Arial" w:cs="Arial"/>
                  <w:sz w:val="22"/>
                  <w:szCs w:val="22"/>
                </w:rPr>
                <w:t>2</w:t>
              </w:r>
              <w:r>
                <w:rPr>
                  <w:rFonts w:ascii="Arial" w:hAnsi="Arial" w:cs="Arial" w:hint="eastAsia"/>
                  <w:sz w:val="22"/>
                  <w:szCs w:val="22"/>
                </w:rPr>
                <w:t>00.24</w:t>
              </w:r>
              <w:r>
                <w:rPr>
                  <w:rFonts w:ascii="Arial" w:hAnsi="Arial" w:cs="Arial"/>
                  <w:sz w:val="22"/>
                  <w:szCs w:val="22"/>
                </w:rPr>
                <w:t>%</w:t>
              </w:r>
              <w:r>
                <w:rPr>
                  <w:rFonts w:hAnsi="Calibri" w:hint="eastAsia"/>
                  <w:sz w:val="22"/>
                  <w:szCs w:val="22"/>
                </w:rPr>
                <w:t>，主要原因系信用客户交易结算资金余额增加所致。</w:t>
              </w:r>
            </w:p>
          </w:sdtContent>
        </w:sdt>
      </w:sdtContent>
    </w:sdt>
    <w:sdt>
      <w:sdtPr>
        <w:rPr>
          <w:rFonts w:ascii="宋体" w:hAnsi="宋体" w:cs="宋体" w:hint="eastAsia"/>
          <w:b w:val="0"/>
          <w:bCs w:val="0"/>
          <w:kern w:val="0"/>
          <w:szCs w:val="21"/>
        </w:rPr>
        <w:tag w:val="_GBC_c6a901495ec44a7798e3a75ddb5e06bf"/>
        <w:id w:val="24725078"/>
        <w:lock w:val="sdtLocked"/>
        <w:placeholder>
          <w:docPart w:val="GBC22222222222222222222222222222"/>
        </w:placeholder>
      </w:sdtPr>
      <w:sdtEndPr>
        <w:rPr>
          <w:szCs w:val="24"/>
        </w:rPr>
      </w:sdtEndPr>
      <w:sdtContent>
        <w:p w:rsidR="00DE031E" w:rsidRDefault="001C1A59" w:rsidP="009950AC">
          <w:pPr>
            <w:pStyle w:val="3"/>
            <w:numPr>
              <w:ilvl w:val="0"/>
              <w:numId w:val="41"/>
            </w:numPr>
            <w:tabs>
              <w:tab w:val="left" w:pos="504"/>
            </w:tabs>
            <w:spacing w:line="360" w:lineRule="auto"/>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
            <w:tag w:val="_GBC_3a60c0d3d0534eba80b93475b0a6411f"/>
            <w:id w:val="24725070"/>
            <w:lock w:val="sdtContentLocked"/>
            <w:placeholder>
              <w:docPart w:val="GBC22222222222222222222222222222"/>
            </w:placeholder>
          </w:sdtPr>
          <w:sdtContent>
            <w:p w:rsidR="00DE031E" w:rsidRDefault="00422DCA">
              <w:pPr>
                <w:rPr>
                  <w:szCs w:val="21"/>
                </w:rPr>
              </w:pPr>
              <w:r>
                <w:rPr>
                  <w:szCs w:val="21"/>
                </w:rPr>
                <w:fldChar w:fldCharType="begin"/>
              </w:r>
              <w:r w:rsidR="001C1A59">
                <w:rPr>
                  <w:szCs w:val="21"/>
                </w:rPr>
                <w:instrText xml:space="preserve"> MACROBUTTON  SnrToggleCheckbox √适用 </w:instrText>
              </w:r>
              <w:r>
                <w:rPr>
                  <w:szCs w:val="21"/>
                </w:rPr>
                <w:fldChar w:fldCharType="end"/>
              </w:r>
              <w:r>
                <w:rPr>
                  <w:szCs w:val="21"/>
                </w:rPr>
                <w:fldChar w:fldCharType="begin"/>
              </w:r>
              <w:r w:rsidR="001C1A59">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299"/>
            <w:gridCol w:w="2905"/>
            <w:gridCol w:w="2845"/>
          </w:tblGrid>
          <w:tr w:rsidR="00DE031E" w:rsidTr="004F78D8">
            <w:tc>
              <w:tcPr>
                <w:tcW w:w="1823" w:type="pct"/>
                <w:shd w:val="clear" w:color="auto" w:fill="auto"/>
                <w:vAlign w:val="center"/>
              </w:tcPr>
              <w:p w:rsidR="00DE031E" w:rsidRDefault="001C1A59">
                <w:pPr>
                  <w:jc w:val="center"/>
                  <w:rPr>
                    <w:szCs w:val="21"/>
                  </w:rPr>
                </w:pPr>
                <w:r>
                  <w:rPr>
                    <w:rFonts w:hint="eastAsia"/>
                    <w:szCs w:val="21"/>
                  </w:rPr>
                  <w:t>项目</w:t>
                </w:r>
              </w:p>
            </w:tc>
            <w:tc>
              <w:tcPr>
                <w:tcW w:w="1605" w:type="pct"/>
                <w:tcBorders>
                  <w:bottom w:val="single" w:sz="6" w:space="0" w:color="auto"/>
                </w:tcBorders>
                <w:shd w:val="clear" w:color="auto" w:fill="auto"/>
                <w:vAlign w:val="center"/>
              </w:tcPr>
              <w:p w:rsidR="00DE031E" w:rsidRDefault="001C1A59">
                <w:pPr>
                  <w:jc w:val="center"/>
                  <w:rPr>
                    <w:szCs w:val="21"/>
                  </w:rPr>
                </w:pPr>
                <w:r>
                  <w:rPr>
                    <w:rFonts w:hint="eastAsia"/>
                    <w:szCs w:val="21"/>
                  </w:rPr>
                  <w:t>期末余额</w:t>
                </w:r>
              </w:p>
            </w:tc>
            <w:tc>
              <w:tcPr>
                <w:tcW w:w="1572" w:type="pct"/>
                <w:shd w:val="clear" w:color="auto" w:fill="auto"/>
                <w:vAlign w:val="center"/>
              </w:tcPr>
              <w:p w:rsidR="00DE031E" w:rsidRDefault="001C1A59">
                <w:pPr>
                  <w:jc w:val="center"/>
                  <w:rPr>
                    <w:szCs w:val="21"/>
                  </w:rPr>
                </w:pPr>
                <w:r>
                  <w:rPr>
                    <w:rFonts w:hint="eastAsia"/>
                    <w:szCs w:val="21"/>
                  </w:rPr>
                  <w:t>期初余额</w:t>
                </w:r>
              </w:p>
            </w:tc>
          </w:tr>
          <w:sdt>
            <w:sdtPr>
              <w:rPr>
                <w:szCs w:val="21"/>
              </w:rPr>
              <w:alias w:val="衍生金融负债明细"/>
              <w:tag w:val="_GBC_0c820de248e140ef91e71d85afe01751"/>
              <w:id w:val="24725074"/>
              <w:lock w:val="sdtLocked"/>
            </w:sdtPr>
            <w:sdtContent>
              <w:tr w:rsidR="00DE031E" w:rsidTr="00804092">
                <w:sdt>
                  <w:sdtPr>
                    <w:rPr>
                      <w:szCs w:val="21"/>
                    </w:rPr>
                    <w:alias w:val="衍生金融负债明细-项目名称"/>
                    <w:tag w:val="_GBC_d20b268d70e4405fa1023d3bcbd86d73"/>
                    <w:id w:val="24725071"/>
                    <w:lock w:val="sdtLocked"/>
                  </w:sdtPr>
                  <w:sdtContent>
                    <w:tc>
                      <w:tcPr>
                        <w:tcW w:w="1823" w:type="pct"/>
                        <w:shd w:val="clear" w:color="auto" w:fill="auto"/>
                        <w:vAlign w:val="center"/>
                      </w:tcPr>
                      <w:p w:rsidR="00DE031E" w:rsidRDefault="001C1A59" w:rsidP="00DE031E">
                        <w:pPr>
                          <w:rPr>
                            <w:szCs w:val="21"/>
                          </w:rPr>
                        </w:pPr>
                        <w:r>
                          <w:rPr>
                            <w:rFonts w:hint="eastAsia"/>
                            <w:szCs w:val="21"/>
                          </w:rPr>
                          <w:t>衍生金融负债</w:t>
                        </w:r>
                      </w:p>
                    </w:tc>
                  </w:sdtContent>
                </w:sdt>
                <w:sdt>
                  <w:sdtPr>
                    <w:rPr>
                      <w:szCs w:val="21"/>
                    </w:rPr>
                    <w:alias w:val="衍生金融负债明细-金额"/>
                    <w:tag w:val="_GBC_0eabe06b79e64f73a9a53394d8c79b6e"/>
                    <w:id w:val="24725072"/>
                    <w:lock w:val="sdtLocked"/>
                  </w:sdtPr>
                  <w:sdtContent>
                    <w:tc>
                      <w:tcPr>
                        <w:tcW w:w="1605" w:type="pct"/>
                        <w:tcBorders>
                          <w:top w:val="single" w:sz="6" w:space="0" w:color="auto"/>
                          <w:bottom w:val="single" w:sz="6" w:space="0" w:color="auto"/>
                        </w:tcBorders>
                        <w:shd w:val="clear" w:color="auto" w:fill="auto"/>
                      </w:tcPr>
                      <w:p w:rsidR="00DE031E" w:rsidRDefault="001C1A59">
                        <w:pPr>
                          <w:jc w:val="right"/>
                          <w:rPr>
                            <w:szCs w:val="21"/>
                          </w:rPr>
                        </w:pPr>
                        <w:r>
                          <w:rPr>
                            <w:szCs w:val="21"/>
                          </w:rPr>
                          <w:t>3,528,695,735.73</w:t>
                        </w:r>
                      </w:p>
                    </w:tc>
                  </w:sdtContent>
                </w:sdt>
                <w:sdt>
                  <w:sdtPr>
                    <w:rPr>
                      <w:szCs w:val="21"/>
                    </w:rPr>
                    <w:alias w:val="衍生金融负债明细-金额"/>
                    <w:tag w:val="_GBC_ae8bc64526bc467abc44c1ec41326581"/>
                    <w:id w:val="24725073"/>
                    <w:lock w:val="sdtLocked"/>
                  </w:sdtPr>
                  <w:sdtContent>
                    <w:tc>
                      <w:tcPr>
                        <w:tcW w:w="1572" w:type="pct"/>
                        <w:shd w:val="clear" w:color="auto" w:fill="auto"/>
                      </w:tcPr>
                      <w:p w:rsidR="00DE031E" w:rsidRDefault="001C1A59">
                        <w:pPr>
                          <w:jc w:val="right"/>
                          <w:rPr>
                            <w:szCs w:val="21"/>
                          </w:rPr>
                        </w:pPr>
                        <w:r>
                          <w:rPr>
                            <w:szCs w:val="21"/>
                          </w:rPr>
                          <w:t>849,865,227.37</w:t>
                        </w:r>
                      </w:p>
                    </w:tc>
                  </w:sdtContent>
                </w:sdt>
              </w:tr>
            </w:sdtContent>
          </w:sdt>
          <w:tr w:rsidR="00DE031E" w:rsidTr="004F78D8">
            <w:tc>
              <w:tcPr>
                <w:tcW w:w="1823" w:type="pct"/>
                <w:shd w:val="clear" w:color="auto" w:fill="auto"/>
                <w:vAlign w:val="center"/>
              </w:tcPr>
              <w:p w:rsidR="00DE031E" w:rsidRDefault="001C1A59">
                <w:pPr>
                  <w:jc w:val="center"/>
                  <w:rPr>
                    <w:szCs w:val="21"/>
                  </w:rPr>
                </w:pPr>
                <w:r>
                  <w:rPr>
                    <w:rFonts w:hint="eastAsia"/>
                    <w:szCs w:val="21"/>
                  </w:rPr>
                  <w:t>合计</w:t>
                </w:r>
              </w:p>
            </w:tc>
            <w:sdt>
              <w:sdtPr>
                <w:rPr>
                  <w:rFonts w:hint="eastAsia"/>
                  <w:szCs w:val="21"/>
                </w:rPr>
                <w:alias w:val="衍生金融负债"/>
                <w:tag w:val="_GBC_de9e06c774854898b4dbb17b189cd2a5"/>
                <w:id w:val="24725075"/>
                <w:lock w:val="sdtLocked"/>
              </w:sdtPr>
              <w:sdtContent>
                <w:tc>
                  <w:tcPr>
                    <w:tcW w:w="1605" w:type="pct"/>
                    <w:tcBorders>
                      <w:top w:val="single" w:sz="6" w:space="0" w:color="auto"/>
                      <w:bottom w:val="single" w:sz="4" w:space="0" w:color="auto"/>
                    </w:tcBorders>
                    <w:shd w:val="clear" w:color="auto" w:fill="auto"/>
                  </w:tcPr>
                  <w:p w:rsidR="00DE031E" w:rsidRDefault="001C1A59">
                    <w:pPr>
                      <w:jc w:val="right"/>
                      <w:rPr>
                        <w:szCs w:val="21"/>
                      </w:rPr>
                    </w:pPr>
                    <w:r>
                      <w:rPr>
                        <w:szCs w:val="21"/>
                      </w:rPr>
                      <w:t>3,528,695,735.73</w:t>
                    </w:r>
                  </w:p>
                </w:tc>
              </w:sdtContent>
            </w:sdt>
            <w:sdt>
              <w:sdtPr>
                <w:rPr>
                  <w:szCs w:val="21"/>
                </w:rPr>
                <w:alias w:val="衍生金融负债"/>
                <w:tag w:val="_GBC_301e1fd6d08543b595e0adcb4c5c3579"/>
                <w:id w:val="24725076"/>
                <w:lock w:val="sdtLocked"/>
              </w:sdtPr>
              <w:sdtContent>
                <w:tc>
                  <w:tcPr>
                    <w:tcW w:w="1572" w:type="pct"/>
                    <w:shd w:val="clear" w:color="auto" w:fill="auto"/>
                  </w:tcPr>
                  <w:p w:rsidR="00DE031E" w:rsidRDefault="001C1A59">
                    <w:pPr>
                      <w:jc w:val="right"/>
                      <w:rPr>
                        <w:szCs w:val="21"/>
                      </w:rPr>
                    </w:pPr>
                    <w:r>
                      <w:rPr>
                        <w:szCs w:val="21"/>
                      </w:rPr>
                      <w:t>849,865,227.37</w:t>
                    </w:r>
                  </w:p>
                </w:tc>
              </w:sdtContent>
            </w:sdt>
          </w:tr>
        </w:tbl>
        <w:sdt>
          <w:sdtPr>
            <w:rPr>
              <w:rFonts w:hint="eastAsia"/>
            </w:rPr>
            <w:alias w:val="衍生金融负债其他说明"/>
            <w:tag w:val="_GBC_f77906c141cc495fbf965565aa6438cd"/>
            <w:id w:val="24725077"/>
            <w:lock w:val="sdtLocked"/>
            <w:placeholder>
              <w:docPart w:val="GBC22222222222222222222222222222"/>
            </w:placeholder>
          </w:sdtPr>
          <w:sdtContent>
            <w:p w:rsidR="00DE031E" w:rsidRDefault="00DE031E" w:rsidP="00DE031E"/>
            <w:p w:rsidR="00DE031E" w:rsidRDefault="00DE031E" w:rsidP="00DE031E"/>
            <w:p w:rsidR="00DE031E" w:rsidRDefault="00DE031E" w:rsidP="00DE031E"/>
            <w:p w:rsidR="00DE031E" w:rsidRDefault="00DE031E" w:rsidP="00DE031E"/>
            <w:p w:rsidR="00DE031E" w:rsidRPr="005842A2" w:rsidRDefault="00422DCA" w:rsidP="00DE031E"/>
          </w:sdtContent>
        </w:sdt>
      </w:sdtContent>
    </w:sdt>
    <w:sdt>
      <w:sdtPr>
        <w:rPr>
          <w:rFonts w:ascii="宋体" w:hAnsi="宋体" w:cs="宋体" w:hint="eastAsia"/>
          <w:b w:val="0"/>
          <w:bCs w:val="0"/>
          <w:kern w:val="0"/>
          <w:szCs w:val="21"/>
        </w:rPr>
        <w:tag w:val="_GBC_e11ed63b70e84037a06d57e117a03229"/>
        <w:id w:val="24725113"/>
        <w:lock w:val="sdtLocked"/>
        <w:placeholder>
          <w:docPart w:val="GBC22222222222222222222222222222"/>
        </w:placeholder>
      </w:sdtPr>
      <w:sdtEndPr>
        <w:rPr>
          <w:rFonts w:hint="default"/>
          <w:szCs w:val="24"/>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应付款项</w:t>
          </w:r>
        </w:p>
        <w:sdt>
          <w:sdtPr>
            <w:alias w:val="是否适用：应付款项"/>
            <w:tag w:val="_GBC_e303999e7bcf49829ed000f91771ddfa"/>
            <w:id w:val="24725079"/>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rsidP="00DE031E">
          <w:pPr>
            <w:pStyle w:val="4"/>
            <w:spacing w:line="360" w:lineRule="auto"/>
            <w:rPr>
              <w:rFonts w:ascii="宋体" w:hAnsi="宋体"/>
              <w:szCs w:val="21"/>
            </w:rPr>
          </w:pPr>
          <w:r>
            <w:rPr>
              <w:rFonts w:ascii="宋体" w:hAnsi="宋体" w:hint="eastAsia"/>
              <w:szCs w:val="21"/>
            </w:rPr>
            <w:t>应付款项列示</w:t>
          </w:r>
        </w:p>
        <w:p w:rsidR="00DE031E" w:rsidRDefault="001C1A59">
          <w:pPr>
            <w:jc w:val="right"/>
            <w:rPr>
              <w:szCs w:val="21"/>
            </w:rPr>
          </w:pPr>
          <w:r>
            <w:rPr>
              <w:rFonts w:hint="eastAsia"/>
              <w:szCs w:val="21"/>
            </w:rPr>
            <w:t>单位：</w:t>
          </w:r>
          <w:sdt>
            <w:sdtPr>
              <w:rPr>
                <w:rFonts w:hint="eastAsia"/>
                <w:szCs w:val="21"/>
              </w:rPr>
              <w:alias w:val="单位：财务附注：应付账款情况"/>
              <w:tag w:val="_GBC_428523eb5dc34f26aefe987ecd98a772"/>
              <w:id w:val="247250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c2477872c1774bcaaed87ab48644a74e"/>
              <w:id w:val="24725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3077"/>
            <w:gridCol w:w="3074"/>
          </w:tblGrid>
          <w:tr w:rsidR="00DE031E" w:rsidTr="00DE031E">
            <w:tc>
              <w:tcPr>
                <w:tcW w:w="1666" w:type="pct"/>
                <w:tcBorders>
                  <w:bottom w:val="single" w:sz="4" w:space="0" w:color="auto"/>
                </w:tcBorders>
                <w:shd w:val="clear" w:color="auto" w:fill="auto"/>
              </w:tcPr>
              <w:p w:rsidR="00DE031E" w:rsidRDefault="001C1A59" w:rsidP="00DE031E">
                <w:pPr>
                  <w:jc w:val="center"/>
                  <w:rPr>
                    <w:szCs w:val="21"/>
                  </w:rPr>
                </w:pPr>
                <w:r>
                  <w:rPr>
                    <w:rFonts w:hint="eastAsia"/>
                    <w:szCs w:val="21"/>
                  </w:rPr>
                  <w:t>项目</w:t>
                </w:r>
              </w:p>
            </w:tc>
            <w:tc>
              <w:tcPr>
                <w:tcW w:w="1668" w:type="pct"/>
                <w:tcBorders>
                  <w:bottom w:val="single" w:sz="4" w:space="0" w:color="auto"/>
                </w:tcBorders>
                <w:shd w:val="clear" w:color="auto" w:fill="auto"/>
              </w:tcPr>
              <w:p w:rsidR="00DE031E" w:rsidRDefault="001C1A59" w:rsidP="00DE031E">
                <w:pPr>
                  <w:jc w:val="center"/>
                  <w:rPr>
                    <w:szCs w:val="21"/>
                  </w:rPr>
                </w:pPr>
                <w:r>
                  <w:rPr>
                    <w:rFonts w:hint="eastAsia"/>
                    <w:szCs w:val="21"/>
                  </w:rPr>
                  <w:t>期末余额</w:t>
                </w:r>
              </w:p>
            </w:tc>
            <w:tc>
              <w:tcPr>
                <w:tcW w:w="1666" w:type="pct"/>
                <w:tcBorders>
                  <w:bottom w:val="single" w:sz="4" w:space="0" w:color="auto"/>
                </w:tcBorders>
                <w:shd w:val="clear" w:color="auto" w:fill="auto"/>
              </w:tcPr>
              <w:p w:rsidR="00DE031E" w:rsidRDefault="001C1A59" w:rsidP="00DE031E">
                <w:pPr>
                  <w:jc w:val="center"/>
                  <w:rPr>
                    <w:szCs w:val="21"/>
                  </w:rPr>
                </w:pPr>
                <w:r>
                  <w:rPr>
                    <w:rFonts w:hint="eastAsia"/>
                    <w:szCs w:val="21"/>
                  </w:rPr>
                  <w:t>期初余额</w:t>
                </w:r>
              </w:p>
            </w:tc>
          </w:tr>
          <w:sdt>
            <w:sdtPr>
              <w:rPr>
                <w:color w:val="000000" w:themeColor="text1"/>
                <w:szCs w:val="21"/>
              </w:rPr>
              <w:alias w:val="应付账款情况明细"/>
              <w:tag w:val="_GBC_38eac1b9b5664defaec22a59e02512e2"/>
              <w:id w:val="24725085"/>
              <w:lock w:val="sdtLocked"/>
            </w:sdtPr>
            <w:sdtContent>
              <w:tr w:rsidR="00DE031E" w:rsidTr="00DE031E">
                <w:sdt>
                  <w:sdtPr>
                    <w:rPr>
                      <w:color w:val="000000" w:themeColor="text1"/>
                      <w:szCs w:val="21"/>
                    </w:rPr>
                    <w:alias w:val="应付账款情况明细-项目"/>
                    <w:tag w:val="_GBC_8b88a4c945834baf9b689bef67e6d030"/>
                    <w:id w:val="24725082"/>
                    <w:lock w:val="sdtLocked"/>
                  </w:sdtPr>
                  <w:sdtContent>
                    <w:tc>
                      <w:tcPr>
                        <w:tcW w:w="1666" w:type="pct"/>
                      </w:tcPr>
                      <w:p w:rsidR="00DE031E" w:rsidRDefault="001C1A59" w:rsidP="00DE031E">
                        <w:pPr>
                          <w:rPr>
                            <w:color w:val="000000" w:themeColor="text1"/>
                            <w:szCs w:val="21"/>
                          </w:rPr>
                        </w:pPr>
                        <w:r>
                          <w:rPr>
                            <w:rFonts w:hint="eastAsia"/>
                            <w:color w:val="000000" w:themeColor="text1"/>
                            <w:szCs w:val="21"/>
                          </w:rPr>
                          <w:t>应付清算款</w:t>
                        </w:r>
                      </w:p>
                    </w:tc>
                  </w:sdtContent>
                </w:sdt>
                <w:sdt>
                  <w:sdtPr>
                    <w:rPr>
                      <w:szCs w:val="21"/>
                    </w:rPr>
                    <w:alias w:val="应付账款情况明细-金额"/>
                    <w:tag w:val="_GBC_3cf76a7adadd46d4b6aad4cca8705251"/>
                    <w:id w:val="24725083"/>
                    <w:lock w:val="sdtLocked"/>
                  </w:sdtPr>
                  <w:sdtContent>
                    <w:tc>
                      <w:tcPr>
                        <w:tcW w:w="1668" w:type="pct"/>
                      </w:tcPr>
                      <w:p w:rsidR="00DE031E" w:rsidRDefault="001C1A59" w:rsidP="00DE031E">
                        <w:pPr>
                          <w:jc w:val="right"/>
                          <w:rPr>
                            <w:szCs w:val="21"/>
                          </w:rPr>
                        </w:pPr>
                        <w:r>
                          <w:rPr>
                            <w:szCs w:val="21"/>
                          </w:rPr>
                          <w:t>622,529,375.07</w:t>
                        </w:r>
                      </w:p>
                    </w:tc>
                  </w:sdtContent>
                </w:sdt>
                <w:sdt>
                  <w:sdtPr>
                    <w:rPr>
                      <w:szCs w:val="21"/>
                    </w:rPr>
                    <w:alias w:val="应付账款情况明细-金额"/>
                    <w:tag w:val="_GBC_00ce8d168891498e9daf5688f376e033"/>
                    <w:id w:val="24725084"/>
                    <w:lock w:val="sdtLocked"/>
                  </w:sdtPr>
                  <w:sdtContent>
                    <w:tc>
                      <w:tcPr>
                        <w:tcW w:w="1666" w:type="pct"/>
                      </w:tcPr>
                      <w:p w:rsidR="00DE031E" w:rsidRDefault="001C1A59" w:rsidP="00DE031E">
                        <w:pPr>
                          <w:jc w:val="right"/>
                          <w:rPr>
                            <w:szCs w:val="21"/>
                          </w:rPr>
                        </w:pPr>
                        <w:r>
                          <w:rPr>
                            <w:szCs w:val="21"/>
                          </w:rPr>
                          <w:t>1,246,167,444.60</w:t>
                        </w:r>
                      </w:p>
                    </w:tc>
                  </w:sdtContent>
                </w:sdt>
              </w:tr>
            </w:sdtContent>
          </w:sdt>
          <w:sdt>
            <w:sdtPr>
              <w:rPr>
                <w:color w:val="000000" w:themeColor="text1"/>
                <w:szCs w:val="21"/>
              </w:rPr>
              <w:alias w:val="应付账款情况明细"/>
              <w:tag w:val="_GBC_38eac1b9b5664defaec22a59e02512e2"/>
              <w:id w:val="24725089"/>
              <w:lock w:val="sdtLocked"/>
            </w:sdtPr>
            <w:sdtContent>
              <w:tr w:rsidR="00DE031E" w:rsidTr="00DE031E">
                <w:sdt>
                  <w:sdtPr>
                    <w:rPr>
                      <w:color w:val="000000" w:themeColor="text1"/>
                      <w:szCs w:val="21"/>
                    </w:rPr>
                    <w:alias w:val="应付账款情况明细-项目"/>
                    <w:tag w:val="_GBC_8b88a4c945834baf9b689bef67e6d030"/>
                    <w:id w:val="24725086"/>
                    <w:lock w:val="sdtLocked"/>
                  </w:sdtPr>
                  <w:sdtEndPr>
                    <w:rPr>
                      <w:color w:val="auto"/>
                    </w:rPr>
                  </w:sdtEndPr>
                  <w:sdtContent>
                    <w:tc>
                      <w:tcPr>
                        <w:tcW w:w="1666" w:type="pct"/>
                      </w:tcPr>
                      <w:p w:rsidR="00DE031E" w:rsidRDefault="001C1A59" w:rsidP="00DE031E">
                        <w:pPr>
                          <w:rPr>
                            <w:szCs w:val="21"/>
                          </w:rPr>
                        </w:pPr>
                        <w:r>
                          <w:rPr>
                            <w:rFonts w:hint="eastAsia"/>
                            <w:szCs w:val="21"/>
                          </w:rPr>
                          <w:t>应付手续费及佣金</w:t>
                        </w:r>
                      </w:p>
                    </w:tc>
                  </w:sdtContent>
                </w:sdt>
                <w:sdt>
                  <w:sdtPr>
                    <w:rPr>
                      <w:szCs w:val="21"/>
                    </w:rPr>
                    <w:alias w:val="应付账款情况明细-金额"/>
                    <w:tag w:val="_GBC_3cf76a7adadd46d4b6aad4cca8705251"/>
                    <w:id w:val="24725087"/>
                    <w:lock w:val="sdtLocked"/>
                  </w:sdtPr>
                  <w:sdtContent>
                    <w:tc>
                      <w:tcPr>
                        <w:tcW w:w="1668" w:type="pct"/>
                      </w:tcPr>
                      <w:p w:rsidR="00DE031E" w:rsidRDefault="001C1A59" w:rsidP="00DE031E">
                        <w:pPr>
                          <w:jc w:val="right"/>
                          <w:rPr>
                            <w:szCs w:val="21"/>
                          </w:rPr>
                        </w:pPr>
                        <w:r>
                          <w:rPr>
                            <w:szCs w:val="21"/>
                          </w:rPr>
                          <w:t>193,976,196.6</w:t>
                        </w:r>
                        <w:r>
                          <w:rPr>
                            <w:rFonts w:hint="eastAsia"/>
                            <w:szCs w:val="21"/>
                          </w:rPr>
                          <w:t>1</w:t>
                        </w:r>
                      </w:p>
                    </w:tc>
                  </w:sdtContent>
                </w:sdt>
                <w:sdt>
                  <w:sdtPr>
                    <w:rPr>
                      <w:szCs w:val="21"/>
                    </w:rPr>
                    <w:alias w:val="应付账款情况明细-金额"/>
                    <w:tag w:val="_GBC_00ce8d168891498e9daf5688f376e033"/>
                    <w:id w:val="24725088"/>
                    <w:lock w:val="sdtLocked"/>
                  </w:sdtPr>
                  <w:sdtContent>
                    <w:tc>
                      <w:tcPr>
                        <w:tcW w:w="1666" w:type="pct"/>
                      </w:tcPr>
                      <w:p w:rsidR="00DE031E" w:rsidRDefault="001C1A59" w:rsidP="00DE031E">
                        <w:pPr>
                          <w:jc w:val="right"/>
                          <w:rPr>
                            <w:szCs w:val="21"/>
                          </w:rPr>
                        </w:pPr>
                        <w:r>
                          <w:rPr>
                            <w:szCs w:val="21"/>
                          </w:rPr>
                          <w:t>72,107,151.11</w:t>
                        </w:r>
                      </w:p>
                    </w:tc>
                  </w:sdtContent>
                </w:sdt>
              </w:tr>
            </w:sdtContent>
          </w:sdt>
          <w:sdt>
            <w:sdtPr>
              <w:rPr>
                <w:color w:val="000000" w:themeColor="text1"/>
                <w:szCs w:val="21"/>
              </w:rPr>
              <w:alias w:val="应付账款情况明细"/>
              <w:tag w:val="_GBC_38eac1b9b5664defaec22a59e02512e2"/>
              <w:id w:val="24725093"/>
              <w:lock w:val="sdtLocked"/>
            </w:sdtPr>
            <w:sdtContent>
              <w:tr w:rsidR="00DE031E" w:rsidTr="00DE031E">
                <w:sdt>
                  <w:sdtPr>
                    <w:rPr>
                      <w:color w:val="000000" w:themeColor="text1"/>
                      <w:szCs w:val="21"/>
                    </w:rPr>
                    <w:alias w:val="应付账款情况明细-项目"/>
                    <w:tag w:val="_GBC_8b88a4c945834baf9b689bef67e6d030"/>
                    <w:id w:val="24725090"/>
                    <w:lock w:val="sdtLocked"/>
                  </w:sdtPr>
                  <w:sdtEndPr>
                    <w:rPr>
                      <w:color w:val="auto"/>
                    </w:rPr>
                  </w:sdtEndPr>
                  <w:sdtContent>
                    <w:tc>
                      <w:tcPr>
                        <w:tcW w:w="1666" w:type="pct"/>
                      </w:tcPr>
                      <w:p w:rsidR="00DE031E" w:rsidRDefault="001C1A59" w:rsidP="00DE031E">
                        <w:pPr>
                          <w:rPr>
                            <w:szCs w:val="21"/>
                          </w:rPr>
                        </w:pPr>
                        <w:r>
                          <w:rPr>
                            <w:rFonts w:hint="eastAsia"/>
                            <w:color w:val="000000" w:themeColor="text1"/>
                            <w:szCs w:val="21"/>
                          </w:rPr>
                          <w:t>应付期货风险准备金</w:t>
                        </w:r>
                      </w:p>
                    </w:tc>
                  </w:sdtContent>
                </w:sdt>
                <w:sdt>
                  <w:sdtPr>
                    <w:rPr>
                      <w:szCs w:val="21"/>
                    </w:rPr>
                    <w:alias w:val="应付账款情况明细-金额"/>
                    <w:tag w:val="_GBC_3cf76a7adadd46d4b6aad4cca8705251"/>
                    <w:id w:val="24725091"/>
                    <w:lock w:val="sdtLocked"/>
                  </w:sdtPr>
                  <w:sdtContent>
                    <w:tc>
                      <w:tcPr>
                        <w:tcW w:w="1668" w:type="pct"/>
                      </w:tcPr>
                      <w:p w:rsidR="00DE031E" w:rsidRDefault="001C1A59" w:rsidP="00DE031E">
                        <w:pPr>
                          <w:jc w:val="right"/>
                          <w:rPr>
                            <w:szCs w:val="21"/>
                          </w:rPr>
                        </w:pPr>
                        <w:r>
                          <w:rPr>
                            <w:szCs w:val="21"/>
                          </w:rPr>
                          <w:t>41,281,893.04</w:t>
                        </w:r>
                      </w:p>
                    </w:tc>
                  </w:sdtContent>
                </w:sdt>
                <w:sdt>
                  <w:sdtPr>
                    <w:rPr>
                      <w:szCs w:val="21"/>
                    </w:rPr>
                    <w:alias w:val="应付账款情况明细-金额"/>
                    <w:tag w:val="_GBC_00ce8d168891498e9daf5688f376e033"/>
                    <w:id w:val="24725092"/>
                    <w:lock w:val="sdtLocked"/>
                  </w:sdtPr>
                  <w:sdtContent>
                    <w:tc>
                      <w:tcPr>
                        <w:tcW w:w="1666" w:type="pct"/>
                      </w:tcPr>
                      <w:p w:rsidR="00DE031E" w:rsidRDefault="001C1A59" w:rsidP="00DE031E">
                        <w:pPr>
                          <w:jc w:val="right"/>
                          <w:rPr>
                            <w:szCs w:val="21"/>
                          </w:rPr>
                        </w:pPr>
                        <w:r>
                          <w:rPr>
                            <w:szCs w:val="21"/>
                          </w:rPr>
                          <w:t>32,903,036.71</w:t>
                        </w:r>
                      </w:p>
                    </w:tc>
                  </w:sdtContent>
                </w:sdt>
              </w:tr>
            </w:sdtContent>
          </w:sdt>
          <w:sdt>
            <w:sdtPr>
              <w:rPr>
                <w:color w:val="000000" w:themeColor="text1"/>
                <w:szCs w:val="21"/>
              </w:rPr>
              <w:alias w:val="应付账款情况明细"/>
              <w:tag w:val="_GBC_38eac1b9b5664defaec22a59e02512e2"/>
              <w:id w:val="24725097"/>
              <w:lock w:val="sdtLocked"/>
            </w:sdtPr>
            <w:sdtContent>
              <w:tr w:rsidR="00DE031E" w:rsidTr="00DE031E">
                <w:sdt>
                  <w:sdtPr>
                    <w:rPr>
                      <w:color w:val="000000" w:themeColor="text1"/>
                      <w:szCs w:val="21"/>
                    </w:rPr>
                    <w:alias w:val="应付账款情况明细-项目"/>
                    <w:tag w:val="_GBC_8b88a4c945834baf9b689bef67e6d030"/>
                    <w:id w:val="24725094"/>
                    <w:lock w:val="sdtLocked"/>
                  </w:sdtPr>
                  <w:sdtContent>
                    <w:tc>
                      <w:tcPr>
                        <w:tcW w:w="1666" w:type="pct"/>
                      </w:tcPr>
                      <w:p w:rsidR="00DE031E" w:rsidRDefault="001C1A59" w:rsidP="00DE031E">
                        <w:pPr>
                          <w:rPr>
                            <w:color w:val="000000" w:themeColor="text1"/>
                            <w:szCs w:val="21"/>
                          </w:rPr>
                        </w:pPr>
                        <w:r>
                          <w:rPr>
                            <w:rFonts w:hint="eastAsia"/>
                            <w:color w:val="000000" w:themeColor="text1"/>
                            <w:szCs w:val="21"/>
                          </w:rPr>
                          <w:t>应付客户保证金</w:t>
                        </w:r>
                      </w:p>
                    </w:tc>
                  </w:sdtContent>
                </w:sdt>
                <w:sdt>
                  <w:sdtPr>
                    <w:rPr>
                      <w:szCs w:val="21"/>
                    </w:rPr>
                    <w:alias w:val="应付账款情况明细-金额"/>
                    <w:tag w:val="_GBC_3cf76a7adadd46d4b6aad4cca8705251"/>
                    <w:id w:val="24725095"/>
                    <w:lock w:val="sdtLocked"/>
                  </w:sdtPr>
                  <w:sdtContent>
                    <w:tc>
                      <w:tcPr>
                        <w:tcW w:w="1668" w:type="pct"/>
                      </w:tcPr>
                      <w:p w:rsidR="00DE031E" w:rsidRDefault="001C1A59" w:rsidP="00DE031E">
                        <w:pPr>
                          <w:jc w:val="right"/>
                          <w:rPr>
                            <w:szCs w:val="21"/>
                          </w:rPr>
                        </w:pPr>
                        <w:r>
                          <w:rPr>
                            <w:szCs w:val="21"/>
                          </w:rPr>
                          <w:t>6,366,307,073.10</w:t>
                        </w:r>
                      </w:p>
                    </w:tc>
                  </w:sdtContent>
                </w:sdt>
                <w:sdt>
                  <w:sdtPr>
                    <w:rPr>
                      <w:szCs w:val="21"/>
                    </w:rPr>
                    <w:alias w:val="应付账款情况明细-金额"/>
                    <w:tag w:val="_GBC_00ce8d168891498e9daf5688f376e033"/>
                    <w:id w:val="24725096"/>
                    <w:lock w:val="sdtLocked"/>
                  </w:sdtPr>
                  <w:sdtContent>
                    <w:tc>
                      <w:tcPr>
                        <w:tcW w:w="1666" w:type="pct"/>
                      </w:tcPr>
                      <w:p w:rsidR="00DE031E" w:rsidRDefault="001C1A59" w:rsidP="00DE031E">
                        <w:pPr>
                          <w:jc w:val="right"/>
                          <w:rPr>
                            <w:szCs w:val="21"/>
                          </w:rPr>
                        </w:pPr>
                        <w:r>
                          <w:rPr>
                            <w:szCs w:val="21"/>
                          </w:rPr>
                          <w:t>3,473,562,024.29</w:t>
                        </w:r>
                      </w:p>
                    </w:tc>
                  </w:sdtContent>
                </w:sdt>
              </w:tr>
            </w:sdtContent>
          </w:sdt>
          <w:sdt>
            <w:sdtPr>
              <w:rPr>
                <w:color w:val="000000" w:themeColor="text1"/>
                <w:szCs w:val="21"/>
              </w:rPr>
              <w:alias w:val="应付账款情况明细"/>
              <w:tag w:val="_GBC_38eac1b9b5664defaec22a59e02512e2"/>
              <w:id w:val="24725101"/>
              <w:lock w:val="sdtLocked"/>
            </w:sdtPr>
            <w:sdtContent>
              <w:tr w:rsidR="00DE031E" w:rsidTr="00DE031E">
                <w:sdt>
                  <w:sdtPr>
                    <w:rPr>
                      <w:color w:val="000000" w:themeColor="text1"/>
                      <w:szCs w:val="21"/>
                    </w:rPr>
                    <w:alias w:val="应付账款情况明细-项目"/>
                    <w:tag w:val="_GBC_8b88a4c945834baf9b689bef67e6d030"/>
                    <w:id w:val="24725098"/>
                    <w:lock w:val="sdtLocked"/>
                  </w:sdtPr>
                  <w:sdtEndPr>
                    <w:rPr>
                      <w:color w:val="auto"/>
                    </w:rPr>
                  </w:sdtEndPr>
                  <w:sdtContent>
                    <w:tc>
                      <w:tcPr>
                        <w:tcW w:w="1666" w:type="pct"/>
                      </w:tcPr>
                      <w:p w:rsidR="00DE031E" w:rsidRDefault="001C1A59" w:rsidP="00DE031E">
                        <w:pPr>
                          <w:rPr>
                            <w:szCs w:val="21"/>
                          </w:rPr>
                        </w:pPr>
                        <w:r>
                          <w:rPr>
                            <w:rFonts w:hint="eastAsia"/>
                            <w:color w:val="000000" w:themeColor="text1"/>
                            <w:szCs w:val="21"/>
                          </w:rPr>
                          <w:t>应付结构化主体持有人净资产</w:t>
                        </w:r>
                      </w:p>
                    </w:tc>
                  </w:sdtContent>
                </w:sdt>
                <w:sdt>
                  <w:sdtPr>
                    <w:rPr>
                      <w:szCs w:val="21"/>
                    </w:rPr>
                    <w:alias w:val="应付账款情况明细-金额"/>
                    <w:tag w:val="_GBC_3cf76a7adadd46d4b6aad4cca8705251"/>
                    <w:id w:val="24725099"/>
                    <w:lock w:val="sdtLocked"/>
                  </w:sdtPr>
                  <w:sdtContent>
                    <w:tc>
                      <w:tcPr>
                        <w:tcW w:w="1668" w:type="pct"/>
                      </w:tcPr>
                      <w:p w:rsidR="00DE031E" w:rsidRDefault="001C1A59" w:rsidP="00DE031E">
                        <w:pPr>
                          <w:jc w:val="right"/>
                          <w:rPr>
                            <w:szCs w:val="21"/>
                          </w:rPr>
                        </w:pPr>
                        <w:r>
                          <w:rPr>
                            <w:szCs w:val="21"/>
                          </w:rPr>
                          <w:t>617,627,418.59</w:t>
                        </w:r>
                      </w:p>
                    </w:tc>
                  </w:sdtContent>
                </w:sdt>
                <w:sdt>
                  <w:sdtPr>
                    <w:rPr>
                      <w:szCs w:val="21"/>
                    </w:rPr>
                    <w:alias w:val="应付账款情况明细-金额"/>
                    <w:tag w:val="_GBC_00ce8d168891498e9daf5688f376e033"/>
                    <w:id w:val="24725100"/>
                    <w:lock w:val="sdtLocked"/>
                  </w:sdtPr>
                  <w:sdtContent>
                    <w:tc>
                      <w:tcPr>
                        <w:tcW w:w="1666" w:type="pct"/>
                      </w:tcPr>
                      <w:p w:rsidR="00DE031E" w:rsidRDefault="001C1A59" w:rsidP="00DE031E">
                        <w:pPr>
                          <w:jc w:val="right"/>
                          <w:rPr>
                            <w:szCs w:val="21"/>
                          </w:rPr>
                        </w:pPr>
                        <w:r>
                          <w:rPr>
                            <w:szCs w:val="21"/>
                          </w:rPr>
                          <w:t>844,593,862.50</w:t>
                        </w:r>
                      </w:p>
                    </w:tc>
                  </w:sdtContent>
                </w:sdt>
              </w:tr>
            </w:sdtContent>
          </w:sdt>
          <w:sdt>
            <w:sdtPr>
              <w:rPr>
                <w:color w:val="000000" w:themeColor="text1"/>
                <w:szCs w:val="21"/>
              </w:rPr>
              <w:alias w:val="应付账款情况明细"/>
              <w:tag w:val="_GBC_38eac1b9b5664defaec22a59e02512e2"/>
              <w:id w:val="24725105"/>
              <w:lock w:val="sdtLocked"/>
            </w:sdtPr>
            <w:sdtContent>
              <w:tr w:rsidR="00DE031E" w:rsidTr="00DE031E">
                <w:sdt>
                  <w:sdtPr>
                    <w:rPr>
                      <w:color w:val="000000" w:themeColor="text1"/>
                      <w:szCs w:val="21"/>
                    </w:rPr>
                    <w:alias w:val="应付账款情况明细-项目"/>
                    <w:tag w:val="_GBC_8b88a4c945834baf9b689bef67e6d030"/>
                    <w:id w:val="24725102"/>
                    <w:lock w:val="sdtLocked"/>
                  </w:sdtPr>
                  <w:sdtEndPr>
                    <w:rPr>
                      <w:color w:val="auto"/>
                    </w:rPr>
                  </w:sdtEndPr>
                  <w:sdtContent>
                    <w:tc>
                      <w:tcPr>
                        <w:tcW w:w="1666" w:type="pct"/>
                      </w:tcPr>
                      <w:p w:rsidR="00DE031E" w:rsidRDefault="001C1A59" w:rsidP="00DE031E">
                        <w:pPr>
                          <w:rPr>
                            <w:szCs w:val="21"/>
                          </w:rPr>
                        </w:pPr>
                        <w:r>
                          <w:rPr>
                            <w:rFonts w:hint="eastAsia"/>
                            <w:color w:val="000000" w:themeColor="text1"/>
                            <w:szCs w:val="21"/>
                          </w:rPr>
                          <w:t>应付行家往来款</w:t>
                        </w:r>
                      </w:p>
                    </w:tc>
                  </w:sdtContent>
                </w:sdt>
                <w:sdt>
                  <w:sdtPr>
                    <w:rPr>
                      <w:szCs w:val="21"/>
                    </w:rPr>
                    <w:alias w:val="应付账款情况明细-金额"/>
                    <w:tag w:val="_GBC_3cf76a7adadd46d4b6aad4cca8705251"/>
                    <w:id w:val="24725103"/>
                    <w:lock w:val="sdtLocked"/>
                  </w:sdtPr>
                  <w:sdtContent>
                    <w:tc>
                      <w:tcPr>
                        <w:tcW w:w="1668" w:type="pct"/>
                      </w:tcPr>
                      <w:p w:rsidR="00DE031E" w:rsidRDefault="001C1A59" w:rsidP="00DE031E">
                        <w:pPr>
                          <w:jc w:val="right"/>
                          <w:rPr>
                            <w:szCs w:val="21"/>
                          </w:rPr>
                        </w:pPr>
                        <w:r>
                          <w:rPr>
                            <w:szCs w:val="21"/>
                          </w:rPr>
                          <w:t>1,078,350,933.34</w:t>
                        </w:r>
                      </w:p>
                    </w:tc>
                  </w:sdtContent>
                </w:sdt>
                <w:sdt>
                  <w:sdtPr>
                    <w:rPr>
                      <w:szCs w:val="21"/>
                    </w:rPr>
                    <w:alias w:val="应付账款情况明细-金额"/>
                    <w:tag w:val="_GBC_00ce8d168891498e9daf5688f376e033"/>
                    <w:id w:val="24725104"/>
                    <w:lock w:val="sdtLocked"/>
                  </w:sdtPr>
                  <w:sdtContent>
                    <w:tc>
                      <w:tcPr>
                        <w:tcW w:w="1666" w:type="pct"/>
                      </w:tcPr>
                      <w:p w:rsidR="00DE031E" w:rsidRDefault="001C1A59" w:rsidP="00DE031E">
                        <w:pPr>
                          <w:jc w:val="right"/>
                          <w:rPr>
                            <w:szCs w:val="21"/>
                          </w:rPr>
                        </w:pPr>
                        <w:r>
                          <w:rPr>
                            <w:szCs w:val="21"/>
                          </w:rPr>
                          <w:t>764,061,944.95</w:t>
                        </w:r>
                      </w:p>
                    </w:tc>
                  </w:sdtContent>
                </w:sdt>
              </w:tr>
            </w:sdtContent>
          </w:sdt>
          <w:sdt>
            <w:sdtPr>
              <w:rPr>
                <w:color w:val="000000" w:themeColor="text1"/>
                <w:szCs w:val="21"/>
              </w:rPr>
              <w:alias w:val="应付账款情况明细"/>
              <w:tag w:val="_GBC_38eac1b9b5664defaec22a59e02512e2"/>
              <w:id w:val="24725109"/>
              <w:lock w:val="sdtLocked"/>
            </w:sdtPr>
            <w:sdtContent>
              <w:tr w:rsidR="00DE031E" w:rsidTr="00DE031E">
                <w:sdt>
                  <w:sdtPr>
                    <w:rPr>
                      <w:color w:val="000000" w:themeColor="text1"/>
                      <w:szCs w:val="21"/>
                    </w:rPr>
                    <w:alias w:val="应付账款情况明细-项目"/>
                    <w:tag w:val="_GBC_8b88a4c945834baf9b689bef67e6d030"/>
                    <w:id w:val="24725106"/>
                    <w:lock w:val="sdtLocked"/>
                  </w:sdtPr>
                  <w:sdtEndPr>
                    <w:rPr>
                      <w:color w:val="auto"/>
                    </w:rPr>
                  </w:sdtEndPr>
                  <w:sdtContent>
                    <w:tc>
                      <w:tcPr>
                        <w:tcW w:w="1666" w:type="pct"/>
                      </w:tcPr>
                      <w:p w:rsidR="00DE031E" w:rsidRDefault="001C1A59" w:rsidP="00DE031E">
                        <w:pPr>
                          <w:rPr>
                            <w:szCs w:val="21"/>
                          </w:rPr>
                        </w:pPr>
                        <w:r>
                          <w:rPr>
                            <w:rFonts w:hint="eastAsia"/>
                            <w:color w:val="000000" w:themeColor="text1"/>
                            <w:szCs w:val="21"/>
                          </w:rPr>
                          <w:t>其他</w:t>
                        </w:r>
                      </w:p>
                    </w:tc>
                  </w:sdtContent>
                </w:sdt>
                <w:sdt>
                  <w:sdtPr>
                    <w:rPr>
                      <w:szCs w:val="21"/>
                    </w:rPr>
                    <w:alias w:val="应付账款情况明细-金额"/>
                    <w:tag w:val="_GBC_3cf76a7adadd46d4b6aad4cca8705251"/>
                    <w:id w:val="24725107"/>
                    <w:lock w:val="sdtLocked"/>
                  </w:sdtPr>
                  <w:sdtContent>
                    <w:tc>
                      <w:tcPr>
                        <w:tcW w:w="1668" w:type="pct"/>
                      </w:tcPr>
                      <w:p w:rsidR="00DE031E" w:rsidRDefault="001C1A59" w:rsidP="00DE031E">
                        <w:pPr>
                          <w:jc w:val="right"/>
                          <w:rPr>
                            <w:szCs w:val="21"/>
                          </w:rPr>
                        </w:pPr>
                        <w:r>
                          <w:rPr>
                            <w:szCs w:val="21"/>
                          </w:rPr>
                          <w:t>32,500,000.00</w:t>
                        </w:r>
                      </w:p>
                    </w:tc>
                  </w:sdtContent>
                </w:sdt>
                <w:sdt>
                  <w:sdtPr>
                    <w:rPr>
                      <w:szCs w:val="21"/>
                    </w:rPr>
                    <w:alias w:val="应付账款情况明细-金额"/>
                    <w:tag w:val="_GBC_00ce8d168891498e9daf5688f376e033"/>
                    <w:id w:val="24725108"/>
                    <w:lock w:val="sdtLocked"/>
                    <w:showingPlcHdr/>
                  </w:sdtPr>
                  <w:sdtContent>
                    <w:tc>
                      <w:tcPr>
                        <w:tcW w:w="1666" w:type="pct"/>
                      </w:tcPr>
                      <w:p w:rsidR="00DE031E" w:rsidRDefault="001C1A59" w:rsidP="00DE031E">
                        <w:pPr>
                          <w:jc w:val="right"/>
                          <w:rPr>
                            <w:szCs w:val="21"/>
                          </w:rPr>
                        </w:pPr>
                        <w:r>
                          <w:rPr>
                            <w:rFonts w:hint="eastAsia"/>
                          </w:rPr>
                          <w:t xml:space="preserve">　</w:t>
                        </w:r>
                      </w:p>
                    </w:tc>
                  </w:sdtContent>
                </w:sdt>
              </w:tr>
            </w:sdtContent>
          </w:sdt>
          <w:tr w:rsidR="00DE031E" w:rsidTr="00DE031E">
            <w:tc>
              <w:tcPr>
                <w:tcW w:w="1666" w:type="pct"/>
                <w:shd w:val="clear" w:color="auto" w:fill="auto"/>
              </w:tcPr>
              <w:p w:rsidR="00DE031E" w:rsidRDefault="001C1A59" w:rsidP="00DE031E">
                <w:pPr>
                  <w:jc w:val="center"/>
                  <w:rPr>
                    <w:color w:val="000000" w:themeColor="text1"/>
                    <w:szCs w:val="21"/>
                  </w:rPr>
                </w:pPr>
                <w:r>
                  <w:rPr>
                    <w:rFonts w:hint="eastAsia"/>
                    <w:color w:val="000000" w:themeColor="text1"/>
                    <w:szCs w:val="21"/>
                  </w:rPr>
                  <w:t>合计</w:t>
                </w:r>
              </w:p>
            </w:tc>
            <w:sdt>
              <w:sdtPr>
                <w:rPr>
                  <w:szCs w:val="21"/>
                </w:rPr>
                <w:alias w:val="应付款项"/>
                <w:tag w:val="_GBC_379f95cee90c45e89a5d285d4473444c"/>
                <w:id w:val="24725110"/>
                <w:lock w:val="sdtLocked"/>
              </w:sdtPr>
              <w:sdtContent>
                <w:tc>
                  <w:tcPr>
                    <w:tcW w:w="1668" w:type="pct"/>
                    <w:shd w:val="clear" w:color="auto" w:fill="auto"/>
                  </w:tcPr>
                  <w:p w:rsidR="00DE031E" w:rsidRDefault="001C1A59" w:rsidP="00DE031E">
                    <w:pPr>
                      <w:jc w:val="right"/>
                      <w:rPr>
                        <w:szCs w:val="21"/>
                      </w:rPr>
                    </w:pPr>
                    <w:r>
                      <w:rPr>
                        <w:szCs w:val="21"/>
                      </w:rPr>
                      <w:t>8,952,572,889.75</w:t>
                    </w:r>
                  </w:p>
                </w:tc>
              </w:sdtContent>
            </w:sdt>
            <w:sdt>
              <w:sdtPr>
                <w:rPr>
                  <w:szCs w:val="21"/>
                </w:rPr>
                <w:alias w:val="应付款项"/>
                <w:tag w:val="_GBC_1798e251fd6743b791956d1c89985232"/>
                <w:id w:val="24725111"/>
                <w:lock w:val="sdtLocked"/>
              </w:sdtPr>
              <w:sdtContent>
                <w:tc>
                  <w:tcPr>
                    <w:tcW w:w="1666" w:type="pct"/>
                    <w:shd w:val="clear" w:color="auto" w:fill="auto"/>
                  </w:tcPr>
                  <w:p w:rsidR="00DE031E" w:rsidRDefault="001C1A59" w:rsidP="00DE031E">
                    <w:pPr>
                      <w:jc w:val="right"/>
                      <w:rPr>
                        <w:szCs w:val="21"/>
                      </w:rPr>
                    </w:pPr>
                    <w:r>
                      <w:rPr>
                        <w:szCs w:val="21"/>
                      </w:rPr>
                      <w:t>6,433,395,464.16</w:t>
                    </w:r>
                  </w:p>
                </w:tc>
              </w:sdtContent>
            </w:sdt>
          </w:tr>
        </w:tbl>
        <w:sdt>
          <w:sdtPr>
            <w:alias w:val="应付账款的其他说明"/>
            <w:tag w:val="_GBC_349b4db05454416d890ae52e353bfe06"/>
            <w:id w:val="24725112"/>
            <w:lock w:val="sdtLocked"/>
            <w:placeholder>
              <w:docPart w:val="GBC22222222222222222222222222222"/>
            </w:placeholder>
          </w:sdtPr>
          <w:sdtContent>
            <w:p w:rsidR="00DE031E" w:rsidRPr="001776A7" w:rsidRDefault="001C1A59" w:rsidP="003A0284">
              <w:pPr>
                <w:widowControl w:val="0"/>
                <w:autoSpaceDE w:val="0"/>
                <w:autoSpaceDN w:val="0"/>
                <w:adjustRightInd w:val="0"/>
                <w:spacing w:beforeLines="50" w:line="360" w:lineRule="auto"/>
                <w:rPr>
                  <w:rFonts w:hAnsi="Calibri"/>
                  <w:sz w:val="22"/>
                  <w:szCs w:val="22"/>
                </w:rPr>
              </w:pPr>
              <w:r w:rsidRPr="001776A7">
                <w:rPr>
                  <w:rFonts w:hint="eastAsia"/>
                </w:rPr>
                <w:t>1）</w:t>
              </w:r>
              <w:r w:rsidRPr="001776A7">
                <w:rPr>
                  <w:rFonts w:hAnsi="Calibri" w:hint="eastAsia"/>
                  <w:sz w:val="22"/>
                  <w:szCs w:val="22"/>
                </w:rPr>
                <w:t>本公司之子公司招商期货有限公司按照代理手续费净收入的</w:t>
              </w:r>
              <w:r w:rsidRPr="001776A7">
                <w:rPr>
                  <w:rFonts w:ascii="Arial" w:hAnsi="Arial" w:cs="Arial"/>
                  <w:sz w:val="22"/>
                  <w:szCs w:val="22"/>
                </w:rPr>
                <w:t>5%</w:t>
              </w:r>
              <w:r w:rsidRPr="001776A7">
                <w:rPr>
                  <w:rFonts w:hAnsi="Calibri" w:hint="eastAsia"/>
                  <w:sz w:val="22"/>
                  <w:szCs w:val="22"/>
                </w:rPr>
                <w:t>计提期货风险准备金，期货风险准备金余额达到子公司注册资本的</w:t>
              </w:r>
              <w:r w:rsidRPr="001776A7">
                <w:rPr>
                  <w:rFonts w:ascii="Arial" w:hAnsi="Arial" w:cs="Arial"/>
                  <w:sz w:val="22"/>
                  <w:szCs w:val="22"/>
                </w:rPr>
                <w:t>10</w:t>
              </w:r>
              <w:r w:rsidRPr="001776A7">
                <w:rPr>
                  <w:rFonts w:hAnsi="Calibri" w:hint="eastAsia"/>
                  <w:sz w:val="22"/>
                  <w:szCs w:val="22"/>
                </w:rPr>
                <w:t>倍时，不再提取。期货风险准备金由子公司自</w:t>
              </w:r>
            </w:p>
            <w:p w:rsidR="00DE031E" w:rsidRPr="001776A7" w:rsidRDefault="001C1A59" w:rsidP="003A0284">
              <w:pPr>
                <w:widowControl w:val="0"/>
                <w:autoSpaceDE w:val="0"/>
                <w:autoSpaceDN w:val="0"/>
                <w:adjustRightInd w:val="0"/>
                <w:spacing w:beforeLines="50" w:line="360" w:lineRule="auto"/>
                <w:rPr>
                  <w:rFonts w:hAnsi="Calibri"/>
                  <w:sz w:val="22"/>
                  <w:szCs w:val="22"/>
                </w:rPr>
              </w:pPr>
              <w:r w:rsidRPr="001776A7">
                <w:rPr>
                  <w:rFonts w:hAnsi="Calibri" w:hint="eastAsia"/>
                  <w:sz w:val="22"/>
                  <w:szCs w:val="22"/>
                </w:rPr>
                <w:t>行管理，计提额计入当期损益。</w:t>
              </w:r>
            </w:p>
            <w:p w:rsidR="00DE031E" w:rsidRPr="001776A7" w:rsidRDefault="001C1A59" w:rsidP="003A0284">
              <w:pPr>
                <w:widowControl w:val="0"/>
                <w:autoSpaceDE w:val="0"/>
                <w:autoSpaceDN w:val="0"/>
                <w:adjustRightInd w:val="0"/>
                <w:spacing w:beforeLines="50" w:line="360" w:lineRule="auto"/>
                <w:rPr>
                  <w:rFonts w:hAnsi="Calibri"/>
                  <w:sz w:val="22"/>
                  <w:szCs w:val="22"/>
                </w:rPr>
              </w:pPr>
              <w:r w:rsidRPr="001776A7">
                <w:rPr>
                  <w:rFonts w:ascii="Arial" w:hAnsi="Arial" w:cs="Arial"/>
                  <w:sz w:val="22"/>
                  <w:szCs w:val="22"/>
                </w:rPr>
                <w:t>2</w:t>
              </w:r>
              <w:r w:rsidRPr="001776A7">
                <w:rPr>
                  <w:rFonts w:hAnsi="Calibri" w:hint="eastAsia"/>
                  <w:sz w:val="22"/>
                  <w:szCs w:val="22"/>
                </w:rPr>
                <w:t>）截至</w:t>
              </w:r>
              <w:r w:rsidRPr="001776A7">
                <w:rPr>
                  <w:rFonts w:ascii="Arial" w:hAnsi="Arial" w:cs="Arial"/>
                  <w:sz w:val="22"/>
                  <w:szCs w:val="22"/>
                </w:rPr>
                <w:t>201</w:t>
              </w:r>
              <w:r>
                <w:rPr>
                  <w:rFonts w:ascii="Arial" w:hAnsi="Arial" w:cs="Arial" w:hint="eastAsia"/>
                  <w:sz w:val="22"/>
                  <w:szCs w:val="22"/>
                </w:rPr>
                <w:t>5</w:t>
              </w:r>
              <w:r w:rsidRPr="001776A7">
                <w:rPr>
                  <w:rFonts w:hAnsi="Calibri" w:hint="eastAsia"/>
                  <w:sz w:val="22"/>
                  <w:szCs w:val="22"/>
                </w:rPr>
                <w:t>年</w:t>
              </w:r>
              <w:r>
                <w:rPr>
                  <w:rFonts w:ascii="Arial" w:hAnsi="Arial" w:cs="Arial" w:hint="eastAsia"/>
                  <w:sz w:val="22"/>
                  <w:szCs w:val="22"/>
                </w:rPr>
                <w:t>6</w:t>
              </w:r>
              <w:r w:rsidRPr="001776A7">
                <w:rPr>
                  <w:rFonts w:hAnsi="Calibri" w:hint="eastAsia"/>
                  <w:sz w:val="22"/>
                  <w:szCs w:val="22"/>
                </w:rPr>
                <w:t>月</w:t>
              </w:r>
              <w:r w:rsidRPr="001776A7">
                <w:rPr>
                  <w:rFonts w:ascii="Arial" w:hAnsi="Arial" w:cs="Arial"/>
                  <w:sz w:val="22"/>
                  <w:szCs w:val="22"/>
                </w:rPr>
                <w:t>3</w:t>
              </w:r>
              <w:r>
                <w:rPr>
                  <w:rFonts w:ascii="Arial" w:hAnsi="Arial" w:cs="Arial" w:hint="eastAsia"/>
                  <w:sz w:val="22"/>
                  <w:szCs w:val="22"/>
                </w:rPr>
                <w:t>0</w:t>
              </w:r>
              <w:r w:rsidRPr="001776A7">
                <w:rPr>
                  <w:rFonts w:hAnsi="Calibri" w:hint="eastAsia"/>
                  <w:sz w:val="22"/>
                  <w:szCs w:val="22"/>
                </w:rPr>
                <w:t>日，应付款项余额较年初增加</w:t>
              </w:r>
              <w:r w:rsidRPr="001776A7">
                <w:rPr>
                  <w:rFonts w:ascii="Arial" w:hAnsi="Arial" w:cs="Arial" w:hint="eastAsia"/>
                  <w:sz w:val="22"/>
                  <w:szCs w:val="22"/>
                </w:rPr>
                <w:t>2</w:t>
              </w:r>
              <w:r w:rsidRPr="001776A7">
                <w:rPr>
                  <w:rFonts w:ascii="Arial" w:hAnsi="Arial" w:cs="Arial"/>
                  <w:sz w:val="22"/>
                  <w:szCs w:val="22"/>
                </w:rPr>
                <w:t>,</w:t>
              </w:r>
              <w:r w:rsidRPr="001776A7">
                <w:rPr>
                  <w:rFonts w:ascii="Arial" w:hAnsi="Arial" w:cs="Arial" w:hint="eastAsia"/>
                  <w:sz w:val="22"/>
                  <w:szCs w:val="22"/>
                </w:rPr>
                <w:t>519</w:t>
              </w:r>
              <w:r w:rsidRPr="001776A7">
                <w:rPr>
                  <w:rFonts w:ascii="Arial" w:hAnsi="Arial" w:cs="Arial"/>
                  <w:sz w:val="22"/>
                  <w:szCs w:val="22"/>
                </w:rPr>
                <w:t>,</w:t>
              </w:r>
              <w:r w:rsidRPr="001776A7">
                <w:rPr>
                  <w:rFonts w:ascii="Arial" w:hAnsi="Arial" w:cs="Arial" w:hint="eastAsia"/>
                  <w:sz w:val="22"/>
                  <w:szCs w:val="22"/>
                </w:rPr>
                <w:t>177</w:t>
              </w:r>
              <w:r w:rsidRPr="001776A7">
                <w:rPr>
                  <w:rFonts w:ascii="Arial" w:hAnsi="Arial" w:cs="Arial"/>
                  <w:sz w:val="22"/>
                  <w:szCs w:val="22"/>
                </w:rPr>
                <w:t>,</w:t>
              </w:r>
              <w:r w:rsidRPr="001776A7">
                <w:rPr>
                  <w:rFonts w:ascii="Arial" w:hAnsi="Arial" w:cs="Arial" w:hint="eastAsia"/>
                  <w:sz w:val="22"/>
                  <w:szCs w:val="22"/>
                </w:rPr>
                <w:t>25</w:t>
              </w:r>
              <w:r w:rsidRPr="001776A7">
                <w:rPr>
                  <w:rFonts w:ascii="Arial" w:hAnsi="Arial" w:cs="Arial"/>
                  <w:sz w:val="22"/>
                  <w:szCs w:val="22"/>
                </w:rPr>
                <w:t>.</w:t>
              </w:r>
              <w:r w:rsidRPr="001776A7">
                <w:rPr>
                  <w:rFonts w:ascii="Arial" w:hAnsi="Arial" w:cs="Arial" w:hint="eastAsia"/>
                  <w:sz w:val="22"/>
                  <w:szCs w:val="22"/>
                </w:rPr>
                <w:t>59</w:t>
              </w:r>
              <w:r w:rsidRPr="001776A7">
                <w:rPr>
                  <w:rFonts w:hAnsi="Calibri" w:hint="eastAsia"/>
                  <w:sz w:val="22"/>
                  <w:szCs w:val="22"/>
                </w:rPr>
                <w:t>元，增幅</w:t>
              </w:r>
              <w:r w:rsidRPr="001776A7">
                <w:rPr>
                  <w:rFonts w:ascii="Arial" w:hAnsi="Arial" w:cs="Arial" w:hint="eastAsia"/>
                  <w:sz w:val="22"/>
                  <w:szCs w:val="22"/>
                </w:rPr>
                <w:t>39.16</w:t>
              </w:r>
              <w:r w:rsidRPr="001776A7">
                <w:rPr>
                  <w:rFonts w:ascii="Arial" w:hAnsi="Arial" w:cs="Arial"/>
                  <w:sz w:val="22"/>
                  <w:szCs w:val="22"/>
                </w:rPr>
                <w:t>%</w:t>
              </w:r>
              <w:r w:rsidRPr="001776A7">
                <w:rPr>
                  <w:rFonts w:hAnsi="Calibri" w:hint="eastAsia"/>
                  <w:sz w:val="22"/>
                  <w:szCs w:val="22"/>
                </w:rPr>
                <w:t>，主要原因为年末应付客户保证金增加所致。</w:t>
              </w:r>
            </w:p>
            <w:p w:rsidR="00DE031E" w:rsidRPr="001776A7" w:rsidRDefault="001C1A59" w:rsidP="003A0284">
              <w:pPr>
                <w:widowControl w:val="0"/>
                <w:autoSpaceDE w:val="0"/>
                <w:autoSpaceDN w:val="0"/>
                <w:adjustRightInd w:val="0"/>
                <w:spacing w:beforeLines="50" w:line="360" w:lineRule="auto"/>
                <w:rPr>
                  <w:rFonts w:hAnsi="Calibri"/>
                  <w:sz w:val="22"/>
                  <w:szCs w:val="22"/>
                </w:rPr>
              </w:pPr>
              <w:r w:rsidRPr="001776A7">
                <w:rPr>
                  <w:rFonts w:ascii="Arial" w:hAnsi="Arial" w:cs="Arial"/>
                  <w:sz w:val="22"/>
                  <w:szCs w:val="22"/>
                </w:rPr>
                <w:t>3</w:t>
              </w:r>
              <w:r w:rsidRPr="001776A7">
                <w:rPr>
                  <w:rFonts w:hAnsi="Calibri" w:hint="eastAsia"/>
                  <w:sz w:val="22"/>
                  <w:szCs w:val="22"/>
                </w:rPr>
                <w:t>）</w:t>
              </w:r>
              <w:r w:rsidRPr="001776A7">
                <w:rPr>
                  <w:rFonts w:ascii="ArialMT" w:eastAsia="ArialMT" w:hAnsi="Calibri" w:cs="ArialMT" w:hint="eastAsia"/>
                  <w:sz w:val="22"/>
                  <w:szCs w:val="22"/>
                </w:rPr>
                <w:t>“</w:t>
              </w:r>
              <w:r w:rsidRPr="001776A7">
                <w:rPr>
                  <w:rFonts w:hAnsi="Calibri" w:hint="eastAsia"/>
                  <w:sz w:val="22"/>
                  <w:szCs w:val="22"/>
                </w:rPr>
                <w:t>应付款项每日无负债结算暂收暂付款</w:t>
              </w:r>
              <w:r w:rsidRPr="001776A7">
                <w:rPr>
                  <w:rFonts w:ascii="ArialMT" w:eastAsia="ArialMT" w:hAnsi="Calibri" w:cs="ArialMT" w:hint="eastAsia"/>
                  <w:sz w:val="22"/>
                  <w:szCs w:val="22"/>
                </w:rPr>
                <w:t>”</w:t>
              </w:r>
              <w:r w:rsidRPr="001776A7">
                <w:rPr>
                  <w:rFonts w:hAnsi="Calibri" w:hint="eastAsia"/>
                  <w:sz w:val="22"/>
                  <w:szCs w:val="22"/>
                </w:rPr>
                <w:t>余额与</w:t>
              </w:r>
              <w:r w:rsidRPr="001776A7">
                <w:rPr>
                  <w:rFonts w:ascii="ArialMT" w:eastAsia="ArialMT" w:hAnsi="Calibri" w:cs="ArialMT" w:hint="eastAsia"/>
                  <w:sz w:val="22"/>
                  <w:szCs w:val="22"/>
                </w:rPr>
                <w:t>“</w:t>
              </w:r>
              <w:r w:rsidRPr="001776A7">
                <w:rPr>
                  <w:rFonts w:hAnsi="Calibri" w:hint="eastAsia"/>
                  <w:sz w:val="22"/>
                  <w:szCs w:val="22"/>
                </w:rPr>
                <w:t>衍生金融资产</w:t>
              </w:r>
              <w:r w:rsidRPr="001776A7">
                <w:rPr>
                  <w:rFonts w:ascii="ArialMT" w:eastAsia="ArialMT" w:hAnsi="Calibri" w:cs="ArialMT" w:hint="eastAsia"/>
                  <w:sz w:val="22"/>
                  <w:szCs w:val="22"/>
                </w:rPr>
                <w:t>”</w:t>
              </w:r>
              <w:r w:rsidRPr="001776A7">
                <w:rPr>
                  <w:rFonts w:hAnsi="Calibri" w:hint="eastAsia"/>
                  <w:sz w:val="22"/>
                  <w:szCs w:val="22"/>
                </w:rPr>
                <w:t>相关项目期末公允价</w:t>
              </w:r>
            </w:p>
            <w:p w:rsidR="00DE031E" w:rsidRPr="001776A7" w:rsidRDefault="001C1A59" w:rsidP="003A0284">
              <w:pPr>
                <w:widowControl w:val="0"/>
                <w:autoSpaceDE w:val="0"/>
                <w:autoSpaceDN w:val="0"/>
                <w:adjustRightInd w:val="0"/>
                <w:spacing w:beforeLines="50" w:line="360" w:lineRule="auto"/>
                <w:rPr>
                  <w:rFonts w:hAnsi="Calibri"/>
                  <w:sz w:val="22"/>
                  <w:szCs w:val="22"/>
                </w:rPr>
              </w:pPr>
              <w:r>
                <w:rPr>
                  <w:rFonts w:hAnsi="Calibri" w:hint="eastAsia"/>
                  <w:sz w:val="22"/>
                  <w:szCs w:val="22"/>
                </w:rPr>
                <w:t>值相抵销的说明详见</w:t>
              </w:r>
              <w:r w:rsidRPr="000D3195">
                <w:rPr>
                  <w:rFonts w:hAnsi="Calibri" w:hint="eastAsia"/>
                  <w:sz w:val="22"/>
                  <w:szCs w:val="22"/>
                </w:rPr>
                <w:t>本注释</w:t>
              </w:r>
              <w:r w:rsidRPr="000D3195">
                <w:rPr>
                  <w:rFonts w:ascii="Arial" w:hAnsi="Arial" w:cs="Arial" w:hint="eastAsia"/>
                  <w:sz w:val="22"/>
                  <w:szCs w:val="22"/>
                </w:rPr>
                <w:t>6</w:t>
              </w:r>
              <w:r w:rsidRPr="000D3195">
                <w:rPr>
                  <w:rFonts w:ascii="Arial" w:hAnsi="Arial" w:cs="Arial"/>
                  <w:sz w:val="22"/>
                  <w:szCs w:val="22"/>
                </w:rPr>
                <w:t>.</w:t>
              </w:r>
              <w:r w:rsidRPr="000D3195">
                <w:rPr>
                  <w:rFonts w:hAnsi="Calibri" w:hint="eastAsia"/>
                  <w:sz w:val="22"/>
                  <w:szCs w:val="22"/>
                </w:rPr>
                <w:t>衍生金融资产/负债</w:t>
              </w:r>
              <w:r w:rsidRPr="001776A7">
                <w:rPr>
                  <w:rFonts w:hAnsi="Calibri" w:hint="eastAsia"/>
                  <w:sz w:val="22"/>
                  <w:szCs w:val="22"/>
                </w:rPr>
                <w:t>。</w:t>
              </w:r>
            </w:p>
            <w:p w:rsidR="00DE031E" w:rsidRPr="001776A7" w:rsidRDefault="001C1A59" w:rsidP="003A0284">
              <w:pPr>
                <w:widowControl w:val="0"/>
                <w:autoSpaceDE w:val="0"/>
                <w:autoSpaceDN w:val="0"/>
                <w:adjustRightInd w:val="0"/>
                <w:spacing w:beforeLines="50" w:line="360" w:lineRule="auto"/>
                <w:rPr>
                  <w:rFonts w:hAnsi="Calibri"/>
                  <w:sz w:val="22"/>
                  <w:szCs w:val="22"/>
                </w:rPr>
              </w:pPr>
              <w:r w:rsidRPr="001776A7">
                <w:rPr>
                  <w:rFonts w:ascii="Arial" w:hAnsi="Arial" w:cs="Arial"/>
                  <w:sz w:val="22"/>
                  <w:szCs w:val="22"/>
                </w:rPr>
                <w:t>4</w:t>
              </w:r>
              <w:r w:rsidRPr="001776A7">
                <w:rPr>
                  <w:rFonts w:hAnsi="Calibri" w:hint="eastAsia"/>
                  <w:sz w:val="22"/>
                  <w:szCs w:val="22"/>
                </w:rPr>
                <w:t>）年末应付款项余额中，无应付持有公司</w:t>
              </w:r>
              <w:r w:rsidRPr="001776A7">
                <w:rPr>
                  <w:rFonts w:ascii="Arial" w:hAnsi="Arial" w:cs="Arial"/>
                  <w:sz w:val="22"/>
                  <w:szCs w:val="22"/>
                </w:rPr>
                <w:t>5%(</w:t>
              </w:r>
              <w:r w:rsidRPr="001776A7">
                <w:rPr>
                  <w:rFonts w:hAnsi="Calibri" w:hint="eastAsia"/>
                  <w:sz w:val="22"/>
                  <w:szCs w:val="22"/>
                </w:rPr>
                <w:t>含</w:t>
              </w:r>
              <w:r w:rsidRPr="001776A7">
                <w:rPr>
                  <w:rFonts w:ascii="Arial" w:hAnsi="Arial" w:cs="Arial"/>
                  <w:sz w:val="22"/>
                  <w:szCs w:val="22"/>
                </w:rPr>
                <w:t>5%)</w:t>
              </w:r>
              <w:r w:rsidRPr="001776A7">
                <w:rPr>
                  <w:rFonts w:hAnsi="Calibri" w:hint="eastAsia"/>
                  <w:sz w:val="22"/>
                  <w:szCs w:val="22"/>
                </w:rPr>
                <w:t>以上表决权股份的股东单位或关方的款项。</w:t>
              </w:r>
            </w:p>
            <w:p w:rsidR="00DE031E" w:rsidRPr="000D3195" w:rsidRDefault="001C1A59" w:rsidP="003A0284">
              <w:pPr>
                <w:spacing w:beforeLines="50" w:line="360" w:lineRule="auto"/>
              </w:pPr>
              <w:r w:rsidRPr="001776A7">
                <w:rPr>
                  <w:rFonts w:ascii="Arial" w:hAnsi="Arial" w:cs="Arial"/>
                  <w:sz w:val="22"/>
                  <w:szCs w:val="22"/>
                </w:rPr>
                <w:t>5</w:t>
              </w:r>
              <w:r w:rsidRPr="001776A7">
                <w:rPr>
                  <w:rFonts w:hAnsi="Calibri" w:hint="eastAsia"/>
                  <w:sz w:val="22"/>
                  <w:szCs w:val="22"/>
                </w:rPr>
                <w:t>）年末应付款项余额中，无应付关联方款项。</w:t>
              </w:r>
            </w:p>
          </w:sdtContent>
        </w:sdt>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应付职工薪酬</w:t>
      </w:r>
    </w:p>
    <w:sdt>
      <w:sdtPr>
        <w:rPr>
          <w:rFonts w:ascii="宋体" w:hAnsi="宋体" w:cs="宋体"/>
          <w:b w:val="0"/>
          <w:bCs w:val="0"/>
          <w:kern w:val="0"/>
          <w:szCs w:val="24"/>
        </w:rPr>
        <w:tag w:val="_GBC_fa609950067149f1a5c0a6c3ba353431"/>
        <w:id w:val="24725129"/>
        <w:lock w:val="sdtLocked"/>
        <w:placeholder>
          <w:docPart w:val="GBC22222222222222222222222222222"/>
        </w:placeholder>
      </w:sdtPr>
      <w:sdtContent>
        <w:p w:rsidR="00DE031E" w:rsidRDefault="001C1A59" w:rsidP="009950AC">
          <w:pPr>
            <w:pStyle w:val="4"/>
            <w:numPr>
              <w:ilvl w:val="0"/>
              <w:numId w:val="55"/>
            </w:numPr>
            <w:spacing w:line="360" w:lineRule="auto"/>
          </w:pPr>
          <w:r>
            <w:rPr>
              <w:rFonts w:hint="eastAsia"/>
            </w:rPr>
            <w:t>应付职工薪酬列示：</w:t>
          </w:r>
        </w:p>
        <w:sdt>
          <w:sdtPr>
            <w:alias w:val="是否适用：应付职工薪酬列示"/>
            <w:tag w:val="_GBC_9d99a072f3d04c128b62bdcbcd707b31"/>
            <w:id w:val="24725114"/>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rPr>
              <w:rFonts w:hint="eastAsia"/>
            </w:rPr>
            <w:t>单位：</w:t>
          </w:r>
          <w:sdt>
            <w:sdtPr>
              <w:rPr>
                <w:rFonts w:hint="eastAsia"/>
              </w:rPr>
              <w:alias w:val="单位：财务附注：应付职工薪酬"/>
              <w:tag w:val="_GBC_5c4cdcd7cd924c4ca8e87f806bc459b0"/>
              <w:id w:val="24725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247251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77" w:type="pct"/>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9"/>
            <w:gridCol w:w="1987"/>
            <w:gridCol w:w="1987"/>
            <w:gridCol w:w="1981"/>
            <w:gridCol w:w="1986"/>
          </w:tblGrid>
          <w:tr w:rsidR="00DE031E" w:rsidTr="00DE031E">
            <w:trPr>
              <w:jc w:val="center"/>
            </w:trPr>
            <w:tc>
              <w:tcPr>
                <w:tcW w:w="8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项目</w:t>
                </w:r>
              </w:p>
            </w:tc>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期初余额</w:t>
                </w:r>
              </w:p>
            </w:tc>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本期增加</w:t>
                </w:r>
              </w:p>
            </w:tc>
            <w:tc>
              <w:tcPr>
                <w:tcW w:w="103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本期减少</w:t>
                </w:r>
              </w:p>
            </w:tc>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期末余额</w:t>
                </w:r>
              </w:p>
            </w:tc>
          </w:tr>
          <w:tr w:rsidR="00DE031E" w:rsidTr="00DE031E">
            <w:trPr>
              <w:jc w:val="center"/>
            </w:trPr>
            <w:tc>
              <w:tcPr>
                <w:tcW w:w="842"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一、短期薪酬</w:t>
                </w:r>
              </w:p>
            </w:tc>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422DCA" w:rsidP="00DE031E">
                <w:pPr>
                  <w:jc w:val="right"/>
                </w:pPr>
                <w:sdt>
                  <w:sdtPr>
                    <w:alias w:val="应付短期薪酬"/>
                    <w:tag w:val="_GBC_e330b62b4bd247cd917e2f0ee3ae0991"/>
                    <w:id w:val="24725117"/>
                    <w:lock w:val="sdtLocked"/>
                  </w:sdtPr>
                  <w:sdtContent>
                    <w:r w:rsidR="001C1A59">
                      <w:t>1,855,525,464.07</w:t>
                    </w:r>
                  </w:sdtContent>
                </w:sdt>
              </w:p>
            </w:tc>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422DCA" w:rsidP="00DE031E">
                <w:pPr>
                  <w:jc w:val="right"/>
                  <w:rPr>
                    <w:highlight w:val="yellow"/>
                  </w:rPr>
                </w:pPr>
                <w:sdt>
                  <w:sdtPr>
                    <w:alias w:val="应付短期薪酬增加额"/>
                    <w:tag w:val="_GBC_861a3218b6024b5cbfcd8719a063d82c"/>
                    <w:id w:val="24725118"/>
                    <w:lock w:val="sdtLocked"/>
                  </w:sdtPr>
                  <w:sdtContent>
                    <w:r w:rsidR="001C1A59">
                      <w:t>4,810,621,032.57</w:t>
                    </w:r>
                  </w:sdtContent>
                </w:sdt>
              </w:p>
            </w:tc>
            <w:tc>
              <w:tcPr>
                <w:tcW w:w="103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422DCA" w:rsidP="00DE031E">
                <w:pPr>
                  <w:jc w:val="right"/>
                  <w:rPr>
                    <w:highlight w:val="yellow"/>
                  </w:rPr>
                </w:pPr>
                <w:sdt>
                  <w:sdtPr>
                    <w:alias w:val="应付短期薪酬减少额"/>
                    <w:tag w:val="_GBC_d9e2ce417b824d24b2b16dd48c833632"/>
                    <w:id w:val="24725119"/>
                    <w:lock w:val="sdtLocked"/>
                  </w:sdtPr>
                  <w:sdtContent>
                    <w:r w:rsidR="001C1A59">
                      <w:t>1,212,856,054.54</w:t>
                    </w:r>
                  </w:sdtContent>
                </w:sdt>
              </w:p>
            </w:tc>
            <w:sdt>
              <w:sdtPr>
                <w:rPr>
                  <w:rFonts w:hint="eastAsia"/>
                </w:rPr>
                <w:alias w:val="应付短期薪酬"/>
                <w:tag w:val="_GBC_da586680297045feb248fcd4c0478616"/>
                <w:id w:val="24725120"/>
                <w:lock w:val="sdtLocked"/>
              </w:sdtPr>
              <w:sdtContent>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Del="0038014A" w:rsidRDefault="001C1A59" w:rsidP="00DE031E">
                    <w:pPr>
                      <w:jc w:val="right"/>
                      <w:rPr>
                        <w:highlight w:val="yellow"/>
                      </w:rPr>
                    </w:pPr>
                    <w:r>
                      <w:rPr>
                        <w:rFonts w:hint="eastAsia"/>
                      </w:rPr>
                      <w:t>5,453,290,442.10</w:t>
                    </w:r>
                  </w:p>
                </w:tc>
              </w:sdtContent>
            </w:sdt>
          </w:tr>
          <w:tr w:rsidR="00DE031E" w:rsidTr="00DE031E">
            <w:trPr>
              <w:jc w:val="center"/>
            </w:trPr>
            <w:tc>
              <w:tcPr>
                <w:tcW w:w="842"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二、离职后福利-设定提存计划</w:t>
                </w:r>
              </w:p>
            </w:tc>
            <w:sdt>
              <w:sdtPr>
                <w:alias w:val="应付设定提存计划"/>
                <w:tag w:val="_GBC_40a882ee6871408d8be50b2d6759bbf6"/>
                <w:id w:val="24725121"/>
                <w:lock w:val="sdtLocked"/>
              </w:sdtPr>
              <w:sdtEndPr>
                <w:rPr>
                  <w:rFonts w:hint="eastAsia"/>
                </w:rPr>
              </w:sdtEndPr>
              <w:sdtContent>
                <w:tc>
                  <w:tcPr>
                    <w:tcW w:w="1040" w:type="pct"/>
                    <w:tcBorders>
                      <w:top w:val="single" w:sz="4" w:space="0" w:color="auto"/>
                      <w:left w:val="single" w:sz="6" w:space="0" w:color="auto"/>
                      <w:bottom w:val="single" w:sz="4" w:space="0" w:color="auto"/>
                      <w:right w:val="single" w:sz="4" w:space="0" w:color="auto"/>
                    </w:tcBorders>
                    <w:shd w:val="clear" w:color="auto" w:fill="auto"/>
                    <w:vAlign w:val="center"/>
                  </w:tcPr>
                  <w:p w:rsidR="00DE031E" w:rsidRDefault="001C1A59" w:rsidP="00DE031E">
                    <w:pPr>
                      <w:jc w:val="right"/>
                    </w:pPr>
                    <w:r>
                      <w:t>819,535.93</w:t>
                    </w:r>
                  </w:p>
                </w:tc>
              </w:sdtContent>
            </w:sdt>
            <w:sdt>
              <w:sdtPr>
                <w:alias w:val="应付设定提存计划增加额"/>
                <w:tag w:val="_GBC_068ff01b53d8443dae8b28850ef6b430"/>
                <w:id w:val="24725122"/>
                <w:lock w:val="sdtLocked"/>
              </w:sdtPr>
              <w:sdtEndPr>
                <w:rPr>
                  <w:rFonts w:hint="eastAsia"/>
                </w:rPr>
              </w:sdtEndPr>
              <w:sdtContent>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right"/>
                    </w:pPr>
                    <w:r>
                      <w:t>108,552,959.65</w:t>
                    </w:r>
                  </w:p>
                </w:tc>
              </w:sdtContent>
            </w:sdt>
            <w:sdt>
              <w:sdtPr>
                <w:alias w:val="应付设定提存计划减少额"/>
                <w:tag w:val="_GBC_30fc80f0d84b4736b6b6fe0b5e930b1a"/>
                <w:id w:val="24725123"/>
                <w:lock w:val="sdtLocked"/>
              </w:sdtPr>
              <w:sdtEndPr>
                <w:rPr>
                  <w:rFonts w:hint="eastAsia"/>
                </w:r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right"/>
                    </w:pPr>
                    <w:r>
                      <w:t>108,557,751.58</w:t>
                    </w:r>
                  </w:p>
                </w:tc>
              </w:sdtContent>
            </w:sdt>
            <w:sdt>
              <w:sdtPr>
                <w:alias w:val="应付设定提存计划"/>
                <w:tag w:val="_GBC_d9860664b6b54929914d1dcaeb98166a"/>
                <w:id w:val="24725124"/>
                <w:lock w:val="sdtLocked"/>
              </w:sdtPr>
              <w:sdtEndPr>
                <w:rPr>
                  <w:rFonts w:hint="eastAsia"/>
                </w:rPr>
              </w:sdtEndPr>
              <w:sdtContent>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right"/>
                    </w:pPr>
                    <w:r>
                      <w:t>814,744.00</w:t>
                    </w:r>
                  </w:p>
                </w:tc>
              </w:sdtContent>
            </w:sdt>
          </w:tr>
          <w:tr w:rsidR="00DE031E" w:rsidRPr="005842A2" w:rsidTr="00DE031E">
            <w:trPr>
              <w:jc w:val="center"/>
            </w:trPr>
            <w:tc>
              <w:tcPr>
                <w:tcW w:w="84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合计</w:t>
                </w:r>
              </w:p>
            </w:tc>
            <w:sdt>
              <w:sdtPr>
                <w:alias w:val="应付职工薪酬"/>
                <w:tag w:val="_GBC_f6cba87c07f3429db6a05e9b4c470ea9"/>
                <w:id w:val="24725125"/>
                <w:lock w:val="sdtLocked"/>
              </w:sdtPr>
              <w:sdtContent>
                <w:tc>
                  <w:tcPr>
                    <w:tcW w:w="1040" w:type="pct"/>
                    <w:tcBorders>
                      <w:top w:val="single" w:sz="4" w:space="0" w:color="auto"/>
                      <w:left w:val="single" w:sz="6" w:space="0" w:color="auto"/>
                      <w:bottom w:val="single" w:sz="4" w:space="0" w:color="auto"/>
                      <w:right w:val="single" w:sz="4" w:space="0" w:color="auto"/>
                    </w:tcBorders>
                    <w:shd w:val="clear" w:color="auto" w:fill="auto"/>
                    <w:vAlign w:val="center"/>
                  </w:tcPr>
                  <w:p w:rsidR="00DE031E" w:rsidRDefault="001C1A59" w:rsidP="00DE031E">
                    <w:pPr>
                      <w:jc w:val="right"/>
                    </w:pPr>
                    <w:r>
                      <w:t>1,856,345,000.00</w:t>
                    </w:r>
                  </w:p>
                </w:tc>
              </w:sdtContent>
            </w:sdt>
            <w:sdt>
              <w:sdtPr>
                <w:rPr>
                  <w:rFonts w:hint="eastAsia"/>
                </w:rPr>
                <w:alias w:val="应付职工薪酬增加额"/>
                <w:tag w:val="_GBC_16690e9a41be42d1bdd086d5a7d96c32"/>
                <w:id w:val="24725126"/>
                <w:lock w:val="sdtLocked"/>
              </w:sdtPr>
              <w:sdtContent>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right"/>
                    </w:pPr>
                    <w:r>
                      <w:rPr>
                        <w:rFonts w:hint="eastAsia"/>
                      </w:rPr>
                      <w:t>4,919,173,992.22</w:t>
                    </w:r>
                  </w:p>
                </w:tc>
              </w:sdtContent>
            </w:sdt>
            <w:sdt>
              <w:sdtPr>
                <w:alias w:val="应付职工薪酬减少额"/>
                <w:tag w:val="_GBC_1204491c87e5433fbe78d8d95c7015c8"/>
                <w:id w:val="24725127"/>
                <w:lock w:val="sdtLocked"/>
              </w:sdtPr>
              <w:sdtContent>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right"/>
                    </w:pPr>
                    <w:r>
                      <w:t>1,321,413,80</w:t>
                    </w:r>
                    <w:r>
                      <w:rPr>
                        <w:rFonts w:hint="eastAsia"/>
                      </w:rPr>
                      <w:t>6</w:t>
                    </w:r>
                    <w:r>
                      <w:t>.</w:t>
                    </w:r>
                    <w:r>
                      <w:rPr>
                        <w:rFonts w:hint="eastAsia"/>
                      </w:rPr>
                      <w:t>12</w:t>
                    </w:r>
                  </w:p>
                </w:tc>
              </w:sdtContent>
            </w:sdt>
            <w:sdt>
              <w:sdtPr>
                <w:alias w:val="应付职工薪酬"/>
                <w:tag w:val="_GBC_7dd3254db2d941febf038603922e4457"/>
                <w:id w:val="24725128"/>
                <w:lock w:val="sdtLocked"/>
              </w:sdtPr>
              <w:sdtContent>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right"/>
                    </w:pPr>
                    <w:r>
                      <w:t>5,454,105,186.10</w:t>
                    </w:r>
                  </w:p>
                </w:tc>
              </w:sdtContent>
            </w:sdt>
          </w:tr>
        </w:tbl>
        <w:p w:rsidR="00DE031E" w:rsidRDefault="00DE031E" w:rsidP="00DE031E"/>
        <w:p w:rsidR="00DE031E" w:rsidRDefault="00DE031E" w:rsidP="00DE031E"/>
        <w:p w:rsidR="00DE031E" w:rsidRDefault="00DE031E" w:rsidP="00DE031E"/>
        <w:p w:rsidR="00DE031E" w:rsidRPr="005842A2" w:rsidRDefault="00422DCA" w:rsidP="00DE031E"/>
      </w:sdtContent>
    </w:sdt>
    <w:sdt>
      <w:sdtPr>
        <w:rPr>
          <w:rFonts w:ascii="宋体" w:hAnsi="宋体" w:cs="宋体" w:hint="eastAsia"/>
          <w:b w:val="0"/>
          <w:bCs w:val="0"/>
          <w:kern w:val="0"/>
          <w:szCs w:val="24"/>
        </w:rPr>
        <w:tag w:val="_GBC_8889528627cf49dfa80ba4d972a53405"/>
        <w:id w:val="24725183"/>
        <w:lock w:val="sdtLocked"/>
        <w:placeholder>
          <w:docPart w:val="GBC22222222222222222222222222222"/>
        </w:placeholder>
      </w:sdtPr>
      <w:sdtEndPr>
        <w:rPr>
          <w:rFonts w:hint="default"/>
        </w:rPr>
      </w:sdtEndPr>
      <w:sdtContent>
        <w:p w:rsidR="00DE031E" w:rsidRDefault="001C1A59" w:rsidP="009950AC">
          <w:pPr>
            <w:pStyle w:val="4"/>
            <w:numPr>
              <w:ilvl w:val="0"/>
              <w:numId w:val="55"/>
            </w:numPr>
            <w:spacing w:line="360" w:lineRule="auto"/>
          </w:pPr>
          <w:r>
            <w:rPr>
              <w:rFonts w:hint="eastAsia"/>
            </w:rPr>
            <w:t>短期薪酬列示：</w:t>
          </w:r>
        </w:p>
        <w:sdt>
          <w:sdtPr>
            <w:alias w:val="是否适用：短期薪酬列示"/>
            <w:tag w:val="_GBC_c33edac3bb3c427f9804c41ddc3b162e"/>
            <w:id w:val="24725130"/>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短期薪酬"/>
              <w:tag w:val="_GBC_f5a2a934147944d68f11ca2bcce4d80f"/>
              <w:id w:val="24725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47251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39" w:type="pct"/>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2"/>
            <w:gridCol w:w="1841"/>
            <w:gridCol w:w="1733"/>
            <w:gridCol w:w="1701"/>
            <w:gridCol w:w="1675"/>
          </w:tblGrid>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autoSpaceDE w:val="0"/>
                  <w:autoSpaceDN w:val="0"/>
                  <w:adjustRightInd w:val="0"/>
                  <w:jc w:val="center"/>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项目</w:t>
                </w:r>
              </w:p>
            </w:tc>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autoSpaceDE w:val="0"/>
                  <w:autoSpaceDN w:val="0"/>
                  <w:adjustRightInd w:val="0"/>
                  <w:jc w:val="center"/>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期初余额</w:t>
                </w:r>
              </w:p>
            </w:tc>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center"/>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本期增加</w:t>
                </w:r>
              </w:p>
            </w:tc>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center"/>
                  <w:rPr>
                    <w:rFonts w:asciiTheme="minorEastAsia" w:eastAsiaTheme="minorEastAsia" w:hAnsiTheme="minorEastAsia"/>
                    <w:sz w:val="18"/>
                    <w:szCs w:val="18"/>
                  </w:rPr>
                </w:pPr>
                <w:r w:rsidRPr="00D503D4">
                  <w:rPr>
                    <w:rFonts w:asciiTheme="minorEastAsia" w:eastAsiaTheme="minorEastAsia" w:hAnsiTheme="minorEastAsia"/>
                    <w:sz w:val="18"/>
                    <w:szCs w:val="18"/>
                  </w:rPr>
                  <w:t>本期减少</w:t>
                </w:r>
              </w:p>
            </w:tc>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autoSpaceDE w:val="0"/>
                  <w:autoSpaceDN w:val="0"/>
                  <w:adjustRightInd w:val="0"/>
                  <w:jc w:val="center"/>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期末余额</w:t>
                </w:r>
              </w:p>
            </w:tc>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autoSpaceDE w:val="0"/>
                  <w:autoSpaceDN w:val="0"/>
                  <w:adjustRightInd w:val="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一、工资、奖金、津贴和补贴</w:t>
                </w:r>
              </w:p>
            </w:tc>
            <w:sdt>
              <w:sdtPr>
                <w:rPr>
                  <w:rFonts w:asciiTheme="minorEastAsia" w:eastAsiaTheme="minorEastAsia" w:hAnsiTheme="minorEastAsia"/>
                  <w:sz w:val="18"/>
                  <w:szCs w:val="18"/>
                </w:rPr>
                <w:alias w:val="应付工资、奖金、津贴和补贴账面余额"/>
                <w:tag w:val="_GBC_b1143a92285c4eaea88052e80c078319"/>
                <w:id w:val="24725133"/>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1,810,795,404.11</w:t>
                    </w:r>
                  </w:p>
                </w:tc>
              </w:sdtContent>
            </w:sdt>
            <w:sdt>
              <w:sdtPr>
                <w:rPr>
                  <w:rFonts w:asciiTheme="minorEastAsia" w:eastAsiaTheme="minorEastAsia" w:hAnsiTheme="minorEastAsia"/>
                  <w:sz w:val="18"/>
                  <w:szCs w:val="18"/>
                </w:rPr>
                <w:alias w:val="应付工资、奖金、津贴和补贴增加额"/>
                <w:tag w:val="_GBC_def6166209884878b4164c3adff90105"/>
                <w:id w:val="24725134"/>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4,667,284,833.44</w:t>
                    </w:r>
                  </w:p>
                </w:tc>
              </w:sdtContent>
            </w:sdt>
            <w:sdt>
              <w:sdtPr>
                <w:rPr>
                  <w:rFonts w:asciiTheme="minorEastAsia" w:eastAsiaTheme="minorEastAsia" w:hAnsiTheme="minorEastAsia"/>
                  <w:sz w:val="18"/>
                  <w:szCs w:val="18"/>
                </w:rPr>
                <w:alias w:val="应付工资、奖金、津贴和补贴减少额"/>
                <w:tag w:val="_GBC_743efb8171e94f57b13cfa02c4e17d78"/>
                <w:id w:val="24725135"/>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1,045,168,774.07</w:t>
                    </w:r>
                  </w:p>
                </w:tc>
              </w:sdtContent>
            </w:sdt>
            <w:sdt>
              <w:sdtPr>
                <w:rPr>
                  <w:rFonts w:asciiTheme="minorEastAsia" w:eastAsiaTheme="minorEastAsia" w:hAnsiTheme="minorEastAsia"/>
                  <w:sz w:val="18"/>
                  <w:szCs w:val="18"/>
                </w:rPr>
                <w:alias w:val="应付工资、奖金、津贴和补贴账面余额"/>
                <w:tag w:val="_GBC_b2b7d59d6adf4036bbbb84d1899290e5"/>
                <w:id w:val="24725136"/>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5,432,911,463.48</w:t>
                    </w: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autoSpaceDE w:val="0"/>
                  <w:autoSpaceDN w:val="0"/>
                  <w:adjustRightInd w:val="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二、职工福利费</w:t>
                </w:r>
              </w:p>
            </w:tc>
            <w:sdt>
              <w:sdtPr>
                <w:rPr>
                  <w:rFonts w:asciiTheme="minorEastAsia" w:eastAsiaTheme="minorEastAsia" w:hAnsiTheme="minorEastAsia"/>
                  <w:sz w:val="18"/>
                  <w:szCs w:val="18"/>
                </w:rPr>
                <w:alias w:val="应付职工福利费账面余额"/>
                <w:tag w:val="_GBC_56c61ae3fb924c8e865359046b3995ce"/>
                <w:id w:val="24725137"/>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职工福利费增加额"/>
                <w:tag w:val="_GBC_b1c60cca5c0d40cd8bc358cb35bb5d05"/>
                <w:id w:val="24725138"/>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36,684,873.61</w:t>
                    </w:r>
                  </w:p>
                </w:tc>
              </w:sdtContent>
            </w:sdt>
            <w:sdt>
              <w:sdtPr>
                <w:rPr>
                  <w:rFonts w:asciiTheme="minorEastAsia" w:eastAsiaTheme="minorEastAsia" w:hAnsiTheme="minorEastAsia"/>
                  <w:sz w:val="18"/>
                  <w:szCs w:val="18"/>
                </w:rPr>
                <w:alias w:val="应付职工福利费减少额"/>
                <w:tag w:val="_GBC_673fa1b514fd4f5e9f7629d93dd5bd85"/>
                <w:id w:val="24725139"/>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36,684,873.61</w:t>
                    </w:r>
                  </w:p>
                </w:tc>
              </w:sdtContent>
            </w:sdt>
            <w:sdt>
              <w:sdtPr>
                <w:rPr>
                  <w:rFonts w:asciiTheme="minorEastAsia" w:eastAsiaTheme="minorEastAsia" w:hAnsiTheme="minorEastAsia"/>
                  <w:sz w:val="18"/>
                  <w:szCs w:val="18"/>
                </w:rPr>
                <w:alias w:val="应付职工福利费账面余额"/>
                <w:tag w:val="_GBC_5fe822f30b594e7abd529e072f150998"/>
                <w:id w:val="24725140"/>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autoSpaceDE w:val="0"/>
                  <w:autoSpaceDN w:val="0"/>
                  <w:adjustRightInd w:val="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三、社会保险费</w:t>
                </w:r>
              </w:p>
            </w:tc>
            <w:sdt>
              <w:sdtPr>
                <w:rPr>
                  <w:rFonts w:asciiTheme="minorEastAsia" w:eastAsiaTheme="minorEastAsia" w:hAnsiTheme="minorEastAsia"/>
                  <w:sz w:val="18"/>
                  <w:szCs w:val="18"/>
                </w:rPr>
                <w:alias w:val="应付社会保险费账面余额"/>
                <w:tag w:val="_GBC_a0791472840248a183ac165e6a509317"/>
                <w:id w:val="24725141"/>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34,000,000.00</w:t>
                    </w:r>
                  </w:p>
                </w:tc>
              </w:sdtContent>
            </w:sdt>
            <w:sdt>
              <w:sdtPr>
                <w:rPr>
                  <w:rFonts w:asciiTheme="minorEastAsia" w:eastAsiaTheme="minorEastAsia" w:hAnsiTheme="minorEastAsia"/>
                  <w:sz w:val="18"/>
                  <w:szCs w:val="18"/>
                </w:rPr>
                <w:alias w:val="应付社会保险费增加额"/>
                <w:tag w:val="_GBC_f3dea0626fc24c55b9e261fb445c3645"/>
                <w:id w:val="24725142"/>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33,108,156.29</w:t>
                    </w:r>
                  </w:p>
                </w:tc>
              </w:sdtContent>
            </w:sdt>
            <w:sdt>
              <w:sdtPr>
                <w:rPr>
                  <w:rFonts w:asciiTheme="minorEastAsia" w:eastAsiaTheme="minorEastAsia" w:hAnsiTheme="minorEastAsia"/>
                  <w:sz w:val="18"/>
                  <w:szCs w:val="18"/>
                </w:rPr>
                <w:alias w:val="应付社会保险费减少额"/>
                <w:tag w:val="_GBC_7f7caa8444b848ca8f2ba14fc258990c"/>
                <w:id w:val="24725143"/>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67,108,156.29</w:t>
                    </w:r>
                  </w:p>
                </w:tc>
              </w:sdtContent>
            </w:sdt>
            <w:sdt>
              <w:sdtPr>
                <w:rPr>
                  <w:rFonts w:asciiTheme="minorEastAsia" w:eastAsiaTheme="minorEastAsia" w:hAnsiTheme="minorEastAsia"/>
                  <w:sz w:val="18"/>
                  <w:szCs w:val="18"/>
                </w:rPr>
                <w:alias w:val="应付社会保险费账面余额"/>
                <w:tag w:val="_GBC_b9b9399246c448b583536d4509d825a3"/>
                <w:id w:val="24725144"/>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rPr>
                    <w:rFonts w:asciiTheme="minorEastAsia" w:eastAsiaTheme="minorEastAsia" w:hAnsiTheme="minorEastAsia"/>
                    <w:color w:val="008000"/>
                    <w:sz w:val="18"/>
                    <w:szCs w:val="18"/>
                  </w:rPr>
                </w:pPr>
                <w:r w:rsidRPr="00D503D4">
                  <w:rPr>
                    <w:rFonts w:asciiTheme="minorEastAsia" w:eastAsiaTheme="minorEastAsia" w:hAnsiTheme="minorEastAsia" w:hint="eastAsia"/>
                    <w:sz w:val="18"/>
                    <w:szCs w:val="18"/>
                  </w:rPr>
                  <w:t>其中：</w:t>
                </w:r>
                <w:r w:rsidRPr="00D503D4">
                  <w:rPr>
                    <w:rFonts w:asciiTheme="minorEastAsia" w:eastAsiaTheme="minorEastAsia" w:hAnsiTheme="minorEastAsia"/>
                    <w:sz w:val="18"/>
                    <w:szCs w:val="18"/>
                  </w:rPr>
                  <w:t>医疗保险费</w:t>
                </w:r>
              </w:p>
            </w:tc>
            <w:sdt>
              <w:sdtPr>
                <w:rPr>
                  <w:rFonts w:asciiTheme="minorEastAsia" w:eastAsiaTheme="minorEastAsia" w:hAnsiTheme="minorEastAsia"/>
                  <w:sz w:val="18"/>
                  <w:szCs w:val="18"/>
                </w:rPr>
                <w:alias w:val="应付医疗保险费账面余额"/>
                <w:tag w:val="_GBC_d60e62102cc9475d87937da798a3b56e"/>
                <w:id w:val="24725145"/>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34,000,000.00</w:t>
                    </w:r>
                  </w:p>
                </w:tc>
              </w:sdtContent>
            </w:sdt>
            <w:sdt>
              <w:sdtPr>
                <w:rPr>
                  <w:rFonts w:asciiTheme="minorEastAsia" w:eastAsiaTheme="minorEastAsia" w:hAnsiTheme="minorEastAsia"/>
                  <w:sz w:val="18"/>
                  <w:szCs w:val="18"/>
                </w:rPr>
                <w:alias w:val="应付医疗保险费增加额"/>
                <w:tag w:val="_GBC_e117d238154f478fad9cd36abcc8534f"/>
                <w:id w:val="24725146"/>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29,553,993.13</w:t>
                    </w:r>
                  </w:p>
                </w:tc>
              </w:sdtContent>
            </w:sdt>
            <w:sdt>
              <w:sdtPr>
                <w:rPr>
                  <w:rFonts w:asciiTheme="minorEastAsia" w:eastAsiaTheme="minorEastAsia" w:hAnsiTheme="minorEastAsia"/>
                  <w:sz w:val="18"/>
                  <w:szCs w:val="18"/>
                </w:rPr>
                <w:alias w:val="应付医疗保险费减少额"/>
                <w:tag w:val="_GBC_3c7d42d0eb164aabbefccbc324125c81"/>
                <w:id w:val="24725147"/>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63,553,993.13</w:t>
                    </w:r>
                  </w:p>
                </w:tc>
              </w:sdtContent>
            </w:sdt>
            <w:sdt>
              <w:sdtPr>
                <w:rPr>
                  <w:rFonts w:asciiTheme="minorEastAsia" w:eastAsiaTheme="minorEastAsia" w:hAnsiTheme="minorEastAsia"/>
                  <w:sz w:val="18"/>
                  <w:szCs w:val="18"/>
                </w:rPr>
                <w:alias w:val="应付医疗保险费账面余额"/>
                <w:tag w:val="_GBC_090dcd7e70b649da901325d29ff5be51"/>
                <w:id w:val="24725148"/>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ind w:firstLineChars="300" w:firstLine="54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工伤保险费</w:t>
                </w:r>
              </w:p>
            </w:tc>
            <w:sdt>
              <w:sdtPr>
                <w:rPr>
                  <w:rFonts w:asciiTheme="minorEastAsia" w:eastAsiaTheme="minorEastAsia" w:hAnsiTheme="minorEastAsia"/>
                  <w:sz w:val="18"/>
                  <w:szCs w:val="18"/>
                </w:rPr>
                <w:alias w:val="应付工伤保险费账面余额"/>
                <w:tag w:val="_GBC_926ece33c9c54acb8aca21b8f9eda916"/>
                <w:id w:val="24725149"/>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工伤保险费增加额"/>
                <w:tag w:val="_GBC_fd7253c5229f4f709828b1c8a333457f"/>
                <w:id w:val="24725150"/>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1,173,094.35</w:t>
                    </w:r>
                  </w:p>
                </w:tc>
              </w:sdtContent>
            </w:sdt>
            <w:sdt>
              <w:sdtPr>
                <w:rPr>
                  <w:rFonts w:asciiTheme="minorEastAsia" w:eastAsiaTheme="minorEastAsia" w:hAnsiTheme="minorEastAsia"/>
                  <w:sz w:val="18"/>
                  <w:szCs w:val="18"/>
                </w:rPr>
                <w:alias w:val="应付工伤保险费减少额"/>
                <w:tag w:val="_GBC_0fde263eaa0f4e629f105039d640c427"/>
                <w:id w:val="24725151"/>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1,173,094.35</w:t>
                    </w:r>
                  </w:p>
                </w:tc>
              </w:sdtContent>
            </w:sdt>
            <w:sdt>
              <w:sdtPr>
                <w:rPr>
                  <w:rFonts w:asciiTheme="minorEastAsia" w:eastAsiaTheme="minorEastAsia" w:hAnsiTheme="minorEastAsia"/>
                  <w:sz w:val="18"/>
                  <w:szCs w:val="18"/>
                </w:rPr>
                <w:alias w:val="应付工伤保险费账面余额"/>
                <w:tag w:val="_GBC_8d06786b8e254524a9bb764b15ab1bd0"/>
                <w:id w:val="24725152"/>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ind w:firstLineChars="300" w:firstLine="54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生育保险费</w:t>
                </w:r>
              </w:p>
            </w:tc>
            <w:sdt>
              <w:sdtPr>
                <w:rPr>
                  <w:rFonts w:asciiTheme="minorEastAsia" w:eastAsiaTheme="minorEastAsia" w:hAnsiTheme="minorEastAsia"/>
                  <w:sz w:val="18"/>
                  <w:szCs w:val="18"/>
                </w:rPr>
                <w:alias w:val="应付生育保险费账面余额"/>
                <w:tag w:val="_GBC_a9063177816e4200a390209fe877ce6d"/>
                <w:id w:val="24725153"/>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生育保险费增加额"/>
                <w:tag w:val="_GBC_f165777ae3e544bc9a171388de18e463"/>
                <w:id w:val="24725154"/>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2,381,068.81</w:t>
                    </w:r>
                  </w:p>
                </w:tc>
              </w:sdtContent>
            </w:sdt>
            <w:sdt>
              <w:sdtPr>
                <w:rPr>
                  <w:rFonts w:asciiTheme="minorEastAsia" w:eastAsiaTheme="minorEastAsia" w:hAnsiTheme="minorEastAsia"/>
                  <w:sz w:val="18"/>
                  <w:szCs w:val="18"/>
                </w:rPr>
                <w:alias w:val="应付生育保险费减少额"/>
                <w:tag w:val="_GBC_f2b27f5fb59445988c16e80670ae180e"/>
                <w:id w:val="24725155"/>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2,381,068.81</w:t>
                    </w:r>
                  </w:p>
                </w:tc>
              </w:sdtContent>
            </w:sdt>
            <w:sdt>
              <w:sdtPr>
                <w:rPr>
                  <w:rFonts w:asciiTheme="minorEastAsia" w:eastAsiaTheme="minorEastAsia" w:hAnsiTheme="minorEastAsia"/>
                  <w:sz w:val="18"/>
                  <w:szCs w:val="18"/>
                </w:rPr>
                <w:alias w:val="应付生育保险费账面余额"/>
                <w:tag w:val="_GBC_2e9764d3238e4430b8d383b080bd3fff"/>
                <w:id w:val="24725156"/>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autoSpaceDE w:val="0"/>
                  <w:autoSpaceDN w:val="0"/>
                  <w:adjustRightInd w:val="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四、住房公积金</w:t>
                </w:r>
              </w:p>
            </w:tc>
            <w:sdt>
              <w:sdtPr>
                <w:rPr>
                  <w:rFonts w:asciiTheme="minorEastAsia" w:eastAsiaTheme="minorEastAsia" w:hAnsiTheme="minorEastAsia"/>
                  <w:sz w:val="18"/>
                  <w:szCs w:val="18"/>
                </w:rPr>
                <w:alias w:val="应付住房公积金账面余额"/>
                <w:tag w:val="_GBC_6649c8659b91405c90b8e5045f3ac9fa"/>
                <w:id w:val="24725157"/>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住房公积金增加额"/>
                <w:tag w:val="_GBC_c06da4b976484d9eb20df9b07ef193a6"/>
                <w:id w:val="24725158"/>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33,185,196.65</w:t>
                    </w:r>
                  </w:p>
                </w:tc>
              </w:sdtContent>
            </w:sdt>
            <w:sdt>
              <w:sdtPr>
                <w:rPr>
                  <w:rFonts w:asciiTheme="minorEastAsia" w:eastAsiaTheme="minorEastAsia" w:hAnsiTheme="minorEastAsia"/>
                  <w:sz w:val="18"/>
                  <w:szCs w:val="18"/>
                </w:rPr>
                <w:alias w:val="应付住房公积金减少额"/>
                <w:tag w:val="_GBC_794153bbac4e49e99aca3db568d69000"/>
                <w:id w:val="24725159"/>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33,146,148.20</w:t>
                    </w:r>
                  </w:p>
                </w:tc>
              </w:sdtContent>
            </w:sdt>
            <w:sdt>
              <w:sdtPr>
                <w:rPr>
                  <w:rFonts w:asciiTheme="minorEastAsia" w:eastAsiaTheme="minorEastAsia" w:hAnsiTheme="minorEastAsia"/>
                  <w:sz w:val="18"/>
                  <w:szCs w:val="18"/>
                </w:rPr>
                <w:alias w:val="应付住房公积金账面余额"/>
                <w:tag w:val="_GBC_6383eb9d3e8a4e299b74ae27d79f0b2e"/>
                <w:id w:val="24725160"/>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39,048.45</w:t>
                    </w: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autoSpaceDE w:val="0"/>
                  <w:autoSpaceDN w:val="0"/>
                  <w:adjustRightInd w:val="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五、工会经费和职工教育经费</w:t>
                </w:r>
              </w:p>
            </w:tc>
            <w:sdt>
              <w:sdtPr>
                <w:rPr>
                  <w:rFonts w:asciiTheme="minorEastAsia" w:eastAsiaTheme="minorEastAsia" w:hAnsiTheme="minorEastAsia"/>
                  <w:sz w:val="18"/>
                  <w:szCs w:val="18"/>
                </w:rPr>
                <w:alias w:val="应付工会经费和职工教育经费"/>
                <w:tag w:val="_GBC_0b4c270e773e4ad6a5b5402082a99854"/>
                <w:id w:val="24725161"/>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10,730,059.96</w:t>
                    </w:r>
                  </w:p>
                </w:tc>
              </w:sdtContent>
            </w:sdt>
            <w:sdt>
              <w:sdtPr>
                <w:rPr>
                  <w:rFonts w:asciiTheme="minorEastAsia" w:eastAsiaTheme="minorEastAsia" w:hAnsiTheme="minorEastAsia"/>
                  <w:sz w:val="18"/>
                  <w:szCs w:val="18"/>
                </w:rPr>
                <w:alias w:val="应付工会经费和职工教育经费增加额"/>
                <w:tag w:val="_GBC_40160aa03d164d03bcc05a9085c79703"/>
                <w:id w:val="24725162"/>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35,580,872.58</w:t>
                    </w:r>
                  </w:p>
                </w:tc>
              </w:sdtContent>
            </w:sdt>
            <w:sdt>
              <w:sdtPr>
                <w:rPr>
                  <w:rFonts w:asciiTheme="minorEastAsia" w:eastAsiaTheme="minorEastAsia" w:hAnsiTheme="minorEastAsia"/>
                  <w:sz w:val="18"/>
                  <w:szCs w:val="18"/>
                </w:rPr>
                <w:alias w:val="应付工会经费和职工教育经费减少额"/>
                <w:tag w:val="_GBC_3e1d6f34a0244c7ab1f716f7c3d00c5b"/>
                <w:id w:val="24725163"/>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25,971,002.37</w:t>
                    </w:r>
                  </w:p>
                </w:tc>
              </w:sdtContent>
            </w:sdt>
            <w:sdt>
              <w:sdtPr>
                <w:rPr>
                  <w:rFonts w:asciiTheme="minorEastAsia" w:eastAsiaTheme="minorEastAsia" w:hAnsiTheme="minorEastAsia"/>
                  <w:sz w:val="18"/>
                  <w:szCs w:val="18"/>
                </w:rPr>
                <w:alias w:val="应付工会经费和职工教育经费"/>
                <w:tag w:val="_GBC_2060f240c23f443c8a406059b03de936"/>
                <w:id w:val="24725164"/>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20,339,930.17</w:t>
                    </w: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autoSpaceDE w:val="0"/>
                  <w:autoSpaceDN w:val="0"/>
                  <w:adjustRightInd w:val="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六、短期带薪缺勤</w:t>
                </w:r>
              </w:p>
            </w:tc>
            <w:sdt>
              <w:sdtPr>
                <w:rPr>
                  <w:rFonts w:asciiTheme="minorEastAsia" w:eastAsiaTheme="minorEastAsia" w:hAnsiTheme="minorEastAsia"/>
                  <w:sz w:val="18"/>
                  <w:szCs w:val="18"/>
                </w:rPr>
                <w:alias w:val="应付短期带薪缺勤"/>
                <w:tag w:val="_GBC_6ca4f421a8ad43e5a1ae357dd190c6b5"/>
                <w:id w:val="24725165"/>
                <w:lock w:val="sdtLocked"/>
                <w:showingPlcHdr/>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D65A2F"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应付短期带薪缺勤本期增加额"/>
                <w:tag w:val="_GBC_235e681431274e6ba4642ce92c7cb93a"/>
                <w:id w:val="24725166"/>
                <w:lock w:val="sdtLocked"/>
                <w:showingPlcHdr/>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短期带薪缺勤本期减少额"/>
                <w:tag w:val="_GBC_b765afb94dfc4a8ebaa12841d8e6ad41"/>
                <w:id w:val="24725167"/>
                <w:lock w:val="sdtLocked"/>
                <w:showingPlcHdr/>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短期带薪缺勤"/>
                <w:tag w:val="_GBC_2c04b46eeef2458eb604ccacfb9fc922"/>
                <w:id w:val="24725168"/>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autoSpaceDE w:val="0"/>
                  <w:autoSpaceDN w:val="0"/>
                  <w:adjustRightInd w:val="0"/>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七、短期利润分享计划</w:t>
                </w:r>
              </w:p>
            </w:tc>
            <w:sdt>
              <w:sdtPr>
                <w:rPr>
                  <w:rFonts w:asciiTheme="minorEastAsia" w:eastAsiaTheme="minorEastAsia" w:hAnsiTheme="minorEastAsia"/>
                  <w:sz w:val="18"/>
                  <w:szCs w:val="18"/>
                </w:rPr>
                <w:alias w:val="应付短期利润分享计划"/>
                <w:tag w:val="_GBC_df48f5fa375446e2b15ed6e64c57050b"/>
                <w:id w:val="24725169"/>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短期利润分享计划本期增加额"/>
                <w:tag w:val="_GBC_6568aa763cec419191baf1fd7139e20e"/>
                <w:id w:val="24725170"/>
                <w:lock w:val="sdtLocked"/>
                <w:showingPlcHdr/>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短期利润分享计划本期减少额"/>
                <w:tag w:val="_GBC_45368c2c630e48eea149aade9cced42d"/>
                <w:id w:val="24725171"/>
                <w:lock w:val="sdtLocked"/>
                <w:showingPlcHdr/>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短期利润分享计划"/>
                <w:tag w:val="_GBC_6dde6944ea5243baa339d456235e587b"/>
                <w:id w:val="24725172"/>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sdt>
            <w:sdtPr>
              <w:rPr>
                <w:rFonts w:asciiTheme="minorEastAsia" w:eastAsiaTheme="minorEastAsia" w:hAnsiTheme="minorEastAsia"/>
                <w:sz w:val="18"/>
                <w:szCs w:val="18"/>
              </w:rPr>
              <w:alias w:val="应付职工薪酬中的其他应付薪酬明细"/>
              <w:tag w:val="_GBC_68e70a06bfb74c23922ba3755003afbc"/>
              <w:id w:val="24725178"/>
              <w:lock w:val="sdtLocked"/>
            </w:sdtPr>
            <w:sdtEndPr>
              <w:rPr>
                <w:color w:val="000000" w:themeColor="text1"/>
              </w:rPr>
            </w:sdtEndPr>
            <w:sdtContent>
              <w:tr w:rsidR="00DE031E" w:rsidRPr="00D503D4" w:rsidTr="00DE031E">
                <w:trPr>
                  <w:jc w:val="center"/>
                </w:trPr>
                <w:sdt>
                  <w:sdtPr>
                    <w:rPr>
                      <w:rFonts w:asciiTheme="minorEastAsia" w:eastAsiaTheme="minorEastAsia" w:hAnsiTheme="minorEastAsia"/>
                      <w:sz w:val="18"/>
                      <w:szCs w:val="18"/>
                    </w:rPr>
                    <w:alias w:val="应付职工薪酬中的其他应付薪酬明细－项目"/>
                    <w:tag w:val="_GBC_1fc03c88441a45c6b2181a5cde7454d5"/>
                    <w:id w:val="24725173"/>
                    <w:lock w:val="sdtLocked"/>
                  </w:sdtPr>
                  <w:sdtContent>
                    <w:tc>
                      <w:tcPr>
                        <w:tcW w:w="1335" w:type="pct"/>
                        <w:tcBorders>
                          <w:top w:val="single" w:sz="4" w:space="0" w:color="auto"/>
                          <w:left w:val="single" w:sz="4" w:space="0" w:color="auto"/>
                          <w:bottom w:val="single" w:sz="4" w:space="0" w:color="auto"/>
                          <w:right w:val="single" w:sz="4" w:space="0" w:color="auto"/>
                        </w:tcBorders>
                      </w:tcPr>
                      <w:p w:rsidR="00DE031E" w:rsidRPr="00D503D4" w:rsidRDefault="001C1A59" w:rsidP="00DE031E">
                        <w:pPr>
                          <w:rPr>
                            <w:rFonts w:asciiTheme="minorEastAsia" w:eastAsiaTheme="minorEastAsia" w:hAnsiTheme="minorEastAsia"/>
                            <w:color w:val="008000"/>
                            <w:sz w:val="18"/>
                            <w:szCs w:val="18"/>
                          </w:rPr>
                        </w:pPr>
                        <w:r w:rsidRPr="00D503D4">
                          <w:rPr>
                            <w:rFonts w:asciiTheme="minorEastAsia" w:eastAsiaTheme="minorEastAsia" w:hAnsiTheme="minorEastAsia" w:hint="eastAsia"/>
                            <w:sz w:val="18"/>
                            <w:szCs w:val="18"/>
                          </w:rPr>
                          <w:t>八、其他</w:t>
                        </w:r>
                      </w:p>
                    </w:tc>
                  </w:sdtContent>
                </w:sdt>
                <w:sdt>
                  <w:sdtPr>
                    <w:rPr>
                      <w:rFonts w:asciiTheme="minorEastAsia" w:eastAsiaTheme="minorEastAsia" w:hAnsiTheme="minorEastAsia"/>
                      <w:sz w:val="18"/>
                      <w:szCs w:val="18"/>
                    </w:rPr>
                    <w:alias w:val="应付职工薪酬中的其他应付薪酬明细－账面余额"/>
                    <w:tag w:val="_GBC_e21c75bc9e9b4b768ed1a07e6c3d0bc0"/>
                    <w:id w:val="24725174"/>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应付职工薪酬中的其他应付薪酬明细－增加额"/>
                    <w:tag w:val="_GBC_2c91311ac2434f26b76a157e6fbcb6af"/>
                    <w:id w:val="24725175"/>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4,777,100.00</w:t>
                        </w:r>
                      </w:p>
                    </w:tc>
                  </w:sdtContent>
                </w:sdt>
                <w:sdt>
                  <w:sdtPr>
                    <w:rPr>
                      <w:rFonts w:asciiTheme="minorEastAsia" w:eastAsiaTheme="minorEastAsia" w:hAnsiTheme="minorEastAsia"/>
                      <w:sz w:val="18"/>
                      <w:szCs w:val="18"/>
                    </w:rPr>
                    <w:alias w:val="应付职工薪酬中的其他应付薪酬明细－支付额"/>
                    <w:tag w:val="_GBC_14466bcf5c4b40fe82cbc3a8bc7997f0"/>
                    <w:id w:val="24725176"/>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4,777,100.00</w:t>
                        </w:r>
                      </w:p>
                    </w:tc>
                  </w:sdtContent>
                </w:sdt>
                <w:sdt>
                  <w:sdtPr>
                    <w:rPr>
                      <w:rFonts w:asciiTheme="minorEastAsia" w:eastAsiaTheme="minorEastAsia" w:hAnsiTheme="minorEastAsia"/>
                      <w:sz w:val="18"/>
                      <w:szCs w:val="18"/>
                    </w:rPr>
                    <w:alias w:val="应付职工薪酬中的其他应付薪酬明细－账面余额"/>
                    <w:tag w:val="_GBC_db4da47959e1498fa7dc8f9f3688b2d3"/>
                    <w:id w:val="24725177"/>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DE031E" w:rsidP="00DE031E">
                        <w:pPr>
                          <w:jc w:val="right"/>
                          <w:rPr>
                            <w:rFonts w:asciiTheme="minorEastAsia" w:eastAsiaTheme="minorEastAsia" w:hAnsiTheme="minorEastAsia"/>
                            <w:sz w:val="18"/>
                            <w:szCs w:val="18"/>
                          </w:rPr>
                        </w:pPr>
                      </w:p>
                    </w:tc>
                  </w:sdtContent>
                </w:sdt>
              </w:tr>
            </w:sdtContent>
          </w:sdt>
          <w:tr w:rsidR="00DE031E" w:rsidRPr="00D503D4" w:rsidTr="00DE031E">
            <w:trPr>
              <w:jc w:val="center"/>
            </w:trPr>
            <w:tc>
              <w:tcPr>
                <w:tcW w:w="1335"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autoSpaceDE w:val="0"/>
                  <w:autoSpaceDN w:val="0"/>
                  <w:adjustRightInd w:val="0"/>
                  <w:jc w:val="center"/>
                  <w:rPr>
                    <w:rFonts w:asciiTheme="minorEastAsia" w:eastAsiaTheme="minorEastAsia" w:hAnsiTheme="minorEastAsia"/>
                    <w:sz w:val="18"/>
                    <w:szCs w:val="18"/>
                  </w:rPr>
                </w:pPr>
                <w:r w:rsidRPr="00D503D4">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应付短期薪酬"/>
                <w:tag w:val="_GBC_414b577f55864b1ab2433e1337265869"/>
                <w:id w:val="24725179"/>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1,855,525,464.07</w:t>
                    </w:r>
                  </w:p>
                </w:tc>
              </w:sdtContent>
            </w:sdt>
            <w:sdt>
              <w:sdtPr>
                <w:rPr>
                  <w:rFonts w:asciiTheme="minorEastAsia" w:eastAsiaTheme="minorEastAsia" w:hAnsiTheme="minorEastAsia"/>
                  <w:sz w:val="18"/>
                  <w:szCs w:val="18"/>
                </w:rPr>
                <w:alias w:val="应付短期薪酬增加额"/>
                <w:tag w:val="_GBC_1c84508e02e34fbcbc13c637cbb96743"/>
                <w:id w:val="24725180"/>
                <w:lock w:val="sdtLocked"/>
              </w:sdtPr>
              <w:sdtContent>
                <w:tc>
                  <w:tcPr>
                    <w:tcW w:w="914"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4,810,621,032.57</w:t>
                    </w:r>
                  </w:p>
                </w:tc>
              </w:sdtContent>
            </w:sdt>
            <w:sdt>
              <w:sdtPr>
                <w:rPr>
                  <w:rFonts w:asciiTheme="minorEastAsia" w:eastAsiaTheme="minorEastAsia" w:hAnsiTheme="minorEastAsia"/>
                  <w:sz w:val="18"/>
                  <w:szCs w:val="18"/>
                </w:rPr>
                <w:alias w:val="应付短期薪酬减少额"/>
                <w:tag w:val="_GBC_949ab015733e4f26b3cd33ff62ad2e25"/>
                <w:id w:val="24725181"/>
                <w:lock w:val="sdtLocked"/>
              </w:sdtPr>
              <w:sdtContent>
                <w:tc>
                  <w:tcPr>
                    <w:tcW w:w="897"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1,212,856,054.54</w:t>
                    </w:r>
                  </w:p>
                </w:tc>
              </w:sdtContent>
            </w:sdt>
            <w:sdt>
              <w:sdtPr>
                <w:rPr>
                  <w:rFonts w:asciiTheme="minorEastAsia" w:eastAsiaTheme="minorEastAsia" w:hAnsiTheme="minorEastAsia"/>
                  <w:sz w:val="18"/>
                  <w:szCs w:val="18"/>
                </w:rPr>
                <w:alias w:val="应付短期薪酬"/>
                <w:tag w:val="_GBC_8b37632e2acb41b6a57a06cf5da9f56a"/>
                <w:id w:val="24725182"/>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DE031E" w:rsidRPr="00D503D4" w:rsidRDefault="001C1A59" w:rsidP="00DE031E">
                    <w:pPr>
                      <w:jc w:val="right"/>
                      <w:rPr>
                        <w:rFonts w:asciiTheme="minorEastAsia" w:eastAsiaTheme="minorEastAsia" w:hAnsiTheme="minorEastAsia"/>
                        <w:sz w:val="18"/>
                        <w:szCs w:val="18"/>
                      </w:rPr>
                    </w:pPr>
                    <w:r w:rsidRPr="00D503D4">
                      <w:rPr>
                        <w:rFonts w:asciiTheme="minorEastAsia" w:eastAsiaTheme="minorEastAsia" w:hAnsiTheme="minorEastAsia"/>
                        <w:sz w:val="18"/>
                        <w:szCs w:val="18"/>
                      </w:rPr>
                      <w:t>5,453,290,442.10</w:t>
                    </w:r>
                  </w:p>
                </w:tc>
              </w:sdtContent>
            </w:sdt>
          </w:tr>
        </w:tbl>
        <w:p w:rsidR="00DE031E" w:rsidRPr="005842A2" w:rsidRDefault="00422DCA" w:rsidP="00DE031E"/>
      </w:sdtContent>
    </w:sdt>
    <w:sdt>
      <w:sdtPr>
        <w:rPr>
          <w:rFonts w:ascii="宋体" w:hAnsi="宋体" w:cs="宋体" w:hint="eastAsia"/>
          <w:b w:val="0"/>
          <w:bCs w:val="0"/>
          <w:kern w:val="0"/>
          <w:szCs w:val="21"/>
        </w:rPr>
        <w:tag w:val="_GBC_b98ebc9fce454755bd30d763bee0283a"/>
        <w:id w:val="24725201"/>
        <w:lock w:val="sdtLocked"/>
        <w:placeholder>
          <w:docPart w:val="GBC22222222222222222222222222222"/>
        </w:placeholder>
      </w:sdtPr>
      <w:sdtEndPr>
        <w:rPr>
          <w:szCs w:val="24"/>
        </w:rPr>
      </w:sdtEndPr>
      <w:sdtContent>
        <w:p w:rsidR="00DE031E" w:rsidRDefault="001C1A59" w:rsidP="009950AC">
          <w:pPr>
            <w:pStyle w:val="4"/>
            <w:numPr>
              <w:ilvl w:val="0"/>
              <w:numId w:val="55"/>
            </w:numPr>
            <w:spacing w:line="360" w:lineRule="auto"/>
            <w:rPr>
              <w:szCs w:val="21"/>
            </w:rPr>
          </w:pPr>
          <w:r>
            <w:rPr>
              <w:rFonts w:hint="eastAsia"/>
              <w:szCs w:val="21"/>
            </w:rPr>
            <w:t>设定提存计划列示</w:t>
          </w:r>
        </w:p>
        <w:sdt>
          <w:sdtPr>
            <w:alias w:val="是否适用：设定提存计划列示"/>
            <w:tag w:val="_GBC_78caae7dcbc4411da78c7423b1fbdc04"/>
            <w:id w:val="24725184"/>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9"/>
            <w:gridCol w:w="1560"/>
            <w:gridCol w:w="1985"/>
            <w:gridCol w:w="1962"/>
            <w:gridCol w:w="1593"/>
          </w:tblGrid>
          <w:tr w:rsidR="00DE031E" w:rsidTr="00DE031E">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项目</w:t>
                </w:r>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期初余额</w:t>
                </w:r>
              </w:p>
            </w:tc>
            <w:tc>
              <w:tcPr>
                <w:tcW w:w="109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本期增加</w:t>
                </w:r>
              </w:p>
            </w:tc>
            <w:tc>
              <w:tcPr>
                <w:tcW w:w="1084"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期末余额</w:t>
                </w:r>
              </w:p>
            </w:tc>
          </w:tr>
          <w:tr w:rsidR="00DE031E" w:rsidTr="00DE031E">
            <w:tc>
              <w:tcPr>
                <w:tcW w:w="1077"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1、基本养老保险</w:t>
                </w:r>
              </w:p>
            </w:tc>
            <w:sdt>
              <w:sdtPr>
                <w:alias w:val="应付基本养老保险费账面余额"/>
                <w:tag w:val="_GBC_c500333479bc468a8b3afcc4788799dc"/>
                <w:id w:val="24725185"/>
                <w:lock w:val="sdtLocked"/>
              </w:sdtPr>
              <w:sdtContent>
                <w:tc>
                  <w:tcPr>
                    <w:tcW w:w="862" w:type="pct"/>
                    <w:tcBorders>
                      <w:top w:val="single" w:sz="4" w:space="0" w:color="auto"/>
                      <w:left w:val="single" w:sz="6" w:space="0" w:color="auto"/>
                      <w:bottom w:val="single" w:sz="4" w:space="0" w:color="auto"/>
                      <w:right w:val="single" w:sz="4" w:space="0" w:color="auto"/>
                    </w:tcBorders>
                    <w:shd w:val="clear" w:color="auto" w:fill="auto"/>
                  </w:tcPr>
                  <w:p w:rsidR="00DE031E" w:rsidRDefault="001C1A59" w:rsidP="00DE031E">
                    <w:pPr>
                      <w:jc w:val="right"/>
                    </w:pPr>
                    <w:r>
                      <w:t>819,535.93</w:t>
                    </w:r>
                  </w:p>
                </w:tc>
              </w:sdtContent>
            </w:sdt>
            <w:sdt>
              <w:sdtPr>
                <w:rPr>
                  <w:rFonts w:hint="eastAsia"/>
                </w:rPr>
                <w:alias w:val="应付基本养老保险费增加额"/>
                <w:tag w:val="_GBC_c7ee78d16ce64fd382c8c0eaba6f1ae0"/>
                <w:id w:val="24725186"/>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53,744,046.58</w:t>
                    </w:r>
                  </w:p>
                </w:tc>
              </w:sdtContent>
            </w:sdt>
            <w:sdt>
              <w:sdtPr>
                <w:alias w:val="应付基本养老保险费减少额"/>
                <w:tag w:val="_GBC_af4dbe91d9b6443d84e75afe26abb21d"/>
                <w:id w:val="24725187"/>
                <w:lock w:val="sdtLocked"/>
              </w:sdtPr>
              <w:sdtContent>
                <w:tc>
                  <w:tcPr>
                    <w:tcW w:w="1084"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53,748,838.51</w:t>
                    </w:r>
                  </w:p>
                </w:tc>
              </w:sdtContent>
            </w:sdt>
            <w:sdt>
              <w:sdtPr>
                <w:alias w:val="应付基本养老保险费账面余额"/>
                <w:tag w:val="_GBC_619e586630bd419ebf636866fcbd1c6f"/>
                <w:id w:val="2472518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814,744.00</w:t>
                    </w:r>
                  </w:p>
                </w:tc>
              </w:sdtContent>
            </w:sdt>
          </w:tr>
          <w:tr w:rsidR="00DE031E" w:rsidTr="00DE031E">
            <w:tc>
              <w:tcPr>
                <w:tcW w:w="1077"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2、失业保险费</w:t>
                </w:r>
              </w:p>
            </w:tc>
            <w:sdt>
              <w:sdtPr>
                <w:alias w:val="应付失业保险费账面余额"/>
                <w:tag w:val="_GBC_f3df7c8308474d5e80b2009c0f34cf8c"/>
                <w:id w:val="24725189"/>
                <w:lock w:val="sdtLocked"/>
              </w:sdtPr>
              <w:sdtContent>
                <w:tc>
                  <w:tcPr>
                    <w:tcW w:w="862" w:type="pct"/>
                    <w:tcBorders>
                      <w:top w:val="single" w:sz="4" w:space="0" w:color="auto"/>
                      <w:left w:val="single" w:sz="6" w:space="0" w:color="auto"/>
                      <w:bottom w:val="single" w:sz="4" w:space="0" w:color="auto"/>
                      <w:right w:val="single" w:sz="4" w:space="0" w:color="auto"/>
                    </w:tcBorders>
                    <w:shd w:val="clear" w:color="auto" w:fill="auto"/>
                  </w:tcPr>
                  <w:p w:rsidR="00DE031E" w:rsidRDefault="00DE031E" w:rsidP="00DE031E">
                    <w:pPr>
                      <w:jc w:val="right"/>
                    </w:pPr>
                  </w:p>
                </w:tc>
              </w:sdtContent>
            </w:sdt>
            <w:sdt>
              <w:sdtPr>
                <w:rPr>
                  <w:rFonts w:hint="eastAsia"/>
                </w:rPr>
                <w:alias w:val="应付失业保险费增加额"/>
                <w:tag w:val="_GBC_33bb20e928de4dfdb0d61e7c3a41b39a"/>
                <w:id w:val="24725190"/>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2,576,698.40</w:t>
                    </w:r>
                  </w:p>
                </w:tc>
              </w:sdtContent>
            </w:sdt>
            <w:sdt>
              <w:sdtPr>
                <w:alias w:val="应付失业保险费减少额"/>
                <w:tag w:val="_GBC_afdeee5ddf0c4e4ebb31400e6f220528"/>
                <w:id w:val="24725191"/>
                <w:lock w:val="sdtLocked"/>
              </w:sdtPr>
              <w:sdtContent>
                <w:tc>
                  <w:tcPr>
                    <w:tcW w:w="1084"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2,576,698.40</w:t>
                    </w:r>
                  </w:p>
                </w:tc>
              </w:sdtContent>
            </w:sdt>
            <w:sdt>
              <w:sdtPr>
                <w:alias w:val="应付失业保险费账面余额"/>
                <w:tag w:val="_GBC_7d5eedf934be4fc68ec2f9f3bda5c3a0"/>
                <w:id w:val="2472519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DE031E" w:rsidP="00DE031E">
                    <w:pPr>
                      <w:jc w:val="right"/>
                    </w:pPr>
                  </w:p>
                </w:tc>
              </w:sdtContent>
            </w:sdt>
          </w:tr>
          <w:tr w:rsidR="00DE031E" w:rsidTr="00DE031E">
            <w:tc>
              <w:tcPr>
                <w:tcW w:w="1077"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r>
                  <w:rPr>
                    <w:rFonts w:hint="eastAsia"/>
                  </w:rPr>
                  <w:t>3、企业年金缴费</w:t>
                </w:r>
              </w:p>
            </w:tc>
            <w:sdt>
              <w:sdtPr>
                <w:alias w:val="应付年金缴费账面余额"/>
                <w:tag w:val="_GBC_bfcf2a4d4ea145fb810dcbbf2cf22375"/>
                <w:id w:val="24725193"/>
                <w:lock w:val="sdtLocked"/>
              </w:sdtPr>
              <w:sdtContent>
                <w:tc>
                  <w:tcPr>
                    <w:tcW w:w="862" w:type="pct"/>
                    <w:tcBorders>
                      <w:top w:val="single" w:sz="4" w:space="0" w:color="auto"/>
                      <w:left w:val="single" w:sz="6" w:space="0" w:color="auto"/>
                      <w:bottom w:val="single" w:sz="4" w:space="0" w:color="auto"/>
                      <w:right w:val="single" w:sz="4" w:space="0" w:color="auto"/>
                    </w:tcBorders>
                    <w:shd w:val="clear" w:color="auto" w:fill="auto"/>
                  </w:tcPr>
                  <w:p w:rsidR="00DE031E" w:rsidRDefault="00DE031E" w:rsidP="00DE031E">
                    <w:pPr>
                      <w:jc w:val="right"/>
                    </w:pPr>
                  </w:p>
                </w:tc>
              </w:sdtContent>
            </w:sdt>
            <w:sdt>
              <w:sdtPr>
                <w:rPr>
                  <w:rFonts w:hint="eastAsia"/>
                </w:rPr>
                <w:alias w:val="应付年金缴费增加额"/>
                <w:tag w:val="_GBC_f3c23a3b3fe14b94aa2d46c4fe43015c"/>
                <w:id w:val="24725194"/>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52,232,214.67</w:t>
                    </w:r>
                  </w:p>
                </w:tc>
              </w:sdtContent>
            </w:sdt>
            <w:sdt>
              <w:sdtPr>
                <w:alias w:val="应付年金缴费减少额"/>
                <w:tag w:val="_GBC_256ce68f43624121a54900d764b16766"/>
                <w:id w:val="24725195"/>
                <w:lock w:val="sdtLocked"/>
              </w:sdtPr>
              <w:sdtContent>
                <w:tc>
                  <w:tcPr>
                    <w:tcW w:w="1084"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52,232,214.67</w:t>
                    </w:r>
                  </w:p>
                </w:tc>
              </w:sdtContent>
            </w:sdt>
            <w:sdt>
              <w:sdtPr>
                <w:alias w:val="应付年金缴费账面余额"/>
                <w:tag w:val="_GBC_4017311004a044468233a0d9835e79bd"/>
                <w:id w:val="24725196"/>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DE031E" w:rsidP="00DE031E">
                    <w:pPr>
                      <w:jc w:val="right"/>
                    </w:pPr>
                  </w:p>
                </w:tc>
              </w:sdtContent>
            </w:sdt>
          </w:tr>
          <w:tr w:rsidR="00DE031E" w:rsidRPr="005842A2" w:rsidTr="00DE031E">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pPr>
                <w:r>
                  <w:rPr>
                    <w:rFonts w:hint="eastAsia"/>
                  </w:rPr>
                  <w:t>合计</w:t>
                </w:r>
              </w:p>
            </w:tc>
            <w:sdt>
              <w:sdtPr>
                <w:alias w:val="应付设定提存计划"/>
                <w:tag w:val="_GBC_4ca45ab025f44404a9d45c63f983db8f"/>
                <w:id w:val="24725197"/>
                <w:lock w:val="sdtLocked"/>
              </w:sdtPr>
              <w:sdtEndPr>
                <w:rPr>
                  <w:rFonts w:hint="eastAsia"/>
                </w:rPr>
              </w:sdtEndPr>
              <w:sdtContent>
                <w:tc>
                  <w:tcPr>
                    <w:tcW w:w="862" w:type="pct"/>
                    <w:tcBorders>
                      <w:top w:val="single" w:sz="4" w:space="0" w:color="auto"/>
                      <w:left w:val="single" w:sz="6" w:space="0" w:color="auto"/>
                      <w:bottom w:val="single" w:sz="4" w:space="0" w:color="auto"/>
                      <w:right w:val="single" w:sz="4" w:space="0" w:color="auto"/>
                    </w:tcBorders>
                    <w:shd w:val="clear" w:color="auto" w:fill="auto"/>
                  </w:tcPr>
                  <w:p w:rsidR="00DE031E" w:rsidRDefault="001C1A59" w:rsidP="00DE031E">
                    <w:pPr>
                      <w:jc w:val="right"/>
                    </w:pPr>
                    <w:r>
                      <w:t>819,535.93</w:t>
                    </w:r>
                  </w:p>
                </w:tc>
              </w:sdtContent>
            </w:sdt>
            <w:sdt>
              <w:sdtPr>
                <w:alias w:val="应付设定提存计划增加额"/>
                <w:tag w:val="_GBC_f24d6a5d984d4b69b632eb4320f5e2d6"/>
                <w:id w:val="24725198"/>
                <w:lock w:val="sdtLocked"/>
              </w:sdtPr>
              <w:sdtEndPr>
                <w:rPr>
                  <w:rFonts w:hint="eastAsia"/>
                </w:rPr>
              </w:sdtEndPr>
              <w:sdtContent>
                <w:tc>
                  <w:tcPr>
                    <w:tcW w:w="109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108,552,959.65</w:t>
                    </w:r>
                  </w:p>
                </w:tc>
              </w:sdtContent>
            </w:sdt>
            <w:sdt>
              <w:sdtPr>
                <w:alias w:val="应付设定提存计划减少额"/>
                <w:tag w:val="_GBC_9ff4ee7bbd53466d96cc6c6922f2e19f"/>
                <w:id w:val="24725199"/>
                <w:lock w:val="sdtLocked"/>
              </w:sdtPr>
              <w:sdtEndPr>
                <w:rPr>
                  <w:rFonts w:hint="eastAsia"/>
                </w:rPr>
              </w:sdtEndPr>
              <w:sdtContent>
                <w:tc>
                  <w:tcPr>
                    <w:tcW w:w="1084"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108,557,751.58</w:t>
                    </w:r>
                  </w:p>
                </w:tc>
              </w:sdtContent>
            </w:sdt>
            <w:sdt>
              <w:sdtPr>
                <w:alias w:val="应付设定提存计划"/>
                <w:tag w:val="_GBC_b6ece78b3868415581d1e9e7686c0df3"/>
                <w:id w:val="24725200"/>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pPr>
                    <w:r>
                      <w:t>814,744.00</w:t>
                    </w:r>
                  </w:p>
                </w:tc>
              </w:sdtContent>
            </w:sdt>
          </w:tr>
        </w:tbl>
        <w:p w:rsidR="00DE031E" w:rsidRPr="005842A2" w:rsidRDefault="00422DCA" w:rsidP="00DE031E"/>
      </w:sdtContent>
    </w:sdt>
    <w:sdt>
      <w:sdtPr>
        <w:rPr>
          <w:rFonts w:ascii="宋体" w:hAnsi="宋体" w:cs="宋体" w:hint="eastAsia"/>
          <w:b w:val="0"/>
          <w:bCs w:val="0"/>
          <w:kern w:val="0"/>
          <w:szCs w:val="21"/>
        </w:rPr>
        <w:tag w:val="_GBC_50fc9ef51868432e98c401f69097dfc6"/>
        <w:id w:val="24725227"/>
        <w:lock w:val="sdtLocked"/>
        <w:placeholder>
          <w:docPart w:val="GBC22222222222222222222222222222"/>
        </w:placeholder>
      </w:sdtPr>
      <w:sdtEndPr>
        <w:rPr>
          <w:rFonts w:cstheme="minorBidi" w:hint="default"/>
          <w:color w:val="000000" w:themeColor="text1"/>
          <w:kern w:val="2"/>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应交税费</w:t>
          </w:r>
        </w:p>
        <w:p w:rsidR="00DE031E" w:rsidRDefault="001C1A59">
          <w:pPr>
            <w:jc w:val="right"/>
            <w:rPr>
              <w:szCs w:val="21"/>
            </w:rPr>
          </w:pPr>
          <w:r>
            <w:rPr>
              <w:rFonts w:hint="eastAsia"/>
              <w:szCs w:val="21"/>
            </w:rPr>
            <w:t>单位：</w:t>
          </w:r>
          <w:sdt>
            <w:sdtPr>
              <w:rPr>
                <w:rFonts w:hint="eastAsia"/>
                <w:szCs w:val="21"/>
              </w:rPr>
              <w:alias w:val="单位：财务附注：应交税费"/>
              <w:tag w:val="_GBC_a6162c9f021640929018406be611b834"/>
              <w:id w:val="24725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247252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DE031E" w:rsidTr="00DE031E">
            <w:trPr>
              <w:cantSplit/>
            </w:trPr>
            <w:tc>
              <w:tcPr>
                <w:tcW w:w="1675"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center"/>
                  <w:rPr>
                    <w:szCs w:val="21"/>
                  </w:rPr>
                </w:pPr>
                <w:r>
                  <w:rPr>
                    <w:rFonts w:hint="eastAsia"/>
                    <w:szCs w:val="21"/>
                  </w:rPr>
                  <w:t>期初余额</w:t>
                </w:r>
              </w:p>
            </w:tc>
          </w:tr>
          <w:tr w:rsidR="00DE031E" w:rsidTr="00DE031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105"/>
                  <w:rPr>
                    <w:szCs w:val="21"/>
                  </w:rPr>
                </w:pPr>
                <w:r>
                  <w:rPr>
                    <w:rFonts w:hint="eastAsia"/>
                    <w:szCs w:val="21"/>
                  </w:rPr>
                  <w:t>营业税</w:t>
                </w:r>
              </w:p>
            </w:tc>
            <w:sdt>
              <w:sdtPr>
                <w:rPr>
                  <w:szCs w:val="21"/>
                </w:rPr>
                <w:alias w:val="应交税金中的营业税"/>
                <w:tag w:val="_GBC_75a3d06681d2458e97d79fb5d740246c"/>
                <w:id w:val="24725204"/>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73"/>
                      <w:jc w:val="right"/>
                      <w:rPr>
                        <w:szCs w:val="21"/>
                      </w:rPr>
                    </w:pPr>
                    <w:r>
                      <w:rPr>
                        <w:szCs w:val="21"/>
                      </w:rPr>
                      <w:t>353,294,229.34</w:t>
                    </w:r>
                  </w:p>
                </w:tc>
              </w:sdtContent>
            </w:sdt>
            <w:sdt>
              <w:sdtPr>
                <w:rPr>
                  <w:szCs w:val="21"/>
                </w:rPr>
                <w:alias w:val="应交税金中的营业税"/>
                <w:tag w:val="_GBC_99610c7bb6ad4316aa620df83e6353b3"/>
                <w:id w:val="24725205"/>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101,094,661.63</w:t>
                    </w:r>
                  </w:p>
                </w:tc>
              </w:sdtContent>
            </w:sdt>
          </w:tr>
          <w:tr w:rsidR="00DE031E" w:rsidTr="00DE031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105"/>
                  <w:rPr>
                    <w:szCs w:val="21"/>
                  </w:rPr>
                </w:pPr>
                <w:r>
                  <w:rPr>
                    <w:rFonts w:hint="eastAsia"/>
                    <w:szCs w:val="21"/>
                  </w:rPr>
                  <w:t>企业所得税</w:t>
                </w:r>
              </w:p>
            </w:tc>
            <w:sdt>
              <w:sdtPr>
                <w:rPr>
                  <w:szCs w:val="21"/>
                </w:rPr>
                <w:alias w:val="应交税金中的所得税"/>
                <w:tag w:val="_GBC_9cdcf101b84840ccb31e20f0802254e4"/>
                <w:id w:val="24725206"/>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73"/>
                      <w:jc w:val="right"/>
                      <w:rPr>
                        <w:szCs w:val="21"/>
                      </w:rPr>
                    </w:pPr>
                    <w:r>
                      <w:rPr>
                        <w:szCs w:val="21"/>
                      </w:rPr>
                      <w:t>789,622,763.22</w:t>
                    </w:r>
                  </w:p>
                </w:tc>
              </w:sdtContent>
            </w:sdt>
            <w:sdt>
              <w:sdtPr>
                <w:rPr>
                  <w:szCs w:val="21"/>
                </w:rPr>
                <w:alias w:val="应交税金中的所得税"/>
                <w:tag w:val="_GBC_77931a7112384acbb9eb873d450c8fe8"/>
                <w:id w:val="24725207"/>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348,588,993.13</w:t>
                    </w:r>
                  </w:p>
                </w:tc>
              </w:sdtContent>
            </w:sdt>
          </w:tr>
          <w:tr w:rsidR="00DE031E" w:rsidTr="00DE031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105"/>
                  <w:rPr>
                    <w:szCs w:val="21"/>
                  </w:rPr>
                </w:pPr>
                <w:r>
                  <w:rPr>
                    <w:rFonts w:hint="eastAsia"/>
                    <w:szCs w:val="21"/>
                  </w:rPr>
                  <w:t>个人所得税</w:t>
                </w:r>
              </w:p>
            </w:tc>
            <w:sdt>
              <w:sdtPr>
                <w:rPr>
                  <w:szCs w:val="21"/>
                </w:rPr>
                <w:alias w:val="应交税金中的个人所得税"/>
                <w:tag w:val="_GBC_31f3632bdeaa4c8e84638419aa942a90"/>
                <w:id w:val="24725208"/>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73"/>
                      <w:jc w:val="right"/>
                      <w:rPr>
                        <w:szCs w:val="21"/>
                      </w:rPr>
                    </w:pPr>
                    <w:r>
                      <w:rPr>
                        <w:szCs w:val="21"/>
                      </w:rPr>
                      <w:t>38,106,880.79</w:t>
                    </w:r>
                  </w:p>
                </w:tc>
              </w:sdtContent>
            </w:sdt>
            <w:sdt>
              <w:sdtPr>
                <w:rPr>
                  <w:szCs w:val="21"/>
                </w:rPr>
                <w:alias w:val="应交税金中的个人所得税"/>
                <w:tag w:val="_GBC_6023fbb8ef134cb49427803c19ad5d53"/>
                <w:id w:val="24725209"/>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45,548,860.08</w:t>
                    </w:r>
                  </w:p>
                </w:tc>
              </w:sdtContent>
            </w:sdt>
          </w:tr>
          <w:sdt>
            <w:sdtPr>
              <w:rPr>
                <w:rFonts w:hint="eastAsia"/>
                <w:szCs w:val="21"/>
              </w:rPr>
              <w:alias w:val="应交税金明细"/>
              <w:tag w:val="_GBC_0480c028aa8b4cf2885f8f1d9b64c155"/>
              <w:id w:val="24725213"/>
              <w:lock w:val="sdtLocked"/>
            </w:sdtPr>
            <w:sdtContent>
              <w:tr w:rsidR="00DE031E" w:rsidTr="00DE031E">
                <w:trPr>
                  <w:cantSplit/>
                </w:trPr>
                <w:sdt>
                  <w:sdtPr>
                    <w:rPr>
                      <w:rFonts w:hint="eastAsia"/>
                      <w:szCs w:val="21"/>
                    </w:rPr>
                    <w:alias w:val="应交税金种类"/>
                    <w:tag w:val="_GBC_9cf1df576f6a4ca6864c93966bcbe89a"/>
                    <w:id w:val="24725210"/>
                    <w:lock w:val="sdtLocked"/>
                  </w:sdtPr>
                  <w:sdtContent>
                    <w:tc>
                      <w:tcPr>
                        <w:tcW w:w="1675" w:type="pct"/>
                        <w:tcBorders>
                          <w:top w:val="single" w:sz="6" w:space="0" w:color="auto"/>
                          <w:left w:val="single" w:sz="6" w:space="0" w:color="auto"/>
                          <w:bottom w:val="single" w:sz="6" w:space="0" w:color="auto"/>
                          <w:right w:val="single" w:sz="6" w:space="0" w:color="auto"/>
                        </w:tcBorders>
                      </w:tcPr>
                      <w:p w:rsidR="00DE031E" w:rsidRDefault="001C1A59" w:rsidP="00DE031E">
                        <w:pPr>
                          <w:ind w:right="105"/>
                          <w:rPr>
                            <w:szCs w:val="21"/>
                          </w:rPr>
                        </w:pPr>
                        <w:r>
                          <w:rPr>
                            <w:rFonts w:hint="eastAsia"/>
                            <w:szCs w:val="21"/>
                          </w:rPr>
                          <w:t>限售股个人所得税</w:t>
                        </w:r>
                      </w:p>
                    </w:tc>
                  </w:sdtContent>
                </w:sdt>
                <w:sdt>
                  <w:sdtPr>
                    <w:rPr>
                      <w:szCs w:val="21"/>
                    </w:rPr>
                    <w:alias w:val="应交税金金额"/>
                    <w:tag w:val="_GBC_60a396ea7f8a444db2807e7ff869b8f7"/>
                    <w:id w:val="24725211"/>
                    <w:lock w:val="sdtLocked"/>
                  </w:sdtPr>
                  <w:sdtContent>
                    <w:tc>
                      <w:tcPr>
                        <w:tcW w:w="1661" w:type="pct"/>
                        <w:tcBorders>
                          <w:top w:val="single" w:sz="6" w:space="0" w:color="auto"/>
                          <w:left w:val="single" w:sz="6" w:space="0" w:color="auto"/>
                          <w:bottom w:val="single" w:sz="6" w:space="0" w:color="auto"/>
                          <w:right w:val="single" w:sz="6" w:space="0" w:color="auto"/>
                        </w:tcBorders>
                      </w:tcPr>
                      <w:p w:rsidR="00DE031E" w:rsidRDefault="001C1A59" w:rsidP="00DE031E">
                        <w:pPr>
                          <w:ind w:right="73"/>
                          <w:jc w:val="right"/>
                          <w:rPr>
                            <w:szCs w:val="21"/>
                          </w:rPr>
                        </w:pPr>
                        <w:r>
                          <w:rPr>
                            <w:szCs w:val="21"/>
                          </w:rPr>
                          <w:t>154,845,852.85</w:t>
                        </w:r>
                      </w:p>
                    </w:tc>
                  </w:sdtContent>
                </w:sdt>
                <w:sdt>
                  <w:sdtPr>
                    <w:rPr>
                      <w:szCs w:val="21"/>
                    </w:rPr>
                    <w:alias w:val="应交税金金额"/>
                    <w:tag w:val="_GBC_bfbdd4e901504b1b962e744df3b97d11"/>
                    <w:id w:val="24725212"/>
                    <w:lock w:val="sdtLocked"/>
                  </w:sdtPr>
                  <w:sdtContent>
                    <w:tc>
                      <w:tcPr>
                        <w:tcW w:w="1664"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37,916,927.95</w:t>
                        </w:r>
                      </w:p>
                    </w:tc>
                  </w:sdtContent>
                </w:sdt>
              </w:tr>
            </w:sdtContent>
          </w:sdt>
          <w:tr w:rsidR="00DE031E" w:rsidTr="00DE031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105"/>
                  <w:rPr>
                    <w:szCs w:val="21"/>
                  </w:rPr>
                </w:pPr>
                <w:r>
                  <w:rPr>
                    <w:rFonts w:hint="eastAsia"/>
                    <w:szCs w:val="21"/>
                  </w:rPr>
                  <w:t>城市维护建设税</w:t>
                </w:r>
              </w:p>
            </w:tc>
            <w:sdt>
              <w:sdtPr>
                <w:rPr>
                  <w:szCs w:val="21"/>
                </w:rPr>
                <w:alias w:val="应交税金中的城建税"/>
                <w:tag w:val="_GBC_24766beecbd94a09b66c519d4ce2eb4b"/>
                <w:id w:val="24725214"/>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ind w:right="73"/>
                      <w:jc w:val="right"/>
                      <w:rPr>
                        <w:szCs w:val="21"/>
                      </w:rPr>
                    </w:pPr>
                    <w:r>
                      <w:rPr>
                        <w:szCs w:val="21"/>
                      </w:rPr>
                      <w:t>24,745,702.25</w:t>
                    </w:r>
                  </w:p>
                </w:tc>
              </w:sdtContent>
            </w:sdt>
            <w:sdt>
              <w:sdtPr>
                <w:rPr>
                  <w:szCs w:val="21"/>
                </w:rPr>
                <w:alias w:val="应交税金中的城建税"/>
                <w:tag w:val="_GBC_522c4bb7bd76425489b513d37bee42e5"/>
                <w:id w:val="24725215"/>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7,081,854.24</w:t>
                    </w:r>
                  </w:p>
                </w:tc>
              </w:sdtContent>
            </w:sdt>
          </w:tr>
          <w:sdt>
            <w:sdtPr>
              <w:rPr>
                <w:rFonts w:hint="eastAsia"/>
                <w:szCs w:val="21"/>
              </w:rPr>
              <w:alias w:val="应交税金明细"/>
              <w:tag w:val="_GBC_0480c028aa8b4cf2885f8f1d9b64c155"/>
              <w:id w:val="24725219"/>
              <w:lock w:val="sdtLocked"/>
            </w:sdtPr>
            <w:sdtContent>
              <w:tr w:rsidR="00DE031E" w:rsidTr="00DE031E">
                <w:trPr>
                  <w:cantSplit/>
                </w:trPr>
                <w:sdt>
                  <w:sdtPr>
                    <w:rPr>
                      <w:rFonts w:hint="eastAsia"/>
                      <w:szCs w:val="21"/>
                    </w:rPr>
                    <w:alias w:val="应交税金种类"/>
                    <w:tag w:val="_GBC_9cf1df576f6a4ca6864c93966bcbe89a"/>
                    <w:id w:val="24725216"/>
                    <w:lock w:val="sdtLocked"/>
                  </w:sdtPr>
                  <w:sdtContent>
                    <w:tc>
                      <w:tcPr>
                        <w:tcW w:w="1675" w:type="pct"/>
                        <w:tcBorders>
                          <w:top w:val="single" w:sz="6" w:space="0" w:color="auto"/>
                          <w:left w:val="single" w:sz="6" w:space="0" w:color="auto"/>
                          <w:bottom w:val="single" w:sz="6" w:space="0" w:color="auto"/>
                          <w:right w:val="single" w:sz="6" w:space="0" w:color="auto"/>
                        </w:tcBorders>
                      </w:tcPr>
                      <w:p w:rsidR="00DE031E" w:rsidRDefault="001C1A59" w:rsidP="00DE031E">
                        <w:pPr>
                          <w:ind w:right="105"/>
                          <w:rPr>
                            <w:szCs w:val="21"/>
                          </w:rPr>
                        </w:pPr>
                        <w:r>
                          <w:rPr>
                            <w:rFonts w:hint="eastAsia"/>
                            <w:szCs w:val="21"/>
                          </w:rPr>
                          <w:t>教育费附加</w:t>
                        </w:r>
                      </w:p>
                    </w:tc>
                  </w:sdtContent>
                </w:sdt>
                <w:sdt>
                  <w:sdtPr>
                    <w:rPr>
                      <w:szCs w:val="21"/>
                    </w:rPr>
                    <w:alias w:val="应交税金金额"/>
                    <w:tag w:val="_GBC_60a396ea7f8a444db2807e7ff869b8f7"/>
                    <w:id w:val="24725217"/>
                    <w:lock w:val="sdtLocked"/>
                  </w:sdtPr>
                  <w:sdtContent>
                    <w:tc>
                      <w:tcPr>
                        <w:tcW w:w="1661" w:type="pct"/>
                        <w:tcBorders>
                          <w:top w:val="single" w:sz="6" w:space="0" w:color="auto"/>
                          <w:left w:val="single" w:sz="6" w:space="0" w:color="auto"/>
                          <w:bottom w:val="single" w:sz="6" w:space="0" w:color="auto"/>
                          <w:right w:val="single" w:sz="6" w:space="0" w:color="auto"/>
                        </w:tcBorders>
                      </w:tcPr>
                      <w:p w:rsidR="00DE031E" w:rsidRDefault="001C1A59" w:rsidP="00DE031E">
                        <w:pPr>
                          <w:ind w:right="73"/>
                          <w:jc w:val="right"/>
                          <w:rPr>
                            <w:szCs w:val="21"/>
                          </w:rPr>
                        </w:pPr>
                        <w:r>
                          <w:rPr>
                            <w:szCs w:val="21"/>
                          </w:rPr>
                          <w:t>17,671,341.19</w:t>
                        </w:r>
                      </w:p>
                    </w:tc>
                  </w:sdtContent>
                </w:sdt>
                <w:sdt>
                  <w:sdtPr>
                    <w:rPr>
                      <w:szCs w:val="21"/>
                    </w:rPr>
                    <w:alias w:val="应交税金金额"/>
                    <w:tag w:val="_GBC_bfbdd4e901504b1b962e744df3b97d11"/>
                    <w:id w:val="24725218"/>
                    <w:lock w:val="sdtLocked"/>
                  </w:sdtPr>
                  <w:sdtContent>
                    <w:tc>
                      <w:tcPr>
                        <w:tcW w:w="1664"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5,060,522.15</w:t>
                        </w:r>
                      </w:p>
                    </w:tc>
                  </w:sdtContent>
                </w:sdt>
              </w:tr>
            </w:sdtContent>
          </w:sdt>
          <w:sdt>
            <w:sdtPr>
              <w:rPr>
                <w:rFonts w:hint="eastAsia"/>
                <w:szCs w:val="21"/>
              </w:rPr>
              <w:alias w:val="应交税金明细"/>
              <w:tag w:val="_GBC_0480c028aa8b4cf2885f8f1d9b64c155"/>
              <w:id w:val="24725223"/>
              <w:lock w:val="sdtLocked"/>
            </w:sdtPr>
            <w:sdtContent>
              <w:tr w:rsidR="00DE031E" w:rsidTr="00DE031E">
                <w:trPr>
                  <w:cantSplit/>
                </w:trPr>
                <w:sdt>
                  <w:sdtPr>
                    <w:rPr>
                      <w:rFonts w:hint="eastAsia"/>
                      <w:szCs w:val="21"/>
                    </w:rPr>
                    <w:alias w:val="应交税金种类"/>
                    <w:tag w:val="_GBC_9cf1df576f6a4ca6864c93966bcbe89a"/>
                    <w:id w:val="24725220"/>
                    <w:lock w:val="sdtLocked"/>
                  </w:sdtPr>
                  <w:sdtContent>
                    <w:tc>
                      <w:tcPr>
                        <w:tcW w:w="1675" w:type="pct"/>
                        <w:tcBorders>
                          <w:top w:val="single" w:sz="6" w:space="0" w:color="auto"/>
                          <w:left w:val="single" w:sz="6" w:space="0" w:color="auto"/>
                          <w:bottom w:val="single" w:sz="6" w:space="0" w:color="auto"/>
                          <w:right w:val="single" w:sz="6" w:space="0" w:color="auto"/>
                        </w:tcBorders>
                      </w:tcPr>
                      <w:p w:rsidR="00DE031E" w:rsidRDefault="001C1A59" w:rsidP="00DE031E">
                        <w:pPr>
                          <w:ind w:right="105"/>
                          <w:rPr>
                            <w:szCs w:val="21"/>
                          </w:rPr>
                        </w:pPr>
                        <w:r>
                          <w:rPr>
                            <w:rFonts w:hint="eastAsia"/>
                            <w:szCs w:val="21"/>
                          </w:rPr>
                          <w:t>其他</w:t>
                        </w:r>
                      </w:p>
                    </w:tc>
                  </w:sdtContent>
                </w:sdt>
                <w:sdt>
                  <w:sdtPr>
                    <w:rPr>
                      <w:szCs w:val="21"/>
                    </w:rPr>
                    <w:alias w:val="应交税金金额"/>
                    <w:tag w:val="_GBC_60a396ea7f8a444db2807e7ff869b8f7"/>
                    <w:id w:val="24725221"/>
                    <w:lock w:val="sdtLocked"/>
                  </w:sdtPr>
                  <w:sdtContent>
                    <w:tc>
                      <w:tcPr>
                        <w:tcW w:w="1661" w:type="pct"/>
                        <w:tcBorders>
                          <w:top w:val="single" w:sz="6" w:space="0" w:color="auto"/>
                          <w:left w:val="single" w:sz="6" w:space="0" w:color="auto"/>
                          <w:bottom w:val="single" w:sz="6" w:space="0" w:color="auto"/>
                          <w:right w:val="single" w:sz="6" w:space="0" w:color="auto"/>
                        </w:tcBorders>
                      </w:tcPr>
                      <w:p w:rsidR="00DE031E" w:rsidRDefault="001C1A59" w:rsidP="00DE031E">
                        <w:pPr>
                          <w:ind w:right="73"/>
                          <w:jc w:val="right"/>
                          <w:rPr>
                            <w:szCs w:val="21"/>
                          </w:rPr>
                        </w:pPr>
                        <w:r>
                          <w:rPr>
                            <w:szCs w:val="21"/>
                          </w:rPr>
                          <w:t>1,400,2</w:t>
                        </w:r>
                        <w:r>
                          <w:rPr>
                            <w:rFonts w:hint="eastAsia"/>
                            <w:szCs w:val="21"/>
                          </w:rPr>
                          <w:t>50</w:t>
                        </w:r>
                        <w:r>
                          <w:rPr>
                            <w:szCs w:val="21"/>
                          </w:rPr>
                          <w:t>.0</w:t>
                        </w:r>
                        <w:r>
                          <w:rPr>
                            <w:rFonts w:hint="eastAsia"/>
                            <w:szCs w:val="21"/>
                          </w:rPr>
                          <w:t>5</w:t>
                        </w:r>
                      </w:p>
                    </w:tc>
                  </w:sdtContent>
                </w:sdt>
                <w:sdt>
                  <w:sdtPr>
                    <w:rPr>
                      <w:szCs w:val="21"/>
                    </w:rPr>
                    <w:alias w:val="应交税金金额"/>
                    <w:tag w:val="_GBC_bfbdd4e901504b1b962e744df3b97d11"/>
                    <w:id w:val="24725222"/>
                    <w:lock w:val="sdtLocked"/>
                  </w:sdtPr>
                  <w:sdtContent>
                    <w:tc>
                      <w:tcPr>
                        <w:tcW w:w="1664"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1,903,252.60</w:t>
                        </w:r>
                      </w:p>
                    </w:tc>
                  </w:sdtContent>
                </w:sdt>
              </w:tr>
            </w:sdtContent>
          </w:sdt>
          <w:tr w:rsidR="00DE031E" w:rsidTr="00DE031E">
            <w:trPr>
              <w:cantSplit/>
            </w:trPr>
            <w:tc>
              <w:tcPr>
                <w:tcW w:w="1675"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ind w:right="105"/>
                  <w:jc w:val="center"/>
                  <w:rPr>
                    <w:szCs w:val="21"/>
                  </w:rPr>
                </w:pPr>
                <w:r>
                  <w:rPr>
                    <w:rFonts w:hint="eastAsia"/>
                    <w:szCs w:val="21"/>
                  </w:rPr>
                  <w:t>合计</w:t>
                </w:r>
              </w:p>
            </w:tc>
            <w:sdt>
              <w:sdtPr>
                <w:rPr>
                  <w:szCs w:val="21"/>
                </w:rPr>
                <w:alias w:val="应交税金"/>
                <w:tag w:val="_GBC_b4b20da52fcb4ab1b64aaec0bea772ef"/>
                <w:id w:val="24725224"/>
                <w:lock w:val="sdtLocked"/>
              </w:sdtPr>
              <w:sdtContent>
                <w:tc>
                  <w:tcPr>
                    <w:tcW w:w="1661" w:type="pct"/>
                    <w:tcBorders>
                      <w:top w:val="single" w:sz="6" w:space="0" w:color="auto"/>
                      <w:left w:val="single" w:sz="6" w:space="0" w:color="auto"/>
                      <w:bottom w:val="single" w:sz="6" w:space="0" w:color="auto"/>
                      <w:right w:val="single" w:sz="6" w:space="0" w:color="auto"/>
                    </w:tcBorders>
                  </w:tcPr>
                  <w:p w:rsidR="00DE031E" w:rsidRDefault="001C1A59" w:rsidP="00DE031E">
                    <w:pPr>
                      <w:ind w:right="73"/>
                      <w:jc w:val="right"/>
                      <w:rPr>
                        <w:szCs w:val="21"/>
                      </w:rPr>
                    </w:pPr>
                    <w:r>
                      <w:rPr>
                        <w:szCs w:val="21"/>
                      </w:rPr>
                      <w:t>1,379,687,019.69</w:t>
                    </w:r>
                  </w:p>
                </w:tc>
              </w:sdtContent>
            </w:sdt>
            <w:sdt>
              <w:sdtPr>
                <w:rPr>
                  <w:szCs w:val="21"/>
                </w:rPr>
                <w:alias w:val="应交税金"/>
                <w:tag w:val="_GBC_bf00b425eb424f4d975ef5db71f96d94"/>
                <w:id w:val="24725225"/>
                <w:lock w:val="sdtLocked"/>
              </w:sdtPr>
              <w:sdtContent>
                <w:tc>
                  <w:tcPr>
                    <w:tcW w:w="1664"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547,195,071.78</w:t>
                    </w:r>
                  </w:p>
                </w:tc>
              </w:sdtContent>
            </w:sdt>
          </w:tr>
        </w:tbl>
        <w:sdt>
          <w:sdtPr>
            <w:rPr>
              <w:szCs w:val="21"/>
            </w:rPr>
            <w:alias w:val="应交税金的说明"/>
            <w:tag w:val="_GBC_fb59f8f9de2d41c3aaf0dc3b0970dd91"/>
            <w:id w:val="24725226"/>
            <w:lock w:val="sdtLocked"/>
            <w:placeholder>
              <w:docPart w:val="GBC22222222222222222222222222222"/>
            </w:placeholder>
          </w:sdtPr>
          <w:sdtContent>
            <w:p w:rsidR="00DE031E" w:rsidRDefault="001C1A59" w:rsidP="003A0284">
              <w:pPr>
                <w:widowControl w:val="0"/>
                <w:autoSpaceDE w:val="0"/>
                <w:autoSpaceDN w:val="0"/>
                <w:adjustRightInd w:val="0"/>
                <w:spacing w:beforeLines="50" w:line="360" w:lineRule="auto"/>
                <w:ind w:firstLineChars="200" w:firstLine="420"/>
                <w:rPr>
                  <w:szCs w:val="21"/>
                </w:rPr>
              </w:pPr>
              <w:r>
                <w:rPr>
                  <w:rFonts w:hAnsi="Calibri" w:hint="eastAsia"/>
                  <w:sz w:val="22"/>
                  <w:szCs w:val="22"/>
                </w:rPr>
                <w:t>截至</w:t>
              </w:r>
              <w:r>
                <w:rPr>
                  <w:rFonts w:ascii="Arial" w:hAnsi="Arial" w:cs="Arial"/>
                  <w:sz w:val="22"/>
                  <w:szCs w:val="22"/>
                </w:rPr>
                <w:t>201</w:t>
              </w:r>
              <w:r>
                <w:rPr>
                  <w:rFonts w:ascii="Arial" w:hAnsi="Arial" w:cs="Arial" w:hint="eastAsia"/>
                  <w:sz w:val="22"/>
                  <w:szCs w:val="22"/>
                </w:rPr>
                <w:t>5</w:t>
              </w:r>
              <w:r>
                <w:rPr>
                  <w:rFonts w:hAnsi="Calibri" w:hint="eastAsia"/>
                  <w:sz w:val="22"/>
                  <w:szCs w:val="22"/>
                </w:rPr>
                <w:t>年</w:t>
              </w:r>
              <w:r>
                <w:rPr>
                  <w:rFonts w:ascii="Arial" w:hAnsi="Arial" w:cs="Arial" w:hint="eastAsia"/>
                  <w:sz w:val="22"/>
                  <w:szCs w:val="22"/>
                </w:rPr>
                <w:t>6</w:t>
              </w:r>
              <w:r>
                <w:rPr>
                  <w:rFonts w:hAnsi="Calibri" w:hint="eastAsia"/>
                  <w:sz w:val="22"/>
                  <w:szCs w:val="22"/>
                </w:rPr>
                <w:t>月</w:t>
              </w:r>
              <w:r>
                <w:rPr>
                  <w:rFonts w:ascii="Arial" w:hAnsi="Arial" w:cs="Arial"/>
                  <w:sz w:val="22"/>
                  <w:szCs w:val="22"/>
                </w:rPr>
                <w:t>3</w:t>
              </w:r>
              <w:r>
                <w:rPr>
                  <w:rFonts w:ascii="Arial" w:hAnsi="Arial" w:cs="Arial" w:hint="eastAsia"/>
                  <w:sz w:val="22"/>
                  <w:szCs w:val="22"/>
                </w:rPr>
                <w:t>0</w:t>
              </w:r>
              <w:r>
                <w:rPr>
                  <w:rFonts w:hAnsi="Calibri" w:hint="eastAsia"/>
                  <w:sz w:val="22"/>
                  <w:szCs w:val="22"/>
                </w:rPr>
                <w:t>日，应交税费余额较年初增加</w:t>
              </w:r>
              <w:r>
                <w:rPr>
                  <w:rFonts w:ascii="Arial" w:hAnsi="Arial" w:cs="Arial" w:hint="eastAsia"/>
                  <w:sz w:val="22"/>
                  <w:szCs w:val="22"/>
                </w:rPr>
                <w:t>832</w:t>
              </w:r>
              <w:r>
                <w:rPr>
                  <w:rFonts w:ascii="Arial" w:hAnsi="Arial" w:cs="Arial"/>
                  <w:sz w:val="22"/>
                  <w:szCs w:val="22"/>
                </w:rPr>
                <w:t>,</w:t>
              </w:r>
              <w:r>
                <w:rPr>
                  <w:rFonts w:ascii="Arial" w:hAnsi="Arial" w:cs="Arial" w:hint="eastAsia"/>
                  <w:sz w:val="22"/>
                  <w:szCs w:val="22"/>
                </w:rPr>
                <w:t>491</w:t>
              </w:r>
              <w:r>
                <w:rPr>
                  <w:rFonts w:ascii="Arial" w:hAnsi="Arial" w:cs="Arial"/>
                  <w:sz w:val="22"/>
                  <w:szCs w:val="22"/>
                </w:rPr>
                <w:t>,</w:t>
              </w:r>
              <w:r>
                <w:rPr>
                  <w:rFonts w:ascii="Arial" w:hAnsi="Arial" w:cs="Arial" w:hint="eastAsia"/>
                  <w:sz w:val="22"/>
                  <w:szCs w:val="22"/>
                </w:rPr>
                <w:t>947</w:t>
              </w:r>
              <w:r>
                <w:rPr>
                  <w:rFonts w:ascii="Arial" w:hAnsi="Arial" w:cs="Arial"/>
                  <w:sz w:val="22"/>
                  <w:szCs w:val="22"/>
                </w:rPr>
                <w:t>.9</w:t>
              </w:r>
              <w:r>
                <w:rPr>
                  <w:rFonts w:ascii="Arial" w:hAnsi="Arial" w:cs="Arial" w:hint="eastAsia"/>
                  <w:sz w:val="22"/>
                  <w:szCs w:val="22"/>
                </w:rPr>
                <w:t>1</w:t>
              </w:r>
              <w:r>
                <w:rPr>
                  <w:rFonts w:hAnsi="Calibri" w:hint="eastAsia"/>
                  <w:sz w:val="22"/>
                  <w:szCs w:val="22"/>
                </w:rPr>
                <w:t>元，增幅</w:t>
              </w:r>
              <w:r>
                <w:rPr>
                  <w:rFonts w:ascii="Arial" w:hAnsi="Arial" w:cs="Arial" w:hint="eastAsia"/>
                  <w:sz w:val="22"/>
                  <w:szCs w:val="22"/>
                </w:rPr>
                <w:t>152.14</w:t>
              </w:r>
              <w:r>
                <w:rPr>
                  <w:rFonts w:ascii="Arial" w:hAnsi="Arial" w:cs="Arial"/>
                  <w:sz w:val="22"/>
                  <w:szCs w:val="22"/>
                </w:rPr>
                <w:t>%</w:t>
              </w:r>
              <w:r>
                <w:rPr>
                  <w:rFonts w:hAnsi="Calibri" w:hint="eastAsia"/>
                  <w:sz w:val="22"/>
                  <w:szCs w:val="22"/>
                </w:rPr>
                <w:t>，主要原因为期末应缴营业税及企业所得税增加。</w:t>
              </w:r>
            </w:p>
          </w:sdtContent>
        </w:sdt>
      </w:sdtContent>
    </w:sdt>
    <w:p w:rsidR="00DE031E" w:rsidRDefault="00DE031E">
      <w:pPr>
        <w:rPr>
          <w:szCs w:val="21"/>
        </w:rPr>
      </w:pPr>
    </w:p>
    <w:p w:rsidR="00DE031E" w:rsidRDefault="00DE031E">
      <w:pPr>
        <w:rPr>
          <w:szCs w:val="21"/>
        </w:rPr>
      </w:pPr>
    </w:p>
    <w:p w:rsidR="00DE031E" w:rsidRDefault="00DE031E">
      <w:pPr>
        <w:rPr>
          <w:szCs w:val="21"/>
        </w:rPr>
      </w:pPr>
    </w:p>
    <w:p w:rsidR="00834ADC" w:rsidRDefault="00834ADC">
      <w:pPr>
        <w:rPr>
          <w:szCs w:val="21"/>
        </w:rPr>
      </w:pPr>
    </w:p>
    <w:p w:rsidR="00DE031E" w:rsidRDefault="00DE031E">
      <w:pPr>
        <w:rPr>
          <w:szCs w:val="21"/>
        </w:rPr>
      </w:pPr>
    </w:p>
    <w:p w:rsidR="00DE031E" w:rsidRPr="00FB384D" w:rsidRDefault="00DE031E">
      <w:pPr>
        <w:rPr>
          <w:szCs w:val="21"/>
        </w:rPr>
      </w:pPr>
    </w:p>
    <w:p w:rsidR="00DE031E" w:rsidRDefault="00DE031E">
      <w:pPr>
        <w:rPr>
          <w:szCs w:val="21"/>
        </w:rPr>
      </w:pPr>
    </w:p>
    <w:sdt>
      <w:sdtPr>
        <w:rPr>
          <w:rFonts w:ascii="宋体" w:hAnsi="宋体" w:cs="宋体"/>
          <w:b w:val="0"/>
          <w:bCs w:val="0"/>
          <w:kern w:val="0"/>
          <w:szCs w:val="22"/>
        </w:rPr>
        <w:tag w:val="_GBC_da4ff9d4ac784b77873e975cd7cd47d4"/>
        <w:id w:val="24725260"/>
        <w:lock w:val="sdtLocked"/>
        <w:placeholder>
          <w:docPart w:val="GBC22222222222222222222222222222"/>
        </w:placeholder>
      </w:sdtPr>
      <w:sdtEndPr>
        <w:rPr>
          <w:szCs w:val="24"/>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应付利息</w:t>
          </w:r>
        </w:p>
        <w:sdt>
          <w:sdtPr>
            <w:alias w:val="是否适用：应付利息"/>
            <w:tag w:val="_GBC_551df6457c4e45a490cfaa9f58185d88"/>
            <w:id w:val="24725228"/>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t>单位：</w:t>
          </w:r>
          <w:sdt>
            <w:sdtPr>
              <w:rPr>
                <w:rFonts w:hint="eastAsia"/>
              </w:rPr>
              <w:alias w:val="单位：财务附注：应付利息"/>
              <w:tag w:val="_GBC_db6e2c5df5fe43b7abe5714038efca0a"/>
              <w:id w:val="247252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 xml:space="preserve">元 </w:t>
              </w:r>
            </w:sdtContent>
          </w:sdt>
          <w:r>
            <w:t xml:space="preserve">  币种：</w:t>
          </w:r>
          <w:sdt>
            <w:sdtPr>
              <w:alias w:val="币种：财务附注：应付利息"/>
              <w:tag w:val="_GBC_b68e7eb2602542e094dde6eefeed9b71"/>
              <w:id w:val="24725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6"/>
            <w:gridCol w:w="2939"/>
            <w:gridCol w:w="2984"/>
          </w:tblGrid>
          <w:tr w:rsidR="00DE031E" w:rsidTr="00DE031E">
            <w:trPr>
              <w:jc w:val="center"/>
            </w:trPr>
            <w:tc>
              <w:tcPr>
                <w:tcW w:w="1727" w:type="pct"/>
                <w:tcBorders>
                  <w:bottom w:val="single" w:sz="4" w:space="0" w:color="auto"/>
                </w:tcBorders>
                <w:shd w:val="clear" w:color="auto" w:fill="auto"/>
                <w:vAlign w:val="bottom"/>
              </w:tcPr>
              <w:p w:rsidR="00DE031E" w:rsidRDefault="001C1A59" w:rsidP="00DE031E">
                <w:pPr>
                  <w:jc w:val="center"/>
                </w:pPr>
                <w:r>
                  <w:t>项  目</w:t>
                </w:r>
              </w:p>
            </w:tc>
            <w:tc>
              <w:tcPr>
                <w:tcW w:w="1624" w:type="pct"/>
                <w:shd w:val="clear" w:color="auto" w:fill="auto"/>
                <w:vAlign w:val="bottom"/>
              </w:tcPr>
              <w:p w:rsidR="00DE031E" w:rsidRDefault="001C1A59" w:rsidP="00DE031E">
                <w:pPr>
                  <w:jc w:val="center"/>
                </w:pPr>
                <w:r>
                  <w:t>期末账面余额</w:t>
                </w:r>
              </w:p>
            </w:tc>
            <w:tc>
              <w:tcPr>
                <w:tcW w:w="1649" w:type="pct"/>
                <w:shd w:val="clear" w:color="auto" w:fill="auto"/>
                <w:vAlign w:val="bottom"/>
              </w:tcPr>
              <w:p w:rsidR="00DE031E" w:rsidRDefault="001C1A59" w:rsidP="00DE031E">
                <w:pPr>
                  <w:jc w:val="center"/>
                </w:pPr>
                <w:r>
                  <w:rPr>
                    <w:rFonts w:hint="eastAsia"/>
                  </w:rPr>
                  <w:t>期初</w:t>
                </w:r>
                <w:r>
                  <w:t>账面余额</w:t>
                </w:r>
              </w:p>
            </w:tc>
          </w:tr>
          <w:tr w:rsidR="00DE031E" w:rsidTr="00DE031E">
            <w:trPr>
              <w:jc w:val="center"/>
            </w:trPr>
            <w:tc>
              <w:tcPr>
                <w:tcW w:w="1727" w:type="pct"/>
                <w:shd w:val="clear" w:color="auto" w:fill="auto"/>
              </w:tcPr>
              <w:p w:rsidR="00DE031E" w:rsidRDefault="001C1A59" w:rsidP="00DE031E">
                <w:r>
                  <w:t>客户资金</w:t>
                </w:r>
              </w:p>
            </w:tc>
            <w:sdt>
              <w:sdtPr>
                <w:alias w:val="应付利息中客户资金利息"/>
                <w:tag w:val="_GBC_ae46b8121f0649e582f61cd4853f509c"/>
                <w:id w:val="24725231"/>
                <w:lock w:val="sdtLocked"/>
              </w:sdtPr>
              <w:sdtContent>
                <w:tc>
                  <w:tcPr>
                    <w:tcW w:w="1624" w:type="pct"/>
                  </w:tcPr>
                  <w:p w:rsidR="00DE031E" w:rsidRDefault="001C1A59" w:rsidP="00DE031E">
                    <w:pPr>
                      <w:jc w:val="right"/>
                    </w:pPr>
                    <w:r>
                      <w:t>14,268,135.01</w:t>
                    </w:r>
                  </w:p>
                </w:tc>
              </w:sdtContent>
            </w:sdt>
            <w:sdt>
              <w:sdtPr>
                <w:alias w:val="应付利息中客户资金利息"/>
                <w:tag w:val="_GBC_f6c1aad49efd49ee8933cdb4911e364c"/>
                <w:id w:val="24725232"/>
                <w:lock w:val="sdtLocked"/>
              </w:sdtPr>
              <w:sdtContent>
                <w:tc>
                  <w:tcPr>
                    <w:tcW w:w="1649" w:type="pct"/>
                  </w:tcPr>
                  <w:p w:rsidR="00DE031E" w:rsidRDefault="001C1A59" w:rsidP="00DE031E">
                    <w:pPr>
                      <w:jc w:val="right"/>
                    </w:pPr>
                    <w:r>
                      <w:t>7,754,180.62</w:t>
                    </w:r>
                  </w:p>
                </w:tc>
              </w:sdtContent>
            </w:sdt>
          </w:tr>
          <w:tr w:rsidR="00DE031E" w:rsidTr="00DE031E">
            <w:trPr>
              <w:jc w:val="center"/>
            </w:trPr>
            <w:tc>
              <w:tcPr>
                <w:tcW w:w="1727" w:type="pct"/>
                <w:shd w:val="clear" w:color="auto" w:fill="auto"/>
              </w:tcPr>
              <w:p w:rsidR="00DE031E" w:rsidRDefault="001C1A59" w:rsidP="00DE031E">
                <w:r>
                  <w:t>短期借款</w:t>
                </w:r>
              </w:p>
            </w:tc>
            <w:sdt>
              <w:sdtPr>
                <w:alias w:val="应付利息中短期借款应付利息"/>
                <w:tag w:val="_GBC_301d19f234274f4fad98280f846feb0b"/>
                <w:id w:val="24725233"/>
                <w:lock w:val="sdtLocked"/>
              </w:sdtPr>
              <w:sdtContent>
                <w:tc>
                  <w:tcPr>
                    <w:tcW w:w="1624" w:type="pct"/>
                  </w:tcPr>
                  <w:p w:rsidR="00DE031E" w:rsidRDefault="001C1A59" w:rsidP="00DE031E">
                    <w:pPr>
                      <w:jc w:val="right"/>
                    </w:pPr>
                    <w:r>
                      <w:t>2,333,261.82</w:t>
                    </w:r>
                  </w:p>
                </w:tc>
              </w:sdtContent>
            </w:sdt>
            <w:sdt>
              <w:sdtPr>
                <w:alias w:val="应付利息中短期借款应付利息"/>
                <w:tag w:val="_GBC_253476a7bf094e3e97faa488c7f074e6"/>
                <w:id w:val="24725234"/>
                <w:lock w:val="sdtLocked"/>
              </w:sdtPr>
              <w:sdtContent>
                <w:tc>
                  <w:tcPr>
                    <w:tcW w:w="1649" w:type="pct"/>
                  </w:tcPr>
                  <w:p w:rsidR="00DE031E" w:rsidRDefault="001C1A59" w:rsidP="00DE031E">
                    <w:pPr>
                      <w:jc w:val="right"/>
                    </w:pPr>
                    <w:r>
                      <w:t>239,292.86</w:t>
                    </w:r>
                  </w:p>
                </w:tc>
              </w:sdtContent>
            </w:sdt>
          </w:tr>
          <w:sdt>
            <w:sdtPr>
              <w:rPr>
                <w:szCs w:val="21"/>
              </w:rPr>
              <w:alias w:val="应付利息明细"/>
              <w:tag w:val="_GBC_ea122984a47a40d1bd261edbd3307ed8"/>
              <w:id w:val="24725238"/>
              <w:lock w:val="sdtLocked"/>
            </w:sdtPr>
            <w:sdtEndPr>
              <w:rPr>
                <w:color w:val="000000" w:themeColor="text1"/>
              </w:rPr>
            </w:sdtEndPr>
            <w:sdtContent>
              <w:tr w:rsidR="00DE031E" w:rsidTr="00DE031E">
                <w:trPr>
                  <w:jc w:val="center"/>
                </w:trPr>
                <w:tc>
                  <w:tcPr>
                    <w:tcW w:w="1727" w:type="pct"/>
                    <w:tcBorders>
                      <w:bottom w:val="single" w:sz="4" w:space="0" w:color="auto"/>
                    </w:tcBorders>
                    <w:shd w:val="clear" w:color="auto" w:fill="auto"/>
                  </w:tcPr>
                  <w:sdt>
                    <w:sdtPr>
                      <w:alias w:val="应付利息明细-项目"/>
                      <w:tag w:val="_GBC_f290f060207a489b941644fbe5f9dcb1"/>
                      <w:id w:val="24725235"/>
                      <w:lock w:val="sdtLocked"/>
                    </w:sdtPr>
                    <w:sdtContent>
                      <w:p w:rsidR="00DE031E" w:rsidRDefault="001C1A59" w:rsidP="00DE031E">
                        <w:r>
                          <w:rPr>
                            <w:rFonts w:hint="eastAsia"/>
                          </w:rPr>
                          <w:t>应付长期借款利息</w:t>
                        </w:r>
                      </w:p>
                    </w:sdtContent>
                  </w:sdt>
                </w:tc>
                <w:sdt>
                  <w:sdtPr>
                    <w:alias w:val="应付利息明细-金额"/>
                    <w:tag w:val="_GBC_1ad7ca1c1400401f8e48c0466824613b"/>
                    <w:id w:val="24725236"/>
                    <w:lock w:val="sdtLocked"/>
                    <w:showingPlcHdr/>
                  </w:sdtPr>
                  <w:sdtContent>
                    <w:tc>
                      <w:tcPr>
                        <w:tcW w:w="1624" w:type="pct"/>
                      </w:tcPr>
                      <w:p w:rsidR="00DE031E" w:rsidRDefault="001C1A59" w:rsidP="00DE031E">
                        <w:pPr>
                          <w:jc w:val="right"/>
                        </w:pPr>
                        <w:r>
                          <w:rPr>
                            <w:rFonts w:hint="eastAsia"/>
                          </w:rPr>
                          <w:t xml:space="preserve">　</w:t>
                        </w:r>
                      </w:p>
                    </w:tc>
                  </w:sdtContent>
                </w:sdt>
                <w:sdt>
                  <w:sdtPr>
                    <w:alias w:val="应付利息明细-金额"/>
                    <w:tag w:val="_GBC_7e2a709f262849cfbe319b5e2e76e104"/>
                    <w:id w:val="24725237"/>
                    <w:lock w:val="sdtLocked"/>
                  </w:sdtPr>
                  <w:sdtContent>
                    <w:tc>
                      <w:tcPr>
                        <w:tcW w:w="1649" w:type="pct"/>
                      </w:tcPr>
                      <w:p w:rsidR="00DE031E" w:rsidRDefault="001C1A59" w:rsidP="00DE031E">
                        <w:pPr>
                          <w:jc w:val="right"/>
                        </w:pPr>
                        <w:r>
                          <w:t>464,050.42</w:t>
                        </w:r>
                      </w:p>
                    </w:tc>
                  </w:sdtContent>
                </w:sdt>
              </w:tr>
            </w:sdtContent>
          </w:sdt>
          <w:sdt>
            <w:sdtPr>
              <w:rPr>
                <w:szCs w:val="21"/>
              </w:rPr>
              <w:alias w:val="应付利息明细"/>
              <w:tag w:val="_GBC_ea122984a47a40d1bd261edbd3307ed8"/>
              <w:id w:val="24725242"/>
              <w:lock w:val="sdtLocked"/>
            </w:sdtPr>
            <w:sdtEndPr>
              <w:rPr>
                <w:color w:val="000000" w:themeColor="text1"/>
              </w:rPr>
            </w:sdtEndPr>
            <w:sdtContent>
              <w:tr w:rsidR="00DE031E" w:rsidTr="00DE031E">
                <w:trPr>
                  <w:jc w:val="center"/>
                </w:trPr>
                <w:tc>
                  <w:tcPr>
                    <w:tcW w:w="1727" w:type="pct"/>
                    <w:tcBorders>
                      <w:bottom w:val="single" w:sz="4" w:space="0" w:color="auto"/>
                    </w:tcBorders>
                    <w:shd w:val="clear" w:color="auto" w:fill="auto"/>
                  </w:tcPr>
                  <w:sdt>
                    <w:sdtPr>
                      <w:alias w:val="应付利息明细-项目"/>
                      <w:tag w:val="_GBC_f290f060207a489b941644fbe5f9dcb1"/>
                      <w:id w:val="24725239"/>
                      <w:lock w:val="sdtLocked"/>
                    </w:sdtPr>
                    <w:sdtContent>
                      <w:p w:rsidR="00DE031E" w:rsidRDefault="001C1A59" w:rsidP="00DE031E">
                        <w:r>
                          <w:rPr>
                            <w:rFonts w:hint="eastAsia"/>
                          </w:rPr>
                          <w:t>应付短期融资券利息</w:t>
                        </w:r>
                      </w:p>
                    </w:sdtContent>
                  </w:sdt>
                </w:tc>
                <w:sdt>
                  <w:sdtPr>
                    <w:alias w:val="应付利息明细-金额"/>
                    <w:tag w:val="_GBC_1ad7ca1c1400401f8e48c0466824613b"/>
                    <w:id w:val="24725240"/>
                    <w:lock w:val="sdtLocked"/>
                  </w:sdtPr>
                  <w:sdtContent>
                    <w:tc>
                      <w:tcPr>
                        <w:tcW w:w="1624" w:type="pct"/>
                      </w:tcPr>
                      <w:p w:rsidR="00DE031E" w:rsidRDefault="001C1A59" w:rsidP="00DE031E">
                        <w:pPr>
                          <w:jc w:val="right"/>
                        </w:pPr>
                        <w:r>
                          <w:t>28,816,591.17</w:t>
                        </w:r>
                      </w:p>
                    </w:tc>
                  </w:sdtContent>
                </w:sdt>
                <w:sdt>
                  <w:sdtPr>
                    <w:alias w:val="应付利息明细-金额"/>
                    <w:tag w:val="_GBC_7e2a709f262849cfbe319b5e2e76e104"/>
                    <w:id w:val="24725241"/>
                    <w:lock w:val="sdtLocked"/>
                  </w:sdtPr>
                  <w:sdtContent>
                    <w:tc>
                      <w:tcPr>
                        <w:tcW w:w="1649" w:type="pct"/>
                      </w:tcPr>
                      <w:p w:rsidR="00DE031E" w:rsidRDefault="001C1A59" w:rsidP="00DE031E">
                        <w:pPr>
                          <w:jc w:val="right"/>
                        </w:pPr>
                        <w:r>
                          <w:t>58,274,816.70</w:t>
                        </w:r>
                      </w:p>
                    </w:tc>
                  </w:sdtContent>
                </w:sdt>
              </w:tr>
            </w:sdtContent>
          </w:sdt>
          <w:tr w:rsidR="00DE031E" w:rsidTr="00DE031E">
            <w:trPr>
              <w:jc w:val="center"/>
            </w:trPr>
            <w:tc>
              <w:tcPr>
                <w:tcW w:w="1727" w:type="pct"/>
                <w:shd w:val="clear" w:color="auto" w:fill="auto"/>
              </w:tcPr>
              <w:p w:rsidR="00DE031E" w:rsidRDefault="001C1A59" w:rsidP="00DE031E">
                <w:r>
                  <w:t>应付债券</w:t>
                </w:r>
              </w:p>
            </w:tc>
            <w:sdt>
              <w:sdtPr>
                <w:alias w:val="应付利息中应付债券利息"/>
                <w:tag w:val="_GBC_e623251817124a1ea85427053abd0ade"/>
                <w:id w:val="24725243"/>
                <w:lock w:val="sdtLocked"/>
              </w:sdtPr>
              <w:sdtContent>
                <w:tc>
                  <w:tcPr>
                    <w:tcW w:w="1624" w:type="pct"/>
                  </w:tcPr>
                  <w:p w:rsidR="00DE031E" w:rsidRDefault="001C1A59" w:rsidP="00DE031E">
                    <w:pPr>
                      <w:jc w:val="right"/>
                    </w:pPr>
                    <w:r>
                      <w:t>190,792,843.39</w:t>
                    </w:r>
                  </w:p>
                </w:tc>
              </w:sdtContent>
            </w:sdt>
            <w:sdt>
              <w:sdtPr>
                <w:alias w:val="应付利息中应付债券利息"/>
                <w:tag w:val="_GBC_11826f0e808448c1ac0f4a3ab0e76262"/>
                <w:id w:val="24725244"/>
                <w:lock w:val="sdtLocked"/>
              </w:sdtPr>
              <w:sdtContent>
                <w:tc>
                  <w:tcPr>
                    <w:tcW w:w="1649" w:type="pct"/>
                  </w:tcPr>
                  <w:p w:rsidR="00DE031E" w:rsidRDefault="001C1A59" w:rsidP="00DE031E">
                    <w:pPr>
                      <w:jc w:val="right"/>
                    </w:pPr>
                    <w:r>
                      <w:t>404,390,410.96</w:t>
                    </w:r>
                  </w:p>
                </w:tc>
              </w:sdtContent>
            </w:sdt>
          </w:tr>
          <w:tr w:rsidR="00DE031E" w:rsidTr="00DE031E">
            <w:trPr>
              <w:jc w:val="center"/>
            </w:trPr>
            <w:tc>
              <w:tcPr>
                <w:tcW w:w="1727" w:type="pct"/>
                <w:tcBorders>
                  <w:bottom w:val="single" w:sz="4" w:space="0" w:color="auto"/>
                </w:tcBorders>
                <w:shd w:val="clear" w:color="auto" w:fill="auto"/>
              </w:tcPr>
              <w:p w:rsidR="00DE031E" w:rsidRDefault="001C1A59" w:rsidP="00DE031E">
                <w:r>
                  <w:rPr>
                    <w:rFonts w:hint="eastAsia"/>
                  </w:rPr>
                  <w:t>应付正</w:t>
                </w:r>
                <w:r>
                  <w:t>回购</w:t>
                </w:r>
                <w:r>
                  <w:rPr>
                    <w:rFonts w:hint="eastAsia"/>
                  </w:rPr>
                  <w:t>利息</w:t>
                </w:r>
              </w:p>
            </w:tc>
            <w:sdt>
              <w:sdtPr>
                <w:alias w:val="应付利息中卖出回购利息"/>
                <w:tag w:val="_GBC_9bebe41b5c7a43778b1921c6cc400206"/>
                <w:id w:val="24725245"/>
                <w:lock w:val="sdtLocked"/>
              </w:sdtPr>
              <w:sdtContent>
                <w:tc>
                  <w:tcPr>
                    <w:tcW w:w="1624" w:type="pct"/>
                  </w:tcPr>
                  <w:p w:rsidR="00DE031E" w:rsidRDefault="001C1A59" w:rsidP="00DE031E">
                    <w:pPr>
                      <w:jc w:val="right"/>
                    </w:pPr>
                    <w:r>
                      <w:t>108,268,035.49</w:t>
                    </w:r>
                  </w:p>
                </w:tc>
              </w:sdtContent>
            </w:sdt>
            <w:sdt>
              <w:sdtPr>
                <w:alias w:val="应付利息中卖出回购利息"/>
                <w:tag w:val="_GBC_085d3421e19c41d29baadb1fea2b9a68"/>
                <w:id w:val="24725246"/>
                <w:lock w:val="sdtLocked"/>
              </w:sdtPr>
              <w:sdtContent>
                <w:tc>
                  <w:tcPr>
                    <w:tcW w:w="1649" w:type="pct"/>
                  </w:tcPr>
                  <w:p w:rsidR="00DE031E" w:rsidRDefault="001C1A59" w:rsidP="00DE031E">
                    <w:pPr>
                      <w:jc w:val="right"/>
                    </w:pPr>
                    <w:r>
                      <w:t>89,363,908.57</w:t>
                    </w:r>
                  </w:p>
                </w:tc>
              </w:sdtContent>
            </w:sdt>
          </w:tr>
          <w:tr w:rsidR="00DE031E" w:rsidTr="00DE031E">
            <w:trPr>
              <w:jc w:val="center"/>
            </w:trPr>
            <w:tc>
              <w:tcPr>
                <w:tcW w:w="1727" w:type="pct"/>
                <w:tcBorders>
                  <w:bottom w:val="single" w:sz="4" w:space="0" w:color="auto"/>
                </w:tcBorders>
                <w:shd w:val="clear" w:color="auto" w:fill="auto"/>
              </w:tcPr>
              <w:p w:rsidR="00DE031E" w:rsidRDefault="001C1A59" w:rsidP="00DE031E">
                <w:r>
                  <w:t>次级债券</w:t>
                </w:r>
              </w:p>
            </w:tc>
            <w:sdt>
              <w:sdtPr>
                <w:alias w:val="应付利息中次级债券利息"/>
                <w:tag w:val="_GBC_ea04578d3a41454aae8ed0ced2df4cf7"/>
                <w:id w:val="24725247"/>
                <w:lock w:val="sdtLocked"/>
              </w:sdtPr>
              <w:sdtContent>
                <w:tc>
                  <w:tcPr>
                    <w:tcW w:w="1624" w:type="pct"/>
                  </w:tcPr>
                  <w:p w:rsidR="00DE031E" w:rsidRDefault="001C1A59" w:rsidP="00DE031E">
                    <w:pPr>
                      <w:jc w:val="right"/>
                    </w:pPr>
                    <w:r>
                      <w:t>482,332,851.75</w:t>
                    </w:r>
                  </w:p>
                </w:tc>
              </w:sdtContent>
            </w:sdt>
            <w:sdt>
              <w:sdtPr>
                <w:rPr>
                  <w:color w:val="000000" w:themeColor="text1"/>
                </w:rPr>
                <w:alias w:val="应付利息中次级债券利息"/>
                <w:tag w:val="_GBC_d513500026d44669a4de28b0a5619f9b"/>
                <w:id w:val="24725248"/>
                <w:lock w:val="sdtLocked"/>
                <w:showingPlcHdr/>
              </w:sdtPr>
              <w:sdtContent>
                <w:tc>
                  <w:tcPr>
                    <w:tcW w:w="1649" w:type="pct"/>
                  </w:tcPr>
                  <w:p w:rsidR="00DE031E" w:rsidRDefault="001C1A59" w:rsidP="00DE031E">
                    <w:pPr>
                      <w:jc w:val="right"/>
                      <w:rPr>
                        <w:color w:val="000000" w:themeColor="text1"/>
                      </w:rPr>
                    </w:pPr>
                    <w:r>
                      <w:rPr>
                        <w:rFonts w:hint="eastAsia"/>
                        <w:color w:val="000000" w:themeColor="text1"/>
                      </w:rPr>
                      <w:t xml:space="preserve">　</w:t>
                    </w:r>
                  </w:p>
                </w:tc>
              </w:sdtContent>
            </w:sdt>
          </w:tr>
          <w:sdt>
            <w:sdtPr>
              <w:rPr>
                <w:szCs w:val="21"/>
              </w:rPr>
              <w:alias w:val="应付利息明细"/>
              <w:tag w:val="_GBC_ea122984a47a40d1bd261edbd3307ed8"/>
              <w:id w:val="24725252"/>
              <w:lock w:val="sdtLocked"/>
            </w:sdtPr>
            <w:sdtEndPr>
              <w:rPr>
                <w:color w:val="000000" w:themeColor="text1"/>
              </w:rPr>
            </w:sdtEndPr>
            <w:sdtContent>
              <w:tr w:rsidR="00DE031E" w:rsidTr="00DE031E">
                <w:trPr>
                  <w:jc w:val="center"/>
                </w:trPr>
                <w:tc>
                  <w:tcPr>
                    <w:tcW w:w="1727" w:type="pct"/>
                    <w:tcBorders>
                      <w:bottom w:val="single" w:sz="4" w:space="0" w:color="auto"/>
                    </w:tcBorders>
                    <w:shd w:val="clear" w:color="auto" w:fill="auto"/>
                  </w:tcPr>
                  <w:sdt>
                    <w:sdtPr>
                      <w:alias w:val="应付利息明细-项目"/>
                      <w:tag w:val="_GBC_f290f060207a489b941644fbe5f9dcb1"/>
                      <w:id w:val="24725249"/>
                      <w:lock w:val="sdtLocked"/>
                    </w:sdtPr>
                    <w:sdtContent>
                      <w:p w:rsidR="00DE031E" w:rsidRDefault="001C1A59" w:rsidP="00DE031E">
                        <w:r>
                          <w:rPr>
                            <w:rFonts w:hint="eastAsia"/>
                          </w:rPr>
                          <w:t>应付收益凭证</w:t>
                        </w:r>
                      </w:p>
                    </w:sdtContent>
                  </w:sdt>
                </w:tc>
                <w:sdt>
                  <w:sdtPr>
                    <w:alias w:val="应付利息明细-金额"/>
                    <w:tag w:val="_GBC_1ad7ca1c1400401f8e48c0466824613b"/>
                    <w:id w:val="24725250"/>
                    <w:lock w:val="sdtLocked"/>
                  </w:sdtPr>
                  <w:sdtContent>
                    <w:tc>
                      <w:tcPr>
                        <w:tcW w:w="1624" w:type="pct"/>
                      </w:tcPr>
                      <w:p w:rsidR="00DE031E" w:rsidRDefault="001C1A59" w:rsidP="00DE031E">
                        <w:pPr>
                          <w:jc w:val="right"/>
                        </w:pPr>
                        <w:r>
                          <w:t>208,640,138.79</w:t>
                        </w:r>
                      </w:p>
                    </w:tc>
                  </w:sdtContent>
                </w:sdt>
                <w:sdt>
                  <w:sdtPr>
                    <w:alias w:val="应付利息明细-金额"/>
                    <w:tag w:val="_GBC_7e2a709f262849cfbe319b5e2e76e104"/>
                    <w:id w:val="24725251"/>
                    <w:lock w:val="sdtLocked"/>
                  </w:sdtPr>
                  <w:sdtContent>
                    <w:tc>
                      <w:tcPr>
                        <w:tcW w:w="1649" w:type="pct"/>
                      </w:tcPr>
                      <w:p w:rsidR="00DE031E" w:rsidRDefault="001C1A59" w:rsidP="00DE031E">
                        <w:pPr>
                          <w:jc w:val="right"/>
                        </w:pPr>
                        <w:r>
                          <w:t>3,682,532.25</w:t>
                        </w:r>
                      </w:p>
                    </w:tc>
                  </w:sdtContent>
                </w:sdt>
              </w:tr>
            </w:sdtContent>
          </w:sdt>
          <w:sdt>
            <w:sdtPr>
              <w:rPr>
                <w:szCs w:val="21"/>
              </w:rPr>
              <w:alias w:val="应付利息明细"/>
              <w:tag w:val="_GBC_ea122984a47a40d1bd261edbd3307ed8"/>
              <w:id w:val="24725256"/>
              <w:lock w:val="sdtLocked"/>
            </w:sdtPr>
            <w:sdtEndPr>
              <w:rPr>
                <w:color w:val="000000" w:themeColor="text1"/>
              </w:rPr>
            </w:sdtEndPr>
            <w:sdtContent>
              <w:tr w:rsidR="00DE031E" w:rsidTr="00DE031E">
                <w:trPr>
                  <w:jc w:val="center"/>
                </w:trPr>
                <w:tc>
                  <w:tcPr>
                    <w:tcW w:w="1727" w:type="pct"/>
                    <w:tcBorders>
                      <w:bottom w:val="single" w:sz="4" w:space="0" w:color="auto"/>
                    </w:tcBorders>
                    <w:shd w:val="clear" w:color="auto" w:fill="auto"/>
                  </w:tcPr>
                  <w:sdt>
                    <w:sdtPr>
                      <w:alias w:val="应付利息明细-项目"/>
                      <w:tag w:val="_GBC_f290f060207a489b941644fbe5f9dcb1"/>
                      <w:id w:val="24725253"/>
                      <w:lock w:val="sdtLocked"/>
                    </w:sdtPr>
                    <w:sdtContent>
                      <w:p w:rsidR="00DE031E" w:rsidRDefault="001C1A59" w:rsidP="00DE031E">
                        <w:r>
                          <w:rPr>
                            <w:rFonts w:hint="eastAsia"/>
                          </w:rPr>
                          <w:t>应付短期公司债券</w:t>
                        </w:r>
                      </w:p>
                    </w:sdtContent>
                  </w:sdt>
                </w:tc>
                <w:sdt>
                  <w:sdtPr>
                    <w:alias w:val="应付利息明细-金额"/>
                    <w:tag w:val="_GBC_1ad7ca1c1400401f8e48c0466824613b"/>
                    <w:id w:val="24725254"/>
                    <w:lock w:val="sdtLocked"/>
                  </w:sdtPr>
                  <w:sdtContent>
                    <w:tc>
                      <w:tcPr>
                        <w:tcW w:w="1624" w:type="pct"/>
                      </w:tcPr>
                      <w:p w:rsidR="00DE031E" w:rsidRDefault="001C1A59" w:rsidP="00DE031E">
                        <w:pPr>
                          <w:jc w:val="right"/>
                        </w:pPr>
                        <w:r>
                          <w:t>286,607,525.80</w:t>
                        </w:r>
                      </w:p>
                    </w:tc>
                  </w:sdtContent>
                </w:sdt>
                <w:sdt>
                  <w:sdtPr>
                    <w:alias w:val="应付利息明细-金额"/>
                    <w:tag w:val="_GBC_7e2a709f262849cfbe319b5e2e76e104"/>
                    <w:id w:val="24725255"/>
                    <w:lock w:val="sdtLocked"/>
                  </w:sdtPr>
                  <w:sdtContent>
                    <w:tc>
                      <w:tcPr>
                        <w:tcW w:w="1649" w:type="pct"/>
                      </w:tcPr>
                      <w:p w:rsidR="00DE031E" w:rsidRDefault="001C1A59" w:rsidP="00DE031E">
                        <w:pPr>
                          <w:jc w:val="right"/>
                        </w:pPr>
                        <w:r>
                          <w:t>6,794,520.55</w:t>
                        </w:r>
                      </w:p>
                    </w:tc>
                  </w:sdtContent>
                </w:sdt>
              </w:tr>
            </w:sdtContent>
          </w:sdt>
          <w:tr w:rsidR="00DE031E" w:rsidTr="00DE031E">
            <w:trPr>
              <w:jc w:val="center"/>
            </w:trPr>
            <w:tc>
              <w:tcPr>
                <w:tcW w:w="1727" w:type="pct"/>
                <w:shd w:val="clear" w:color="auto" w:fill="auto"/>
              </w:tcPr>
              <w:p w:rsidR="00DE031E" w:rsidRDefault="001C1A59" w:rsidP="00DE031E">
                <w:pPr>
                  <w:jc w:val="center"/>
                </w:pPr>
                <w:r>
                  <w:t>合计</w:t>
                </w:r>
              </w:p>
            </w:tc>
            <w:sdt>
              <w:sdtPr>
                <w:alias w:val="应付利息"/>
                <w:tag w:val="_GBC_e9ccc4311ae843a3b736301393cf8bd9"/>
                <w:id w:val="24725257"/>
                <w:lock w:val="sdtLocked"/>
              </w:sdtPr>
              <w:sdtContent>
                <w:tc>
                  <w:tcPr>
                    <w:tcW w:w="1624" w:type="pct"/>
                  </w:tcPr>
                  <w:p w:rsidR="00DE031E" w:rsidRDefault="001C1A59" w:rsidP="00DE031E">
                    <w:pPr>
                      <w:jc w:val="right"/>
                    </w:pPr>
                    <w:r>
                      <w:t>1,322,059,383.22</w:t>
                    </w:r>
                  </w:p>
                </w:tc>
              </w:sdtContent>
            </w:sdt>
            <w:sdt>
              <w:sdtPr>
                <w:alias w:val="应付利息"/>
                <w:tag w:val="_GBC_cf99b4ed063f42d0a41526e36f21c0e6"/>
                <w:id w:val="24725258"/>
                <w:lock w:val="sdtLocked"/>
              </w:sdtPr>
              <w:sdtContent>
                <w:tc>
                  <w:tcPr>
                    <w:tcW w:w="1649" w:type="pct"/>
                  </w:tcPr>
                  <w:p w:rsidR="00DE031E" w:rsidRDefault="001C1A59" w:rsidP="00DE031E">
                    <w:pPr>
                      <w:jc w:val="right"/>
                    </w:pPr>
                    <w:r>
                      <w:t>570,963,712.93</w:t>
                    </w:r>
                  </w:p>
                </w:tc>
              </w:sdtContent>
            </w:sdt>
          </w:tr>
        </w:tbl>
        <w:sdt>
          <w:sdtPr>
            <w:rPr>
              <w:color w:val="000000" w:themeColor="text1"/>
            </w:rPr>
            <w:alias w:val="应付利息说明"/>
            <w:tag w:val="_GBC_6404bbd29c78403da928c0e8df875a9f"/>
            <w:id w:val="24725259"/>
            <w:lock w:val="sdtLocked"/>
            <w:placeholder>
              <w:docPart w:val="GBC22222222222222222222222222222"/>
            </w:placeholder>
          </w:sdtPr>
          <w:sdtContent>
            <w:p w:rsidR="00DE031E" w:rsidRPr="001933E5" w:rsidRDefault="001C1A59" w:rsidP="003A0284">
              <w:pPr>
                <w:spacing w:beforeLines="50" w:line="360" w:lineRule="auto"/>
                <w:ind w:firstLineChars="200" w:firstLine="420"/>
                <w:rPr>
                  <w:color w:val="000000" w:themeColor="text1"/>
                </w:rPr>
              </w:pPr>
              <w:r w:rsidRPr="00FB384D">
                <w:rPr>
                  <w:rFonts w:hint="eastAsia"/>
                  <w:color w:val="000000" w:themeColor="text1"/>
                </w:rPr>
                <w:t>截至</w:t>
              </w:r>
              <w:r w:rsidRPr="00FB384D">
                <w:rPr>
                  <w:color w:val="000000" w:themeColor="text1"/>
                </w:rPr>
                <w:t>2015年6月30日，应交税费余额较年初增加</w:t>
              </w:r>
              <w:r>
                <w:rPr>
                  <w:rFonts w:hint="eastAsia"/>
                  <w:color w:val="000000" w:themeColor="text1"/>
                </w:rPr>
                <w:t>751</w:t>
              </w:r>
              <w:r w:rsidRPr="00FB384D">
                <w:rPr>
                  <w:color w:val="000000" w:themeColor="text1"/>
                </w:rPr>
                <w:t>,</w:t>
              </w:r>
              <w:r>
                <w:rPr>
                  <w:rFonts w:hint="eastAsia"/>
                  <w:color w:val="000000" w:themeColor="text1"/>
                </w:rPr>
                <w:t>095</w:t>
              </w:r>
              <w:r w:rsidRPr="00FB384D">
                <w:rPr>
                  <w:color w:val="000000" w:themeColor="text1"/>
                </w:rPr>
                <w:t>,</w:t>
              </w:r>
              <w:r>
                <w:rPr>
                  <w:rFonts w:hint="eastAsia"/>
                  <w:color w:val="000000" w:themeColor="text1"/>
                </w:rPr>
                <w:t>670</w:t>
              </w:r>
              <w:r w:rsidRPr="00FB384D">
                <w:rPr>
                  <w:color w:val="000000" w:themeColor="text1"/>
                </w:rPr>
                <w:t>.</w:t>
              </w:r>
              <w:r>
                <w:rPr>
                  <w:rFonts w:hint="eastAsia"/>
                  <w:color w:val="000000" w:themeColor="text1"/>
                </w:rPr>
                <w:t>29</w:t>
              </w:r>
              <w:r w:rsidRPr="00FB384D">
                <w:rPr>
                  <w:color w:val="000000" w:themeColor="text1"/>
                </w:rPr>
                <w:t>元，增幅1</w:t>
              </w:r>
              <w:r>
                <w:rPr>
                  <w:rFonts w:hint="eastAsia"/>
                  <w:color w:val="000000" w:themeColor="text1"/>
                </w:rPr>
                <w:t>31</w:t>
              </w:r>
              <w:r w:rsidRPr="00FB384D">
                <w:rPr>
                  <w:color w:val="000000" w:themeColor="text1"/>
                </w:rPr>
                <w:t>.</w:t>
              </w:r>
              <w:r>
                <w:rPr>
                  <w:rFonts w:hint="eastAsia"/>
                  <w:color w:val="000000" w:themeColor="text1"/>
                </w:rPr>
                <w:t>55</w:t>
              </w:r>
              <w:r w:rsidRPr="00FB384D">
                <w:rPr>
                  <w:color w:val="000000" w:themeColor="text1"/>
                </w:rPr>
                <w:t>%，主</w:t>
              </w:r>
              <w:r w:rsidRPr="00FB384D">
                <w:rPr>
                  <w:rFonts w:hint="eastAsia"/>
                  <w:color w:val="000000" w:themeColor="text1"/>
                </w:rPr>
                <w:t>要原因为期末应</w:t>
              </w:r>
              <w:r>
                <w:rPr>
                  <w:rFonts w:hint="eastAsia"/>
                  <w:color w:val="000000" w:themeColor="text1"/>
                </w:rPr>
                <w:t>付次级债利息、应付收益凭证利息及应付短期公司债利息</w:t>
              </w:r>
              <w:r w:rsidRPr="00FB384D">
                <w:rPr>
                  <w:rFonts w:hint="eastAsia"/>
                  <w:color w:val="000000" w:themeColor="text1"/>
                </w:rPr>
                <w:t>增加。</w:t>
              </w:r>
            </w:p>
          </w:sdtContent>
        </w:sdt>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长期借款</w:t>
      </w:r>
    </w:p>
    <w:sdt>
      <w:sdtPr>
        <w:alias w:val="是否适用：长期借款"/>
        <w:tag w:val="_GBC_85b7c80dde9f448c82648d08cfca0856"/>
        <w:id w:val="24725261"/>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hint="eastAsia"/>
          <w:b/>
          <w:bCs/>
          <w:szCs w:val="22"/>
        </w:rPr>
        <w:tag w:val="_GBC_8b6acb9acc4745f09cf8ff1a98787eb9"/>
        <w:id w:val="24725275"/>
        <w:lock w:val="sdtLocked"/>
        <w:placeholder>
          <w:docPart w:val="GBC22222222222222222222222222222"/>
        </w:placeholder>
      </w:sdtPr>
      <w:sdtEndPr>
        <w:rPr>
          <w:rFonts w:cstheme="minorBidi" w:hint="default"/>
          <w:b w:val="0"/>
          <w:bCs w:val="0"/>
          <w:color w:val="000000" w:themeColor="text1"/>
          <w:kern w:val="2"/>
          <w:szCs w:val="21"/>
        </w:rPr>
      </w:sdtEndPr>
      <w:sdtContent>
        <w:p w:rsidR="00DE031E" w:rsidRDefault="001C1A59">
          <w:pPr>
            <w:jc w:val="right"/>
            <w:rPr>
              <w:szCs w:val="21"/>
            </w:rPr>
          </w:pPr>
          <w:r>
            <w:rPr>
              <w:rFonts w:hint="eastAsia"/>
              <w:szCs w:val="21"/>
            </w:rPr>
            <w:t>单位：</w:t>
          </w:r>
          <w:sdt>
            <w:sdtPr>
              <w:rPr>
                <w:rFonts w:hint="eastAsia"/>
                <w:szCs w:val="21"/>
              </w:rPr>
              <w:alias w:val="单位：财务附注：长期借款分类"/>
              <w:tag w:val="_GBC_146f044f7fd14a45bf9247f0af389a14"/>
              <w:id w:val="247252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247252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DE031E" w:rsidTr="00F30D13">
            <w:trPr>
              <w:cantSplit/>
            </w:trPr>
            <w:tc>
              <w:tcPr>
                <w:tcW w:w="1686"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DE031E" w:rsidRDefault="001C1A59">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DE031E" w:rsidRDefault="001C1A59">
                <w:pPr>
                  <w:jc w:val="center"/>
                  <w:rPr>
                    <w:szCs w:val="21"/>
                  </w:rPr>
                </w:pPr>
                <w:r>
                  <w:rPr>
                    <w:rFonts w:hint="eastAsia"/>
                    <w:szCs w:val="21"/>
                  </w:rPr>
                  <w:t>期初余额</w:t>
                </w:r>
              </w:p>
            </w:tc>
          </w:tr>
          <w:tr w:rsidR="00DE031E"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jc w:val="both"/>
                  <w:rPr>
                    <w:szCs w:val="21"/>
                  </w:rPr>
                </w:pPr>
                <w:r>
                  <w:rPr>
                    <w:rFonts w:hint="eastAsia"/>
                    <w:szCs w:val="21"/>
                  </w:rPr>
                  <w:t>质押借款</w:t>
                </w:r>
              </w:p>
            </w:tc>
            <w:sdt>
              <w:sdtPr>
                <w:rPr>
                  <w:szCs w:val="21"/>
                </w:rPr>
                <w:alias w:val="长期借款中的质押借款"/>
                <w:tag w:val="_GBC_a43fb0b4d73b455eb43fc38efd972c21"/>
                <w:id w:val="24725264"/>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763069c5a8547c9b598592a13e932dc"/>
                <w:id w:val="24725265"/>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jc w:val="right"/>
                      <w:rPr>
                        <w:color w:val="000000" w:themeColor="text1"/>
                        <w:szCs w:val="21"/>
                      </w:rPr>
                    </w:pPr>
                    <w:r>
                      <w:rPr>
                        <w:rFonts w:hint="eastAsia"/>
                        <w:color w:val="0000FF"/>
                        <w:szCs w:val="21"/>
                      </w:rPr>
                      <w:t xml:space="preserve">　</w:t>
                    </w:r>
                  </w:p>
                </w:tc>
              </w:sdtContent>
            </w:sdt>
          </w:tr>
          <w:tr w:rsidR="00DE031E"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ee285e6751c94cbca847a1743c1b2633"/>
                <w:id w:val="2472526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ind w:right="180"/>
                      <w:jc w:val="right"/>
                      <w:rPr>
                        <w:color w:val="000000" w:themeColor="text1"/>
                        <w:szCs w:val="21"/>
                      </w:rPr>
                    </w:pPr>
                    <w:r>
                      <w:rPr>
                        <w:szCs w:val="21"/>
                      </w:rPr>
                      <w:t>321,066,970.82</w:t>
                    </w:r>
                  </w:p>
                </w:tc>
              </w:sdtContent>
            </w:sdt>
            <w:sdt>
              <w:sdtPr>
                <w:rPr>
                  <w:szCs w:val="21"/>
                </w:rPr>
                <w:alias w:val="长期借款中的抵押借款"/>
                <w:tag w:val="_GBC_7aceaaf427ae40b19c09b5380c411db8"/>
                <w:id w:val="24725267"/>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jc w:val="right"/>
                      <w:rPr>
                        <w:color w:val="000000" w:themeColor="text1"/>
                        <w:szCs w:val="21"/>
                      </w:rPr>
                    </w:pPr>
                    <w:r>
                      <w:rPr>
                        <w:szCs w:val="21"/>
                      </w:rPr>
                      <w:t>295,495,755.48</w:t>
                    </w:r>
                  </w:p>
                </w:tc>
              </w:sdtContent>
            </w:sdt>
          </w:tr>
          <w:tr w:rsidR="00DE031E"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e46ecfda9d0c47cd818c2eaf258d7607"/>
                <w:id w:val="2472526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ind w:right="180"/>
                      <w:jc w:val="right"/>
                      <w:rPr>
                        <w:color w:val="000000" w:themeColor="text1"/>
                        <w:szCs w:val="21"/>
                      </w:rPr>
                    </w:pPr>
                    <w:r>
                      <w:rPr>
                        <w:szCs w:val="21"/>
                      </w:rPr>
                      <w:t>78,861,000.00</w:t>
                    </w:r>
                  </w:p>
                </w:tc>
              </w:sdtContent>
            </w:sdt>
            <w:sdt>
              <w:sdtPr>
                <w:rPr>
                  <w:szCs w:val="21"/>
                </w:rPr>
                <w:alias w:val="长期借款中的担保借款"/>
                <w:tag w:val="_GBC_f7cfaba146b34178a09ba44911c4b5b0"/>
                <w:id w:val="24725269"/>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pPr>
                      <w:jc w:val="right"/>
                      <w:rPr>
                        <w:color w:val="000000" w:themeColor="text1"/>
                        <w:szCs w:val="21"/>
                      </w:rPr>
                    </w:pPr>
                  </w:p>
                </w:tc>
              </w:sdtContent>
            </w:sdt>
          </w:tr>
          <w:tr w:rsidR="00DE031E"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99fa2cbfb6c14b5287c5fb89d09b68a8"/>
                <w:id w:val="24725270"/>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pPr>
                      <w:autoSpaceDE w:val="0"/>
                      <w:autoSpaceDN w:val="0"/>
                      <w:adjustRightInd w:val="0"/>
                      <w:snapToGrid w:val="0"/>
                      <w:ind w:right="180"/>
                      <w:jc w:val="right"/>
                      <w:rPr>
                        <w:color w:val="000000" w:themeColor="text1"/>
                        <w:szCs w:val="21"/>
                      </w:rPr>
                    </w:pPr>
                  </w:p>
                </w:tc>
              </w:sdtContent>
            </w:sdt>
            <w:sdt>
              <w:sdtPr>
                <w:rPr>
                  <w:szCs w:val="21"/>
                </w:rPr>
                <w:alias w:val="长期借款中的信用借款"/>
                <w:tag w:val="_GBC_7a25ed18e646409daaf6c299985a4b36"/>
                <w:id w:val="24725271"/>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pPr>
                      <w:jc w:val="right"/>
                      <w:rPr>
                        <w:color w:val="000000" w:themeColor="text1"/>
                        <w:szCs w:val="21"/>
                      </w:rPr>
                    </w:pPr>
                  </w:p>
                </w:tc>
              </w:sdtContent>
            </w:sdt>
          </w:tr>
          <w:tr w:rsidR="00DE031E" w:rsidTr="004F78D8">
            <w:trPr>
              <w:cantSplit/>
            </w:trPr>
            <w:tc>
              <w:tcPr>
                <w:tcW w:w="1686" w:type="pct"/>
                <w:tcBorders>
                  <w:top w:val="single" w:sz="6" w:space="0" w:color="auto"/>
                  <w:left w:val="single" w:sz="6" w:space="0" w:color="auto"/>
                  <w:bottom w:val="single" w:sz="6" w:space="0" w:color="auto"/>
                  <w:right w:val="single" w:sz="6" w:space="0" w:color="auto"/>
                </w:tcBorders>
                <w:vAlign w:val="center"/>
              </w:tcPr>
              <w:p w:rsidR="00DE031E" w:rsidRDefault="001C1A59">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24725272"/>
                <w:lock w:val="sdtLocked"/>
              </w:sdtPr>
              <w:sdtContent>
                <w:tc>
                  <w:tcPr>
                    <w:tcW w:w="1686"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ind w:right="180"/>
                      <w:jc w:val="right"/>
                      <w:rPr>
                        <w:color w:val="000000" w:themeColor="text1"/>
                        <w:szCs w:val="21"/>
                      </w:rPr>
                    </w:pPr>
                    <w:r>
                      <w:rPr>
                        <w:szCs w:val="21"/>
                      </w:rPr>
                      <w:t>399,927,970.82</w:t>
                    </w:r>
                  </w:p>
                </w:tc>
              </w:sdtContent>
            </w:sdt>
            <w:sdt>
              <w:sdtPr>
                <w:rPr>
                  <w:szCs w:val="21"/>
                </w:rPr>
                <w:alias w:val="长期借款"/>
                <w:tag w:val="_GBC_43350650305f416580a80b9aac14e006"/>
                <w:id w:val="24725273"/>
                <w:lock w:val="sdtLocked"/>
              </w:sdtPr>
              <w:sdtContent>
                <w:tc>
                  <w:tcPr>
                    <w:tcW w:w="1628"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szCs w:val="21"/>
                      </w:rPr>
                      <w:t>295,495,755.48</w:t>
                    </w:r>
                  </w:p>
                </w:tc>
              </w:sdtContent>
            </w:sdt>
          </w:tr>
        </w:tbl>
        <w:sdt>
          <w:sdtPr>
            <w:rPr>
              <w:szCs w:val="21"/>
            </w:rPr>
            <w:alias w:val="长期借款分类的说明"/>
            <w:tag w:val="_GBC_c93626a5eade42f48eca926da85f3afb"/>
            <w:id w:val="24725274"/>
            <w:lock w:val="sdtLocked"/>
            <w:placeholder>
              <w:docPart w:val="GBC22222222222222222222222222222"/>
            </w:placeholder>
          </w:sdtPr>
          <w:sdtContent>
            <w:p w:rsidR="00DE031E" w:rsidRDefault="001C1A59" w:rsidP="003A0284">
              <w:pPr>
                <w:snapToGrid w:val="0"/>
                <w:spacing w:beforeLines="50" w:line="360" w:lineRule="auto"/>
                <w:ind w:firstLineChars="200" w:firstLine="420"/>
                <w:rPr>
                  <w:rFonts w:cstheme="minorBidi"/>
                  <w:color w:val="000000" w:themeColor="text1"/>
                  <w:kern w:val="2"/>
                  <w:szCs w:val="21"/>
                </w:rPr>
              </w:pPr>
              <w:r w:rsidRPr="00211955">
                <w:rPr>
                  <w:rFonts w:asciiTheme="minorEastAsia" w:eastAsiaTheme="minorEastAsia" w:hAnsiTheme="minorEastAsia" w:cs="Arial"/>
                  <w:szCs w:val="21"/>
                </w:rPr>
                <w:t>因招商证券大厦建设需要，本公司以招商证券大厦项目建设用地作为抵押物（具体抵押资产情况参见本注释1</w:t>
              </w:r>
              <w:r w:rsidRPr="00211955">
                <w:rPr>
                  <w:rFonts w:asciiTheme="minorEastAsia" w:eastAsiaTheme="minorEastAsia" w:hAnsiTheme="minorEastAsia" w:cs="Arial" w:hint="eastAsia"/>
                  <w:szCs w:val="21"/>
                </w:rPr>
                <w:t>6</w:t>
              </w:r>
              <w:r w:rsidRPr="00211955">
                <w:rPr>
                  <w:rFonts w:asciiTheme="minorEastAsia" w:eastAsiaTheme="minorEastAsia" w:hAnsiTheme="minorEastAsia" w:cs="Arial"/>
                  <w:szCs w:val="21"/>
                </w:rPr>
                <w:t>.在建工程），向招商银行股份有限公司申请长期借款700,000,000.00元</w:t>
              </w:r>
              <w:r w:rsidRPr="00211955">
                <w:rPr>
                  <w:rFonts w:asciiTheme="minorEastAsia" w:eastAsiaTheme="minorEastAsia" w:hAnsiTheme="minorEastAsia" w:cs="Arial" w:hint="eastAsia"/>
                  <w:szCs w:val="21"/>
                </w:rPr>
                <w:t>。</w:t>
              </w:r>
            </w:p>
          </w:sdtContent>
        </w:sdt>
      </w:sdtContent>
    </w:sdt>
    <w:sdt>
      <w:sdtPr>
        <w:rPr>
          <w:rFonts w:ascii="宋体" w:hAnsi="宋体" w:cs="宋体" w:hint="eastAsia"/>
          <w:b w:val="0"/>
          <w:bCs w:val="0"/>
          <w:kern w:val="0"/>
          <w:szCs w:val="24"/>
        </w:rPr>
        <w:alias w:val="应付债券"/>
        <w:tag w:val="_GBC_cd8e29427b9b4eecb46188c744528e27"/>
        <w:id w:val="24725370"/>
        <w:lock w:val="sdtLocked"/>
        <w:placeholder>
          <w:docPart w:val="GBC22222222222222222222222222222"/>
        </w:placeholder>
      </w:sdtPr>
      <w:sdtContent>
        <w:p w:rsidR="001C7D23" w:rsidRDefault="001C7D23" w:rsidP="001C7D23">
          <w:pPr>
            <w:pStyle w:val="3"/>
            <w:numPr>
              <w:ilvl w:val="0"/>
              <w:numId w:val="41"/>
            </w:numPr>
            <w:tabs>
              <w:tab w:val="left" w:pos="504"/>
            </w:tabs>
            <w:ind w:left="420"/>
            <w:rPr>
              <w:rFonts w:ascii="宋体" w:hAnsi="宋体"/>
              <w:szCs w:val="21"/>
            </w:rPr>
          </w:pPr>
          <w:r>
            <w:t>应付</w:t>
          </w:r>
          <w:r>
            <w:rPr>
              <w:rFonts w:ascii="宋体" w:hAnsi="宋体"/>
              <w:szCs w:val="21"/>
            </w:rPr>
            <w:t>债券</w:t>
          </w:r>
        </w:p>
        <w:sdt>
          <w:sdtPr>
            <w:alias w:val="是否适用：应付债券"/>
            <w:tag w:val="_GBC_729283b500ac4fecab514b600d9053fd"/>
            <w:id w:val="-2053755238"/>
            <w:lock w:val="sdtContentLocked"/>
          </w:sdtPr>
          <w:sdtContent>
            <w:p w:rsidR="001C7D23" w:rsidRDefault="00422DCA">
              <w:r>
                <w:fldChar w:fldCharType="begin"/>
              </w:r>
              <w:r w:rsidR="001C7D23">
                <w:instrText xml:space="preserve"> MACROBUTTON  SnrToggleCheckbox √适用 </w:instrText>
              </w:r>
              <w:r>
                <w:fldChar w:fldCharType="end"/>
              </w:r>
              <w:r>
                <w:fldChar w:fldCharType="begin"/>
              </w:r>
              <w:r w:rsidR="001C7D23">
                <w:instrText xml:space="preserve"> MACROBUTTON  SnrToggleCheckbox □不适用 </w:instrText>
              </w:r>
              <w:r>
                <w:fldChar w:fldCharType="end"/>
              </w:r>
            </w:p>
          </w:sdtContent>
        </w:sdt>
        <w:p w:rsidR="001C7D23" w:rsidRDefault="001C7D23">
          <w:pPr>
            <w:ind w:left="5880"/>
            <w:jc w:val="right"/>
          </w:pPr>
          <w:r>
            <w:t>单位：</w:t>
          </w:r>
          <w:sdt>
            <w:sdtPr>
              <w:alias w:val="单位：财务附注：应付债券"/>
              <w:tag w:val="_GBC_4b4e73a838fd4b458d8767a4c6567429"/>
              <w:id w:val="578056"/>
              <w:lock w:val="sdtLocked"/>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t xml:space="preserve">  币种：</w:t>
          </w:r>
          <w:sdt>
            <w:sdtPr>
              <w:alias w:val="币种：财务附注：应付债券"/>
              <w:tag w:val="_GBC_448a0a7bfece49bd9f7151453aec9eec"/>
              <w:id w:val="57805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t>人民币</w:t>
              </w:r>
            </w:sdtContent>
          </w:sdt>
        </w:p>
        <w:tbl>
          <w:tblPr>
            <w:tblW w:w="5538" w:type="pct"/>
            <w:jc w:val="center"/>
            <w:tblInd w:w="-972" w:type="dxa"/>
            <w:tblBorders>
              <w:top w:val="single" w:sz="4" w:space="0" w:color="auto"/>
              <w:left w:val="single" w:sz="4" w:space="0" w:color="auto"/>
              <w:bottom w:val="single" w:sz="4" w:space="0" w:color="auto"/>
              <w:right w:val="single" w:sz="4" w:space="0" w:color="auto"/>
            </w:tblBorders>
            <w:tblLook w:val="0000"/>
          </w:tblPr>
          <w:tblGrid>
            <w:gridCol w:w="1299"/>
            <w:gridCol w:w="2001"/>
            <w:gridCol w:w="1266"/>
            <w:gridCol w:w="893"/>
            <w:gridCol w:w="667"/>
            <w:gridCol w:w="2001"/>
            <w:gridCol w:w="1896"/>
          </w:tblGrid>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vAlign w:val="center"/>
              </w:tcPr>
              <w:p w:rsidR="001C7D23" w:rsidRDefault="001C7D23" w:rsidP="001C7D23">
                <w:pPr>
                  <w:jc w:val="center"/>
                </w:pPr>
                <w:r>
                  <w:rPr>
                    <w:rFonts w:hint="eastAsia"/>
                  </w:rPr>
                  <w:t>债券类型</w:t>
                </w:r>
              </w:p>
            </w:tc>
            <w:tc>
              <w:tcPr>
                <w:tcW w:w="998" w:type="pct"/>
                <w:tcBorders>
                  <w:top w:val="outset" w:sz="6" w:space="0" w:color="auto"/>
                  <w:left w:val="outset" w:sz="6" w:space="0" w:color="auto"/>
                  <w:bottom w:val="outset" w:sz="6" w:space="0" w:color="auto"/>
                  <w:right w:val="outset" w:sz="6" w:space="0" w:color="auto"/>
                </w:tcBorders>
                <w:shd w:val="clear" w:color="auto" w:fill="auto"/>
                <w:vAlign w:val="center"/>
              </w:tcPr>
              <w:p w:rsidR="001C7D23" w:rsidRDefault="001C7D23" w:rsidP="001C7D23">
                <w:pPr>
                  <w:jc w:val="center"/>
                </w:pPr>
                <w:r>
                  <w:rPr>
                    <w:rFonts w:hint="eastAsia"/>
                  </w:rPr>
                  <w:t>面值</w:t>
                </w:r>
              </w:p>
            </w:tc>
            <w:tc>
              <w:tcPr>
                <w:tcW w:w="630" w:type="pct"/>
                <w:tcBorders>
                  <w:top w:val="outset" w:sz="6" w:space="0" w:color="auto"/>
                  <w:left w:val="outset" w:sz="6" w:space="0" w:color="auto"/>
                  <w:bottom w:val="outset" w:sz="6" w:space="0" w:color="auto"/>
                  <w:right w:val="outset" w:sz="6" w:space="0" w:color="auto"/>
                </w:tcBorders>
                <w:shd w:val="clear" w:color="auto" w:fill="auto"/>
                <w:vAlign w:val="center"/>
              </w:tcPr>
              <w:p w:rsidR="001C7D23" w:rsidRDefault="00667B25" w:rsidP="001C7D23">
                <w:pPr>
                  <w:jc w:val="center"/>
                </w:pPr>
                <w:r>
                  <w:rPr>
                    <w:rFonts w:hint="eastAsia"/>
                  </w:rPr>
                  <w:t>起息</w:t>
                </w:r>
                <w:r w:rsidR="001C7D23">
                  <w:rPr>
                    <w:rFonts w:hint="eastAsia"/>
                  </w:rPr>
                  <w:t>日期</w:t>
                </w:r>
              </w:p>
            </w:tc>
            <w:tc>
              <w:tcPr>
                <w:tcW w:w="446" w:type="pct"/>
                <w:tcBorders>
                  <w:top w:val="outset" w:sz="6" w:space="0" w:color="auto"/>
                  <w:left w:val="outset" w:sz="6" w:space="0" w:color="auto"/>
                  <w:bottom w:val="outset" w:sz="6" w:space="0" w:color="auto"/>
                  <w:right w:val="outset" w:sz="6" w:space="0" w:color="auto"/>
                </w:tcBorders>
                <w:shd w:val="clear" w:color="auto" w:fill="auto"/>
                <w:vAlign w:val="center"/>
              </w:tcPr>
              <w:p w:rsidR="001C7D23" w:rsidRDefault="001C7D23" w:rsidP="001C7D23">
                <w:pPr>
                  <w:jc w:val="center"/>
                </w:pPr>
                <w:r>
                  <w:rPr>
                    <w:rFonts w:hint="eastAsia"/>
                  </w:rPr>
                  <w:t>债券期限（年）</w:t>
                </w:r>
              </w:p>
            </w:tc>
            <w:tc>
              <w:tcPr>
                <w:tcW w:w="333" w:type="pct"/>
                <w:tcBorders>
                  <w:top w:val="outset" w:sz="6" w:space="0" w:color="auto"/>
                  <w:left w:val="outset" w:sz="6" w:space="0" w:color="auto"/>
                  <w:bottom w:val="outset" w:sz="6" w:space="0" w:color="auto"/>
                  <w:right w:val="outset" w:sz="6" w:space="0" w:color="auto"/>
                </w:tcBorders>
                <w:shd w:val="clear" w:color="auto" w:fill="auto"/>
                <w:vAlign w:val="center"/>
              </w:tcPr>
              <w:p w:rsidR="001C7D23" w:rsidRDefault="001C7D23" w:rsidP="001C7D23">
                <w:pPr>
                  <w:jc w:val="center"/>
                </w:pPr>
                <w:r>
                  <w:rPr>
                    <w:rFonts w:hint="eastAsia"/>
                  </w:rPr>
                  <w:t>票面利率</w:t>
                </w:r>
              </w:p>
            </w:tc>
            <w:tc>
              <w:tcPr>
                <w:tcW w:w="998" w:type="pct"/>
                <w:tcBorders>
                  <w:top w:val="outset" w:sz="6" w:space="0" w:color="auto"/>
                  <w:left w:val="outset" w:sz="6" w:space="0" w:color="auto"/>
                  <w:bottom w:val="outset" w:sz="6" w:space="0" w:color="auto"/>
                  <w:right w:val="outset" w:sz="6" w:space="0" w:color="auto"/>
                </w:tcBorders>
                <w:shd w:val="clear" w:color="auto" w:fill="auto"/>
                <w:vAlign w:val="center"/>
              </w:tcPr>
              <w:p w:rsidR="001C7D23" w:rsidRDefault="001C7D23" w:rsidP="001C7D23">
                <w:pPr>
                  <w:jc w:val="center"/>
                </w:pPr>
                <w:r>
                  <w:rPr>
                    <w:rFonts w:hint="eastAsia"/>
                  </w:rPr>
                  <w:t>期末余额</w:t>
                </w:r>
              </w:p>
            </w:tc>
            <w:tc>
              <w:tcPr>
                <w:tcW w:w="946" w:type="pct"/>
                <w:tcBorders>
                  <w:top w:val="outset" w:sz="6" w:space="0" w:color="auto"/>
                  <w:left w:val="outset" w:sz="6" w:space="0" w:color="auto"/>
                  <w:bottom w:val="outset" w:sz="6" w:space="0" w:color="auto"/>
                  <w:right w:val="outset" w:sz="6" w:space="0" w:color="auto"/>
                </w:tcBorders>
                <w:shd w:val="clear" w:color="auto" w:fill="auto"/>
                <w:vAlign w:val="center"/>
              </w:tcPr>
              <w:p w:rsidR="001C7D23" w:rsidRDefault="001C7D23" w:rsidP="001C7D23">
                <w:pPr>
                  <w:jc w:val="center"/>
                </w:pPr>
                <w:r>
                  <w:rPr>
                    <w:rFonts w:hint="eastAsia"/>
                  </w:rPr>
                  <w:t>期初余额</w:t>
                </w:r>
              </w:p>
            </w:tc>
          </w:tr>
          <w:sdt>
            <w:sdtPr>
              <w:rPr>
                <w:color w:val="000000" w:themeColor="text1"/>
                <w:szCs w:val="21"/>
              </w:rPr>
              <w:alias w:val="应付债券明细"/>
              <w:tag w:val="_GBC_366dc69c0f3f476e9250ebb098f6ed33"/>
              <w:id w:val="578062"/>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578064"/>
                      <w:lock w:val="sdtLocked"/>
                    </w:sdtPr>
                    <w:sdtContent>
                      <w:p w:rsidR="001C7D23" w:rsidRDefault="001C7D23" w:rsidP="001C7D23">
                        <w:pPr>
                          <w:jc w:val="right"/>
                          <w:rPr>
                            <w:color w:val="000000" w:themeColor="text1"/>
                          </w:rPr>
                        </w:pPr>
                        <w:r>
                          <w:rPr>
                            <w:color w:val="000000" w:themeColor="text1"/>
                          </w:rPr>
                          <w:t>12招商01</w:t>
                        </w:r>
                      </w:p>
                    </w:sdtContent>
                  </w:sdt>
                </w:tc>
                <w:sdt>
                  <w:sdtPr>
                    <w:rPr>
                      <w:color w:val="000000" w:themeColor="text1"/>
                    </w:rPr>
                    <w:alias w:val="应付债券面值"/>
                    <w:tag w:val="_GBC_8900f56a6ae1418484c943f5eb0136bd"/>
                    <w:id w:val="578072"/>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3,000,000,000.00</w:t>
                        </w:r>
                      </w:p>
                    </w:tc>
                  </w:sdtContent>
                </w:sdt>
                <w:sdt>
                  <w:sdtPr>
                    <w:rPr>
                      <w:color w:val="000000" w:themeColor="text1"/>
                    </w:rPr>
                    <w:alias w:val="应付债券发行日期"/>
                    <w:tag w:val="_GBC_9fda56d8d9e8408d9dc2cbede61ecc19"/>
                    <w:id w:val="578083"/>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2013-03-05</w:t>
                        </w:r>
                      </w:p>
                    </w:tc>
                  </w:sdtContent>
                </w:sdt>
                <w:sdt>
                  <w:sdtPr>
                    <w:rPr>
                      <w:color w:val="000000" w:themeColor="text1"/>
                    </w:rPr>
                    <w:alias w:val="应付债券发行期限"/>
                    <w:tag w:val="_GBC_618bfb54ec1d42ceb8c186df06f784e7"/>
                    <w:id w:val="578097"/>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5</w:t>
                        </w:r>
                      </w:p>
                    </w:tc>
                  </w:sdtContent>
                </w:sdt>
                <w:sdt>
                  <w:sdtPr>
                    <w:rPr>
                      <w:color w:val="000000" w:themeColor="text1"/>
                    </w:rPr>
                    <w:alias w:val="应付债券明细－利率"/>
                    <w:tag w:val="_GBC_0d6ca57a060f406785752571e7c36e02"/>
                    <w:id w:val="578134"/>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4.45</w:t>
                        </w:r>
                      </w:p>
                    </w:tc>
                  </w:sdtContent>
                </w:sdt>
                <w:sdt>
                  <w:sdtPr>
                    <w:rPr>
                      <w:color w:val="000000" w:themeColor="text1"/>
                    </w:rPr>
                    <w:alias w:val="应付债券本息合计"/>
                    <w:tag w:val="_GBC_e821c341960449229bebd73c286e1a47"/>
                    <w:id w:val="578157"/>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2,999,335,667.47</w:t>
                        </w:r>
                      </w:p>
                    </w:tc>
                  </w:sdtContent>
                </w:sdt>
                <w:sdt>
                  <w:sdtPr>
                    <w:rPr>
                      <w:color w:val="000000" w:themeColor="text1"/>
                    </w:rPr>
                    <w:alias w:val="应付债券本息合计"/>
                    <w:tag w:val="_GBC_5af5c6f1bb6c42e6b78f3a326014c48d"/>
                    <w:id w:val="578183"/>
                    <w:lock w:val="sdtLocked"/>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2,998,848,461.75</w:t>
                        </w:r>
                      </w:p>
                    </w:tc>
                  </w:sdtContent>
                </w:sdt>
              </w:tr>
            </w:sdtContent>
          </w:sdt>
          <w:sdt>
            <w:sdtPr>
              <w:rPr>
                <w:color w:val="000000" w:themeColor="text1"/>
                <w:szCs w:val="21"/>
              </w:rPr>
              <w:alias w:val="应付债券明细"/>
              <w:tag w:val="_GBC_366dc69c0f3f476e9250ebb098f6ed33"/>
              <w:id w:val="33094661"/>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653"/>
                      <w:lock w:val="sdtLocked"/>
                    </w:sdtPr>
                    <w:sdtContent>
                      <w:p w:rsidR="001C7D23" w:rsidRDefault="001C7D23" w:rsidP="001C7D23">
                        <w:pPr>
                          <w:jc w:val="right"/>
                          <w:rPr>
                            <w:color w:val="000000" w:themeColor="text1"/>
                          </w:rPr>
                        </w:pPr>
                        <w:r>
                          <w:rPr>
                            <w:color w:val="000000" w:themeColor="text1"/>
                          </w:rPr>
                          <w:t>12招商02</w:t>
                        </w:r>
                      </w:p>
                    </w:sdtContent>
                  </w:sdt>
                </w:tc>
                <w:sdt>
                  <w:sdtPr>
                    <w:rPr>
                      <w:color w:val="000000" w:themeColor="text1"/>
                    </w:rPr>
                    <w:alias w:val="应付债券面值"/>
                    <w:tag w:val="_GBC_8900f56a6ae1418484c943f5eb0136bd"/>
                    <w:id w:val="33094654"/>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1,500,000,000.00</w:t>
                        </w:r>
                      </w:p>
                    </w:tc>
                  </w:sdtContent>
                </w:sdt>
                <w:sdt>
                  <w:sdtPr>
                    <w:rPr>
                      <w:color w:val="000000" w:themeColor="text1"/>
                    </w:rPr>
                    <w:alias w:val="应付债券发行日期"/>
                    <w:tag w:val="_GBC_9fda56d8d9e8408d9dc2cbede61ecc19"/>
                    <w:id w:val="33094655"/>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2013-03-05</w:t>
                        </w:r>
                      </w:p>
                    </w:tc>
                  </w:sdtContent>
                </w:sdt>
                <w:sdt>
                  <w:sdtPr>
                    <w:rPr>
                      <w:color w:val="000000" w:themeColor="text1"/>
                    </w:rPr>
                    <w:alias w:val="应付债券发行期限"/>
                    <w:tag w:val="_GBC_618bfb54ec1d42ceb8c186df06f784e7"/>
                    <w:id w:val="33094656"/>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5</w:t>
                        </w:r>
                      </w:p>
                    </w:tc>
                  </w:sdtContent>
                </w:sdt>
                <w:sdt>
                  <w:sdtPr>
                    <w:rPr>
                      <w:color w:val="000000" w:themeColor="text1"/>
                    </w:rPr>
                    <w:alias w:val="应付债券明细－利率"/>
                    <w:tag w:val="_GBC_0d6ca57a060f406785752571e7c36e02"/>
                    <w:id w:val="33094658"/>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4.80</w:t>
                        </w:r>
                      </w:p>
                    </w:tc>
                  </w:sdtContent>
                </w:sdt>
                <w:sdt>
                  <w:sdtPr>
                    <w:rPr>
                      <w:color w:val="000000" w:themeColor="text1"/>
                    </w:rPr>
                    <w:alias w:val="应付债券本息合计"/>
                    <w:tag w:val="_GBC_e821c341960449229bebd73c286e1a47"/>
                    <w:id w:val="33094659"/>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1,498,668,326.93</w:t>
                        </w:r>
                      </w:p>
                    </w:tc>
                  </w:sdtContent>
                </w:sdt>
                <w:sdt>
                  <w:sdtPr>
                    <w:rPr>
                      <w:color w:val="000000" w:themeColor="text1"/>
                    </w:rPr>
                    <w:alias w:val="应付债券本息合计"/>
                    <w:tag w:val="_GBC_5af5c6f1bb6c42e6b78f3a326014c48d"/>
                    <w:id w:val="33094660"/>
                    <w:lock w:val="sdtLocked"/>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1,498,435,802.25</w:t>
                        </w:r>
                      </w:p>
                    </w:tc>
                  </w:sdtContent>
                </w:sdt>
              </w:tr>
            </w:sdtContent>
          </w:sdt>
          <w:sdt>
            <w:sdtPr>
              <w:rPr>
                <w:color w:val="000000" w:themeColor="text1"/>
                <w:szCs w:val="21"/>
              </w:rPr>
              <w:alias w:val="应付债券明细"/>
              <w:tag w:val="_GBC_366dc69c0f3f476e9250ebb098f6ed33"/>
              <w:id w:val="33094670"/>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662"/>
                      <w:lock w:val="sdtLocked"/>
                    </w:sdtPr>
                    <w:sdtContent>
                      <w:p w:rsidR="001C7D23" w:rsidRDefault="001C7D23" w:rsidP="001C7D23">
                        <w:pPr>
                          <w:jc w:val="right"/>
                          <w:rPr>
                            <w:color w:val="000000" w:themeColor="text1"/>
                          </w:rPr>
                        </w:pPr>
                        <w:r>
                          <w:rPr>
                            <w:color w:val="000000" w:themeColor="text1"/>
                          </w:rPr>
                          <w:t>12招商03</w:t>
                        </w:r>
                      </w:p>
                    </w:sdtContent>
                  </w:sdt>
                </w:tc>
                <w:sdt>
                  <w:sdtPr>
                    <w:rPr>
                      <w:color w:val="000000" w:themeColor="text1"/>
                    </w:rPr>
                    <w:alias w:val="应付债券面值"/>
                    <w:tag w:val="_GBC_8900f56a6ae1418484c943f5eb0136bd"/>
                    <w:id w:val="33094663"/>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5,500,000,000.00</w:t>
                        </w:r>
                      </w:p>
                    </w:tc>
                  </w:sdtContent>
                </w:sdt>
                <w:sdt>
                  <w:sdtPr>
                    <w:rPr>
                      <w:color w:val="000000" w:themeColor="text1"/>
                    </w:rPr>
                    <w:alias w:val="应付债券发行日期"/>
                    <w:tag w:val="_GBC_9fda56d8d9e8408d9dc2cbede61ecc19"/>
                    <w:id w:val="33094664"/>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2013-03-05</w:t>
                        </w:r>
                      </w:p>
                    </w:tc>
                  </w:sdtContent>
                </w:sdt>
                <w:sdt>
                  <w:sdtPr>
                    <w:rPr>
                      <w:color w:val="000000" w:themeColor="text1"/>
                    </w:rPr>
                    <w:alias w:val="应付债券发行期限"/>
                    <w:tag w:val="_GBC_618bfb54ec1d42ceb8c186df06f784e7"/>
                    <w:id w:val="33094665"/>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10</w:t>
                        </w:r>
                      </w:p>
                    </w:tc>
                  </w:sdtContent>
                </w:sdt>
                <w:sdt>
                  <w:sdtPr>
                    <w:rPr>
                      <w:color w:val="000000" w:themeColor="text1"/>
                    </w:rPr>
                    <w:alias w:val="应付债券明细－利率"/>
                    <w:tag w:val="_GBC_0d6ca57a060f406785752571e7c36e02"/>
                    <w:id w:val="33094667"/>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5.15</w:t>
                        </w:r>
                      </w:p>
                    </w:tc>
                  </w:sdtContent>
                </w:sdt>
                <w:sdt>
                  <w:sdtPr>
                    <w:rPr>
                      <w:color w:val="000000" w:themeColor="text1"/>
                    </w:rPr>
                    <w:alias w:val="应付债券本息合计"/>
                    <w:tag w:val="_GBC_e821c341960449229bebd73c286e1a47"/>
                    <w:id w:val="33094668"/>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5,485,945,772.30</w:t>
                        </w:r>
                      </w:p>
                    </w:tc>
                  </w:sdtContent>
                </w:sdt>
                <w:sdt>
                  <w:sdtPr>
                    <w:rPr>
                      <w:color w:val="000000" w:themeColor="text1"/>
                    </w:rPr>
                    <w:alias w:val="应付债券本息合计"/>
                    <w:tag w:val="_GBC_5af5c6f1bb6c42e6b78f3a326014c48d"/>
                    <w:id w:val="33094669"/>
                    <w:lock w:val="sdtLocked"/>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5,485,201,541.80</w:t>
                        </w:r>
                      </w:p>
                    </w:tc>
                  </w:sdtContent>
                </w:sdt>
              </w:tr>
            </w:sdtContent>
          </w:sdt>
          <w:sdt>
            <w:sdtPr>
              <w:rPr>
                <w:color w:val="000000" w:themeColor="text1"/>
                <w:szCs w:val="21"/>
              </w:rPr>
              <w:alias w:val="应付债券明细"/>
              <w:tag w:val="_GBC_366dc69c0f3f476e9250ebb098f6ed33"/>
              <w:id w:val="33094679"/>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671"/>
                      <w:lock w:val="sdtLocked"/>
                    </w:sdtPr>
                    <w:sdtContent>
                      <w:p w:rsidR="001C7D23" w:rsidRDefault="001C7D23" w:rsidP="001C7D23">
                        <w:pPr>
                          <w:jc w:val="right"/>
                          <w:rPr>
                            <w:color w:val="000000" w:themeColor="text1"/>
                          </w:rPr>
                        </w:pPr>
                        <w:r>
                          <w:rPr>
                            <w:color w:val="000000" w:themeColor="text1"/>
                          </w:rPr>
                          <w:t>14招商债</w:t>
                        </w:r>
                      </w:p>
                    </w:sdtContent>
                  </w:sdt>
                </w:tc>
                <w:sdt>
                  <w:sdtPr>
                    <w:rPr>
                      <w:color w:val="000000" w:themeColor="text1"/>
                    </w:rPr>
                    <w:alias w:val="应付债券面值"/>
                    <w:tag w:val="_GBC_8900f56a6ae1418484c943f5eb0136bd"/>
                    <w:id w:val="33094672"/>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5,500,000,000.00</w:t>
                        </w:r>
                      </w:p>
                    </w:tc>
                  </w:sdtContent>
                </w:sdt>
                <w:sdt>
                  <w:sdtPr>
                    <w:rPr>
                      <w:color w:val="000000" w:themeColor="text1"/>
                    </w:rPr>
                    <w:alias w:val="应付债券发行日期"/>
                    <w:tag w:val="_GBC_9fda56d8d9e8408d9dc2cbede61ecc19"/>
                    <w:id w:val="33094673"/>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2015-05-26</w:t>
                        </w:r>
                      </w:p>
                    </w:tc>
                  </w:sdtContent>
                </w:sdt>
                <w:sdt>
                  <w:sdtPr>
                    <w:rPr>
                      <w:color w:val="000000" w:themeColor="text1"/>
                    </w:rPr>
                    <w:alias w:val="应付债券发行期限"/>
                    <w:tag w:val="_GBC_618bfb54ec1d42ceb8c186df06f784e7"/>
                    <w:id w:val="33094674"/>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10</w:t>
                        </w:r>
                      </w:p>
                    </w:tc>
                  </w:sdtContent>
                </w:sdt>
                <w:sdt>
                  <w:sdtPr>
                    <w:rPr>
                      <w:color w:val="000000" w:themeColor="text1"/>
                    </w:rPr>
                    <w:alias w:val="应付债券明细－利率"/>
                    <w:tag w:val="_GBC_0d6ca57a060f406785752571e7c36e02"/>
                    <w:id w:val="33094676"/>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5.08</w:t>
                        </w:r>
                      </w:p>
                    </w:tc>
                  </w:sdtContent>
                </w:sdt>
                <w:sdt>
                  <w:sdtPr>
                    <w:rPr>
                      <w:color w:val="000000" w:themeColor="text1"/>
                    </w:rPr>
                    <w:alias w:val="应付债券本息合计"/>
                    <w:tag w:val="_GBC_e821c341960449229bebd73c286e1a47"/>
                    <w:id w:val="33094677"/>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5,474,417,300.00</w:t>
                        </w:r>
                      </w:p>
                    </w:tc>
                  </w:sdtContent>
                </w:sdt>
                <w:sdt>
                  <w:sdtPr>
                    <w:rPr>
                      <w:color w:val="000000" w:themeColor="text1"/>
                    </w:rPr>
                    <w:alias w:val="应付债券本息合计"/>
                    <w:tag w:val="_GBC_5af5c6f1bb6c42e6b78f3a326014c48d"/>
                    <w:id w:val="33094678"/>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 xml:space="preserve">　</w:t>
                        </w:r>
                      </w:p>
                    </w:tc>
                  </w:sdtContent>
                </w:sdt>
              </w:tr>
            </w:sdtContent>
          </w:sdt>
          <w:sdt>
            <w:sdtPr>
              <w:rPr>
                <w:color w:val="000000" w:themeColor="text1"/>
                <w:szCs w:val="21"/>
              </w:rPr>
              <w:alias w:val="应付债券明细"/>
              <w:tag w:val="_GBC_366dc69c0f3f476e9250ebb098f6ed33"/>
              <w:id w:val="33094688"/>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680"/>
                      <w:lock w:val="sdtLocked"/>
                    </w:sdtPr>
                    <w:sdtContent>
                      <w:p w:rsidR="001C7D23" w:rsidRDefault="001C7D23" w:rsidP="001C7D23">
                        <w:pPr>
                          <w:jc w:val="right"/>
                          <w:rPr>
                            <w:color w:val="000000" w:themeColor="text1"/>
                          </w:rPr>
                        </w:pPr>
                        <w:r>
                          <w:rPr>
                            <w:color w:val="000000" w:themeColor="text1"/>
                          </w:rPr>
                          <w:t>15招商01</w:t>
                        </w:r>
                      </w:p>
                    </w:sdtContent>
                  </w:sdt>
                </w:tc>
                <w:sdt>
                  <w:sdtPr>
                    <w:rPr>
                      <w:color w:val="000000" w:themeColor="text1"/>
                    </w:rPr>
                    <w:alias w:val="应付债券面值"/>
                    <w:tag w:val="_GBC_8900f56a6ae1418484c943f5eb0136bd"/>
                    <w:id w:val="33094681"/>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10,000,000,000.00</w:t>
                        </w:r>
                      </w:p>
                    </w:tc>
                  </w:sdtContent>
                </w:sdt>
                <w:sdt>
                  <w:sdtPr>
                    <w:rPr>
                      <w:color w:val="000000" w:themeColor="text1"/>
                    </w:rPr>
                    <w:alias w:val="应付债券发行日期"/>
                    <w:tag w:val="_GBC_9fda56d8d9e8408d9dc2cbede61ecc19"/>
                    <w:id w:val="33094682"/>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2015-03-19</w:t>
                        </w:r>
                      </w:p>
                    </w:tc>
                  </w:sdtContent>
                </w:sdt>
                <w:sdt>
                  <w:sdtPr>
                    <w:rPr>
                      <w:color w:val="000000" w:themeColor="text1"/>
                    </w:rPr>
                    <w:alias w:val="应付债券发行期限"/>
                    <w:tag w:val="_GBC_618bfb54ec1d42ceb8c186df06f784e7"/>
                    <w:id w:val="33094683"/>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3</w:t>
                        </w:r>
                      </w:p>
                    </w:tc>
                  </w:sdtContent>
                </w:sdt>
                <w:sdt>
                  <w:sdtPr>
                    <w:rPr>
                      <w:color w:val="000000" w:themeColor="text1"/>
                    </w:rPr>
                    <w:alias w:val="应付债券明细－利率"/>
                    <w:tag w:val="_GBC_0d6ca57a060f406785752571e7c36e02"/>
                    <w:id w:val="33094685"/>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5.48</w:t>
                        </w:r>
                      </w:p>
                    </w:tc>
                  </w:sdtContent>
                </w:sdt>
                <w:sdt>
                  <w:sdtPr>
                    <w:rPr>
                      <w:color w:val="000000" w:themeColor="text1"/>
                    </w:rPr>
                    <w:alias w:val="应付债券本息合计"/>
                    <w:tag w:val="_GBC_e821c341960449229bebd73c286e1a47"/>
                    <w:id w:val="33094686"/>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10,000,000,000.00</w:t>
                        </w:r>
                      </w:p>
                    </w:tc>
                  </w:sdtContent>
                </w:sdt>
                <w:sdt>
                  <w:sdtPr>
                    <w:rPr>
                      <w:color w:val="000000" w:themeColor="text1"/>
                    </w:rPr>
                    <w:alias w:val="应付债券本息合计"/>
                    <w:tag w:val="_GBC_5af5c6f1bb6c42e6b78f3a326014c48d"/>
                    <w:id w:val="33094687"/>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 xml:space="preserve">　</w:t>
                        </w:r>
                      </w:p>
                    </w:tc>
                  </w:sdtContent>
                </w:sdt>
              </w:tr>
            </w:sdtContent>
          </w:sdt>
          <w:sdt>
            <w:sdtPr>
              <w:rPr>
                <w:color w:val="000000" w:themeColor="text1"/>
                <w:szCs w:val="21"/>
              </w:rPr>
              <w:alias w:val="应付债券明细"/>
              <w:tag w:val="_GBC_366dc69c0f3f476e9250ebb098f6ed33"/>
              <w:id w:val="33094697"/>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689"/>
                      <w:lock w:val="sdtLocked"/>
                    </w:sdtPr>
                    <w:sdtContent>
                      <w:p w:rsidR="001C7D23" w:rsidRDefault="001C7D23" w:rsidP="001C7D23">
                        <w:pPr>
                          <w:jc w:val="right"/>
                          <w:rPr>
                            <w:color w:val="000000" w:themeColor="text1"/>
                          </w:rPr>
                        </w:pPr>
                        <w:r>
                          <w:rPr>
                            <w:color w:val="000000" w:themeColor="text1"/>
                          </w:rPr>
                          <w:t>15招商02</w:t>
                        </w:r>
                      </w:p>
                    </w:sdtContent>
                  </w:sdt>
                </w:tc>
                <w:sdt>
                  <w:sdtPr>
                    <w:rPr>
                      <w:color w:val="000000" w:themeColor="text1"/>
                    </w:rPr>
                    <w:alias w:val="应付债券面值"/>
                    <w:tag w:val="_GBC_8900f56a6ae1418484c943f5eb0136bd"/>
                    <w:id w:val="33094690"/>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10,000,000,000.00</w:t>
                        </w:r>
                      </w:p>
                    </w:tc>
                  </w:sdtContent>
                </w:sdt>
                <w:sdt>
                  <w:sdtPr>
                    <w:rPr>
                      <w:color w:val="000000" w:themeColor="text1"/>
                    </w:rPr>
                    <w:alias w:val="应付债券发行日期"/>
                    <w:tag w:val="_GBC_9fda56d8d9e8408d9dc2cbede61ecc19"/>
                    <w:id w:val="33094691"/>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2015-03-24</w:t>
                        </w:r>
                      </w:p>
                    </w:tc>
                  </w:sdtContent>
                </w:sdt>
                <w:sdt>
                  <w:sdtPr>
                    <w:rPr>
                      <w:color w:val="000000" w:themeColor="text1"/>
                    </w:rPr>
                    <w:alias w:val="应付债券发行期限"/>
                    <w:tag w:val="_GBC_618bfb54ec1d42ceb8c186df06f784e7"/>
                    <w:id w:val="33094692"/>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5</w:t>
                        </w:r>
                      </w:p>
                    </w:tc>
                  </w:sdtContent>
                </w:sdt>
                <w:sdt>
                  <w:sdtPr>
                    <w:rPr>
                      <w:color w:val="000000" w:themeColor="text1"/>
                    </w:rPr>
                    <w:alias w:val="应付债券明细－利率"/>
                    <w:tag w:val="_GBC_0d6ca57a060f406785752571e7c36e02"/>
                    <w:id w:val="33094694"/>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5.58</w:t>
                        </w:r>
                      </w:p>
                    </w:tc>
                  </w:sdtContent>
                </w:sdt>
                <w:sdt>
                  <w:sdtPr>
                    <w:rPr>
                      <w:color w:val="000000" w:themeColor="text1"/>
                    </w:rPr>
                    <w:alias w:val="应付债券本息合计"/>
                    <w:tag w:val="_GBC_e821c341960449229bebd73c286e1a47"/>
                    <w:id w:val="33094695"/>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10,000,000,000.00</w:t>
                        </w:r>
                      </w:p>
                    </w:tc>
                  </w:sdtContent>
                </w:sdt>
                <w:sdt>
                  <w:sdtPr>
                    <w:rPr>
                      <w:color w:val="000000" w:themeColor="text1"/>
                    </w:rPr>
                    <w:alias w:val="应付债券本息合计"/>
                    <w:tag w:val="_GBC_5af5c6f1bb6c42e6b78f3a326014c48d"/>
                    <w:id w:val="33094696"/>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 xml:space="preserve">　</w:t>
                        </w:r>
                      </w:p>
                    </w:tc>
                  </w:sdtContent>
                </w:sdt>
              </w:tr>
            </w:sdtContent>
          </w:sdt>
          <w:sdt>
            <w:sdtPr>
              <w:rPr>
                <w:color w:val="000000" w:themeColor="text1"/>
                <w:szCs w:val="21"/>
              </w:rPr>
              <w:alias w:val="应付债券明细"/>
              <w:tag w:val="_GBC_366dc69c0f3f476e9250ebb098f6ed33"/>
              <w:id w:val="33094706"/>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698"/>
                      <w:lock w:val="sdtLocked"/>
                    </w:sdtPr>
                    <w:sdtContent>
                      <w:p w:rsidR="001C7D23" w:rsidRDefault="001C7D23" w:rsidP="001C7D23">
                        <w:pPr>
                          <w:jc w:val="right"/>
                          <w:rPr>
                            <w:color w:val="000000" w:themeColor="text1"/>
                          </w:rPr>
                        </w:pPr>
                        <w:r>
                          <w:rPr>
                            <w:color w:val="000000" w:themeColor="text1"/>
                          </w:rPr>
                          <w:t>15招商03</w:t>
                        </w:r>
                      </w:p>
                    </w:sdtContent>
                  </w:sdt>
                </w:tc>
                <w:sdt>
                  <w:sdtPr>
                    <w:rPr>
                      <w:color w:val="000000" w:themeColor="text1"/>
                    </w:rPr>
                    <w:alias w:val="应付债券面值"/>
                    <w:tag w:val="_GBC_8900f56a6ae1418484c943f5eb0136bd"/>
                    <w:id w:val="33094699"/>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5,000,000,000.00</w:t>
                        </w:r>
                      </w:p>
                    </w:tc>
                  </w:sdtContent>
                </w:sdt>
                <w:sdt>
                  <w:sdtPr>
                    <w:rPr>
                      <w:color w:val="000000" w:themeColor="text1"/>
                    </w:rPr>
                    <w:alias w:val="应付债券发行日期"/>
                    <w:tag w:val="_GBC_9fda56d8d9e8408d9dc2cbede61ecc19"/>
                    <w:id w:val="33094700"/>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2015-04-13</w:t>
                        </w:r>
                      </w:p>
                    </w:tc>
                  </w:sdtContent>
                </w:sdt>
                <w:sdt>
                  <w:sdtPr>
                    <w:rPr>
                      <w:color w:val="000000" w:themeColor="text1"/>
                    </w:rPr>
                    <w:alias w:val="应付债券发行期限"/>
                    <w:tag w:val="_GBC_618bfb54ec1d42ceb8c186df06f784e7"/>
                    <w:id w:val="33094701"/>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3</w:t>
                        </w:r>
                      </w:p>
                    </w:tc>
                  </w:sdtContent>
                </w:sdt>
                <w:sdt>
                  <w:sdtPr>
                    <w:rPr>
                      <w:color w:val="000000" w:themeColor="text1"/>
                    </w:rPr>
                    <w:alias w:val="应付债券明细－利率"/>
                    <w:tag w:val="_GBC_0d6ca57a060f406785752571e7c36e02"/>
                    <w:id w:val="33094703"/>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5.60</w:t>
                        </w:r>
                      </w:p>
                    </w:tc>
                  </w:sdtContent>
                </w:sdt>
                <w:sdt>
                  <w:sdtPr>
                    <w:rPr>
                      <w:color w:val="000000" w:themeColor="text1"/>
                    </w:rPr>
                    <w:alias w:val="应付债券本息合计"/>
                    <w:tag w:val="_GBC_e821c341960449229bebd73c286e1a47"/>
                    <w:id w:val="33094704"/>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5,000,000,000.00</w:t>
                        </w:r>
                      </w:p>
                    </w:tc>
                  </w:sdtContent>
                </w:sdt>
                <w:sdt>
                  <w:sdtPr>
                    <w:rPr>
                      <w:color w:val="000000" w:themeColor="text1"/>
                    </w:rPr>
                    <w:alias w:val="应付债券本息合计"/>
                    <w:tag w:val="_GBC_5af5c6f1bb6c42e6b78f3a326014c48d"/>
                    <w:id w:val="33094705"/>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 xml:space="preserve">　</w:t>
                        </w:r>
                      </w:p>
                    </w:tc>
                  </w:sdtContent>
                </w:sdt>
              </w:tr>
            </w:sdtContent>
          </w:sdt>
          <w:sdt>
            <w:sdtPr>
              <w:rPr>
                <w:color w:val="000000" w:themeColor="text1"/>
                <w:szCs w:val="21"/>
              </w:rPr>
              <w:alias w:val="应付债券明细"/>
              <w:tag w:val="_GBC_366dc69c0f3f476e9250ebb098f6ed33"/>
              <w:id w:val="33094715"/>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707"/>
                      <w:lock w:val="sdtLocked"/>
                    </w:sdtPr>
                    <w:sdtContent>
                      <w:p w:rsidR="001C7D23" w:rsidRDefault="001C7D23" w:rsidP="001C7D23">
                        <w:pPr>
                          <w:jc w:val="right"/>
                          <w:rPr>
                            <w:color w:val="000000" w:themeColor="text1"/>
                          </w:rPr>
                        </w:pPr>
                        <w:r>
                          <w:rPr>
                            <w:color w:val="000000" w:themeColor="text1"/>
                          </w:rPr>
                          <w:t>15招商04</w:t>
                        </w:r>
                      </w:p>
                    </w:sdtContent>
                  </w:sdt>
                </w:tc>
                <w:sdt>
                  <w:sdtPr>
                    <w:rPr>
                      <w:color w:val="000000" w:themeColor="text1"/>
                    </w:rPr>
                    <w:alias w:val="应付债券面值"/>
                    <w:tag w:val="_GBC_8900f56a6ae1418484c943f5eb0136bd"/>
                    <w:id w:val="33094708"/>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5,000,000,000.00</w:t>
                        </w:r>
                      </w:p>
                    </w:tc>
                  </w:sdtContent>
                </w:sdt>
                <w:sdt>
                  <w:sdtPr>
                    <w:rPr>
                      <w:color w:val="000000" w:themeColor="text1"/>
                    </w:rPr>
                    <w:alias w:val="应付债券发行日期"/>
                    <w:tag w:val="_GBC_9fda56d8d9e8408d9dc2cbede61ecc19"/>
                    <w:id w:val="33094709"/>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2015-04-13</w:t>
                        </w:r>
                      </w:p>
                    </w:tc>
                  </w:sdtContent>
                </w:sdt>
                <w:sdt>
                  <w:sdtPr>
                    <w:rPr>
                      <w:color w:val="000000" w:themeColor="text1"/>
                    </w:rPr>
                    <w:alias w:val="应付债券发行期限"/>
                    <w:tag w:val="_GBC_618bfb54ec1d42ceb8c186df06f784e7"/>
                    <w:id w:val="33094710"/>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3</w:t>
                        </w:r>
                      </w:p>
                    </w:tc>
                  </w:sdtContent>
                </w:sdt>
                <w:sdt>
                  <w:sdtPr>
                    <w:rPr>
                      <w:color w:val="000000" w:themeColor="text1"/>
                    </w:rPr>
                    <w:alias w:val="应付债券明细－利率"/>
                    <w:tag w:val="_GBC_0d6ca57a060f406785752571e7c36e02"/>
                    <w:id w:val="33094712"/>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5.75</w:t>
                        </w:r>
                      </w:p>
                    </w:tc>
                  </w:sdtContent>
                </w:sdt>
                <w:sdt>
                  <w:sdtPr>
                    <w:rPr>
                      <w:color w:val="000000" w:themeColor="text1"/>
                    </w:rPr>
                    <w:alias w:val="应付债券本息合计"/>
                    <w:tag w:val="_GBC_e821c341960449229bebd73c286e1a47"/>
                    <w:id w:val="33094713"/>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5,000,000,000.00</w:t>
                        </w:r>
                      </w:p>
                    </w:tc>
                  </w:sdtContent>
                </w:sdt>
                <w:sdt>
                  <w:sdtPr>
                    <w:rPr>
                      <w:color w:val="000000" w:themeColor="text1"/>
                    </w:rPr>
                    <w:alias w:val="应付债券本息合计"/>
                    <w:tag w:val="_GBC_5af5c6f1bb6c42e6b78f3a326014c48d"/>
                    <w:id w:val="33094714"/>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 xml:space="preserve">　</w:t>
                        </w:r>
                      </w:p>
                    </w:tc>
                  </w:sdtContent>
                </w:sdt>
              </w:tr>
            </w:sdtContent>
          </w:sdt>
          <w:sdt>
            <w:sdtPr>
              <w:rPr>
                <w:color w:val="000000" w:themeColor="text1"/>
                <w:szCs w:val="21"/>
              </w:rPr>
              <w:alias w:val="应付债券明细"/>
              <w:tag w:val="_GBC_366dc69c0f3f476e9250ebb098f6ed33"/>
              <w:id w:val="33094724"/>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716"/>
                      <w:lock w:val="sdtLocked"/>
                    </w:sdtPr>
                    <w:sdtContent>
                      <w:p w:rsidR="001C7D23" w:rsidRDefault="001C7D23" w:rsidP="001C7D23">
                        <w:pPr>
                          <w:jc w:val="right"/>
                          <w:rPr>
                            <w:color w:val="000000" w:themeColor="text1"/>
                          </w:rPr>
                        </w:pPr>
                        <w:r>
                          <w:rPr>
                            <w:color w:val="000000" w:themeColor="text1"/>
                          </w:rPr>
                          <w:t>15招商05</w:t>
                        </w:r>
                      </w:p>
                    </w:sdtContent>
                  </w:sdt>
                </w:tc>
                <w:sdt>
                  <w:sdtPr>
                    <w:rPr>
                      <w:color w:val="000000" w:themeColor="text1"/>
                    </w:rPr>
                    <w:alias w:val="应付债券面值"/>
                    <w:tag w:val="_GBC_8900f56a6ae1418484c943f5eb0136bd"/>
                    <w:id w:val="33094717"/>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5,000,000,000.00</w:t>
                        </w:r>
                      </w:p>
                    </w:tc>
                  </w:sdtContent>
                </w:sdt>
                <w:sdt>
                  <w:sdtPr>
                    <w:rPr>
                      <w:color w:val="000000" w:themeColor="text1"/>
                    </w:rPr>
                    <w:alias w:val="应付债券发行日期"/>
                    <w:tag w:val="_GBC_9fda56d8d9e8408d9dc2cbede61ecc19"/>
                    <w:id w:val="33094718"/>
                    <w:lock w:val="sdtLocked"/>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2015-04-24</w:t>
                        </w:r>
                      </w:p>
                    </w:tc>
                  </w:sdtContent>
                </w:sdt>
                <w:sdt>
                  <w:sdtPr>
                    <w:rPr>
                      <w:color w:val="000000" w:themeColor="text1"/>
                    </w:rPr>
                    <w:alias w:val="应付债券发行期限"/>
                    <w:tag w:val="_GBC_618bfb54ec1d42ceb8c186df06f784e7"/>
                    <w:id w:val="33094719"/>
                    <w:lock w:val="sdtLocked"/>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305257">
                        <w:pPr>
                          <w:jc w:val="center"/>
                          <w:rPr>
                            <w:color w:val="000000" w:themeColor="text1"/>
                          </w:rPr>
                        </w:pPr>
                        <w:r>
                          <w:rPr>
                            <w:color w:val="000000" w:themeColor="text1"/>
                          </w:rPr>
                          <w:t>2.5</w:t>
                        </w:r>
                      </w:p>
                    </w:tc>
                  </w:sdtContent>
                </w:sdt>
                <w:sdt>
                  <w:sdtPr>
                    <w:rPr>
                      <w:color w:val="000000" w:themeColor="text1"/>
                    </w:rPr>
                    <w:alias w:val="应付债券明细－利率"/>
                    <w:tag w:val="_GBC_0d6ca57a060f406785752571e7c36e02"/>
                    <w:id w:val="33094721"/>
                    <w:lock w:val="sdtLocked"/>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5.57</w:t>
                        </w:r>
                      </w:p>
                    </w:tc>
                  </w:sdtContent>
                </w:sdt>
                <w:sdt>
                  <w:sdtPr>
                    <w:rPr>
                      <w:color w:val="000000" w:themeColor="text1"/>
                    </w:rPr>
                    <w:alias w:val="应付债券本息合计"/>
                    <w:tag w:val="_GBC_e821c341960449229bebd73c286e1a47"/>
                    <w:id w:val="33094722"/>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5,000,000,000.00</w:t>
                        </w:r>
                      </w:p>
                    </w:tc>
                  </w:sdtContent>
                </w:sdt>
                <w:sdt>
                  <w:sdtPr>
                    <w:rPr>
                      <w:color w:val="000000" w:themeColor="text1"/>
                    </w:rPr>
                    <w:alias w:val="应付债券本息合计"/>
                    <w:tag w:val="_GBC_5af5c6f1bb6c42e6b78f3a326014c48d"/>
                    <w:id w:val="33094723"/>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 xml:space="preserve">　</w:t>
                        </w:r>
                      </w:p>
                    </w:tc>
                  </w:sdtContent>
                </w:sdt>
              </w:tr>
            </w:sdtContent>
          </w:sdt>
          <w:sdt>
            <w:sdtPr>
              <w:rPr>
                <w:color w:val="000000" w:themeColor="text1"/>
                <w:szCs w:val="21"/>
              </w:rPr>
              <w:alias w:val="应付债券明细"/>
              <w:tag w:val="_GBC_366dc69c0f3f476e9250ebb098f6ed33"/>
              <w:id w:val="33094733"/>
              <w:lock w:val="sdtLocked"/>
            </w:sdtPr>
            <w:sdtContent>
              <w:tr w:rsidR="001C7D23" w:rsidTr="001C7D23">
                <w:trPr>
                  <w:jc w:val="center"/>
                </w:trPr>
                <w:tc>
                  <w:tcPr>
                    <w:tcW w:w="649" w:type="pct"/>
                    <w:tcBorders>
                      <w:top w:val="outset" w:sz="6" w:space="0" w:color="auto"/>
                      <w:left w:val="outset" w:sz="6" w:space="0" w:color="auto"/>
                      <w:bottom w:val="outset" w:sz="6" w:space="0" w:color="auto"/>
                      <w:right w:val="outset" w:sz="6" w:space="0" w:color="auto"/>
                    </w:tcBorders>
                    <w:shd w:val="clear" w:color="auto" w:fill="auto"/>
                  </w:tcPr>
                  <w:sdt>
                    <w:sdtPr>
                      <w:rPr>
                        <w:color w:val="000000" w:themeColor="text1"/>
                      </w:rPr>
                      <w:alias w:val="应付债券名称"/>
                      <w:tag w:val="_GBC_f86a1b18fb4c4731b90400144248ddf4"/>
                      <w:id w:val="33094725"/>
                      <w:lock w:val="sdtLocked"/>
                    </w:sdtPr>
                    <w:sdtContent>
                      <w:p w:rsidR="001C7D23" w:rsidRDefault="001C7D23" w:rsidP="00DB67EE">
                        <w:pPr>
                          <w:jc w:val="center"/>
                          <w:rPr>
                            <w:color w:val="000000" w:themeColor="text1"/>
                          </w:rPr>
                        </w:pPr>
                        <w:r>
                          <w:rPr>
                            <w:color w:val="000000" w:themeColor="text1"/>
                          </w:rPr>
                          <w:t>合计</w:t>
                        </w:r>
                      </w:p>
                    </w:sdtContent>
                  </w:sdt>
                </w:tc>
                <w:sdt>
                  <w:sdtPr>
                    <w:rPr>
                      <w:color w:val="000000" w:themeColor="text1"/>
                    </w:rPr>
                    <w:alias w:val="应付债券面值"/>
                    <w:tag w:val="_GBC_8900f56a6ae1418484c943f5eb0136bd"/>
                    <w:id w:val="33094726"/>
                    <w:lock w:val="sdtLocked"/>
                  </w:sdtPr>
                  <w:sdtContent>
                    <w:tc>
                      <w:tcPr>
                        <w:tcW w:w="998"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jc w:val="right"/>
                          <w:rPr>
                            <w:color w:val="000000" w:themeColor="text1"/>
                          </w:rPr>
                        </w:pPr>
                        <w:r>
                          <w:rPr>
                            <w:color w:val="000000" w:themeColor="text1"/>
                          </w:rPr>
                          <w:t>50,500,000,000.00</w:t>
                        </w:r>
                      </w:p>
                    </w:tc>
                  </w:sdtContent>
                </w:sdt>
                <w:sdt>
                  <w:sdtPr>
                    <w:rPr>
                      <w:color w:val="000000" w:themeColor="text1"/>
                    </w:rPr>
                    <w:alias w:val="应付债券发行日期"/>
                    <w:tag w:val="_GBC_9fda56d8d9e8408d9dc2cbede61ecc19"/>
                    <w:id w:val="33094727"/>
                    <w:lock w:val="sdtLocked"/>
                    <w:showingPlcHdr/>
                  </w:sdtPr>
                  <w:sdtContent>
                    <w:tc>
                      <w:tcPr>
                        <w:tcW w:w="630"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 xml:space="preserve">　</w:t>
                        </w:r>
                      </w:p>
                    </w:tc>
                  </w:sdtContent>
                </w:sdt>
                <w:sdt>
                  <w:sdtPr>
                    <w:rPr>
                      <w:color w:val="000000" w:themeColor="text1"/>
                    </w:rPr>
                    <w:alias w:val="应付债券发行期限"/>
                    <w:tag w:val="_GBC_618bfb54ec1d42ceb8c186df06f784e7"/>
                    <w:id w:val="33094728"/>
                    <w:lock w:val="sdtLocked"/>
                    <w:showingPlcHdr/>
                  </w:sdtPr>
                  <w:sdtContent>
                    <w:tc>
                      <w:tcPr>
                        <w:tcW w:w="446" w:type="pct"/>
                        <w:tcBorders>
                          <w:top w:val="outset" w:sz="6" w:space="0" w:color="auto"/>
                          <w:left w:val="outset" w:sz="6" w:space="0" w:color="auto"/>
                          <w:bottom w:val="outset" w:sz="6" w:space="0" w:color="auto"/>
                          <w:right w:val="outset" w:sz="6" w:space="0" w:color="auto"/>
                        </w:tcBorders>
                        <w:shd w:val="clear" w:color="auto" w:fill="auto"/>
                      </w:tcPr>
                      <w:p w:rsidR="001C7D23" w:rsidRDefault="001C7D23" w:rsidP="001C7D23">
                        <w:pPr>
                          <w:rPr>
                            <w:color w:val="000000" w:themeColor="text1"/>
                          </w:rPr>
                        </w:pPr>
                        <w:r>
                          <w:rPr>
                            <w:color w:val="000000" w:themeColor="text1"/>
                          </w:rPr>
                          <w:t xml:space="preserve">　</w:t>
                        </w:r>
                      </w:p>
                    </w:tc>
                  </w:sdtContent>
                </w:sdt>
                <w:sdt>
                  <w:sdtPr>
                    <w:rPr>
                      <w:color w:val="000000" w:themeColor="text1"/>
                    </w:rPr>
                    <w:alias w:val="应付债券明细－利率"/>
                    <w:tag w:val="_GBC_0d6ca57a060f406785752571e7c36e02"/>
                    <w:id w:val="33094730"/>
                    <w:lock w:val="sdtLocked"/>
                    <w:showingPlcHdr/>
                  </w:sdtPr>
                  <w:sdtContent>
                    <w:tc>
                      <w:tcPr>
                        <w:tcW w:w="333"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 xml:space="preserve">　</w:t>
                        </w:r>
                      </w:p>
                    </w:tc>
                  </w:sdtContent>
                </w:sdt>
                <w:sdt>
                  <w:sdtPr>
                    <w:rPr>
                      <w:color w:val="000000" w:themeColor="text1"/>
                    </w:rPr>
                    <w:alias w:val="应付债券本息合计"/>
                    <w:tag w:val="_GBC_e821c341960449229bebd73c286e1a47"/>
                    <w:id w:val="33094731"/>
                    <w:lock w:val="sdtLocked"/>
                  </w:sdtPr>
                  <w:sdtContent>
                    <w:tc>
                      <w:tcPr>
                        <w:tcW w:w="998"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50,458,367,066.70</w:t>
                        </w:r>
                      </w:p>
                    </w:tc>
                  </w:sdtContent>
                </w:sdt>
                <w:sdt>
                  <w:sdtPr>
                    <w:rPr>
                      <w:color w:val="000000" w:themeColor="text1"/>
                    </w:rPr>
                    <w:alias w:val="应付债券本息合计"/>
                    <w:tag w:val="_GBC_5af5c6f1bb6c42e6b78f3a326014c48d"/>
                    <w:id w:val="33094732"/>
                    <w:lock w:val="sdtLocked"/>
                  </w:sdtPr>
                  <w:sdtContent>
                    <w:tc>
                      <w:tcPr>
                        <w:tcW w:w="946" w:type="pct"/>
                        <w:tcBorders>
                          <w:top w:val="outset" w:sz="6" w:space="0" w:color="auto"/>
                          <w:left w:val="outset" w:sz="6" w:space="0" w:color="auto"/>
                          <w:bottom w:val="outset" w:sz="6" w:space="0" w:color="auto"/>
                          <w:right w:val="outset" w:sz="6" w:space="0" w:color="auto"/>
                        </w:tcBorders>
                      </w:tcPr>
                      <w:p w:rsidR="001C7D23" w:rsidRDefault="001C7D23" w:rsidP="001C7D23">
                        <w:pPr>
                          <w:jc w:val="right"/>
                          <w:rPr>
                            <w:color w:val="000000" w:themeColor="text1"/>
                          </w:rPr>
                        </w:pPr>
                        <w:r>
                          <w:rPr>
                            <w:color w:val="000000" w:themeColor="text1"/>
                          </w:rPr>
                          <w:t>9,982,485,805.80</w:t>
                        </w:r>
                      </w:p>
                    </w:tc>
                  </w:sdtContent>
                </w:sdt>
              </w:tr>
            </w:sdtContent>
          </w:sdt>
        </w:tbl>
        <w:p w:rsidR="001C7D23" w:rsidRDefault="001C7D23"/>
        <w:sdt>
          <w:sdtPr>
            <w:rPr>
              <w:color w:val="000000" w:themeColor="text1"/>
            </w:rPr>
            <w:alias w:val="应付债券的说明"/>
            <w:tag w:val="_GBC_73a44430af2a4b6b9c6ecc94854e9ac9"/>
            <w:id w:val="578194"/>
            <w:lock w:val="sdtLocked"/>
          </w:sdtPr>
          <w:sdtContent>
            <w:p w:rsidR="00F75FEE" w:rsidRDefault="001C7D23" w:rsidP="001C7D23">
              <w:pPr>
                <w:spacing w:line="360" w:lineRule="auto"/>
                <w:ind w:firstLineChars="200" w:firstLine="420"/>
                <w:rPr>
                  <w:color w:val="000000" w:themeColor="text1"/>
                </w:rPr>
              </w:pPr>
              <w:r>
                <w:rPr>
                  <w:color w:val="000000" w:themeColor="text1"/>
                </w:rPr>
                <w:t>经中国证券监督管理委员会《关于核准招商证券股份有限公司公开发行公司债券的批复》（证监许可[2013]73号）以及本公司2012年第二次临时股东大会决议、第四届董事会2012年第九次临时会议决议批准，本公司于2013年3月7日在上海证券交易所发行公司债券人民币100亿元，其中3+2年期品种30亿元、票面利率4.45%，5年期品种15亿元、票面利率4.80%，10年期品种55亿元、票面利率5.15%。上述债券于2013年3月15日起在上交所挂牌交易。</w:t>
              </w:r>
            </w:p>
            <w:p w:rsidR="00F75FEE" w:rsidRDefault="001C7D23" w:rsidP="001C7D23">
              <w:pPr>
                <w:spacing w:line="360" w:lineRule="auto"/>
                <w:ind w:firstLineChars="200" w:firstLine="420"/>
                <w:rPr>
                  <w:color w:val="000000" w:themeColor="text1"/>
                </w:rPr>
              </w:pPr>
              <w:r>
                <w:rPr>
                  <w:color w:val="000000" w:themeColor="text1"/>
                </w:rPr>
                <w:t>经中国证券监督管理委员会证监许可[2015]512号文以及本公司2014年第三次临时股东大会决议、第五届董事会第八次会议决议批准，本公司于2015年5月26日发行公司债券人民币55亿元，本期债券为10年期，票面利率5.08%。</w:t>
              </w:r>
            </w:p>
            <w:p w:rsidR="001C7D23" w:rsidRDefault="001C7D23" w:rsidP="001C7D23">
              <w:pPr>
                <w:spacing w:line="360" w:lineRule="auto"/>
                <w:ind w:firstLineChars="200" w:firstLine="420"/>
                <w:rPr>
                  <w:color w:val="000000" w:themeColor="text1"/>
                </w:rPr>
              </w:pPr>
              <w:r>
                <w:rPr>
                  <w:color w:val="000000" w:themeColor="text1"/>
                </w:rPr>
                <w:t>本公司2015年第一次临时股东大会审议通过《关于发行次级债券的议案》，本公司可发行总规模不超过350亿元的次级债券。</w:t>
              </w:r>
            </w:p>
          </w:sdtContent>
        </w:sdt>
        <w:p w:rsidR="00DE031E" w:rsidRPr="001C7D23" w:rsidRDefault="00422DCA" w:rsidP="001C7D23"/>
      </w:sdtContent>
    </w:sdt>
    <w:p w:rsidR="00DE031E" w:rsidRDefault="001C1A59" w:rsidP="009950AC">
      <w:pPr>
        <w:pStyle w:val="3"/>
        <w:numPr>
          <w:ilvl w:val="0"/>
          <w:numId w:val="41"/>
        </w:numPr>
        <w:tabs>
          <w:tab w:val="left" w:pos="504"/>
        </w:tabs>
        <w:spacing w:line="360" w:lineRule="auto"/>
        <w:rPr>
          <w:szCs w:val="21"/>
        </w:rPr>
      </w:pPr>
      <w:r>
        <w:rPr>
          <w:rFonts w:hint="eastAsia"/>
          <w:szCs w:val="21"/>
        </w:rPr>
        <w:t>长期应付职工薪酬</w:t>
      </w:r>
    </w:p>
    <w:sdt>
      <w:sdtPr>
        <w:alias w:val="是否适用：长期应付职工薪酬"/>
        <w:tag w:val="_GBC_2b729fbe6d2d4fef993fff4b9f70ec47"/>
        <w:id w:val="24725371"/>
        <w:lock w:val="sd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b w:val="0"/>
          <w:bCs w:val="0"/>
          <w:kern w:val="0"/>
          <w:szCs w:val="24"/>
        </w:rPr>
        <w:tag w:val="_GBC_8af4eec42fcd4a7a8402661c45277cf7"/>
        <w:id w:val="24725385"/>
        <w:lock w:val="sdtLocked"/>
        <w:placeholder>
          <w:docPart w:val="GBC22222222222222222222222222222"/>
        </w:placeholder>
      </w:sdtPr>
      <w:sdtContent>
        <w:p w:rsidR="00DE031E" w:rsidRDefault="001C1A59" w:rsidP="009950AC">
          <w:pPr>
            <w:pStyle w:val="4"/>
            <w:numPr>
              <w:ilvl w:val="0"/>
              <w:numId w:val="56"/>
            </w:numPr>
            <w:spacing w:line="360" w:lineRule="auto"/>
          </w:pPr>
          <w:r>
            <w:rPr>
              <w:rFonts w:hint="eastAsia"/>
            </w:rPr>
            <w:t>长期应付职工薪酬表</w:t>
          </w:r>
        </w:p>
        <w:sdt>
          <w:sdtPr>
            <w:alias w:val="是否适用：长期应付职工薪酬表"/>
            <w:tag w:val="_GBC_06d7272898f04190b3327955626ffd58"/>
            <w:id w:val="24725372"/>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rPr>
              <w:rFonts w:hint="eastAsia"/>
            </w:rPr>
            <w:t>单位：</w:t>
          </w:r>
          <w:sdt>
            <w:sdtPr>
              <w:rPr>
                <w:rFonts w:hint="eastAsia"/>
              </w:rPr>
              <w:alias w:val="单位：财务附注：长期应付职工薪酬"/>
              <w:tag w:val="_GBC_9da16ecedc40480a9563f61db11afc75"/>
              <w:id w:val="24725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长期应付职工薪酬"/>
              <w:tag w:val="_GBC_4b18e9847cbc49689b57ca163e3c5f6f"/>
              <w:id w:val="24725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8"/>
            <w:gridCol w:w="2411"/>
            <w:gridCol w:w="2420"/>
          </w:tblGrid>
          <w:tr w:rsidR="00DE031E" w:rsidTr="00DE031E">
            <w:tc>
              <w:tcPr>
                <w:tcW w:w="23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jc w:val="center"/>
                </w:pPr>
                <w:r>
                  <w:rPr>
                    <w:rFonts w:hint="eastAsia"/>
                  </w:rPr>
                  <w:t>项目</w:t>
                </w:r>
              </w:p>
            </w:tc>
            <w:tc>
              <w:tcPr>
                <w:tcW w:w="1332"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jc w:val="center"/>
                </w:pPr>
                <w:r>
                  <w:rPr>
                    <w:rFonts w:hint="eastAsia"/>
                  </w:rPr>
                  <w:t>期末余额</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jc w:val="center"/>
                </w:pPr>
                <w:r>
                  <w:rPr>
                    <w:rFonts w:hint="eastAsia"/>
                  </w:rPr>
                  <w:t>期初余额</w:t>
                </w:r>
              </w:p>
            </w:tc>
          </w:tr>
          <w:sdt>
            <w:sdtPr>
              <w:alias w:val="长期应付职工薪酬明细"/>
              <w:tag w:val="_GBC_291a7f60bc8c4456a834398318782169"/>
              <w:id w:val="24725378"/>
              <w:lock w:val="sdtLocked"/>
            </w:sdtPr>
            <w:sdtContent>
              <w:tr w:rsidR="00DE031E" w:rsidTr="00DE031E">
                <w:sdt>
                  <w:sdtPr>
                    <w:alias w:val="长期应付职工薪酬明细-项目名称"/>
                    <w:tag w:val="_GBC_639ad4ae0e824d2ea43febb06b6a3c3c"/>
                    <w:id w:val="24725375"/>
                    <w:lock w:val="sdtLocked"/>
                  </w:sdtPr>
                  <w:sdtContent>
                    <w:tc>
                      <w:tcPr>
                        <w:tcW w:w="2331" w:type="pct"/>
                        <w:tcBorders>
                          <w:top w:val="single" w:sz="4" w:space="0" w:color="auto"/>
                          <w:left w:val="single" w:sz="4" w:space="0" w:color="auto"/>
                          <w:bottom w:val="single" w:sz="6" w:space="0" w:color="auto"/>
                          <w:right w:val="single" w:sz="4" w:space="0" w:color="auto"/>
                        </w:tcBorders>
                        <w:shd w:val="clear" w:color="auto" w:fill="auto"/>
                      </w:tcPr>
                      <w:p w:rsidR="00DE031E" w:rsidRDefault="001C1A59">
                        <w:r>
                          <w:rPr>
                            <w:rFonts w:hint="eastAsia"/>
                          </w:rPr>
                          <w:t>薪酬与考核委员会审议通过的战略储备</w:t>
                        </w:r>
                      </w:p>
                    </w:tc>
                  </w:sdtContent>
                </w:sdt>
                <w:sdt>
                  <w:sdtPr>
                    <w:rPr>
                      <w:rFonts w:hint="eastAsia"/>
                    </w:rPr>
                    <w:alias w:val="长期应付职工薪酬明细-余额"/>
                    <w:tag w:val="_GBC_f744d236a7084a1797bab13a5154f22f"/>
                    <w:id w:val="24725376"/>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pPr>
                          <w:jc w:val="right"/>
                        </w:pPr>
                        <w:r>
                          <w:t>787,540,000.00</w:t>
                        </w:r>
                      </w:p>
                    </w:tc>
                  </w:sdtContent>
                </w:sdt>
                <w:sdt>
                  <w:sdtPr>
                    <w:alias w:val="长期应付职工薪酬明细-余额"/>
                    <w:tag w:val="_GBC_c7ad0d522e414e58b7c05976024479bb"/>
                    <w:id w:val="24725377"/>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pPr>
                          <w:jc w:val="right"/>
                        </w:pPr>
                        <w:r>
                          <w:t>787,540,000.00</w:t>
                        </w:r>
                      </w:p>
                    </w:tc>
                  </w:sdtContent>
                </w:sdt>
              </w:tr>
            </w:sdtContent>
          </w:sdt>
          <w:sdt>
            <w:sdtPr>
              <w:alias w:val="长期应付职工薪酬明细"/>
              <w:tag w:val="_GBC_291a7f60bc8c4456a834398318782169"/>
              <w:id w:val="24725382"/>
              <w:lock w:val="sdtLocked"/>
            </w:sdtPr>
            <w:sdtContent>
              <w:tr w:rsidR="00DE031E" w:rsidTr="00DE031E">
                <w:sdt>
                  <w:sdtPr>
                    <w:alias w:val="长期应付职工薪酬明细-项目名称"/>
                    <w:tag w:val="_GBC_639ad4ae0e824d2ea43febb06b6a3c3c"/>
                    <w:id w:val="24725379"/>
                    <w:lock w:val="sdtLocked"/>
                  </w:sdtPr>
                  <w:sdtContent>
                    <w:tc>
                      <w:tcPr>
                        <w:tcW w:w="2331" w:type="pct"/>
                        <w:tcBorders>
                          <w:top w:val="single" w:sz="4" w:space="0" w:color="auto"/>
                          <w:left w:val="single" w:sz="4" w:space="0" w:color="auto"/>
                          <w:bottom w:val="single" w:sz="6" w:space="0" w:color="auto"/>
                          <w:right w:val="single" w:sz="4" w:space="0" w:color="auto"/>
                        </w:tcBorders>
                        <w:shd w:val="clear" w:color="auto" w:fill="auto"/>
                      </w:tcPr>
                      <w:p w:rsidR="00DE031E" w:rsidRDefault="001C1A59">
                        <w:r>
                          <w:rPr>
                            <w:rFonts w:hint="eastAsia"/>
                          </w:rPr>
                          <w:t>其他长期福利</w:t>
                        </w:r>
                        <w:r>
                          <w:t>-长期激励计划</w:t>
                        </w:r>
                      </w:p>
                    </w:tc>
                  </w:sdtContent>
                </w:sdt>
                <w:sdt>
                  <w:sdtPr>
                    <w:rPr>
                      <w:rFonts w:hint="eastAsia"/>
                    </w:rPr>
                    <w:alias w:val="长期应付职工薪酬明细-余额"/>
                    <w:tag w:val="_GBC_f744d236a7084a1797bab13a5154f22f"/>
                    <w:id w:val="24725380"/>
                    <w:lock w:val="sdtLocked"/>
                    <w:showingPlcHdr/>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rsidR="00DE031E" w:rsidRDefault="00DE031E">
                        <w:pPr>
                          <w:jc w:val="right"/>
                        </w:pPr>
                      </w:p>
                    </w:tc>
                  </w:sdtContent>
                </w:sdt>
                <w:sdt>
                  <w:sdtPr>
                    <w:alias w:val="长期应付职工薪酬明细-余额"/>
                    <w:tag w:val="_GBC_c7ad0d522e414e58b7c05976024479bb"/>
                    <w:id w:val="24725381"/>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pPr>
                          <w:jc w:val="right"/>
                        </w:pPr>
                        <w:r>
                          <w:t>1,026,058,899.06</w:t>
                        </w:r>
                      </w:p>
                    </w:tc>
                  </w:sdtContent>
                </w:sdt>
              </w:tr>
            </w:sdtContent>
          </w:sdt>
          <w:tr w:rsidR="00DE031E" w:rsidTr="00DE031E">
            <w:tc>
              <w:tcPr>
                <w:tcW w:w="233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jc w:val="center"/>
                </w:pPr>
                <w:r>
                  <w:rPr>
                    <w:rFonts w:hint="eastAsia"/>
                  </w:rPr>
                  <w:t>合计</w:t>
                </w:r>
              </w:p>
            </w:tc>
            <w:sdt>
              <w:sdtPr>
                <w:alias w:val="长期应付职工薪酬"/>
                <w:tag w:val="_GBC_2334748c90a64981b25cc318033edc6f"/>
                <w:id w:val="24725383"/>
                <w:lock w:val="sdtLocked"/>
              </w:sdtPr>
              <w:sdtContent>
                <w:tc>
                  <w:tcPr>
                    <w:tcW w:w="1332" w:type="pct"/>
                    <w:tcBorders>
                      <w:top w:val="single" w:sz="4" w:space="0" w:color="auto"/>
                      <w:left w:val="single" w:sz="6" w:space="0" w:color="auto"/>
                      <w:bottom w:val="single" w:sz="4" w:space="0" w:color="auto"/>
                      <w:right w:val="single" w:sz="4" w:space="0" w:color="auto"/>
                    </w:tcBorders>
                    <w:shd w:val="clear" w:color="auto" w:fill="auto"/>
                  </w:tcPr>
                  <w:p w:rsidR="00DE031E" w:rsidRDefault="001C1A59">
                    <w:pPr>
                      <w:jc w:val="right"/>
                    </w:pPr>
                    <w:r>
                      <w:t>787,540,000.00</w:t>
                    </w:r>
                  </w:p>
                </w:tc>
              </w:sdtContent>
            </w:sdt>
            <w:sdt>
              <w:sdtPr>
                <w:rPr>
                  <w:rFonts w:hint="eastAsia"/>
                </w:rPr>
                <w:alias w:val="长期应付职工薪酬"/>
                <w:tag w:val="_GBC_59bcbe4f8e5e41c6adee2968fa3edcdf"/>
                <w:id w:val="24725384"/>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pPr>
                      <w:jc w:val="right"/>
                    </w:pPr>
                    <w:r>
                      <w:t>1,813,598,899.06</w:t>
                    </w:r>
                  </w:p>
                </w:tc>
              </w:sdtContent>
            </w:sdt>
          </w:tr>
        </w:tbl>
      </w:sdtContent>
    </w:sdt>
    <w:p w:rsidR="00DE031E" w:rsidRDefault="001C1A59" w:rsidP="009950AC">
      <w:pPr>
        <w:pStyle w:val="4"/>
        <w:numPr>
          <w:ilvl w:val="0"/>
          <w:numId w:val="56"/>
        </w:numPr>
        <w:spacing w:line="360" w:lineRule="auto"/>
        <w:rPr>
          <w:szCs w:val="21"/>
        </w:rPr>
      </w:pPr>
      <w:r>
        <w:rPr>
          <w:rFonts w:hint="eastAsia"/>
          <w:szCs w:val="21"/>
        </w:rPr>
        <w:t>设定受益计划变动情况</w:t>
      </w:r>
    </w:p>
    <w:sdt>
      <w:sdtPr>
        <w:alias w:val="是否适用：设定受益计划变动情况"/>
        <w:tag w:val="_GBC_6c28ec58a3b04537abfeeda18e3a6f77"/>
        <w:id w:val="24725386"/>
        <w:lock w:val="sdtLocked"/>
        <w:placeholder>
          <w:docPart w:val="GBC22222222222222222222222222222"/>
        </w:placeholder>
      </w:sdtPr>
      <w:sdtContent>
        <w:p w:rsidR="00DE031E" w:rsidRDefault="00422DCA" w:rsidP="00DE031E">
          <w:pPr>
            <w:rPr>
              <w:szCs w:val="21"/>
            </w:rPr>
          </w:pPr>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b w:val="0"/>
          <w:bCs w:val="0"/>
          <w:kern w:val="0"/>
          <w:szCs w:val="21"/>
        </w:rPr>
        <w:tag w:val="_GBC_6b41f75046264d5392c8786bf4fd2da4"/>
        <w:id w:val="24725410"/>
        <w:lock w:val="sdtLocked"/>
        <w:placeholder>
          <w:docPart w:val="GBC22222222222222222222222222222"/>
        </w:placeholder>
      </w:sdtPr>
      <w:sdtEndPr>
        <w:rPr>
          <w:rFonts w:cstheme="minorBidi" w:hint="default"/>
          <w:kern w:val="2"/>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预计负债</w:t>
          </w:r>
        </w:p>
        <w:sdt>
          <w:sdtPr>
            <w:alias w:val="是否适用：预计负债"/>
            <w:tag w:val="_GBC_c1f9fde8516144d7be8f28985a7e56bf"/>
            <w:id w:val="24725387"/>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预计负债"/>
              <w:tag w:val="_GBC_cb4f52bf31e64f4c951a1d03c8737c2c"/>
              <w:id w:val="24725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247253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23"/>
            <w:gridCol w:w="2224"/>
            <w:gridCol w:w="2224"/>
            <w:gridCol w:w="2224"/>
          </w:tblGrid>
          <w:tr w:rsidR="00DE031E"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DE031E" w:rsidRDefault="001C1A59">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DE031E" w:rsidRDefault="001C1A59">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DE031E" w:rsidRDefault="001C1A59">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DE031E" w:rsidRDefault="001C1A59">
                <w:pPr>
                  <w:jc w:val="center"/>
                  <w:rPr>
                    <w:szCs w:val="21"/>
                  </w:rPr>
                </w:pPr>
                <w:r>
                  <w:rPr>
                    <w:rFonts w:hint="eastAsia"/>
                    <w:szCs w:val="21"/>
                  </w:rPr>
                  <w:t>形成原因</w:t>
                </w:r>
              </w:p>
            </w:tc>
          </w:tr>
          <w:tr w:rsidR="00DE031E"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ind w:right="105"/>
                  <w:rPr>
                    <w:szCs w:val="21"/>
                  </w:rPr>
                </w:pPr>
                <w:r>
                  <w:rPr>
                    <w:rFonts w:hint="eastAsia"/>
                    <w:szCs w:val="21"/>
                  </w:rPr>
                  <w:t>对外提供担保</w:t>
                </w:r>
              </w:p>
            </w:tc>
            <w:sdt>
              <w:sdtPr>
                <w:rPr>
                  <w:szCs w:val="21"/>
                </w:rPr>
                <w:alias w:val="预计负债中的对外提供担保"/>
                <w:tag w:val="_GBC_66aa1a103caf4b3eac7bfcb429307180"/>
                <w:id w:val="2472539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a6f4939038604bea85aa904a010f9e7d"/>
                <w:id w:val="2472539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bba6fc1ebadb4f93bf280a74d752ac4c"/>
                <w:id w:val="2472539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ind w:right="73"/>
                      <w:rPr>
                        <w:color w:val="000000" w:themeColor="text1"/>
                        <w:szCs w:val="21"/>
                      </w:rPr>
                    </w:pPr>
                    <w:r>
                      <w:rPr>
                        <w:rFonts w:hint="eastAsia"/>
                        <w:color w:val="0000FF"/>
                        <w:szCs w:val="21"/>
                      </w:rPr>
                      <w:t xml:space="preserve">　</w:t>
                    </w:r>
                  </w:p>
                </w:tc>
              </w:sdtContent>
            </w:sdt>
          </w:tr>
          <w:tr w:rsidR="00DE031E"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ind w:right="105"/>
                  <w:rPr>
                    <w:szCs w:val="21"/>
                  </w:rPr>
                </w:pPr>
                <w:r>
                  <w:rPr>
                    <w:rFonts w:hint="eastAsia"/>
                    <w:szCs w:val="21"/>
                  </w:rPr>
                  <w:t>未决诉讼</w:t>
                </w:r>
              </w:p>
            </w:tc>
            <w:sdt>
              <w:sdtPr>
                <w:rPr>
                  <w:szCs w:val="21"/>
                </w:rPr>
                <w:alias w:val="预计负债中的未决诉讼"/>
                <w:tag w:val="_GBC_ccd71168d5cd4da8a03828bfb8553614"/>
                <w:id w:val="24725393"/>
                <w:lock w:val="sdtLocked"/>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szCs w:val="21"/>
                      </w:rPr>
                      <w:t>117,774.00</w:t>
                    </w:r>
                  </w:p>
                </w:tc>
              </w:sdtContent>
            </w:sdt>
            <w:sdt>
              <w:sdtPr>
                <w:rPr>
                  <w:szCs w:val="21"/>
                </w:rPr>
                <w:alias w:val="预计负债中的未决诉讼"/>
                <w:tag w:val="_GBC_a9ba7326e9624987a49f2bf68c5d950d"/>
                <w:id w:val="24725394"/>
                <w:lock w:val="sdtLocked"/>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szCs w:val="21"/>
                      </w:rPr>
                      <w:t>117,774.00</w:t>
                    </w:r>
                  </w:p>
                </w:tc>
              </w:sdtContent>
            </w:sdt>
            <w:sdt>
              <w:sdtPr>
                <w:rPr>
                  <w:szCs w:val="21"/>
                </w:rPr>
                <w:alias w:val="预计负债中的未决诉讼形成原因"/>
                <w:tag w:val="_GBC_8c39e555ca264a5c872947df97930445"/>
                <w:id w:val="2472539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ind w:right="73"/>
                      <w:rPr>
                        <w:color w:val="000000" w:themeColor="text1"/>
                        <w:szCs w:val="21"/>
                      </w:rPr>
                    </w:pPr>
                    <w:r>
                      <w:rPr>
                        <w:rFonts w:hint="eastAsia"/>
                        <w:color w:val="0000FF"/>
                        <w:szCs w:val="21"/>
                      </w:rPr>
                      <w:t xml:space="preserve">　</w:t>
                    </w:r>
                  </w:p>
                </w:tc>
              </w:sdtContent>
            </w:sdt>
          </w:tr>
          <w:tr w:rsidR="00DE031E"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ind w:right="105"/>
                  <w:rPr>
                    <w:szCs w:val="21"/>
                  </w:rPr>
                </w:pPr>
                <w:r>
                  <w:rPr>
                    <w:rFonts w:hint="eastAsia"/>
                    <w:szCs w:val="21"/>
                  </w:rPr>
                  <w:t>产品质量保证</w:t>
                </w:r>
              </w:p>
            </w:tc>
            <w:sdt>
              <w:sdtPr>
                <w:rPr>
                  <w:szCs w:val="21"/>
                </w:rPr>
                <w:alias w:val="预计负债中的产品质量保证"/>
                <w:tag w:val="_GBC_086e28f2f6c943128a0ed41c4bbc3df1"/>
                <w:id w:val="2472539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d172817b2a9f43f9939c2d8a7606bba2"/>
                <w:id w:val="24725397"/>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7d3288bcd56b4d01b4a021daa54c4c4f"/>
                <w:id w:val="2472539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ind w:right="73"/>
                      <w:rPr>
                        <w:color w:val="000000" w:themeColor="text1"/>
                        <w:szCs w:val="21"/>
                      </w:rPr>
                    </w:pPr>
                    <w:r>
                      <w:rPr>
                        <w:rFonts w:hint="eastAsia"/>
                        <w:color w:val="0000FF"/>
                        <w:szCs w:val="21"/>
                      </w:rPr>
                      <w:t xml:space="preserve">　</w:t>
                    </w:r>
                  </w:p>
                </w:tc>
              </w:sdtContent>
            </w:sdt>
          </w:tr>
          <w:tr w:rsidR="00DE031E"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ind w:right="105"/>
                  <w:rPr>
                    <w:szCs w:val="21"/>
                  </w:rPr>
                </w:pPr>
                <w:r>
                  <w:rPr>
                    <w:rFonts w:hint="eastAsia"/>
                    <w:szCs w:val="21"/>
                  </w:rPr>
                  <w:t>重组义务</w:t>
                </w:r>
              </w:p>
            </w:tc>
            <w:sdt>
              <w:sdtPr>
                <w:rPr>
                  <w:szCs w:val="21"/>
                </w:rPr>
                <w:alias w:val="预计负债中的重组义务"/>
                <w:tag w:val="_GBC_c433bd153c0b4f0db6ce3103a5065c17"/>
                <w:id w:val="24725399"/>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1a6d3ea76ee141f5b26883b9d38ccb07"/>
                <w:id w:val="2472540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fbc6a348fbde4caeb6f891d87d65bbf2"/>
                <w:id w:val="2472540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rPr>
                        <w:color w:val="000000" w:themeColor="text1"/>
                        <w:szCs w:val="21"/>
                      </w:rPr>
                    </w:pPr>
                    <w:r>
                      <w:rPr>
                        <w:rFonts w:hint="eastAsia"/>
                        <w:color w:val="0000FF"/>
                        <w:szCs w:val="21"/>
                      </w:rPr>
                      <w:t xml:space="preserve">　</w:t>
                    </w:r>
                  </w:p>
                </w:tc>
              </w:sdtContent>
            </w:sdt>
          </w:tr>
          <w:tr w:rsidR="00DE031E"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pPr>
                  <w:ind w:right="105"/>
                  <w:rPr>
                    <w:szCs w:val="21"/>
                  </w:rPr>
                </w:pPr>
                <w:r>
                  <w:rPr>
                    <w:rFonts w:hint="eastAsia"/>
                    <w:szCs w:val="21"/>
                  </w:rPr>
                  <w:t>待执行的亏损合同</w:t>
                </w:r>
              </w:p>
            </w:tc>
            <w:sdt>
              <w:sdtPr>
                <w:rPr>
                  <w:szCs w:val="21"/>
                </w:rPr>
                <w:alias w:val="预计负债中的待执行的亏损合同"/>
                <w:tag w:val="_GBC_4b3f7bfe012a49a18ab8878e21c440a9"/>
                <w:id w:val="2472540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b21a4a51f1ac4ca0941e5e55491b4482"/>
                <w:id w:val="24725403"/>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ea8bcc5f43f84cb1a5a7da06949a8592"/>
                <w:id w:val="2472540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rPr>
                        <w:color w:val="000000" w:themeColor="text1"/>
                        <w:szCs w:val="21"/>
                      </w:rPr>
                    </w:pPr>
                    <w:r>
                      <w:rPr>
                        <w:rFonts w:hint="eastAsia"/>
                        <w:color w:val="0000FF"/>
                        <w:szCs w:val="21"/>
                      </w:rPr>
                      <w:t xml:space="preserve">　</w:t>
                    </w:r>
                  </w:p>
                </w:tc>
              </w:sdtContent>
            </w:sdt>
          </w:tr>
          <w:tr w:rsidR="00DE031E"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pPr>
                  <w:ind w:right="105"/>
                  <w:rPr>
                    <w:szCs w:val="21"/>
                  </w:rPr>
                </w:pPr>
                <w:r>
                  <w:rPr>
                    <w:rFonts w:hint="eastAsia"/>
                    <w:szCs w:val="21"/>
                  </w:rPr>
                  <w:t>其他</w:t>
                </w:r>
              </w:p>
            </w:tc>
            <w:sdt>
              <w:sdtPr>
                <w:rPr>
                  <w:szCs w:val="21"/>
                </w:rPr>
                <w:alias w:val="预计负债中的其他预计负债"/>
                <w:tag w:val="_GBC_d5edd180cf9c4f0288c295734dcc079f"/>
                <w:id w:val="2472540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其他预计负债"/>
                <w:tag w:val="_GBC_a2e82d3162df48d8bae5da440354464c"/>
                <w:id w:val="2472540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rFonts w:hint="eastAsia"/>
                        <w:color w:val="0000FF"/>
                        <w:szCs w:val="21"/>
                      </w:rPr>
                      <w:t xml:space="preserve">　</w:t>
                    </w:r>
                  </w:p>
                </w:tc>
              </w:sdtContent>
            </w:sdt>
            <w:sdt>
              <w:sdtPr>
                <w:rPr>
                  <w:szCs w:val="21"/>
                </w:rPr>
                <w:alias w:val="预计负债中的其他形成原因"/>
                <w:tag w:val="_GBC_3ada733d25f444b3ba16ac0ed3abdf07"/>
                <w:id w:val="24725407"/>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ind w:right="73"/>
                      <w:rPr>
                        <w:color w:val="000000" w:themeColor="text1"/>
                        <w:szCs w:val="21"/>
                      </w:rPr>
                    </w:pPr>
                    <w:r>
                      <w:rPr>
                        <w:rFonts w:hint="eastAsia"/>
                        <w:color w:val="0000FF"/>
                        <w:szCs w:val="21"/>
                      </w:rPr>
                      <w:t xml:space="preserve">　</w:t>
                    </w:r>
                  </w:p>
                </w:tc>
              </w:sdtContent>
            </w:sdt>
          </w:tr>
          <w:tr w:rsidR="00DE031E"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DE031E" w:rsidRDefault="001C1A59">
                <w:pPr>
                  <w:ind w:right="105"/>
                  <w:jc w:val="center"/>
                  <w:rPr>
                    <w:szCs w:val="21"/>
                  </w:rPr>
                </w:pPr>
                <w:r>
                  <w:rPr>
                    <w:rFonts w:hint="eastAsia"/>
                    <w:szCs w:val="21"/>
                  </w:rPr>
                  <w:t>合计</w:t>
                </w:r>
              </w:p>
            </w:tc>
            <w:sdt>
              <w:sdtPr>
                <w:rPr>
                  <w:szCs w:val="21"/>
                </w:rPr>
                <w:alias w:val="预计负债"/>
                <w:tag w:val="_GBC_1ac65c5665284bf9a04e820d33241a6c"/>
                <w:id w:val="24725408"/>
                <w:lock w:val="sdtLocked"/>
              </w:sdtPr>
              <w:sdtConten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right"/>
                      <w:rPr>
                        <w:color w:val="000000" w:themeColor="text1"/>
                        <w:szCs w:val="21"/>
                      </w:rPr>
                    </w:pPr>
                    <w:r>
                      <w:rPr>
                        <w:szCs w:val="21"/>
                      </w:rPr>
                      <w:t>117,774.00</w:t>
                    </w:r>
                  </w:p>
                </w:tc>
              </w:sdtContent>
            </w:sdt>
            <w:sdt>
              <w:sdtPr>
                <w:rPr>
                  <w:szCs w:val="21"/>
                </w:rPr>
                <w:alias w:val="预计负债"/>
                <w:tag w:val="_GBC_effbcbbbf28c4cf0b29a42f0afc779f1"/>
                <w:id w:val="24725409"/>
                <w:lock w:val="sdtLocked"/>
              </w:sdtPr>
              <w:sdtContent>
                <w:tc>
                  <w:tcPr>
                    <w:tcW w:w="1250" w:type="pct"/>
                    <w:tcBorders>
                      <w:top w:val="single" w:sz="6" w:space="0" w:color="auto"/>
                      <w:left w:val="single" w:sz="6" w:space="0" w:color="auto"/>
                      <w:bottom w:val="single" w:sz="6" w:space="0" w:color="auto"/>
                      <w:right w:val="single" w:sz="6" w:space="0" w:color="auto"/>
                    </w:tcBorders>
                    <w:vAlign w:val="center"/>
                  </w:tcPr>
                  <w:p w:rsidR="00DE031E" w:rsidRDefault="001C1A59">
                    <w:pPr>
                      <w:jc w:val="right"/>
                      <w:rPr>
                        <w:color w:val="000000" w:themeColor="text1"/>
                        <w:szCs w:val="21"/>
                      </w:rPr>
                    </w:pPr>
                    <w:r>
                      <w:rPr>
                        <w:szCs w:val="21"/>
                      </w:rPr>
                      <w:t>117,774.00</w:t>
                    </w:r>
                  </w:p>
                </w:tc>
              </w:sdtContent>
            </w:sdt>
            <w:tc>
              <w:tcPr>
                <w:tcW w:w="1250" w:type="pct"/>
                <w:tcBorders>
                  <w:top w:val="single" w:sz="6" w:space="0" w:color="auto"/>
                  <w:left w:val="single" w:sz="6" w:space="0" w:color="auto"/>
                  <w:bottom w:val="single" w:sz="6" w:space="0" w:color="auto"/>
                  <w:right w:val="single" w:sz="6" w:space="0" w:color="auto"/>
                </w:tcBorders>
              </w:tcPr>
              <w:p w:rsidR="00DE031E" w:rsidRDefault="001C1A59">
                <w:pPr>
                  <w:jc w:val="center"/>
                  <w:rPr>
                    <w:color w:val="000000" w:themeColor="text1"/>
                    <w:szCs w:val="21"/>
                  </w:rPr>
                </w:pPr>
                <w:r>
                  <w:rPr>
                    <w:rFonts w:hint="eastAsia"/>
                    <w:color w:val="000000" w:themeColor="text1"/>
                    <w:szCs w:val="21"/>
                  </w:rPr>
                  <w:t>/</w:t>
                </w:r>
              </w:p>
            </w:tc>
          </w:tr>
        </w:tbl>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递延收益</w:t>
      </w:r>
    </w:p>
    <w:sdt>
      <w:sdtPr>
        <w:alias w:val="是否适用：递延收益"/>
        <w:tag w:val="_GBC_a19a43c36fb2452f9859593088a8af08"/>
        <w:id w:val="24725411"/>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kern w:val="0"/>
          <w:szCs w:val="21"/>
        </w:rPr>
        <w:tag w:val="_GBC_8d74a4d69f6940c3968ca9c4cf2a1b4c"/>
        <w:id w:val="24725423"/>
        <w:lock w:val="sdtLocked"/>
        <w:placeholder>
          <w:docPart w:val="GBC22222222222222222222222222222"/>
        </w:placeholder>
      </w:sdtPr>
      <w:sdtEndPr>
        <w:rPr>
          <w:szCs w:val="24"/>
        </w:rPr>
      </w:sdtEndPr>
      <w:sdtContent>
        <w:p w:rsidR="00DE031E" w:rsidRDefault="001C1A5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24725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247254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390"/>
            <w:gridCol w:w="1844"/>
            <w:gridCol w:w="1345"/>
            <w:gridCol w:w="1329"/>
            <w:gridCol w:w="1530"/>
            <w:gridCol w:w="1455"/>
          </w:tblGrid>
          <w:tr w:rsidR="00DE031E" w:rsidTr="00DE031E">
            <w:trPr>
              <w:cantSplit/>
              <w:trHeight w:val="335"/>
            </w:trPr>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rPr>
                    <w:szCs w:val="21"/>
                  </w:rPr>
                </w:pPr>
                <w:r>
                  <w:rPr>
                    <w:rFonts w:hint="eastAsia"/>
                    <w:szCs w:val="21"/>
                  </w:rPr>
                  <w:t>项目</w:t>
                </w:r>
              </w:p>
            </w:tc>
            <w:tc>
              <w:tcPr>
                <w:tcW w:w="103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rPr>
                    <w:szCs w:val="21"/>
                  </w:rPr>
                </w:pPr>
                <w:r>
                  <w:rPr>
                    <w:rFonts w:hint="eastAsia"/>
                    <w:szCs w:val="21"/>
                  </w:rPr>
                  <w:t>期初余额</w:t>
                </w:r>
              </w:p>
            </w:tc>
            <w:tc>
              <w:tcPr>
                <w:tcW w:w="756"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rPr>
                    <w:szCs w:val="21"/>
                  </w:rPr>
                </w:pPr>
                <w:r>
                  <w:rPr>
                    <w:rFonts w:hint="eastAsia"/>
                    <w:szCs w:val="21"/>
                  </w:rPr>
                  <w:t>本期增加</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rPr>
                    <w:szCs w:val="21"/>
                  </w:rPr>
                </w:pPr>
                <w:r>
                  <w:rPr>
                    <w:rFonts w:hint="eastAsia"/>
                    <w:szCs w:val="21"/>
                  </w:rPr>
                  <w:t>本期减少</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rPr>
                    <w:szCs w:val="21"/>
                  </w:rPr>
                </w:pPr>
                <w:r>
                  <w:rPr>
                    <w:rFonts w:hint="eastAsia"/>
                    <w:szCs w:val="21"/>
                  </w:rPr>
                  <w:t>期末余额</w:t>
                </w: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rPr>
                    <w:szCs w:val="21"/>
                  </w:rPr>
                </w:pPr>
                <w:r>
                  <w:rPr>
                    <w:rFonts w:hint="eastAsia"/>
                    <w:szCs w:val="21"/>
                  </w:rPr>
                  <w:t>形成原因</w:t>
                </w:r>
              </w:p>
            </w:tc>
          </w:tr>
          <w:tr w:rsidR="00DE031E" w:rsidTr="00DE031E">
            <w:trPr>
              <w:cantSplit/>
            </w:trPr>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rPr>
                    <w:szCs w:val="21"/>
                  </w:rPr>
                </w:pPr>
                <w:r>
                  <w:rPr>
                    <w:rFonts w:hint="eastAsia"/>
                    <w:szCs w:val="21"/>
                  </w:rPr>
                  <w:t>政府补助</w:t>
                </w:r>
              </w:p>
            </w:tc>
            <w:sdt>
              <w:sdtPr>
                <w:rPr>
                  <w:szCs w:val="21"/>
                </w:rPr>
                <w:alias w:val="补贴收入金额"/>
                <w:tag w:val="_GBC_9a5e925b8c664ef08acaaa20572ab1fd"/>
                <w:id w:val="24725414"/>
                <w:lock w:val="sdtLocked"/>
              </w:sdtPr>
              <w:sdtContent>
                <w:tc>
                  <w:tcPr>
                    <w:tcW w:w="1037"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126,000,000.00</w:t>
                    </w:r>
                  </w:p>
                </w:tc>
              </w:sdtContent>
            </w:sdt>
            <w:sdt>
              <w:sdtPr>
                <w:rPr>
                  <w:szCs w:val="21"/>
                </w:rPr>
                <w:alias w:val="政府补助本期增加"/>
                <w:tag w:val="_GBC_730a8c53f26b4594acdb2f164c255243"/>
                <w:id w:val="24725415"/>
                <w:lock w:val="sdtLocked"/>
              </w:sdtPr>
              <w:sdtContent>
                <w:tc>
                  <w:tcPr>
                    <w:tcW w:w="756"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jc w:val="right"/>
                      <w:rPr>
                        <w:szCs w:val="21"/>
                      </w:rPr>
                    </w:pPr>
                  </w:p>
                </w:tc>
              </w:sdtContent>
            </w:sdt>
            <w:sdt>
              <w:sdtPr>
                <w:rPr>
                  <w:szCs w:val="21"/>
                </w:rPr>
                <w:alias w:val="政府补助本期减少"/>
                <w:tag w:val="_GBC_e5ba873ccf7b44688d3c06f283366192"/>
                <w:id w:val="24725416"/>
                <w:lock w:val="sdtLocked"/>
              </w:sdtPr>
              <w:sdtContent>
                <w:tc>
                  <w:tcPr>
                    <w:tcW w:w="747"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jc w:val="right"/>
                      <w:rPr>
                        <w:szCs w:val="21"/>
                      </w:rPr>
                    </w:pPr>
                  </w:p>
                </w:tc>
              </w:sdtContent>
            </w:sdt>
            <w:sdt>
              <w:sdtPr>
                <w:rPr>
                  <w:szCs w:val="21"/>
                </w:rPr>
                <w:alias w:val="补贴收入金额"/>
                <w:tag w:val="_GBC_9a9edac5602e46df92f2690f891992cb"/>
                <w:id w:val="24725417"/>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126,000,000.00</w:t>
                    </w:r>
                  </w:p>
                </w:tc>
              </w:sdtContent>
            </w:sdt>
            <w:sdt>
              <w:sdtPr>
                <w:rPr>
                  <w:szCs w:val="21"/>
                </w:rPr>
                <w:alias w:val="政府补助形成递延收益的原因"/>
                <w:tag w:val="_GBC_5b0a81571f124a40835b50a81d54519d"/>
                <w:id w:val="24725418"/>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rPr>
                        <w:szCs w:val="21"/>
                      </w:rPr>
                    </w:pPr>
                    <w:r>
                      <w:rPr>
                        <w:rFonts w:hint="eastAsia"/>
                        <w:color w:val="0000FF"/>
                        <w:szCs w:val="21"/>
                      </w:rPr>
                      <w:t xml:space="preserve">　</w:t>
                    </w:r>
                  </w:p>
                </w:tc>
              </w:sdtContent>
            </w:sdt>
          </w:tr>
          <w:tr w:rsidR="00DE031E" w:rsidRPr="001E57E3" w:rsidTr="00DE031E">
            <w:trPr>
              <w:cantSplit/>
            </w:trPr>
            <w:tc>
              <w:tcPr>
                <w:tcW w:w="781"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jc w:val="center"/>
                  <w:rPr>
                    <w:szCs w:val="21"/>
                  </w:rPr>
                </w:pPr>
                <w:r>
                  <w:rPr>
                    <w:rFonts w:hint="eastAsia"/>
                    <w:szCs w:val="21"/>
                  </w:rPr>
                  <w:t>合计</w:t>
                </w:r>
              </w:p>
            </w:tc>
            <w:sdt>
              <w:sdtPr>
                <w:rPr>
                  <w:szCs w:val="21"/>
                </w:rPr>
                <w:alias w:val="递延收益"/>
                <w:tag w:val="_GBC_5ef81e0fa40b412eb33596c3e2d53fa5"/>
                <w:id w:val="24725419"/>
                <w:lock w:val="sdtLocked"/>
              </w:sdtPr>
              <w:sdtContent>
                <w:tc>
                  <w:tcPr>
                    <w:tcW w:w="1037"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126,000,000.00</w:t>
                    </w:r>
                  </w:p>
                </w:tc>
              </w:sdtContent>
            </w:sdt>
            <w:sdt>
              <w:sdtPr>
                <w:rPr>
                  <w:szCs w:val="21"/>
                </w:rPr>
                <w:alias w:val="递延收益本期增加"/>
                <w:tag w:val="_GBC_b1796283e6e34c28b324eed55d0162db"/>
                <w:id w:val="24725420"/>
                <w:lock w:val="sdtLocked"/>
              </w:sdtPr>
              <w:sdtContent>
                <w:tc>
                  <w:tcPr>
                    <w:tcW w:w="756"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jc w:val="right"/>
                      <w:rPr>
                        <w:szCs w:val="21"/>
                      </w:rPr>
                    </w:pPr>
                  </w:p>
                </w:tc>
              </w:sdtContent>
            </w:sdt>
            <w:sdt>
              <w:sdtPr>
                <w:rPr>
                  <w:szCs w:val="21"/>
                </w:rPr>
                <w:alias w:val="递延收益本期减少"/>
                <w:tag w:val="_GBC_7c83e7ac416f4427893ae0f716c64e05"/>
                <w:id w:val="24725421"/>
                <w:lock w:val="sdtLocked"/>
              </w:sdtPr>
              <w:sdtContent>
                <w:tc>
                  <w:tcPr>
                    <w:tcW w:w="747"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jc w:val="right"/>
                      <w:rPr>
                        <w:szCs w:val="21"/>
                      </w:rPr>
                    </w:pPr>
                  </w:p>
                </w:tc>
              </w:sdtContent>
            </w:sdt>
            <w:sdt>
              <w:sdtPr>
                <w:rPr>
                  <w:szCs w:val="21"/>
                </w:rPr>
                <w:alias w:val="递延收益"/>
                <w:tag w:val="_GBC_681db72cbf574a7f9099bff382709b4d"/>
                <w:id w:val="24725422"/>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right"/>
                      <w:rPr>
                        <w:szCs w:val="21"/>
                      </w:rPr>
                    </w:pPr>
                    <w:r>
                      <w:rPr>
                        <w:szCs w:val="21"/>
                      </w:rPr>
                      <w:t>126,000,000.00</w:t>
                    </w:r>
                  </w:p>
                </w:tc>
              </w:sdtContent>
            </w:sdt>
            <w:tc>
              <w:tcPr>
                <w:tcW w:w="818"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jc w:val="center"/>
                  <w:rPr>
                    <w:szCs w:val="21"/>
                  </w:rPr>
                </w:pPr>
                <w:r>
                  <w:rPr>
                    <w:rFonts w:hint="eastAsia"/>
                    <w:szCs w:val="21"/>
                  </w:rPr>
                  <w:t>/</w:t>
                </w:r>
              </w:p>
            </w:tc>
          </w:tr>
        </w:tbl>
      </w:sdtContent>
    </w:sdt>
    <w:bookmarkStart w:id="72" w:name="OLE_LINK85" w:displacedByCustomXml="next"/>
    <w:bookmarkStart w:id="73" w:name="OLE_LINK84" w:displacedByCustomXml="next"/>
    <w:sdt>
      <w:sdtPr>
        <w:rPr>
          <w:rFonts w:hint="eastAsia"/>
          <w:szCs w:val="21"/>
        </w:rPr>
        <w:tag w:val="_GBC_3e5bdbca1c524ed19d397da3dfaf83a9"/>
        <w:id w:val="24725425"/>
        <w:lock w:val="sdtLocked"/>
        <w:placeholder>
          <w:docPart w:val="GBC22222222222222222222222222222"/>
        </w:placeholder>
      </w:sdtPr>
      <w:sdtEndPr>
        <w:rPr>
          <w:rFonts w:hint="default"/>
        </w:rPr>
      </w:sdtEndPr>
      <w:sdtContent>
        <w:sdt>
          <w:sdtPr>
            <w:rPr>
              <w:szCs w:val="21"/>
            </w:rPr>
            <w:alias w:val="递延收益的其他说明"/>
            <w:tag w:val="_GBC_e8c5cb3f7d5541eda9cccad5c92bc633"/>
            <w:id w:val="24725424"/>
            <w:lock w:val="sdtLocked"/>
            <w:placeholder>
              <w:docPart w:val="GBC22222222222222222222222222222"/>
            </w:placeholder>
          </w:sdtPr>
          <w:sdtContent>
            <w:p w:rsidR="00DE031E" w:rsidRDefault="001C1A59" w:rsidP="00DE031E">
              <w:pPr>
                <w:spacing w:before="60" w:after="60" w:line="360" w:lineRule="auto"/>
                <w:ind w:firstLineChars="200" w:firstLine="420"/>
                <w:rPr>
                  <w:szCs w:val="21"/>
                </w:rPr>
              </w:pPr>
              <w:r w:rsidRPr="00687C1B">
                <w:rPr>
                  <w:rFonts w:ascii="Arial" w:hAnsi="Arial" w:cs="Arial"/>
                  <w:sz w:val="22"/>
                  <w:szCs w:val="22"/>
                </w:rPr>
                <w:t>公司于</w:t>
              </w:r>
              <w:r w:rsidRPr="00687C1B">
                <w:rPr>
                  <w:rFonts w:ascii="Arial" w:hAnsi="Arial" w:cs="Arial"/>
                  <w:sz w:val="22"/>
                  <w:szCs w:val="22"/>
                </w:rPr>
                <w:t>2009</w:t>
              </w:r>
              <w:r w:rsidRPr="00687C1B">
                <w:rPr>
                  <w:rFonts w:ascii="Arial" w:hAnsi="Arial" w:cs="Arial"/>
                  <w:sz w:val="22"/>
                  <w:szCs w:val="22"/>
                </w:rPr>
                <w:t>年度收到深圳市财政局下拨的补贴款</w:t>
              </w:r>
              <w:r w:rsidRPr="00687C1B">
                <w:rPr>
                  <w:rFonts w:ascii="Arial" w:hAnsi="Arial" w:cs="Arial"/>
                  <w:sz w:val="22"/>
                  <w:szCs w:val="22"/>
                </w:rPr>
                <w:t>1.26</w:t>
              </w:r>
              <w:r w:rsidRPr="00687C1B">
                <w:rPr>
                  <w:rFonts w:ascii="Arial" w:hAnsi="Arial" w:cs="Arial"/>
                  <w:sz w:val="22"/>
                  <w:szCs w:val="22"/>
                </w:rPr>
                <w:t>亿元，计入递延收益科目。上述补贴款对应的办公用房正在建设期，具体情况详见本</w:t>
              </w:r>
              <w:r w:rsidRPr="00F040B1">
                <w:rPr>
                  <w:rFonts w:ascii="Arial" w:hAnsi="Arial" w:cs="Arial"/>
                  <w:sz w:val="22"/>
                  <w:szCs w:val="22"/>
                </w:rPr>
                <w:t>注释</w:t>
              </w:r>
              <w:r w:rsidRPr="00F040B1">
                <w:rPr>
                  <w:rFonts w:ascii="Arial" w:hAnsi="Arial" w:cs="Arial"/>
                  <w:sz w:val="22"/>
                  <w:szCs w:val="22"/>
                </w:rPr>
                <w:t>1</w:t>
              </w:r>
              <w:r w:rsidRPr="00F040B1">
                <w:rPr>
                  <w:rFonts w:ascii="Arial" w:hAnsi="Arial" w:cs="Arial" w:hint="eastAsia"/>
                  <w:sz w:val="22"/>
                  <w:szCs w:val="22"/>
                </w:rPr>
                <w:t>6</w:t>
              </w:r>
              <w:r w:rsidRPr="00F040B1">
                <w:rPr>
                  <w:rFonts w:ascii="Arial" w:hAnsi="Arial" w:cs="Arial"/>
                  <w:sz w:val="22"/>
                  <w:szCs w:val="22"/>
                </w:rPr>
                <w:t>.</w:t>
              </w:r>
              <w:r w:rsidRPr="00F040B1">
                <w:rPr>
                  <w:rFonts w:ascii="Arial" w:hAnsi="Arial" w:cs="Arial"/>
                  <w:sz w:val="22"/>
                  <w:szCs w:val="22"/>
                </w:rPr>
                <w:t>在建工程。</w:t>
              </w:r>
            </w:p>
          </w:sdtContent>
        </w:sdt>
      </w:sdtContent>
    </w:sdt>
    <w:bookmarkEnd w:id="72" w:displacedByCustomXml="prev"/>
    <w:bookmarkEnd w:id="73" w:displacedByCustomXml="prev"/>
    <w:sdt>
      <w:sdtPr>
        <w:rPr>
          <w:rFonts w:ascii="宋体" w:hAnsi="宋体" w:cs="宋体"/>
          <w:b w:val="0"/>
          <w:bCs w:val="0"/>
          <w:kern w:val="0"/>
          <w:szCs w:val="24"/>
        </w:rPr>
        <w:tag w:val="_GBC_05b7333ceb484b09b2d395c7e319d901"/>
        <w:id w:val="24725437"/>
        <w:lock w:val="sdtLocked"/>
        <w:placeholder>
          <w:docPart w:val="GBC22222222222222222222222222222"/>
        </w:placeholder>
      </w:sdtPr>
      <w:sdtEndPr>
        <w:rPr>
          <w:color w:val="000000" w:themeColor="text1"/>
        </w:rPr>
      </w:sdtEndPr>
      <w:sdtContent>
        <w:p w:rsidR="00DE031E" w:rsidRDefault="001C1A59" w:rsidP="009950AC">
          <w:pPr>
            <w:pStyle w:val="3"/>
            <w:numPr>
              <w:ilvl w:val="0"/>
              <w:numId w:val="41"/>
            </w:numPr>
            <w:tabs>
              <w:tab w:val="left" w:pos="504"/>
            </w:tabs>
            <w:spacing w:line="360" w:lineRule="auto"/>
            <w:rPr>
              <w:rFonts w:ascii="宋体" w:hAnsi="宋体"/>
              <w:szCs w:val="21"/>
            </w:rPr>
          </w:pPr>
          <w:r>
            <w:t>其他</w:t>
          </w:r>
          <w:r>
            <w:rPr>
              <w:rFonts w:ascii="宋体" w:hAnsi="宋体"/>
              <w:szCs w:val="21"/>
            </w:rPr>
            <w:t>负债</w:t>
          </w:r>
        </w:p>
        <w:sdt>
          <w:sdtPr>
            <w:alias w:val="是否适用：其他负债"/>
            <w:tag w:val="_GBC_6a72c18850ac4e2c933b6e5a6c10fce1"/>
            <w:id w:val="24725426"/>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t>单位：</w:t>
          </w:r>
          <w:sdt>
            <w:sdtPr>
              <w:alias w:val="单位：财务附注：其他负债"/>
              <w:tag w:val="_GBC_224fb50af31b4c1aa2a52ef972ba52c7"/>
              <w:id w:val="247254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其他负债"/>
              <w:tag w:val="_GBC_7a21275e4c9a4be58fd1a0d859cba26b"/>
              <w:id w:val="247254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3"/>
            <w:gridCol w:w="2965"/>
            <w:gridCol w:w="2965"/>
          </w:tblGrid>
          <w:tr w:rsidR="00DE031E" w:rsidTr="00B3058C">
            <w:trPr>
              <w:cantSplit/>
            </w:trPr>
            <w:tc>
              <w:tcPr>
                <w:tcW w:w="1666" w:type="pct"/>
              </w:tcPr>
              <w:p w:rsidR="00DE031E" w:rsidRDefault="001C1A59">
                <w:pPr>
                  <w:ind w:firstLineChars="100" w:firstLine="210"/>
                  <w:jc w:val="center"/>
                </w:pPr>
                <w:r>
                  <w:t>项目</w:t>
                </w:r>
              </w:p>
            </w:tc>
            <w:tc>
              <w:tcPr>
                <w:tcW w:w="1667" w:type="pct"/>
              </w:tcPr>
              <w:p w:rsidR="00DE031E" w:rsidRDefault="001C1A59">
                <w:pPr>
                  <w:jc w:val="center"/>
                </w:pPr>
                <w:r>
                  <w:t>期末账面余额</w:t>
                </w:r>
              </w:p>
            </w:tc>
            <w:tc>
              <w:tcPr>
                <w:tcW w:w="1667" w:type="pct"/>
              </w:tcPr>
              <w:p w:rsidR="00DE031E" w:rsidRDefault="001C1A59">
                <w:pPr>
                  <w:jc w:val="center"/>
                </w:pPr>
                <w:r>
                  <w:t>期初账面余额</w:t>
                </w:r>
              </w:p>
            </w:tc>
          </w:tr>
          <w:tr w:rsidR="00DE031E" w:rsidTr="00B3058C">
            <w:trPr>
              <w:cantSplit/>
            </w:trPr>
            <w:tc>
              <w:tcPr>
                <w:tcW w:w="1666" w:type="pct"/>
              </w:tcPr>
              <w:p w:rsidR="00DE031E" w:rsidRDefault="001C1A59">
                <w:r>
                  <w:t>其他应付款</w:t>
                </w:r>
              </w:p>
            </w:tc>
            <w:sdt>
              <w:sdtPr>
                <w:rPr>
                  <w:color w:val="000000" w:themeColor="text1"/>
                </w:rPr>
                <w:alias w:val="其他应付款"/>
                <w:tag w:val="_GBC_4937924cf80546b0a37c1cf1f1721ae1"/>
                <w:id w:val="24725429"/>
                <w:lock w:val="sdtLocked"/>
              </w:sdtPr>
              <w:sdtContent>
                <w:tc>
                  <w:tcPr>
                    <w:tcW w:w="1667" w:type="pct"/>
                  </w:tcPr>
                  <w:p w:rsidR="00DE031E" w:rsidRDefault="001C1A59">
                    <w:pPr>
                      <w:jc w:val="right"/>
                      <w:rPr>
                        <w:color w:val="000000" w:themeColor="text1"/>
                      </w:rPr>
                    </w:pPr>
                    <w:r>
                      <w:rPr>
                        <w:color w:val="000000" w:themeColor="text1"/>
                      </w:rPr>
                      <w:t>89,826,474.70</w:t>
                    </w:r>
                  </w:p>
                </w:tc>
              </w:sdtContent>
            </w:sdt>
            <w:sdt>
              <w:sdtPr>
                <w:rPr>
                  <w:color w:val="000000" w:themeColor="text1"/>
                </w:rPr>
                <w:alias w:val="其他应付款"/>
                <w:tag w:val="_GBC_e7ad2dcba53d4e6a878f922348cbfc41"/>
                <w:id w:val="24725430"/>
                <w:lock w:val="sdtLocked"/>
              </w:sdtPr>
              <w:sdtContent>
                <w:tc>
                  <w:tcPr>
                    <w:tcW w:w="1667" w:type="pct"/>
                  </w:tcPr>
                  <w:p w:rsidR="00DE031E" w:rsidRDefault="001C1A59">
                    <w:pPr>
                      <w:jc w:val="right"/>
                      <w:rPr>
                        <w:color w:val="000000" w:themeColor="text1"/>
                      </w:rPr>
                    </w:pPr>
                    <w:r>
                      <w:rPr>
                        <w:color w:val="000000" w:themeColor="text1"/>
                      </w:rPr>
                      <w:t>99,165,735.97</w:t>
                    </w:r>
                  </w:p>
                </w:tc>
              </w:sdtContent>
            </w:sdt>
          </w:tr>
          <w:tr w:rsidR="00DE031E" w:rsidTr="00B3058C">
            <w:trPr>
              <w:cantSplit/>
            </w:trPr>
            <w:tc>
              <w:tcPr>
                <w:tcW w:w="1666" w:type="pct"/>
              </w:tcPr>
              <w:p w:rsidR="00DE031E" w:rsidRDefault="001C1A59">
                <w:r>
                  <w:rPr>
                    <w:rFonts w:hint="eastAsia"/>
                  </w:rPr>
                  <w:t>代理兑付债券款</w:t>
                </w:r>
              </w:p>
            </w:tc>
            <w:sdt>
              <w:sdtPr>
                <w:rPr>
                  <w:color w:val="000000" w:themeColor="text1"/>
                </w:rPr>
                <w:alias w:val="代理兑付证券款"/>
                <w:tag w:val="_GBC_93471799ef4b4a13954000049cf0ed1f"/>
                <w:id w:val="24725431"/>
                <w:lock w:val="sdtLocked"/>
              </w:sdtPr>
              <w:sdtContent>
                <w:tc>
                  <w:tcPr>
                    <w:tcW w:w="1667" w:type="pct"/>
                  </w:tcPr>
                  <w:p w:rsidR="00DE031E" w:rsidRDefault="001C1A59">
                    <w:pPr>
                      <w:jc w:val="right"/>
                      <w:rPr>
                        <w:color w:val="000000" w:themeColor="text1"/>
                      </w:rPr>
                    </w:pPr>
                    <w:r>
                      <w:rPr>
                        <w:color w:val="000000" w:themeColor="text1"/>
                      </w:rPr>
                      <w:t>373,889.13</w:t>
                    </w:r>
                  </w:p>
                </w:tc>
              </w:sdtContent>
            </w:sdt>
            <w:sdt>
              <w:sdtPr>
                <w:rPr>
                  <w:color w:val="000000" w:themeColor="text1"/>
                </w:rPr>
                <w:alias w:val="代理兑付证券款"/>
                <w:tag w:val="_GBC_d5c39f938b8647408313fe5c7c68f111"/>
                <w:id w:val="24725432"/>
                <w:lock w:val="sdtLocked"/>
              </w:sdtPr>
              <w:sdtContent>
                <w:tc>
                  <w:tcPr>
                    <w:tcW w:w="1667" w:type="pct"/>
                  </w:tcPr>
                  <w:p w:rsidR="00DE031E" w:rsidRDefault="001C1A59">
                    <w:pPr>
                      <w:jc w:val="right"/>
                      <w:rPr>
                        <w:color w:val="000000" w:themeColor="text1"/>
                      </w:rPr>
                    </w:pPr>
                    <w:r>
                      <w:rPr>
                        <w:color w:val="000000" w:themeColor="text1"/>
                      </w:rPr>
                      <w:t>373,889.13</w:t>
                    </w:r>
                  </w:p>
                </w:tc>
              </w:sdtContent>
            </w:sdt>
          </w:tr>
          <w:tr w:rsidR="00DE031E" w:rsidTr="00B3058C">
            <w:trPr>
              <w:cantSplit/>
            </w:trPr>
            <w:tc>
              <w:tcPr>
                <w:tcW w:w="1666" w:type="pct"/>
              </w:tcPr>
              <w:p w:rsidR="00DE031E" w:rsidRDefault="001C1A59">
                <w:r>
                  <w:rPr>
                    <w:rFonts w:hint="eastAsia"/>
                  </w:rPr>
                  <w:t>预提费用</w:t>
                </w:r>
              </w:p>
            </w:tc>
            <w:sdt>
              <w:sdtPr>
                <w:rPr>
                  <w:color w:val="000000" w:themeColor="text1"/>
                </w:rPr>
                <w:alias w:val="预提费用"/>
                <w:tag w:val="_GBC_964550ae2681412f8818bc3f9b0d323b"/>
                <w:id w:val="24725433"/>
                <w:lock w:val="sdtLocked"/>
              </w:sdtPr>
              <w:sdtContent>
                <w:tc>
                  <w:tcPr>
                    <w:tcW w:w="1667" w:type="pct"/>
                  </w:tcPr>
                  <w:p w:rsidR="00DE031E" w:rsidRDefault="001C1A59">
                    <w:pPr>
                      <w:jc w:val="right"/>
                      <w:rPr>
                        <w:color w:val="000000" w:themeColor="text1"/>
                      </w:rPr>
                    </w:pPr>
                    <w:r>
                      <w:rPr>
                        <w:color w:val="000000" w:themeColor="text1"/>
                      </w:rPr>
                      <w:t>66,151,600.07</w:t>
                    </w:r>
                  </w:p>
                </w:tc>
              </w:sdtContent>
            </w:sdt>
            <w:sdt>
              <w:sdtPr>
                <w:rPr>
                  <w:color w:val="000000" w:themeColor="text1"/>
                </w:rPr>
                <w:alias w:val="预提费用"/>
                <w:tag w:val="_GBC_4e9c3d4ee78d442d9730a96b4884f3d2"/>
                <w:id w:val="24725434"/>
                <w:lock w:val="sdtLocked"/>
              </w:sdtPr>
              <w:sdtContent>
                <w:tc>
                  <w:tcPr>
                    <w:tcW w:w="1667" w:type="pct"/>
                  </w:tcPr>
                  <w:p w:rsidR="00DE031E" w:rsidRDefault="001C1A59">
                    <w:pPr>
                      <w:jc w:val="right"/>
                      <w:rPr>
                        <w:color w:val="000000" w:themeColor="text1"/>
                      </w:rPr>
                    </w:pPr>
                    <w:r>
                      <w:rPr>
                        <w:color w:val="000000" w:themeColor="text1"/>
                      </w:rPr>
                      <w:t>26,755,523.46</w:t>
                    </w:r>
                  </w:p>
                </w:tc>
              </w:sdtContent>
            </w:sdt>
          </w:tr>
          <w:tr w:rsidR="00DE031E" w:rsidTr="00B3058C">
            <w:trPr>
              <w:cantSplit/>
            </w:trPr>
            <w:tc>
              <w:tcPr>
                <w:tcW w:w="1666" w:type="pct"/>
              </w:tcPr>
              <w:p w:rsidR="00DE031E" w:rsidRDefault="001C1A59">
                <w:pPr>
                  <w:autoSpaceDE w:val="0"/>
                  <w:autoSpaceDN w:val="0"/>
                  <w:adjustRightInd w:val="0"/>
                  <w:snapToGrid w:val="0"/>
                  <w:spacing w:line="240" w:lineRule="atLeast"/>
                  <w:jc w:val="center"/>
                </w:pPr>
                <w:r>
                  <w:t>合计</w:t>
                </w:r>
              </w:p>
            </w:tc>
            <w:sdt>
              <w:sdtPr>
                <w:rPr>
                  <w:color w:val="000000" w:themeColor="text1"/>
                </w:rPr>
                <w:alias w:val="其他负债"/>
                <w:tag w:val="_GBC_8b4fac8ec70c45a9a27e9bb2d4587376"/>
                <w:id w:val="24725435"/>
                <w:lock w:val="sdtLocked"/>
              </w:sdtPr>
              <w:sdtContent>
                <w:tc>
                  <w:tcPr>
                    <w:tcW w:w="1667" w:type="pct"/>
                  </w:tcPr>
                  <w:p w:rsidR="00DE031E" w:rsidRDefault="001C1A59">
                    <w:pPr>
                      <w:jc w:val="right"/>
                      <w:rPr>
                        <w:color w:val="000000" w:themeColor="text1"/>
                      </w:rPr>
                    </w:pPr>
                    <w:r>
                      <w:rPr>
                        <w:color w:val="000000" w:themeColor="text1"/>
                      </w:rPr>
                      <w:t>156,351,963.90</w:t>
                    </w:r>
                  </w:p>
                </w:tc>
              </w:sdtContent>
            </w:sdt>
            <w:sdt>
              <w:sdtPr>
                <w:rPr>
                  <w:color w:val="000000" w:themeColor="text1"/>
                </w:rPr>
                <w:alias w:val="其他负债"/>
                <w:tag w:val="_GBC_5d78846cc53f49629aa90c57d4b38c19"/>
                <w:id w:val="24725436"/>
                <w:lock w:val="sdtLocked"/>
              </w:sdtPr>
              <w:sdtContent>
                <w:tc>
                  <w:tcPr>
                    <w:tcW w:w="1667" w:type="pct"/>
                  </w:tcPr>
                  <w:p w:rsidR="00DE031E" w:rsidRDefault="001C1A59">
                    <w:pPr>
                      <w:jc w:val="right"/>
                      <w:rPr>
                        <w:color w:val="000000" w:themeColor="text1"/>
                      </w:rPr>
                    </w:pPr>
                    <w:r>
                      <w:rPr>
                        <w:color w:val="000000" w:themeColor="text1"/>
                      </w:rPr>
                      <w:t>126,295,148.56</w:t>
                    </w:r>
                  </w:p>
                </w:tc>
              </w:sdtContent>
            </w:sdt>
          </w:tr>
        </w:tbl>
        <w:p w:rsidR="00DE031E" w:rsidRDefault="00422DCA">
          <w:pPr>
            <w:rPr>
              <w:color w:val="000000" w:themeColor="text1"/>
            </w:rPr>
          </w:pPr>
        </w:p>
      </w:sdtContent>
    </w:sdt>
    <w:sdt>
      <w:sdtPr>
        <w:rPr>
          <w:rFonts w:ascii="宋体" w:hAnsi="宋体" w:cs="宋体" w:hint="eastAsia"/>
          <w:b w:val="0"/>
          <w:bCs w:val="0"/>
          <w:kern w:val="0"/>
          <w:szCs w:val="21"/>
        </w:rPr>
        <w:tag w:val="_GBC_7f4b2f9bba854132af4bbd6504a10383"/>
        <w:id w:val="24725447"/>
        <w:lock w:val="sdtLocked"/>
        <w:placeholder>
          <w:docPart w:val="GBC22222222222222222222222222222"/>
        </w:placeholder>
      </w:sdtPr>
      <w:sdtEndPr>
        <w:rPr>
          <w:rFonts w:cstheme="minorBidi" w:hint="default"/>
          <w:color w:val="000000" w:themeColor="text1"/>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股本</w:t>
          </w:r>
        </w:p>
        <w:p w:rsidR="00DE031E" w:rsidRDefault="001C1A59">
          <w:pPr>
            <w:jc w:val="right"/>
            <w:rPr>
              <w:szCs w:val="21"/>
            </w:rPr>
          </w:pPr>
          <w:r>
            <w:rPr>
              <w:rFonts w:hint="eastAsia"/>
              <w:szCs w:val="21"/>
            </w:rPr>
            <w:t>单位：</w:t>
          </w:r>
          <w:sdt>
            <w:sdtPr>
              <w:rPr>
                <w:rFonts w:hint="eastAsia"/>
                <w:szCs w:val="21"/>
              </w:rPr>
              <w:alias w:val="单位：财务附注：股本"/>
              <w:tag w:val="_GBC_cf915ea45a234de2a2455824dedc3c82"/>
              <w:id w:val="247254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247254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76"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0"/>
            <w:gridCol w:w="1896"/>
            <w:gridCol w:w="815"/>
            <w:gridCol w:w="815"/>
            <w:gridCol w:w="884"/>
            <w:gridCol w:w="899"/>
            <w:gridCol w:w="873"/>
            <w:gridCol w:w="1896"/>
          </w:tblGrid>
          <w:tr w:rsidR="00DE031E" w:rsidTr="00DE031E">
            <w:trPr>
              <w:cantSplit/>
              <w:trHeight w:val="270"/>
              <w:jc w:val="center"/>
            </w:trPr>
            <w:tc>
              <w:tcPr>
                <w:tcW w:w="688" w:type="pct"/>
                <w:vMerge w:val="restart"/>
                <w:tcBorders>
                  <w:top w:val="single" w:sz="4" w:space="0" w:color="auto"/>
                  <w:left w:val="single" w:sz="4" w:space="0" w:color="auto"/>
                  <w:bottom w:val="single" w:sz="4" w:space="0" w:color="auto"/>
                  <w:right w:val="single" w:sz="4" w:space="0" w:color="auto"/>
                </w:tcBorders>
              </w:tcPr>
              <w:p w:rsidR="00DE031E" w:rsidRDefault="00DE031E">
                <w:pPr>
                  <w:jc w:val="center"/>
                  <w:rPr>
                    <w:szCs w:val="21"/>
                  </w:rPr>
                </w:pPr>
              </w:p>
            </w:tc>
            <w:tc>
              <w:tcPr>
                <w:tcW w:w="1012" w:type="pct"/>
                <w:vMerge w:val="restart"/>
                <w:tcBorders>
                  <w:top w:val="single" w:sz="4" w:space="0" w:color="auto"/>
                  <w:left w:val="single" w:sz="4" w:space="0" w:color="auto"/>
                  <w:right w:val="single" w:sz="4" w:space="0" w:color="auto"/>
                </w:tcBorders>
                <w:vAlign w:val="center"/>
              </w:tcPr>
              <w:p w:rsidR="00DE031E" w:rsidRDefault="001C1A59">
                <w:pPr>
                  <w:jc w:val="center"/>
                  <w:rPr>
                    <w:szCs w:val="21"/>
                  </w:rPr>
                </w:pPr>
                <w:r>
                  <w:rPr>
                    <w:rFonts w:hint="eastAsia"/>
                    <w:szCs w:val="21"/>
                  </w:rPr>
                  <w:t>期初余额</w:t>
                </w:r>
              </w:p>
            </w:tc>
            <w:tc>
              <w:tcPr>
                <w:tcW w:w="2288" w:type="pct"/>
                <w:gridSpan w:val="5"/>
                <w:tcBorders>
                  <w:top w:val="single" w:sz="4" w:space="0" w:color="auto"/>
                  <w:left w:val="single" w:sz="4" w:space="0" w:color="auto"/>
                  <w:bottom w:val="single" w:sz="4" w:space="0" w:color="auto"/>
                  <w:right w:val="single" w:sz="4" w:space="0" w:color="auto"/>
                </w:tcBorders>
                <w:vAlign w:val="center"/>
              </w:tcPr>
              <w:p w:rsidR="00DE031E" w:rsidRDefault="001C1A59">
                <w:pPr>
                  <w:jc w:val="center"/>
                  <w:rPr>
                    <w:szCs w:val="21"/>
                  </w:rPr>
                </w:pPr>
                <w:r>
                  <w:rPr>
                    <w:rFonts w:hint="eastAsia"/>
                    <w:szCs w:val="21"/>
                  </w:rPr>
                  <w:t>本次变动增减（+、一）</w:t>
                </w:r>
              </w:p>
            </w:tc>
            <w:tc>
              <w:tcPr>
                <w:tcW w:w="1012" w:type="pct"/>
                <w:vMerge w:val="restart"/>
                <w:tcBorders>
                  <w:top w:val="single" w:sz="4" w:space="0" w:color="auto"/>
                  <w:left w:val="single" w:sz="4" w:space="0" w:color="auto"/>
                  <w:right w:val="single" w:sz="4" w:space="0" w:color="auto"/>
                </w:tcBorders>
                <w:vAlign w:val="center"/>
              </w:tcPr>
              <w:p w:rsidR="00DE031E" w:rsidRDefault="001C1A59">
                <w:pPr>
                  <w:jc w:val="center"/>
                  <w:rPr>
                    <w:szCs w:val="21"/>
                  </w:rPr>
                </w:pPr>
                <w:r>
                  <w:rPr>
                    <w:rFonts w:hint="eastAsia"/>
                    <w:szCs w:val="21"/>
                  </w:rPr>
                  <w:t>期末余额</w:t>
                </w:r>
              </w:p>
            </w:tc>
          </w:tr>
          <w:tr w:rsidR="00DE031E" w:rsidTr="00DE031E">
            <w:trPr>
              <w:cantSplit/>
              <w:trHeight w:val="312"/>
              <w:jc w:val="center"/>
            </w:trPr>
            <w:tc>
              <w:tcPr>
                <w:tcW w:w="688" w:type="pct"/>
                <w:vMerge/>
                <w:tcBorders>
                  <w:top w:val="single" w:sz="4" w:space="0" w:color="auto"/>
                  <w:left w:val="single" w:sz="4" w:space="0" w:color="auto"/>
                  <w:bottom w:val="single" w:sz="4" w:space="0" w:color="auto"/>
                  <w:right w:val="single" w:sz="4" w:space="0" w:color="auto"/>
                </w:tcBorders>
              </w:tcPr>
              <w:p w:rsidR="00DE031E" w:rsidRDefault="00DE031E">
                <w:pPr>
                  <w:rPr>
                    <w:szCs w:val="21"/>
                  </w:rPr>
                </w:pPr>
              </w:p>
            </w:tc>
            <w:tc>
              <w:tcPr>
                <w:tcW w:w="1012" w:type="pct"/>
                <w:vMerge/>
                <w:tcBorders>
                  <w:left w:val="single" w:sz="4" w:space="0" w:color="auto"/>
                  <w:bottom w:val="single" w:sz="4" w:space="0" w:color="auto"/>
                  <w:right w:val="single" w:sz="4" w:space="0" w:color="auto"/>
                </w:tcBorders>
              </w:tcPr>
              <w:p w:rsidR="00DE031E" w:rsidRDefault="00DE031E">
                <w:pPr>
                  <w:ind w:leftChars="-119" w:left="-250" w:firstLineChars="119" w:firstLine="250"/>
                  <w:rPr>
                    <w:szCs w:val="21"/>
                  </w:rPr>
                </w:pPr>
              </w:p>
            </w:tc>
            <w:tc>
              <w:tcPr>
                <w:tcW w:w="435" w:type="pct"/>
                <w:tcBorders>
                  <w:top w:val="single" w:sz="4" w:space="0" w:color="auto"/>
                  <w:left w:val="single" w:sz="4" w:space="0" w:color="auto"/>
                  <w:bottom w:val="single" w:sz="4" w:space="0" w:color="auto"/>
                  <w:right w:val="single" w:sz="4" w:space="0" w:color="auto"/>
                </w:tcBorders>
                <w:vAlign w:val="center"/>
              </w:tcPr>
              <w:p w:rsidR="00DE031E" w:rsidRDefault="001C1A59">
                <w:pPr>
                  <w:jc w:val="center"/>
                  <w:rPr>
                    <w:szCs w:val="21"/>
                  </w:rPr>
                </w:pPr>
                <w:r>
                  <w:rPr>
                    <w:rFonts w:hint="eastAsia"/>
                    <w:szCs w:val="21"/>
                  </w:rPr>
                  <w:t>发行</w:t>
                </w:r>
              </w:p>
              <w:p w:rsidR="00DE031E" w:rsidRDefault="001C1A59">
                <w:pPr>
                  <w:jc w:val="center"/>
                  <w:rPr>
                    <w:szCs w:val="21"/>
                  </w:rPr>
                </w:pPr>
                <w:r>
                  <w:rPr>
                    <w:rFonts w:hint="eastAsia"/>
                    <w:szCs w:val="21"/>
                  </w:rPr>
                  <w:t>新股</w:t>
                </w:r>
              </w:p>
            </w:tc>
            <w:tc>
              <w:tcPr>
                <w:tcW w:w="435" w:type="pct"/>
                <w:tcBorders>
                  <w:top w:val="single" w:sz="4" w:space="0" w:color="auto"/>
                  <w:left w:val="single" w:sz="4" w:space="0" w:color="auto"/>
                  <w:bottom w:val="single" w:sz="4" w:space="0" w:color="auto"/>
                  <w:right w:val="single" w:sz="4" w:space="0" w:color="auto"/>
                </w:tcBorders>
                <w:vAlign w:val="center"/>
              </w:tcPr>
              <w:p w:rsidR="00DE031E" w:rsidRDefault="001C1A59">
                <w:pPr>
                  <w:jc w:val="center"/>
                  <w:rPr>
                    <w:szCs w:val="21"/>
                  </w:rPr>
                </w:pPr>
                <w:r>
                  <w:rPr>
                    <w:rFonts w:hint="eastAsia"/>
                    <w:szCs w:val="21"/>
                  </w:rPr>
                  <w:t>送股</w:t>
                </w:r>
              </w:p>
            </w:tc>
            <w:tc>
              <w:tcPr>
                <w:tcW w:w="472" w:type="pct"/>
                <w:tcBorders>
                  <w:top w:val="single" w:sz="4" w:space="0" w:color="auto"/>
                  <w:left w:val="single" w:sz="4" w:space="0" w:color="auto"/>
                  <w:bottom w:val="single" w:sz="4" w:space="0" w:color="auto"/>
                  <w:right w:val="single" w:sz="4" w:space="0" w:color="auto"/>
                </w:tcBorders>
                <w:vAlign w:val="center"/>
              </w:tcPr>
              <w:p w:rsidR="00DE031E" w:rsidRDefault="001C1A59">
                <w:pPr>
                  <w:jc w:val="center"/>
                  <w:rPr>
                    <w:szCs w:val="21"/>
                  </w:rPr>
                </w:pPr>
                <w:r>
                  <w:rPr>
                    <w:rFonts w:hint="eastAsia"/>
                    <w:szCs w:val="21"/>
                  </w:rPr>
                  <w:t>公积金</w:t>
                </w:r>
              </w:p>
              <w:p w:rsidR="00DE031E" w:rsidRDefault="001C1A59">
                <w:pPr>
                  <w:jc w:val="center"/>
                  <w:rPr>
                    <w:szCs w:val="21"/>
                  </w:rPr>
                </w:pPr>
                <w:r>
                  <w:rPr>
                    <w:rFonts w:hint="eastAsia"/>
                    <w:szCs w:val="21"/>
                  </w:rPr>
                  <w:t>转股</w:t>
                </w:r>
              </w:p>
            </w:tc>
            <w:tc>
              <w:tcPr>
                <w:tcW w:w="480" w:type="pct"/>
                <w:tcBorders>
                  <w:top w:val="single" w:sz="4" w:space="0" w:color="auto"/>
                  <w:left w:val="single" w:sz="4" w:space="0" w:color="auto"/>
                  <w:bottom w:val="single" w:sz="4" w:space="0" w:color="auto"/>
                  <w:right w:val="single" w:sz="4" w:space="0" w:color="auto"/>
                </w:tcBorders>
                <w:vAlign w:val="center"/>
              </w:tcPr>
              <w:p w:rsidR="00DE031E" w:rsidRDefault="001C1A59">
                <w:pPr>
                  <w:jc w:val="center"/>
                  <w:rPr>
                    <w:szCs w:val="21"/>
                  </w:rPr>
                </w:pPr>
                <w:r>
                  <w:rPr>
                    <w:rFonts w:hint="eastAsia"/>
                    <w:szCs w:val="21"/>
                  </w:rPr>
                  <w:t>其他</w:t>
                </w:r>
              </w:p>
            </w:tc>
            <w:tc>
              <w:tcPr>
                <w:tcW w:w="466" w:type="pct"/>
                <w:tcBorders>
                  <w:top w:val="single" w:sz="4" w:space="0" w:color="auto"/>
                  <w:left w:val="single" w:sz="4" w:space="0" w:color="auto"/>
                  <w:bottom w:val="single" w:sz="4" w:space="0" w:color="auto"/>
                  <w:right w:val="single" w:sz="4" w:space="0" w:color="auto"/>
                </w:tcBorders>
                <w:vAlign w:val="center"/>
              </w:tcPr>
              <w:p w:rsidR="00DE031E" w:rsidRDefault="001C1A59">
                <w:pPr>
                  <w:jc w:val="center"/>
                  <w:rPr>
                    <w:szCs w:val="21"/>
                  </w:rPr>
                </w:pPr>
                <w:r>
                  <w:rPr>
                    <w:rFonts w:hint="eastAsia"/>
                    <w:szCs w:val="21"/>
                  </w:rPr>
                  <w:t>小计</w:t>
                </w:r>
              </w:p>
            </w:tc>
            <w:tc>
              <w:tcPr>
                <w:tcW w:w="1012" w:type="pct"/>
                <w:vMerge/>
                <w:tcBorders>
                  <w:left w:val="single" w:sz="4" w:space="0" w:color="auto"/>
                  <w:bottom w:val="single" w:sz="4" w:space="0" w:color="auto"/>
                  <w:right w:val="single" w:sz="4" w:space="0" w:color="auto"/>
                </w:tcBorders>
              </w:tcPr>
              <w:p w:rsidR="00DE031E" w:rsidRDefault="00DE031E">
                <w:pPr>
                  <w:rPr>
                    <w:szCs w:val="21"/>
                  </w:rPr>
                </w:pPr>
              </w:p>
            </w:tc>
          </w:tr>
          <w:tr w:rsidR="00DE031E" w:rsidTr="00DE031E">
            <w:trPr>
              <w:cantSplit/>
              <w:jc w:val="center"/>
            </w:trPr>
            <w:tc>
              <w:tcPr>
                <w:tcW w:w="688" w:type="pct"/>
                <w:tcBorders>
                  <w:top w:val="single" w:sz="4" w:space="0" w:color="auto"/>
                  <w:left w:val="single" w:sz="4" w:space="0" w:color="auto"/>
                  <w:bottom w:val="single" w:sz="4" w:space="0" w:color="auto"/>
                  <w:right w:val="single" w:sz="4" w:space="0" w:color="auto"/>
                </w:tcBorders>
              </w:tcPr>
              <w:p w:rsidR="00DE031E" w:rsidRDefault="001C1A59">
                <w:pPr>
                  <w:jc w:val="center"/>
                  <w:rPr>
                    <w:szCs w:val="21"/>
                  </w:rPr>
                </w:pPr>
                <w:r>
                  <w:rPr>
                    <w:rFonts w:hint="eastAsia"/>
                    <w:szCs w:val="21"/>
                  </w:rPr>
                  <w:t>股份总数</w:t>
                </w:r>
              </w:p>
            </w:tc>
            <w:sdt>
              <w:sdtPr>
                <w:rPr>
                  <w:szCs w:val="21"/>
                </w:rPr>
                <w:alias w:val="财务附注股份总数"/>
                <w:tag w:val="_GBC_3238f68701ef45a6a860fa08dc7db876"/>
                <w:id w:val="24725440"/>
                <w:lock w:val="sdtLocked"/>
              </w:sdtPr>
              <w:sdtContent>
                <w:tc>
                  <w:tcPr>
                    <w:tcW w:w="1012" w:type="pct"/>
                    <w:tcBorders>
                      <w:top w:val="single" w:sz="4" w:space="0" w:color="auto"/>
                      <w:left w:val="single" w:sz="4" w:space="0" w:color="auto"/>
                      <w:bottom w:val="single" w:sz="4" w:space="0" w:color="auto"/>
                      <w:right w:val="single" w:sz="4" w:space="0" w:color="auto"/>
                    </w:tcBorders>
                  </w:tcPr>
                  <w:p w:rsidR="00DE031E" w:rsidRDefault="001C1A59">
                    <w:pPr>
                      <w:jc w:val="right"/>
                      <w:rPr>
                        <w:color w:val="000000" w:themeColor="text1"/>
                        <w:szCs w:val="21"/>
                      </w:rPr>
                    </w:pPr>
                    <w:r>
                      <w:rPr>
                        <w:szCs w:val="21"/>
                      </w:rPr>
                      <w:t>5,808,135,529.00</w:t>
                    </w:r>
                  </w:p>
                </w:tc>
              </w:sdtContent>
            </w:sdt>
            <w:sdt>
              <w:sdtPr>
                <w:rPr>
                  <w:szCs w:val="21"/>
                </w:rPr>
                <w:alias w:val="财务附注股份总数发行新股变动增减"/>
                <w:tag w:val="_GBC_ad7c54ae59ef49a4a42d76e67d5de746"/>
                <w:id w:val="24725441"/>
                <w:lock w:val="sdtLocked"/>
                <w:showingPlcHdr/>
              </w:sdtPr>
              <w:sdtContent>
                <w:tc>
                  <w:tcPr>
                    <w:tcW w:w="435" w:type="pct"/>
                    <w:tcBorders>
                      <w:top w:val="single" w:sz="4" w:space="0" w:color="auto"/>
                      <w:left w:val="single" w:sz="4" w:space="0" w:color="auto"/>
                      <w:bottom w:val="single" w:sz="4" w:space="0" w:color="auto"/>
                      <w:right w:val="single" w:sz="4" w:space="0" w:color="auto"/>
                    </w:tcBorders>
                  </w:tcPr>
                  <w:p w:rsidR="00DE031E" w:rsidRDefault="00DE031E">
                    <w:pPr>
                      <w:jc w:val="right"/>
                      <w:rPr>
                        <w:color w:val="000000" w:themeColor="text1"/>
                        <w:szCs w:val="21"/>
                      </w:rPr>
                    </w:pPr>
                  </w:p>
                </w:tc>
              </w:sdtContent>
            </w:sdt>
            <w:sdt>
              <w:sdtPr>
                <w:rPr>
                  <w:szCs w:val="21"/>
                </w:rPr>
                <w:alias w:val="财务附注股份总数送股变动增减"/>
                <w:tag w:val="_GBC_1b1faa7c6eee4b858b186fbef7f0b3a1"/>
                <w:id w:val="24725442"/>
                <w:lock w:val="sdtLocked"/>
                <w:showingPlcHdr/>
              </w:sdtPr>
              <w:sdtContent>
                <w:tc>
                  <w:tcPr>
                    <w:tcW w:w="435" w:type="pct"/>
                    <w:tcBorders>
                      <w:top w:val="single" w:sz="4" w:space="0" w:color="auto"/>
                      <w:left w:val="single" w:sz="4" w:space="0" w:color="auto"/>
                      <w:bottom w:val="single" w:sz="4" w:space="0" w:color="auto"/>
                      <w:right w:val="single" w:sz="4" w:space="0" w:color="auto"/>
                    </w:tcBorders>
                  </w:tcPr>
                  <w:p w:rsidR="00DE031E" w:rsidRDefault="00DE031E">
                    <w:pPr>
                      <w:jc w:val="right"/>
                      <w:rPr>
                        <w:color w:val="000000" w:themeColor="text1"/>
                        <w:szCs w:val="21"/>
                      </w:rPr>
                    </w:pPr>
                  </w:p>
                </w:tc>
              </w:sdtContent>
            </w:sdt>
            <w:sdt>
              <w:sdtPr>
                <w:rPr>
                  <w:szCs w:val="21"/>
                </w:rPr>
                <w:alias w:val="财务附注股份总数公积金转股变动增减"/>
                <w:tag w:val="_GBC_61a9b62b42a84fbcb3e47c33c15ed77e"/>
                <w:id w:val="24725443"/>
                <w:lock w:val="sdtLocked"/>
                <w:showingPlcHdr/>
              </w:sdtPr>
              <w:sdtContent>
                <w:tc>
                  <w:tcPr>
                    <w:tcW w:w="472" w:type="pct"/>
                    <w:tcBorders>
                      <w:top w:val="single" w:sz="4" w:space="0" w:color="auto"/>
                      <w:left w:val="single" w:sz="4" w:space="0" w:color="auto"/>
                      <w:bottom w:val="single" w:sz="4" w:space="0" w:color="auto"/>
                      <w:right w:val="single" w:sz="4" w:space="0" w:color="auto"/>
                    </w:tcBorders>
                  </w:tcPr>
                  <w:p w:rsidR="00DE031E" w:rsidRDefault="00DE031E">
                    <w:pPr>
                      <w:jc w:val="right"/>
                      <w:rPr>
                        <w:color w:val="000000" w:themeColor="text1"/>
                        <w:szCs w:val="21"/>
                      </w:rPr>
                    </w:pPr>
                  </w:p>
                </w:tc>
              </w:sdtContent>
            </w:sdt>
            <w:sdt>
              <w:sdtPr>
                <w:rPr>
                  <w:szCs w:val="21"/>
                </w:rPr>
                <w:alias w:val="财务附注股份总数其他变动增减"/>
                <w:tag w:val="_GBC_de98feb25e4a41e19dc1c566579c91ca"/>
                <w:id w:val="24725444"/>
                <w:lock w:val="sdtLocked"/>
                <w:showingPlcHdr/>
              </w:sdtPr>
              <w:sdtContent>
                <w:tc>
                  <w:tcPr>
                    <w:tcW w:w="480" w:type="pct"/>
                    <w:tcBorders>
                      <w:top w:val="single" w:sz="4" w:space="0" w:color="auto"/>
                      <w:left w:val="single" w:sz="4" w:space="0" w:color="auto"/>
                      <w:bottom w:val="single" w:sz="4" w:space="0" w:color="auto"/>
                      <w:right w:val="single" w:sz="4" w:space="0" w:color="auto"/>
                    </w:tcBorders>
                  </w:tcPr>
                  <w:p w:rsidR="00DE031E" w:rsidRDefault="00DE031E">
                    <w:pPr>
                      <w:jc w:val="right"/>
                      <w:rPr>
                        <w:color w:val="000000" w:themeColor="text1"/>
                        <w:szCs w:val="21"/>
                      </w:rPr>
                    </w:pPr>
                  </w:p>
                </w:tc>
              </w:sdtContent>
            </w:sdt>
            <w:sdt>
              <w:sdtPr>
                <w:rPr>
                  <w:szCs w:val="21"/>
                </w:rPr>
                <w:alias w:val="财务附注股份总数变动增减小计"/>
                <w:tag w:val="_GBC_e39f7d1df6974d2cb4eae4a4653c2a3f"/>
                <w:id w:val="24725445"/>
                <w:lock w:val="sdtLocked"/>
                <w:showingPlcHdr/>
              </w:sdtPr>
              <w:sdtContent>
                <w:tc>
                  <w:tcPr>
                    <w:tcW w:w="466" w:type="pct"/>
                    <w:tcBorders>
                      <w:top w:val="single" w:sz="4" w:space="0" w:color="auto"/>
                      <w:left w:val="single" w:sz="4" w:space="0" w:color="auto"/>
                      <w:bottom w:val="single" w:sz="4" w:space="0" w:color="auto"/>
                      <w:right w:val="single" w:sz="4" w:space="0" w:color="auto"/>
                    </w:tcBorders>
                  </w:tcPr>
                  <w:p w:rsidR="00DE031E" w:rsidRDefault="00DE031E">
                    <w:pPr>
                      <w:jc w:val="right"/>
                      <w:rPr>
                        <w:color w:val="000000" w:themeColor="text1"/>
                        <w:szCs w:val="21"/>
                      </w:rPr>
                    </w:pPr>
                  </w:p>
                </w:tc>
              </w:sdtContent>
            </w:sdt>
            <w:sdt>
              <w:sdtPr>
                <w:rPr>
                  <w:szCs w:val="21"/>
                </w:rPr>
                <w:alias w:val="财务附注股份总数"/>
                <w:tag w:val="_GBC_87fc7bdf791d4145927d4b5882dcdacd"/>
                <w:id w:val="24725446"/>
                <w:lock w:val="sdtLocked"/>
              </w:sdtPr>
              <w:sdtContent>
                <w:tc>
                  <w:tcPr>
                    <w:tcW w:w="1012" w:type="pct"/>
                    <w:tcBorders>
                      <w:top w:val="single" w:sz="4" w:space="0" w:color="auto"/>
                      <w:left w:val="single" w:sz="4" w:space="0" w:color="auto"/>
                      <w:bottom w:val="single" w:sz="4" w:space="0" w:color="auto"/>
                      <w:right w:val="single" w:sz="4" w:space="0" w:color="auto"/>
                    </w:tcBorders>
                  </w:tcPr>
                  <w:p w:rsidR="00DE031E" w:rsidRDefault="001C1A59">
                    <w:pPr>
                      <w:jc w:val="right"/>
                      <w:rPr>
                        <w:color w:val="000000" w:themeColor="text1"/>
                        <w:szCs w:val="21"/>
                      </w:rPr>
                    </w:pPr>
                    <w:r>
                      <w:rPr>
                        <w:szCs w:val="21"/>
                      </w:rPr>
                      <w:t>5,808,135,529.00</w:t>
                    </w:r>
                  </w:p>
                </w:tc>
              </w:sdtContent>
            </w:sdt>
          </w:tr>
        </w:tbl>
        <w:p w:rsidR="00DE031E" w:rsidRDefault="00422DCA">
          <w:pPr>
            <w:rPr>
              <w:szCs w:val="21"/>
            </w:rPr>
          </w:pPr>
        </w:p>
      </w:sdtContent>
    </w:sdt>
    <w:sdt>
      <w:sdtPr>
        <w:rPr>
          <w:rFonts w:ascii="宋体" w:hAnsi="宋体" w:cs="宋体" w:hint="eastAsia"/>
          <w:b w:val="0"/>
          <w:bCs w:val="0"/>
          <w:kern w:val="0"/>
          <w:szCs w:val="21"/>
        </w:rPr>
        <w:tag w:val="_GBC_23fef1c643714b9f82710e33a1bef935"/>
        <w:id w:val="24725462"/>
        <w:lock w:val="sdtLocked"/>
        <w:placeholder>
          <w:docPart w:val="GBC22222222222222222222222222222"/>
        </w:placeholder>
      </w:sdtPr>
      <w:sdtEndPr>
        <w:rPr>
          <w:rFonts w:cstheme="minorBidi" w:hint="default"/>
          <w:color w:val="000000" w:themeColor="text1"/>
          <w:kern w:val="2"/>
        </w:rPr>
      </w:sdtEndPr>
      <w:sdtContent>
        <w:p w:rsidR="00DE031E" w:rsidRDefault="001C1A59" w:rsidP="009950AC">
          <w:pPr>
            <w:pStyle w:val="3"/>
            <w:numPr>
              <w:ilvl w:val="0"/>
              <w:numId w:val="41"/>
            </w:numPr>
            <w:tabs>
              <w:tab w:val="left" w:pos="504"/>
            </w:tabs>
            <w:rPr>
              <w:rFonts w:ascii="宋体" w:hAnsi="宋体"/>
              <w:szCs w:val="21"/>
            </w:rPr>
          </w:pPr>
          <w:r>
            <w:rPr>
              <w:rFonts w:ascii="宋体" w:hAnsi="宋体" w:hint="eastAsia"/>
              <w:szCs w:val="21"/>
            </w:rPr>
            <w:t>资本公积</w:t>
          </w:r>
        </w:p>
        <w:p w:rsidR="00DE031E" w:rsidRDefault="001C1A59">
          <w:pPr>
            <w:jc w:val="right"/>
            <w:rPr>
              <w:szCs w:val="21"/>
            </w:rPr>
          </w:pPr>
          <w:r>
            <w:rPr>
              <w:rFonts w:hint="eastAsia"/>
              <w:szCs w:val="21"/>
            </w:rPr>
            <w:t>单位：</w:t>
          </w:r>
          <w:sdt>
            <w:sdtPr>
              <w:rPr>
                <w:rFonts w:hint="eastAsia"/>
                <w:szCs w:val="21"/>
              </w:rPr>
              <w:alias w:val="单位：财务附注：资本公积"/>
              <w:tag w:val="_GBC_88633009fdc64f4e8238c38541b33615"/>
              <w:id w:val="247254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24725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43" w:type="pct"/>
            <w:tblInd w:w="-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127"/>
            <w:gridCol w:w="1985"/>
            <w:gridCol w:w="1703"/>
            <w:gridCol w:w="1487"/>
            <w:gridCol w:w="1845"/>
          </w:tblGrid>
          <w:tr w:rsidR="00DE031E" w:rsidTr="00DE031E">
            <w:tc>
              <w:tcPr>
                <w:tcW w:w="1163"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autoSpaceDE w:val="0"/>
                  <w:autoSpaceDN w:val="0"/>
                  <w:adjustRightInd w:val="0"/>
                  <w:snapToGrid w:val="0"/>
                  <w:jc w:val="center"/>
                  <w:rPr>
                    <w:szCs w:val="21"/>
                  </w:rPr>
                </w:pPr>
                <w:r>
                  <w:rPr>
                    <w:rFonts w:hint="eastAsia"/>
                    <w:szCs w:val="21"/>
                  </w:rPr>
                  <w:t>项目</w:t>
                </w:r>
              </w:p>
            </w:tc>
            <w:tc>
              <w:tcPr>
                <w:tcW w:w="1085"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autoSpaceDE w:val="0"/>
                  <w:autoSpaceDN w:val="0"/>
                  <w:adjustRightInd w:val="0"/>
                  <w:snapToGrid w:val="0"/>
                  <w:jc w:val="center"/>
                  <w:rPr>
                    <w:szCs w:val="21"/>
                  </w:rPr>
                </w:pPr>
                <w:r>
                  <w:rPr>
                    <w:rFonts w:hint="eastAsia"/>
                    <w:szCs w:val="21"/>
                  </w:rPr>
                  <w:t>期初余额</w:t>
                </w:r>
              </w:p>
            </w:tc>
            <w:tc>
              <w:tcPr>
                <w:tcW w:w="931"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autoSpaceDE w:val="0"/>
                  <w:autoSpaceDN w:val="0"/>
                  <w:adjustRightInd w:val="0"/>
                  <w:snapToGrid w:val="0"/>
                  <w:jc w:val="center"/>
                  <w:rPr>
                    <w:szCs w:val="21"/>
                  </w:rPr>
                </w:pPr>
                <w:r>
                  <w:rPr>
                    <w:rFonts w:hint="eastAsia"/>
                    <w:szCs w:val="21"/>
                  </w:rPr>
                  <w:t>本期增加</w:t>
                </w:r>
              </w:p>
            </w:tc>
            <w:tc>
              <w:tcPr>
                <w:tcW w:w="813"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autoSpaceDE w:val="0"/>
                  <w:autoSpaceDN w:val="0"/>
                  <w:adjustRightInd w:val="0"/>
                  <w:snapToGrid w:val="0"/>
                  <w:jc w:val="center"/>
                  <w:rPr>
                    <w:szCs w:val="21"/>
                  </w:rPr>
                </w:pPr>
                <w:r>
                  <w:rPr>
                    <w:rFonts w:hint="eastAsia"/>
                    <w:szCs w:val="21"/>
                  </w:rPr>
                  <w:t>本期减少</w:t>
                </w:r>
              </w:p>
            </w:tc>
            <w:tc>
              <w:tcPr>
                <w:tcW w:w="1009"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autoSpaceDE w:val="0"/>
                  <w:autoSpaceDN w:val="0"/>
                  <w:adjustRightInd w:val="0"/>
                  <w:snapToGrid w:val="0"/>
                  <w:jc w:val="center"/>
                  <w:rPr>
                    <w:szCs w:val="21"/>
                  </w:rPr>
                </w:pPr>
                <w:r>
                  <w:rPr>
                    <w:rFonts w:hint="eastAsia"/>
                    <w:szCs w:val="21"/>
                  </w:rPr>
                  <w:t>期末余额</w:t>
                </w:r>
              </w:p>
            </w:tc>
          </w:tr>
          <w:tr w:rsidR="00DE031E" w:rsidTr="00DE031E">
            <w:tc>
              <w:tcPr>
                <w:tcW w:w="1163"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24725450"/>
                <w:lock w:val="sdtLocked"/>
              </w:sdtPr>
              <w:sdtContent>
                <w:tc>
                  <w:tcPr>
                    <w:tcW w:w="1085"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autoSpaceDE w:val="0"/>
                      <w:autoSpaceDN w:val="0"/>
                      <w:adjustRightInd w:val="0"/>
                      <w:snapToGrid w:val="0"/>
                      <w:jc w:val="right"/>
                      <w:rPr>
                        <w:szCs w:val="21"/>
                      </w:rPr>
                    </w:pPr>
                    <w:r>
                      <w:rPr>
                        <w:szCs w:val="21"/>
                      </w:rPr>
                      <w:t>19,403,877,003.80</w:t>
                    </w:r>
                  </w:p>
                </w:tc>
              </w:sdtContent>
            </w:sdt>
            <w:sdt>
              <w:sdtPr>
                <w:rPr>
                  <w:szCs w:val="21"/>
                </w:rPr>
                <w:alias w:val="股本溢价增加数"/>
                <w:tag w:val="_GBC_4a92a82def81420fa3337b8dedcf823b"/>
                <w:id w:val="24725451"/>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jc w:val="right"/>
                      <w:rPr>
                        <w:szCs w:val="21"/>
                      </w:rPr>
                    </w:pPr>
                  </w:p>
                </w:tc>
              </w:sdtContent>
            </w:sdt>
            <w:sdt>
              <w:sdtPr>
                <w:rPr>
                  <w:szCs w:val="21"/>
                </w:rPr>
                <w:alias w:val="股本溢价减少数"/>
                <w:tag w:val="_GBC_0a283b035846438093c0edaba0828964"/>
                <w:id w:val="24725452"/>
                <w:lock w:val="sdtLocked"/>
              </w:sdtPr>
              <w:sdtContent>
                <w:tc>
                  <w:tcPr>
                    <w:tcW w:w="813"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jc w:val="right"/>
                      <w:rPr>
                        <w:szCs w:val="21"/>
                      </w:rPr>
                    </w:pPr>
                  </w:p>
                </w:tc>
              </w:sdtContent>
            </w:sdt>
            <w:sdt>
              <w:sdtPr>
                <w:rPr>
                  <w:szCs w:val="21"/>
                </w:rPr>
                <w:alias w:val="股本溢价合计"/>
                <w:tag w:val="_GBC_382d3f38e1a941b0849dd26c338ec0ac"/>
                <w:id w:val="24725453"/>
                <w:lock w:val="sdtLocked"/>
              </w:sdtPr>
              <w:sdtContent>
                <w:tc>
                  <w:tcPr>
                    <w:tcW w:w="1009"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autoSpaceDE w:val="0"/>
                      <w:autoSpaceDN w:val="0"/>
                      <w:adjustRightInd w:val="0"/>
                      <w:snapToGrid w:val="0"/>
                      <w:jc w:val="right"/>
                      <w:rPr>
                        <w:szCs w:val="21"/>
                      </w:rPr>
                    </w:pPr>
                    <w:r>
                      <w:rPr>
                        <w:szCs w:val="21"/>
                      </w:rPr>
                      <w:t>19,403,877,003.80</w:t>
                    </w:r>
                  </w:p>
                </w:tc>
              </w:sdtContent>
            </w:sdt>
          </w:tr>
          <w:tr w:rsidR="00DE031E" w:rsidTr="00DE031E">
            <w:tc>
              <w:tcPr>
                <w:tcW w:w="1163"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24725454"/>
                <w:lock w:val="sdtLocked"/>
              </w:sdtPr>
              <w:sdtContent>
                <w:tc>
                  <w:tcPr>
                    <w:tcW w:w="1085"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jc w:val="right"/>
                      <w:rPr>
                        <w:szCs w:val="21"/>
                      </w:rPr>
                    </w:pPr>
                  </w:p>
                </w:tc>
              </w:sdtContent>
            </w:sdt>
            <w:sdt>
              <w:sdtPr>
                <w:rPr>
                  <w:szCs w:val="21"/>
                </w:rPr>
                <w:alias w:val="其他资本公积增加数"/>
                <w:tag w:val="_GBC_7b1e5ba355544e11992dda6ba9ca6db8"/>
                <w:id w:val="24725455"/>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jc w:val="right"/>
                      <w:rPr>
                        <w:szCs w:val="21"/>
                      </w:rPr>
                    </w:pPr>
                  </w:p>
                </w:tc>
              </w:sdtContent>
            </w:sdt>
            <w:sdt>
              <w:sdtPr>
                <w:rPr>
                  <w:szCs w:val="21"/>
                </w:rPr>
                <w:alias w:val="其他资本公积减少数"/>
                <w:tag w:val="_GBC_76732842982849228ec23453c08a6781"/>
                <w:id w:val="24725456"/>
                <w:lock w:val="sdtLocked"/>
              </w:sdtPr>
              <w:sdtContent>
                <w:tc>
                  <w:tcPr>
                    <w:tcW w:w="813"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jc w:val="right"/>
                      <w:rPr>
                        <w:szCs w:val="21"/>
                      </w:rPr>
                    </w:pPr>
                  </w:p>
                </w:tc>
              </w:sdtContent>
            </w:sdt>
            <w:sdt>
              <w:sdtPr>
                <w:rPr>
                  <w:szCs w:val="21"/>
                </w:rPr>
                <w:alias w:val="其他资本公积合计"/>
                <w:tag w:val="_GBC_13e889c1d3a74bc6af7e58d5b022515a"/>
                <w:id w:val="24725457"/>
                <w:lock w:val="sdtLocked"/>
              </w:sdtPr>
              <w:sdtContent>
                <w:tc>
                  <w:tcPr>
                    <w:tcW w:w="1009"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jc w:val="right"/>
                      <w:rPr>
                        <w:szCs w:val="21"/>
                      </w:rPr>
                    </w:pPr>
                  </w:p>
                </w:tc>
              </w:sdtContent>
            </w:sdt>
          </w:tr>
          <w:tr w:rsidR="00DE031E" w:rsidTr="00DE031E">
            <w:tc>
              <w:tcPr>
                <w:tcW w:w="1163"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24725458"/>
                <w:lock w:val="sdtLocked"/>
              </w:sdtPr>
              <w:sdtContent>
                <w:tc>
                  <w:tcPr>
                    <w:tcW w:w="1085"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right"/>
                      <w:rPr>
                        <w:szCs w:val="21"/>
                      </w:rPr>
                    </w:pPr>
                    <w:r>
                      <w:rPr>
                        <w:szCs w:val="21"/>
                      </w:rPr>
                      <w:t>19,403,877,003.80</w:t>
                    </w:r>
                  </w:p>
                </w:tc>
              </w:sdtContent>
            </w:sdt>
            <w:sdt>
              <w:sdtPr>
                <w:rPr>
                  <w:szCs w:val="21"/>
                </w:rPr>
                <w:alias w:val="资本公积增加"/>
                <w:tag w:val="_GBC_4c116f82aee542d79046afccabb520a9"/>
                <w:id w:val="24725459"/>
                <w:lock w:val="sdtLocked"/>
              </w:sdtPr>
              <w:sdtContent>
                <w:tc>
                  <w:tcPr>
                    <w:tcW w:w="931" w:type="pct"/>
                    <w:tcBorders>
                      <w:top w:val="single" w:sz="6" w:space="0" w:color="auto"/>
                      <w:left w:val="single" w:sz="6" w:space="0" w:color="auto"/>
                      <w:bottom w:val="single" w:sz="6" w:space="0" w:color="auto"/>
                      <w:right w:val="single" w:sz="6" w:space="0" w:color="auto"/>
                    </w:tcBorders>
                  </w:tcPr>
                  <w:p w:rsidR="00DE031E" w:rsidRDefault="00DE031E" w:rsidP="00DE031E">
                    <w:pPr>
                      <w:autoSpaceDE w:val="0"/>
                      <w:autoSpaceDN w:val="0"/>
                      <w:adjustRightInd w:val="0"/>
                      <w:snapToGrid w:val="0"/>
                      <w:jc w:val="right"/>
                      <w:rPr>
                        <w:szCs w:val="21"/>
                      </w:rPr>
                    </w:pPr>
                  </w:p>
                </w:tc>
              </w:sdtContent>
            </w:sdt>
            <w:sdt>
              <w:sdtPr>
                <w:rPr>
                  <w:szCs w:val="21"/>
                </w:rPr>
                <w:alias w:val="资本公积减少"/>
                <w:tag w:val="_GBC_2280e9b60d174ff79d09fce9f737a0a9"/>
                <w:id w:val="24725460"/>
                <w:lock w:val="sdtLocked"/>
              </w:sdtPr>
              <w:sdtContent>
                <w:tc>
                  <w:tcPr>
                    <w:tcW w:w="813" w:type="pct"/>
                    <w:tcBorders>
                      <w:top w:val="single" w:sz="6" w:space="0" w:color="auto"/>
                      <w:left w:val="single" w:sz="6" w:space="0" w:color="auto"/>
                      <w:bottom w:val="single" w:sz="6" w:space="0" w:color="auto"/>
                      <w:right w:val="single" w:sz="6" w:space="0" w:color="auto"/>
                    </w:tcBorders>
                  </w:tcPr>
                  <w:p w:rsidR="00DE031E" w:rsidRDefault="00DE031E" w:rsidP="00DE031E">
                    <w:pPr>
                      <w:autoSpaceDE w:val="0"/>
                      <w:autoSpaceDN w:val="0"/>
                      <w:adjustRightInd w:val="0"/>
                      <w:snapToGrid w:val="0"/>
                      <w:jc w:val="right"/>
                      <w:rPr>
                        <w:szCs w:val="21"/>
                      </w:rPr>
                    </w:pPr>
                  </w:p>
                </w:tc>
              </w:sdtContent>
            </w:sdt>
            <w:sdt>
              <w:sdtPr>
                <w:rPr>
                  <w:szCs w:val="21"/>
                </w:rPr>
                <w:alias w:val="资本公积"/>
                <w:tag w:val="_GBC_287f6b70dde348fd8a673d12b82fbd23"/>
                <w:id w:val="24725461"/>
                <w:lock w:val="sdtLocked"/>
              </w:sdtPr>
              <w:sdtContent>
                <w:tc>
                  <w:tcPr>
                    <w:tcW w:w="1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right"/>
                      <w:rPr>
                        <w:szCs w:val="21"/>
                      </w:rPr>
                    </w:pPr>
                    <w:r>
                      <w:rPr>
                        <w:szCs w:val="21"/>
                      </w:rPr>
                      <w:t>19,403,877,003.80</w:t>
                    </w:r>
                  </w:p>
                </w:tc>
              </w:sdtContent>
            </w:sdt>
          </w:tr>
        </w:tbl>
        <w:p w:rsidR="00DE031E" w:rsidRDefault="00DE031E">
          <w:pPr>
            <w:rPr>
              <w:szCs w:val="21"/>
            </w:rPr>
            <w:sectPr w:rsidR="00DE031E" w:rsidSect="00DE031E">
              <w:headerReference w:type="default" r:id="rId23"/>
              <w:pgSz w:w="11906" w:h="16838"/>
              <w:pgMar w:top="1525" w:right="1276" w:bottom="1440" w:left="1797" w:header="856" w:footer="992" w:gutter="0"/>
              <w:cols w:space="425"/>
              <w:docGrid w:linePitch="312"/>
            </w:sectPr>
          </w:pPr>
        </w:p>
        <w:p w:rsidR="00DE031E" w:rsidRDefault="00422DCA">
          <w:pPr>
            <w:rPr>
              <w:szCs w:val="21"/>
            </w:rPr>
          </w:pPr>
        </w:p>
      </w:sdtContent>
    </w:sdt>
    <w:p w:rsidR="00DE031E" w:rsidRDefault="001C1A59" w:rsidP="009950AC">
      <w:pPr>
        <w:pStyle w:val="3"/>
        <w:numPr>
          <w:ilvl w:val="0"/>
          <w:numId w:val="41"/>
        </w:numPr>
        <w:tabs>
          <w:tab w:val="left" w:pos="504"/>
        </w:tabs>
        <w:rPr>
          <w:szCs w:val="21"/>
        </w:rPr>
      </w:pPr>
      <w:r>
        <w:rPr>
          <w:rFonts w:hint="eastAsia"/>
          <w:szCs w:val="21"/>
        </w:rPr>
        <w:t>其他综合收益</w:t>
      </w:r>
    </w:p>
    <w:p w:rsidR="00A15A30" w:rsidRPr="00A15A30" w:rsidRDefault="00A15A30" w:rsidP="00A15A30">
      <w:pPr>
        <w:jc w:val="right"/>
      </w:pPr>
      <w:r>
        <w:rPr>
          <w:rFonts w:hint="eastAsia"/>
        </w:rPr>
        <w:t>单位：元  币种：人民币</w:t>
      </w:r>
    </w:p>
    <w:tbl>
      <w:tblPr>
        <w:tblW w:w="5325" w:type="pct"/>
        <w:jc w:val="center"/>
        <w:tblInd w:w="-604" w:type="dxa"/>
        <w:tblLayout w:type="fixed"/>
        <w:tblLook w:val="04A0"/>
      </w:tblPr>
      <w:tblGrid>
        <w:gridCol w:w="4115"/>
        <w:gridCol w:w="1702"/>
        <w:gridCol w:w="1705"/>
        <w:gridCol w:w="1654"/>
        <w:gridCol w:w="1609"/>
        <w:gridCol w:w="1663"/>
        <w:gridCol w:w="885"/>
        <w:gridCol w:w="1672"/>
      </w:tblGrid>
      <w:tr w:rsidR="00DE031E" w:rsidRPr="00F040B1" w:rsidTr="00DE031E">
        <w:trPr>
          <w:trHeight w:hRule="exact" w:val="567"/>
          <w:jc w:val="center"/>
        </w:trPr>
        <w:tc>
          <w:tcPr>
            <w:tcW w:w="1371" w:type="pct"/>
            <w:vMerge w:val="restart"/>
            <w:tcBorders>
              <w:top w:val="nil"/>
              <w:left w:val="nil"/>
              <w:bottom w:val="nil"/>
              <w:right w:val="nil"/>
            </w:tcBorders>
            <w:shd w:val="clear" w:color="auto" w:fill="auto"/>
            <w:vAlign w:val="center"/>
            <w:hideMark/>
          </w:tcPr>
          <w:p w:rsidR="00DE031E" w:rsidRPr="00F040B1" w:rsidRDefault="001C1A59" w:rsidP="00DE031E">
            <w:pPr>
              <w:rPr>
                <w:rFonts w:ascii="Arial" w:hAnsi="Arial" w:cs="Arial"/>
                <w:b/>
                <w:bCs/>
                <w:color w:val="000000"/>
                <w:sz w:val="18"/>
                <w:szCs w:val="18"/>
              </w:rPr>
            </w:pPr>
            <w:r w:rsidRPr="00F040B1">
              <w:rPr>
                <w:rFonts w:ascii="Arial" w:hAnsi="Arial" w:cs="Arial"/>
                <w:b/>
                <w:bCs/>
                <w:color w:val="000000"/>
                <w:sz w:val="18"/>
                <w:szCs w:val="18"/>
              </w:rPr>
              <w:t>项目</w:t>
            </w:r>
          </w:p>
        </w:tc>
        <w:tc>
          <w:tcPr>
            <w:tcW w:w="567" w:type="pct"/>
            <w:vMerge w:val="restart"/>
            <w:tcBorders>
              <w:top w:val="nil"/>
              <w:left w:val="nil"/>
              <w:bottom w:val="nil"/>
              <w:right w:val="nil"/>
            </w:tcBorders>
            <w:shd w:val="clear" w:color="auto" w:fill="auto"/>
            <w:noWrap/>
            <w:vAlign w:val="center"/>
            <w:hideMark/>
          </w:tcPr>
          <w:p w:rsidR="00DE031E" w:rsidRPr="00F040B1" w:rsidRDefault="001C1A59" w:rsidP="00DE031E">
            <w:pPr>
              <w:jc w:val="center"/>
              <w:rPr>
                <w:rFonts w:ascii="Arial" w:hAnsi="Arial" w:cs="Arial"/>
                <w:b/>
                <w:bCs/>
                <w:color w:val="000000"/>
                <w:sz w:val="18"/>
                <w:szCs w:val="18"/>
              </w:rPr>
            </w:pPr>
            <w:r w:rsidRPr="00F040B1">
              <w:rPr>
                <w:rFonts w:ascii="Arial" w:hAnsi="Arial" w:cs="Arial" w:hint="eastAsia"/>
                <w:b/>
                <w:bCs/>
                <w:color w:val="000000"/>
                <w:sz w:val="18"/>
                <w:szCs w:val="18"/>
              </w:rPr>
              <w:t>2014</w:t>
            </w:r>
            <w:r w:rsidRPr="00F040B1">
              <w:rPr>
                <w:rFonts w:ascii="Arial" w:hAnsi="Arial" w:cs="Arial" w:hint="eastAsia"/>
                <w:b/>
                <w:bCs/>
                <w:color w:val="000000"/>
                <w:sz w:val="18"/>
                <w:szCs w:val="18"/>
              </w:rPr>
              <w:t>年</w:t>
            </w:r>
            <w:r w:rsidRPr="00F040B1">
              <w:rPr>
                <w:rFonts w:ascii="Arial" w:hAnsi="Arial" w:cs="Arial" w:hint="eastAsia"/>
                <w:b/>
                <w:bCs/>
                <w:color w:val="000000"/>
                <w:sz w:val="18"/>
                <w:szCs w:val="18"/>
              </w:rPr>
              <w:t>12</w:t>
            </w:r>
            <w:r w:rsidRPr="00F040B1">
              <w:rPr>
                <w:rFonts w:ascii="Arial" w:hAnsi="Arial" w:cs="Arial" w:hint="eastAsia"/>
                <w:b/>
                <w:bCs/>
                <w:color w:val="000000"/>
                <w:sz w:val="18"/>
                <w:szCs w:val="18"/>
              </w:rPr>
              <w:t>月</w:t>
            </w:r>
            <w:r w:rsidRPr="00F040B1">
              <w:rPr>
                <w:rFonts w:ascii="Arial" w:hAnsi="Arial" w:cs="Arial" w:hint="eastAsia"/>
                <w:b/>
                <w:bCs/>
                <w:color w:val="000000"/>
                <w:sz w:val="18"/>
                <w:szCs w:val="18"/>
              </w:rPr>
              <w:t>31</w:t>
            </w:r>
            <w:r w:rsidRPr="00F040B1">
              <w:rPr>
                <w:rFonts w:ascii="Arial" w:hAnsi="Arial" w:cs="Arial" w:hint="eastAsia"/>
                <w:b/>
                <w:bCs/>
                <w:color w:val="000000"/>
                <w:sz w:val="18"/>
                <w:szCs w:val="18"/>
              </w:rPr>
              <w:t>日</w:t>
            </w:r>
          </w:p>
        </w:tc>
        <w:tc>
          <w:tcPr>
            <w:tcW w:w="2504" w:type="pct"/>
            <w:gridSpan w:val="5"/>
            <w:tcBorders>
              <w:top w:val="nil"/>
              <w:left w:val="nil"/>
              <w:bottom w:val="single" w:sz="4" w:space="0" w:color="auto"/>
              <w:right w:val="nil"/>
            </w:tcBorders>
            <w:shd w:val="clear" w:color="auto" w:fill="auto"/>
            <w:noWrap/>
            <w:vAlign w:val="center"/>
            <w:hideMark/>
          </w:tcPr>
          <w:p w:rsidR="00DE031E" w:rsidRPr="00F040B1" w:rsidRDefault="001C1A59" w:rsidP="00DE031E">
            <w:pPr>
              <w:jc w:val="center"/>
              <w:rPr>
                <w:rFonts w:ascii="Arial" w:hAnsi="Arial" w:cs="Arial"/>
                <w:b/>
                <w:bCs/>
                <w:color w:val="000000"/>
                <w:sz w:val="18"/>
                <w:szCs w:val="18"/>
              </w:rPr>
            </w:pPr>
            <w:r w:rsidRPr="00F040B1">
              <w:rPr>
                <w:rFonts w:ascii="Arial" w:hAnsi="Arial" w:cs="Arial" w:hint="eastAsia"/>
                <w:b/>
                <w:bCs/>
                <w:color w:val="000000"/>
                <w:sz w:val="18"/>
                <w:szCs w:val="18"/>
              </w:rPr>
              <w:t>2015</w:t>
            </w:r>
            <w:r w:rsidRPr="00F040B1">
              <w:rPr>
                <w:rFonts w:ascii="Arial" w:hAnsi="Arial" w:cs="Arial" w:hint="eastAsia"/>
                <w:b/>
                <w:bCs/>
                <w:color w:val="000000"/>
                <w:sz w:val="18"/>
                <w:szCs w:val="18"/>
              </w:rPr>
              <w:t>年</w:t>
            </w:r>
            <w:r w:rsidRPr="00F040B1">
              <w:rPr>
                <w:rFonts w:ascii="Arial" w:hAnsi="Arial" w:cs="Arial" w:hint="eastAsia"/>
                <w:b/>
                <w:bCs/>
                <w:color w:val="000000"/>
                <w:sz w:val="18"/>
                <w:szCs w:val="18"/>
              </w:rPr>
              <w:t>1-6</w:t>
            </w:r>
            <w:r w:rsidRPr="00F040B1">
              <w:rPr>
                <w:rFonts w:ascii="Arial" w:hAnsi="Arial" w:cs="Arial" w:hint="eastAsia"/>
                <w:b/>
                <w:bCs/>
                <w:color w:val="000000"/>
                <w:sz w:val="18"/>
                <w:szCs w:val="18"/>
              </w:rPr>
              <w:t>月</w:t>
            </w:r>
            <w:r w:rsidRPr="00F040B1">
              <w:rPr>
                <w:rFonts w:ascii="Arial" w:hAnsi="Arial" w:cs="Arial"/>
                <w:b/>
                <w:bCs/>
                <w:color w:val="000000"/>
                <w:sz w:val="18"/>
                <w:szCs w:val="18"/>
              </w:rPr>
              <w:t>发生额</w:t>
            </w:r>
          </w:p>
        </w:tc>
        <w:tc>
          <w:tcPr>
            <w:tcW w:w="557" w:type="pct"/>
            <w:vMerge w:val="restar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hint="eastAsia"/>
                <w:b/>
                <w:bCs/>
                <w:color w:val="000000"/>
                <w:sz w:val="18"/>
                <w:szCs w:val="18"/>
              </w:rPr>
              <w:t>2015</w:t>
            </w:r>
            <w:r w:rsidRPr="00F040B1">
              <w:rPr>
                <w:rFonts w:ascii="Arial" w:hAnsi="Arial" w:cs="Arial" w:hint="eastAsia"/>
                <w:b/>
                <w:bCs/>
                <w:color w:val="000000"/>
                <w:sz w:val="18"/>
                <w:szCs w:val="18"/>
              </w:rPr>
              <w:t>年</w:t>
            </w:r>
            <w:r w:rsidRPr="00F040B1">
              <w:rPr>
                <w:rFonts w:ascii="Arial" w:hAnsi="Arial" w:cs="Arial" w:hint="eastAsia"/>
                <w:b/>
                <w:bCs/>
                <w:color w:val="000000"/>
                <w:sz w:val="18"/>
                <w:szCs w:val="18"/>
              </w:rPr>
              <w:t>6</w:t>
            </w:r>
            <w:r w:rsidRPr="00F040B1">
              <w:rPr>
                <w:rFonts w:ascii="Arial" w:hAnsi="Arial" w:cs="Arial" w:hint="eastAsia"/>
                <w:b/>
                <w:bCs/>
                <w:color w:val="000000"/>
                <w:sz w:val="18"/>
                <w:szCs w:val="18"/>
              </w:rPr>
              <w:t>月</w:t>
            </w:r>
            <w:r w:rsidRPr="00F040B1">
              <w:rPr>
                <w:rFonts w:ascii="Arial" w:hAnsi="Arial" w:cs="Arial" w:hint="eastAsia"/>
                <w:b/>
                <w:bCs/>
                <w:color w:val="000000"/>
                <w:sz w:val="18"/>
                <w:szCs w:val="18"/>
              </w:rPr>
              <w:t>30</w:t>
            </w:r>
            <w:r w:rsidRPr="00F040B1">
              <w:rPr>
                <w:rFonts w:ascii="Arial" w:hAnsi="Arial" w:cs="Arial" w:hint="eastAsia"/>
                <w:b/>
                <w:bCs/>
                <w:color w:val="000000"/>
                <w:sz w:val="18"/>
                <w:szCs w:val="18"/>
              </w:rPr>
              <w:t>日</w:t>
            </w:r>
          </w:p>
        </w:tc>
      </w:tr>
      <w:tr w:rsidR="00DE031E" w:rsidRPr="00F040B1" w:rsidTr="00DE031E">
        <w:trPr>
          <w:trHeight w:hRule="exact" w:val="1042"/>
          <w:jc w:val="center"/>
        </w:trPr>
        <w:tc>
          <w:tcPr>
            <w:tcW w:w="1371" w:type="pct"/>
            <w:vMerge/>
            <w:tcBorders>
              <w:top w:val="nil"/>
              <w:left w:val="nil"/>
              <w:bottom w:val="nil"/>
              <w:right w:val="nil"/>
            </w:tcBorders>
            <w:vAlign w:val="center"/>
            <w:hideMark/>
          </w:tcPr>
          <w:p w:rsidR="00DE031E" w:rsidRPr="00F040B1" w:rsidRDefault="00DE031E" w:rsidP="00DE031E">
            <w:pPr>
              <w:rPr>
                <w:rFonts w:ascii="Arial" w:hAnsi="Arial" w:cs="Arial"/>
                <w:b/>
                <w:bCs/>
                <w:color w:val="000000"/>
                <w:sz w:val="18"/>
                <w:szCs w:val="18"/>
              </w:rPr>
            </w:pPr>
          </w:p>
        </w:tc>
        <w:tc>
          <w:tcPr>
            <w:tcW w:w="567" w:type="pct"/>
            <w:vMerge/>
            <w:tcBorders>
              <w:top w:val="nil"/>
              <w:left w:val="nil"/>
              <w:bottom w:val="nil"/>
              <w:right w:val="nil"/>
            </w:tcBorders>
            <w:vAlign w:val="center"/>
            <w:hideMark/>
          </w:tcPr>
          <w:p w:rsidR="00DE031E" w:rsidRPr="00F040B1" w:rsidRDefault="00DE031E" w:rsidP="00DE031E">
            <w:pPr>
              <w:rPr>
                <w:rFonts w:ascii="Arial" w:hAnsi="Arial" w:cs="Arial"/>
                <w:b/>
                <w:bCs/>
                <w:color w:val="000000"/>
                <w:sz w:val="18"/>
                <w:szCs w:val="18"/>
              </w:rPr>
            </w:pPr>
          </w:p>
        </w:tc>
        <w:tc>
          <w:tcPr>
            <w:tcW w:w="568"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center"/>
              <w:rPr>
                <w:rFonts w:ascii="Arial" w:hAnsi="Arial" w:cs="Arial"/>
                <w:b/>
                <w:bCs/>
                <w:color w:val="000000"/>
                <w:sz w:val="18"/>
                <w:szCs w:val="18"/>
              </w:rPr>
            </w:pPr>
            <w:r w:rsidRPr="00F040B1">
              <w:rPr>
                <w:rFonts w:ascii="Arial" w:hAnsi="Arial" w:cs="Arial"/>
                <w:b/>
                <w:bCs/>
                <w:color w:val="000000"/>
                <w:sz w:val="18"/>
                <w:szCs w:val="18"/>
              </w:rPr>
              <w:t>本年增减</w:t>
            </w:r>
          </w:p>
        </w:tc>
        <w:tc>
          <w:tcPr>
            <w:tcW w:w="551" w:type="pct"/>
            <w:tcBorders>
              <w:top w:val="nil"/>
              <w:left w:val="nil"/>
              <w:bottom w:val="nil"/>
              <w:right w:val="nil"/>
            </w:tcBorders>
            <w:shd w:val="clear" w:color="auto" w:fill="auto"/>
            <w:vAlign w:val="center"/>
            <w:hideMark/>
          </w:tcPr>
          <w:p w:rsidR="00DE031E" w:rsidRPr="00F040B1" w:rsidRDefault="001C1A59" w:rsidP="00DE031E">
            <w:pPr>
              <w:spacing w:line="240" w:lineRule="exact"/>
              <w:jc w:val="center"/>
              <w:rPr>
                <w:rFonts w:ascii="Arial" w:hAnsi="Arial" w:cs="Arial"/>
                <w:b/>
                <w:bCs/>
                <w:color w:val="000000"/>
                <w:sz w:val="18"/>
                <w:szCs w:val="18"/>
              </w:rPr>
            </w:pPr>
            <w:r w:rsidRPr="00F040B1">
              <w:rPr>
                <w:rFonts w:ascii="Arial" w:hAnsi="Arial" w:cs="Arial"/>
                <w:b/>
                <w:bCs/>
                <w:color w:val="000000"/>
                <w:sz w:val="18"/>
                <w:szCs w:val="18"/>
              </w:rPr>
              <w:t>其中：前期计入其他综合收益当期转入损益</w:t>
            </w:r>
          </w:p>
        </w:tc>
        <w:tc>
          <w:tcPr>
            <w:tcW w:w="536"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center"/>
              <w:rPr>
                <w:rFonts w:ascii="Arial" w:hAnsi="Arial" w:cs="Arial"/>
                <w:b/>
                <w:bCs/>
                <w:color w:val="000000"/>
                <w:sz w:val="18"/>
                <w:szCs w:val="18"/>
              </w:rPr>
            </w:pPr>
            <w:r w:rsidRPr="00F040B1">
              <w:rPr>
                <w:rFonts w:ascii="Arial" w:hAnsi="Arial" w:cs="Arial"/>
                <w:b/>
                <w:bCs/>
                <w:color w:val="000000"/>
                <w:sz w:val="18"/>
                <w:szCs w:val="18"/>
              </w:rPr>
              <w:t>所得税费用</w:t>
            </w:r>
          </w:p>
        </w:tc>
        <w:tc>
          <w:tcPr>
            <w:tcW w:w="554"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center"/>
              <w:rPr>
                <w:rFonts w:ascii="Arial" w:hAnsi="Arial" w:cs="Arial"/>
                <w:b/>
                <w:bCs/>
                <w:color w:val="000000"/>
                <w:sz w:val="18"/>
                <w:szCs w:val="18"/>
              </w:rPr>
            </w:pPr>
            <w:r w:rsidRPr="00F040B1">
              <w:rPr>
                <w:rFonts w:ascii="Arial" w:hAnsi="Arial" w:cs="Arial"/>
                <w:b/>
                <w:bCs/>
                <w:color w:val="000000"/>
                <w:sz w:val="18"/>
                <w:szCs w:val="18"/>
              </w:rPr>
              <w:t>税后归属于母公司</w:t>
            </w:r>
          </w:p>
        </w:tc>
        <w:tc>
          <w:tcPr>
            <w:tcW w:w="295" w:type="pct"/>
            <w:tcBorders>
              <w:top w:val="nil"/>
              <w:left w:val="nil"/>
              <w:bottom w:val="nil"/>
              <w:right w:val="nil"/>
            </w:tcBorders>
            <w:shd w:val="clear" w:color="auto" w:fill="auto"/>
            <w:noWrap/>
            <w:vAlign w:val="center"/>
            <w:hideMark/>
          </w:tcPr>
          <w:p w:rsidR="00DE031E" w:rsidRPr="00F040B1" w:rsidRDefault="001C1A59" w:rsidP="00DE031E">
            <w:pPr>
              <w:spacing w:line="240" w:lineRule="exact"/>
              <w:jc w:val="center"/>
              <w:rPr>
                <w:rFonts w:ascii="Arial" w:hAnsi="Arial" w:cs="Arial"/>
                <w:b/>
                <w:bCs/>
                <w:color w:val="000000"/>
                <w:sz w:val="18"/>
                <w:szCs w:val="18"/>
              </w:rPr>
            </w:pPr>
            <w:r w:rsidRPr="00F040B1">
              <w:rPr>
                <w:rFonts w:ascii="Arial" w:hAnsi="Arial" w:cs="Arial"/>
                <w:b/>
                <w:bCs/>
                <w:color w:val="000000"/>
                <w:sz w:val="18"/>
                <w:szCs w:val="18"/>
              </w:rPr>
              <w:t>税后归属于少数股东</w:t>
            </w:r>
          </w:p>
        </w:tc>
        <w:tc>
          <w:tcPr>
            <w:tcW w:w="557" w:type="pct"/>
            <w:vMerge/>
            <w:tcBorders>
              <w:top w:val="nil"/>
              <w:left w:val="nil"/>
              <w:bottom w:val="nil"/>
              <w:right w:val="nil"/>
            </w:tcBorders>
            <w:vAlign w:val="center"/>
            <w:hideMark/>
          </w:tcPr>
          <w:p w:rsidR="00DE031E" w:rsidRPr="00F040B1" w:rsidRDefault="00DE031E" w:rsidP="00DE031E">
            <w:pPr>
              <w:rPr>
                <w:rFonts w:ascii="Arial" w:hAnsi="Arial" w:cs="Arial"/>
                <w:b/>
                <w:bCs/>
                <w:color w:val="000000"/>
                <w:sz w:val="18"/>
                <w:szCs w:val="18"/>
              </w:rPr>
            </w:pP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rPr>
                <w:rFonts w:ascii="Arial" w:hAnsi="Arial" w:cs="Arial"/>
                <w:b/>
                <w:bCs/>
                <w:color w:val="000000"/>
                <w:sz w:val="18"/>
                <w:szCs w:val="18"/>
              </w:rPr>
            </w:pPr>
            <w:r w:rsidRPr="00F040B1">
              <w:rPr>
                <w:rFonts w:ascii="Arial" w:hAnsi="Arial" w:cs="Arial"/>
                <w:b/>
                <w:bCs/>
                <w:color w:val="000000"/>
                <w:sz w:val="18"/>
                <w:szCs w:val="18"/>
              </w:rPr>
              <w:t>一、以后不能重分类进损益的其他综合收益</w:t>
            </w:r>
          </w:p>
        </w:tc>
        <w:tc>
          <w:tcPr>
            <w:tcW w:w="56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568"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b/>
                <w:bCs/>
                <w:color w:val="000000"/>
                <w:sz w:val="18"/>
                <w:szCs w:val="18"/>
              </w:rPr>
            </w:pPr>
          </w:p>
        </w:tc>
        <w:tc>
          <w:tcPr>
            <w:tcW w:w="551"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b/>
                <w:bCs/>
                <w:color w:val="000000"/>
                <w:sz w:val="18"/>
                <w:szCs w:val="18"/>
              </w:rPr>
            </w:pPr>
          </w:p>
        </w:tc>
        <w:tc>
          <w:tcPr>
            <w:tcW w:w="536"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b/>
                <w:bCs/>
                <w:color w:val="000000"/>
                <w:sz w:val="18"/>
                <w:szCs w:val="18"/>
              </w:rPr>
            </w:pPr>
          </w:p>
        </w:tc>
        <w:tc>
          <w:tcPr>
            <w:tcW w:w="554"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b/>
                <w:bCs/>
                <w:color w:val="000000"/>
                <w:sz w:val="18"/>
                <w:szCs w:val="18"/>
              </w:rPr>
            </w:pP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b/>
                <w:bCs/>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b/>
                <w:bCs/>
                <w:color w:val="000000"/>
                <w:sz w:val="18"/>
                <w:szCs w:val="18"/>
              </w:rPr>
            </w:pP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color w:val="000000"/>
                <w:sz w:val="18"/>
                <w:szCs w:val="18"/>
              </w:rPr>
            </w:pPr>
            <w:r w:rsidRPr="00F040B1">
              <w:rPr>
                <w:rFonts w:ascii="Arial" w:hAnsi="Arial" w:cs="Arial"/>
                <w:color w:val="000000"/>
                <w:sz w:val="18"/>
                <w:szCs w:val="18"/>
              </w:rPr>
              <w:t>其中：重新计算设定受益计划净负债和净资产的变动</w:t>
            </w:r>
          </w:p>
        </w:tc>
        <w:tc>
          <w:tcPr>
            <w:tcW w:w="56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568"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1"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4"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color w:val="000000"/>
                <w:sz w:val="18"/>
                <w:szCs w:val="18"/>
              </w:rPr>
            </w:pPr>
            <w:r w:rsidRPr="00F040B1">
              <w:rPr>
                <w:rFonts w:ascii="Arial" w:hAnsi="Arial" w:cs="Arial"/>
                <w:color w:val="000000"/>
                <w:sz w:val="18"/>
                <w:szCs w:val="18"/>
              </w:rPr>
              <w:t>权益法下在被投资单位不能重分类进损益的其他综合收益中享有的份额</w:t>
            </w:r>
          </w:p>
        </w:tc>
        <w:tc>
          <w:tcPr>
            <w:tcW w:w="56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w:t>
            </w:r>
          </w:p>
        </w:tc>
        <w:tc>
          <w:tcPr>
            <w:tcW w:w="568"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1"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4"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b/>
                <w:bCs/>
                <w:color w:val="000000"/>
                <w:sz w:val="18"/>
                <w:szCs w:val="18"/>
              </w:rPr>
            </w:pPr>
            <w:r w:rsidRPr="00F040B1">
              <w:rPr>
                <w:rFonts w:ascii="Arial" w:hAnsi="Arial" w:cs="Arial"/>
                <w:b/>
                <w:bCs/>
                <w:color w:val="000000"/>
                <w:sz w:val="18"/>
                <w:szCs w:val="18"/>
              </w:rPr>
              <w:t>二、以后将重分类进损益的其他综合收益</w:t>
            </w:r>
          </w:p>
        </w:tc>
        <w:tc>
          <w:tcPr>
            <w:tcW w:w="56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Pr>
                <w:rFonts w:ascii="Arial" w:hAnsi="Arial" w:cs="Arial" w:hint="eastAsia"/>
                <w:b/>
                <w:bCs/>
                <w:color w:val="000000"/>
                <w:sz w:val="18"/>
                <w:szCs w:val="18"/>
              </w:rPr>
              <w:t>-</w:t>
            </w:r>
            <w:r w:rsidRPr="00F040B1">
              <w:rPr>
                <w:rFonts w:ascii="Arial" w:hAnsi="Arial" w:cs="Arial"/>
                <w:b/>
                <w:bCs/>
                <w:color w:val="000000"/>
                <w:sz w:val="18"/>
                <w:szCs w:val="18"/>
              </w:rPr>
              <w:t>14,644,207.44</w:t>
            </w:r>
          </w:p>
        </w:tc>
        <w:tc>
          <w:tcPr>
            <w:tcW w:w="568"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611,424,173.86</w:t>
            </w:r>
          </w:p>
        </w:tc>
        <w:tc>
          <w:tcPr>
            <w:tcW w:w="551"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3,925,243.74</w:t>
            </w:r>
          </w:p>
        </w:tc>
        <w:tc>
          <w:tcPr>
            <w:tcW w:w="5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153,059,967.84</w:t>
            </w:r>
          </w:p>
        </w:tc>
        <w:tc>
          <w:tcPr>
            <w:tcW w:w="554"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458,364,206.02</w:t>
            </w:r>
          </w:p>
        </w:tc>
        <w:tc>
          <w:tcPr>
            <w:tcW w:w="29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b/>
                <w:bCs/>
                <w:color w:val="000000"/>
                <w:sz w:val="18"/>
                <w:szCs w:val="18"/>
              </w:rPr>
            </w:pPr>
          </w:p>
        </w:tc>
        <w:tc>
          <w:tcPr>
            <w:tcW w:w="55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443,719,998.58</w:t>
            </w: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color w:val="000000"/>
                <w:sz w:val="18"/>
                <w:szCs w:val="18"/>
              </w:rPr>
            </w:pPr>
            <w:r w:rsidRPr="00F040B1">
              <w:rPr>
                <w:rFonts w:ascii="Arial" w:hAnsi="Arial" w:cs="Arial"/>
                <w:color w:val="000000"/>
                <w:sz w:val="18"/>
                <w:szCs w:val="18"/>
              </w:rPr>
              <w:t>其中：权益法下在被投资单位以后将重分类进损益的其他综合收益中享有的份额</w:t>
            </w:r>
          </w:p>
        </w:tc>
        <w:tc>
          <w:tcPr>
            <w:tcW w:w="56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Pr>
                <w:rFonts w:ascii="Arial" w:hAnsi="Arial" w:cs="Arial" w:hint="eastAsia"/>
                <w:color w:val="000000"/>
                <w:sz w:val="18"/>
                <w:szCs w:val="18"/>
              </w:rPr>
              <w:t>-</w:t>
            </w:r>
            <w:r w:rsidRPr="00F040B1">
              <w:rPr>
                <w:rFonts w:ascii="Arial" w:hAnsi="Arial" w:cs="Arial"/>
                <w:color w:val="000000"/>
                <w:sz w:val="18"/>
                <w:szCs w:val="18"/>
              </w:rPr>
              <w:t>7,557,376.99</w:t>
            </w:r>
          </w:p>
        </w:tc>
        <w:tc>
          <w:tcPr>
            <w:tcW w:w="568"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3,666,226.88</w:t>
            </w:r>
          </w:p>
        </w:tc>
        <w:tc>
          <w:tcPr>
            <w:tcW w:w="551"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4"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3,666,226.88</w:t>
            </w: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Pr>
                <w:rFonts w:ascii="Arial" w:hAnsi="Arial" w:cs="Arial" w:hint="eastAsia"/>
                <w:color w:val="000000"/>
                <w:sz w:val="18"/>
                <w:szCs w:val="18"/>
              </w:rPr>
              <w:t>-</w:t>
            </w:r>
            <w:r w:rsidRPr="00F040B1">
              <w:rPr>
                <w:rFonts w:ascii="Arial" w:hAnsi="Arial" w:cs="Arial"/>
                <w:color w:val="000000"/>
                <w:sz w:val="18"/>
                <w:szCs w:val="18"/>
              </w:rPr>
              <w:t>3,891,150.11</w:t>
            </w: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color w:val="000000"/>
                <w:sz w:val="18"/>
                <w:szCs w:val="18"/>
              </w:rPr>
            </w:pPr>
            <w:r w:rsidRPr="00F040B1">
              <w:rPr>
                <w:rFonts w:ascii="Arial" w:hAnsi="Arial" w:cs="Arial"/>
                <w:color w:val="000000"/>
                <w:sz w:val="18"/>
                <w:szCs w:val="18"/>
              </w:rPr>
              <w:t>可供出售金融资产公允价值变动损益</w:t>
            </w:r>
          </w:p>
        </w:tc>
        <w:tc>
          <w:tcPr>
            <w:tcW w:w="56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226,113,435.24</w:t>
            </w:r>
          </w:p>
        </w:tc>
        <w:tc>
          <w:tcPr>
            <w:tcW w:w="568"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608,371,805.38</w:t>
            </w:r>
          </w:p>
        </w:tc>
        <w:tc>
          <w:tcPr>
            <w:tcW w:w="551"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color w:val="000000"/>
                <w:sz w:val="18"/>
                <w:szCs w:val="18"/>
              </w:rPr>
              <w:t>3,925,243.74</w:t>
            </w:r>
          </w:p>
        </w:tc>
        <w:tc>
          <w:tcPr>
            <w:tcW w:w="536"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153,059,967.84</w:t>
            </w:r>
          </w:p>
        </w:tc>
        <w:tc>
          <w:tcPr>
            <w:tcW w:w="554"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455,311,837.54</w:t>
            </w: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sidRPr="00F040B1">
              <w:rPr>
                <w:rFonts w:ascii="Arial" w:hAnsi="Arial" w:cs="Arial"/>
                <w:color w:val="000000"/>
                <w:sz w:val="18"/>
                <w:szCs w:val="18"/>
              </w:rPr>
              <w:t>681,425,272.78</w:t>
            </w: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color w:val="000000"/>
                <w:sz w:val="18"/>
                <w:szCs w:val="18"/>
              </w:rPr>
            </w:pPr>
            <w:r w:rsidRPr="00F040B1">
              <w:rPr>
                <w:rFonts w:ascii="Arial" w:hAnsi="Arial" w:cs="Arial"/>
                <w:color w:val="000000"/>
                <w:sz w:val="18"/>
                <w:szCs w:val="18"/>
              </w:rPr>
              <w:t>持有至到期投资重分类为可供出售金融资产损益</w:t>
            </w:r>
          </w:p>
        </w:tc>
        <w:tc>
          <w:tcPr>
            <w:tcW w:w="567"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68"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1"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4"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color w:val="000000"/>
                <w:sz w:val="18"/>
                <w:szCs w:val="18"/>
              </w:rPr>
            </w:pPr>
            <w:r w:rsidRPr="00F040B1">
              <w:rPr>
                <w:rFonts w:ascii="Arial" w:hAnsi="Arial" w:cs="Arial"/>
                <w:color w:val="000000"/>
                <w:sz w:val="18"/>
                <w:szCs w:val="18"/>
              </w:rPr>
              <w:t>现金流量套期损益的有效部分</w:t>
            </w:r>
          </w:p>
        </w:tc>
        <w:tc>
          <w:tcPr>
            <w:tcW w:w="567"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68"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1"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4"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spacing w:line="240" w:lineRule="exact"/>
              <w:rPr>
                <w:rFonts w:ascii="Arial" w:hAnsi="Arial" w:cs="Arial"/>
                <w:color w:val="000000"/>
                <w:sz w:val="18"/>
                <w:szCs w:val="18"/>
              </w:rPr>
            </w:pPr>
            <w:r w:rsidRPr="00F040B1">
              <w:rPr>
                <w:rFonts w:ascii="Arial" w:hAnsi="Arial" w:cs="Arial"/>
                <w:color w:val="000000"/>
                <w:sz w:val="18"/>
                <w:szCs w:val="18"/>
              </w:rPr>
              <w:t>外币财务报表折算差额</w:t>
            </w:r>
          </w:p>
        </w:tc>
        <w:tc>
          <w:tcPr>
            <w:tcW w:w="56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Pr>
                <w:rFonts w:ascii="Arial" w:hAnsi="Arial" w:cs="Arial" w:hint="eastAsia"/>
                <w:color w:val="000000"/>
                <w:sz w:val="18"/>
                <w:szCs w:val="18"/>
              </w:rPr>
              <w:t>-</w:t>
            </w:r>
            <w:r w:rsidRPr="00F040B1">
              <w:rPr>
                <w:rFonts w:ascii="Arial" w:hAnsi="Arial" w:cs="Arial"/>
                <w:color w:val="000000"/>
                <w:sz w:val="18"/>
                <w:szCs w:val="18"/>
              </w:rPr>
              <w:t>233,200,265.69</w:t>
            </w:r>
          </w:p>
        </w:tc>
        <w:tc>
          <w:tcPr>
            <w:tcW w:w="568"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Pr>
                <w:rFonts w:ascii="Arial" w:hAnsi="Arial" w:cs="Arial" w:hint="eastAsia"/>
                <w:color w:val="000000"/>
                <w:sz w:val="18"/>
                <w:szCs w:val="18"/>
              </w:rPr>
              <w:t>-</w:t>
            </w:r>
            <w:r w:rsidRPr="00F040B1">
              <w:rPr>
                <w:rFonts w:ascii="Arial" w:hAnsi="Arial" w:cs="Arial"/>
                <w:color w:val="000000"/>
                <w:sz w:val="18"/>
                <w:szCs w:val="18"/>
              </w:rPr>
              <w:t>613,858.40</w:t>
            </w:r>
          </w:p>
        </w:tc>
        <w:tc>
          <w:tcPr>
            <w:tcW w:w="551"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36"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4"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Pr>
                <w:rFonts w:ascii="Arial" w:hAnsi="Arial" w:cs="Arial" w:hint="eastAsia"/>
                <w:color w:val="000000"/>
                <w:sz w:val="18"/>
                <w:szCs w:val="18"/>
              </w:rPr>
              <w:t>-</w:t>
            </w:r>
            <w:r w:rsidRPr="00F040B1">
              <w:rPr>
                <w:rFonts w:ascii="Arial" w:hAnsi="Arial" w:cs="Arial"/>
                <w:color w:val="000000"/>
                <w:sz w:val="18"/>
                <w:szCs w:val="18"/>
              </w:rPr>
              <w:t>613,858.40</w:t>
            </w:r>
          </w:p>
        </w:tc>
        <w:tc>
          <w:tcPr>
            <w:tcW w:w="295" w:type="pct"/>
            <w:tcBorders>
              <w:top w:val="nil"/>
              <w:left w:val="nil"/>
              <w:bottom w:val="nil"/>
              <w:right w:val="nil"/>
            </w:tcBorders>
            <w:shd w:val="clear" w:color="auto" w:fill="auto"/>
            <w:vAlign w:val="center"/>
            <w:hideMark/>
          </w:tcPr>
          <w:p w:rsidR="00DE031E" w:rsidRPr="00F040B1" w:rsidRDefault="00DE031E" w:rsidP="00DE031E">
            <w:pPr>
              <w:jc w:val="right"/>
              <w:rPr>
                <w:rFonts w:ascii="Arial" w:hAnsi="Arial" w:cs="Arial"/>
                <w:color w:val="000000"/>
                <w:sz w:val="18"/>
                <w:szCs w:val="18"/>
              </w:rPr>
            </w:pPr>
          </w:p>
        </w:tc>
        <w:tc>
          <w:tcPr>
            <w:tcW w:w="557" w:type="pct"/>
            <w:tcBorders>
              <w:top w:val="nil"/>
              <w:left w:val="nil"/>
              <w:bottom w:val="nil"/>
              <w:right w:val="nil"/>
            </w:tcBorders>
            <w:shd w:val="clear" w:color="auto" w:fill="auto"/>
            <w:vAlign w:val="center"/>
            <w:hideMark/>
          </w:tcPr>
          <w:p w:rsidR="00DE031E" w:rsidRPr="00F040B1" w:rsidRDefault="001C1A59" w:rsidP="00DE031E">
            <w:pPr>
              <w:jc w:val="right"/>
              <w:rPr>
                <w:rFonts w:ascii="Arial" w:hAnsi="Arial" w:cs="Arial"/>
                <w:color w:val="000000"/>
                <w:sz w:val="18"/>
                <w:szCs w:val="18"/>
              </w:rPr>
            </w:pPr>
            <w:r>
              <w:rPr>
                <w:rFonts w:ascii="Arial" w:hAnsi="Arial" w:cs="Arial" w:hint="eastAsia"/>
                <w:color w:val="000000"/>
                <w:sz w:val="18"/>
                <w:szCs w:val="18"/>
              </w:rPr>
              <w:t>-</w:t>
            </w:r>
            <w:r w:rsidRPr="00F040B1">
              <w:rPr>
                <w:rFonts w:ascii="Arial" w:hAnsi="Arial" w:cs="Arial"/>
                <w:color w:val="000000"/>
                <w:sz w:val="18"/>
                <w:szCs w:val="18"/>
              </w:rPr>
              <w:t>233,814,124.09</w:t>
            </w:r>
          </w:p>
        </w:tc>
      </w:tr>
      <w:tr w:rsidR="00DE031E" w:rsidRPr="00F040B1" w:rsidTr="00DE031E">
        <w:trPr>
          <w:trHeight w:hRule="exact" w:val="567"/>
          <w:jc w:val="center"/>
        </w:trPr>
        <w:tc>
          <w:tcPr>
            <w:tcW w:w="1371" w:type="pct"/>
            <w:tcBorders>
              <w:top w:val="nil"/>
              <w:left w:val="nil"/>
              <w:bottom w:val="nil"/>
              <w:right w:val="nil"/>
            </w:tcBorders>
            <w:shd w:val="clear" w:color="auto" w:fill="auto"/>
            <w:vAlign w:val="center"/>
            <w:hideMark/>
          </w:tcPr>
          <w:p w:rsidR="00DE031E" w:rsidRPr="00F040B1" w:rsidRDefault="001C1A59" w:rsidP="00DE031E">
            <w:pPr>
              <w:rPr>
                <w:rFonts w:ascii="Arial" w:hAnsi="Arial" w:cs="Arial"/>
                <w:b/>
                <w:bCs/>
                <w:color w:val="000000"/>
                <w:sz w:val="18"/>
                <w:szCs w:val="18"/>
              </w:rPr>
            </w:pPr>
            <w:r w:rsidRPr="00F040B1">
              <w:rPr>
                <w:rFonts w:ascii="Arial" w:hAnsi="Arial" w:cs="Arial"/>
                <w:b/>
                <w:bCs/>
                <w:color w:val="000000"/>
                <w:sz w:val="18"/>
                <w:szCs w:val="18"/>
              </w:rPr>
              <w:t>其他综合收益合计</w:t>
            </w:r>
          </w:p>
        </w:tc>
        <w:tc>
          <w:tcPr>
            <w:tcW w:w="56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-14,644,207.44</w:t>
            </w:r>
          </w:p>
        </w:tc>
        <w:tc>
          <w:tcPr>
            <w:tcW w:w="568"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611,424,173.86</w:t>
            </w:r>
          </w:p>
        </w:tc>
        <w:tc>
          <w:tcPr>
            <w:tcW w:w="551"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3,925,243.74</w:t>
            </w:r>
          </w:p>
        </w:tc>
        <w:tc>
          <w:tcPr>
            <w:tcW w:w="536"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153,059,967.84</w:t>
            </w:r>
          </w:p>
        </w:tc>
        <w:tc>
          <w:tcPr>
            <w:tcW w:w="554"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458,364,206.02</w:t>
            </w:r>
          </w:p>
        </w:tc>
        <w:tc>
          <w:tcPr>
            <w:tcW w:w="295" w:type="pct"/>
            <w:tcBorders>
              <w:top w:val="nil"/>
              <w:left w:val="nil"/>
              <w:bottom w:val="nil"/>
              <w:right w:val="nil"/>
            </w:tcBorders>
            <w:shd w:val="clear" w:color="auto" w:fill="auto"/>
            <w:noWrap/>
            <w:vAlign w:val="center"/>
            <w:hideMark/>
          </w:tcPr>
          <w:p w:rsidR="00DE031E" w:rsidRPr="00F040B1" w:rsidRDefault="00DE031E" w:rsidP="00DE031E">
            <w:pPr>
              <w:jc w:val="right"/>
              <w:rPr>
                <w:rFonts w:ascii="Arial" w:hAnsi="Arial" w:cs="Arial"/>
                <w:b/>
                <w:bCs/>
                <w:color w:val="000000"/>
                <w:sz w:val="18"/>
                <w:szCs w:val="18"/>
              </w:rPr>
            </w:pPr>
          </w:p>
        </w:tc>
        <w:tc>
          <w:tcPr>
            <w:tcW w:w="557" w:type="pct"/>
            <w:tcBorders>
              <w:top w:val="nil"/>
              <w:left w:val="nil"/>
              <w:bottom w:val="nil"/>
              <w:right w:val="nil"/>
            </w:tcBorders>
            <w:shd w:val="clear" w:color="auto" w:fill="auto"/>
            <w:noWrap/>
            <w:vAlign w:val="center"/>
            <w:hideMark/>
          </w:tcPr>
          <w:p w:rsidR="00DE031E" w:rsidRPr="00F040B1" w:rsidRDefault="001C1A59" w:rsidP="00DE031E">
            <w:pPr>
              <w:jc w:val="right"/>
              <w:rPr>
                <w:rFonts w:ascii="Arial" w:hAnsi="Arial" w:cs="Arial"/>
                <w:b/>
                <w:bCs/>
                <w:color w:val="000000"/>
                <w:sz w:val="18"/>
                <w:szCs w:val="18"/>
              </w:rPr>
            </w:pPr>
            <w:r w:rsidRPr="00F040B1">
              <w:rPr>
                <w:rFonts w:ascii="Arial" w:hAnsi="Arial" w:cs="Arial"/>
                <w:b/>
                <w:bCs/>
                <w:color w:val="000000"/>
                <w:sz w:val="18"/>
                <w:szCs w:val="18"/>
              </w:rPr>
              <w:t>443,719,998.58</w:t>
            </w:r>
          </w:p>
        </w:tc>
      </w:tr>
    </w:tbl>
    <w:p w:rsidR="00DE031E" w:rsidRDefault="001C1A59" w:rsidP="00DE031E">
      <w:r>
        <w:br w:type="page"/>
      </w:r>
    </w:p>
    <w:p w:rsidR="00DE031E" w:rsidRDefault="00DE031E" w:rsidP="00DE031E">
      <w:pPr>
        <w:sectPr w:rsidR="00DE031E" w:rsidSect="00DE031E">
          <w:headerReference w:type="default" r:id="rId24"/>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tag w:val="_GBC_fc97b66d150f4d31ba9096ec58341715"/>
        <w:id w:val="24725489"/>
        <w:lock w:val="sdtLocked"/>
        <w:placeholder>
          <w:docPart w:val="GBC22222222222222222222222222222"/>
        </w:placeholder>
      </w:sdtPr>
      <w:sdtEndPr>
        <w:rPr>
          <w:rFonts w:cstheme="minorBidi" w:hint="default"/>
          <w:kern w:val="2"/>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盈余公积</w:t>
          </w:r>
        </w:p>
        <w:p w:rsidR="00DE031E" w:rsidRDefault="001C1A59">
          <w:pPr>
            <w:jc w:val="right"/>
            <w:rPr>
              <w:szCs w:val="21"/>
            </w:rPr>
          </w:pPr>
          <w:r>
            <w:rPr>
              <w:rFonts w:hint="eastAsia"/>
              <w:szCs w:val="21"/>
            </w:rPr>
            <w:t>单位：</w:t>
          </w:r>
          <w:sdt>
            <w:sdtPr>
              <w:rPr>
                <w:rFonts w:hint="eastAsia"/>
                <w:szCs w:val="21"/>
              </w:rPr>
              <w:alias w:val="单位：财务附注：盈余公积"/>
              <w:tag w:val="_GBC_ea3204141ce3498eaccd14c833f64973"/>
              <w:id w:val="24725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24725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592"/>
            <w:gridCol w:w="1920"/>
            <w:gridCol w:w="1724"/>
            <w:gridCol w:w="1737"/>
            <w:gridCol w:w="1920"/>
          </w:tblGrid>
          <w:tr w:rsidR="00DE031E" w:rsidTr="00DE031E">
            <w:tc>
              <w:tcPr>
                <w:tcW w:w="940"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期末余额</w:t>
                </w:r>
              </w:p>
            </w:tc>
          </w:tr>
          <w:tr w:rsidR="00DE031E" w:rsidTr="00DE031E">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autoSpaceDE w:val="0"/>
                  <w:autoSpaceDN w:val="0"/>
                  <w:adjustRightInd w:val="0"/>
                  <w:snapToGrid w:val="0"/>
                  <w:rPr>
                    <w:szCs w:val="21"/>
                  </w:rPr>
                </w:pPr>
                <w:r>
                  <w:rPr>
                    <w:rFonts w:hint="eastAsia"/>
                    <w:szCs w:val="21"/>
                  </w:rPr>
                  <w:t>法定盈余公积</w:t>
                </w:r>
              </w:p>
            </w:tc>
            <w:sdt>
              <w:sdtPr>
                <w:rPr>
                  <w:szCs w:val="21"/>
                </w:rPr>
                <w:alias w:val="法定盈余公积合计"/>
                <w:tag w:val="_GBC_0e8cc71d78cd4ef5ac851dfa600977db"/>
                <w:id w:val="24725465"/>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autoSpaceDE w:val="0"/>
                      <w:autoSpaceDN w:val="0"/>
                      <w:adjustRightInd w:val="0"/>
                      <w:snapToGrid w:val="0"/>
                      <w:ind w:right="180"/>
                      <w:jc w:val="right"/>
                      <w:rPr>
                        <w:szCs w:val="21"/>
                      </w:rPr>
                    </w:pPr>
                    <w:r>
                      <w:rPr>
                        <w:szCs w:val="21"/>
                      </w:rPr>
                      <w:t>2,400,210,713.47</w:t>
                    </w:r>
                  </w:p>
                </w:tc>
              </w:sdtContent>
            </w:sdt>
            <w:sdt>
              <w:sdtPr>
                <w:rPr>
                  <w:szCs w:val="21"/>
                </w:rPr>
                <w:alias w:val="法定盈余公积增加数"/>
                <w:tag w:val="_GBC_8f3954bb0c354b4fae0c2bbe672f3d75"/>
                <w:id w:val="2472546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法定盈余公积减少数"/>
                <w:tag w:val="_GBC_064c6e4020c94d7b82caaa61d1c143ab"/>
                <w:id w:val="24725467"/>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法定盈余公积合计"/>
                <w:tag w:val="_GBC_5823a23ab30d4df3b9485fc6a56fad37"/>
                <w:id w:val="2472546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1C1A59" w:rsidP="00DE031E">
                    <w:pPr>
                      <w:autoSpaceDE w:val="0"/>
                      <w:autoSpaceDN w:val="0"/>
                      <w:adjustRightInd w:val="0"/>
                      <w:snapToGrid w:val="0"/>
                      <w:ind w:right="180"/>
                      <w:jc w:val="right"/>
                      <w:rPr>
                        <w:szCs w:val="21"/>
                      </w:rPr>
                    </w:pPr>
                    <w:r>
                      <w:rPr>
                        <w:szCs w:val="21"/>
                      </w:rPr>
                      <w:t>2,400,210,713.47</w:t>
                    </w:r>
                  </w:p>
                </w:tc>
              </w:sdtContent>
            </w:sdt>
          </w:tr>
          <w:tr w:rsidR="00DE031E" w:rsidTr="00DE031E">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autoSpaceDE w:val="0"/>
                  <w:autoSpaceDN w:val="0"/>
                  <w:adjustRightInd w:val="0"/>
                  <w:snapToGrid w:val="0"/>
                  <w:rPr>
                    <w:szCs w:val="21"/>
                  </w:rPr>
                </w:pPr>
                <w:r>
                  <w:rPr>
                    <w:rFonts w:hint="eastAsia"/>
                    <w:szCs w:val="21"/>
                  </w:rPr>
                  <w:t>任意盈余公积</w:t>
                </w:r>
              </w:p>
            </w:tc>
            <w:sdt>
              <w:sdtPr>
                <w:rPr>
                  <w:szCs w:val="21"/>
                </w:rPr>
                <w:alias w:val="任意盈余公积合计"/>
                <w:tag w:val="_GBC_99f3e93a28ce415d9d34f162d3c9150a"/>
                <w:id w:val="24725469"/>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任意盈余公积增加数"/>
                <w:tag w:val="_GBC_e8ef547fdcdb42c6b6faf9741678464d"/>
                <w:id w:val="24725470"/>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任意盈余公积减少数"/>
                <w:tag w:val="_GBC_ceb1d15251bc44c69f77069343165dbb"/>
                <w:id w:val="24725471"/>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任意盈余公积合计"/>
                <w:tag w:val="_GBC_87ff74b4bfac4070becb588336d70f45"/>
                <w:id w:val="2472547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tr>
          <w:tr w:rsidR="00DE031E" w:rsidTr="00DE031E">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autoSpaceDE w:val="0"/>
                  <w:autoSpaceDN w:val="0"/>
                  <w:adjustRightInd w:val="0"/>
                  <w:snapToGrid w:val="0"/>
                  <w:rPr>
                    <w:szCs w:val="21"/>
                  </w:rPr>
                </w:pPr>
                <w:r>
                  <w:rPr>
                    <w:rFonts w:hint="eastAsia"/>
                    <w:szCs w:val="21"/>
                  </w:rPr>
                  <w:t>储备基金</w:t>
                </w:r>
              </w:p>
            </w:tc>
            <w:sdt>
              <w:sdtPr>
                <w:rPr>
                  <w:szCs w:val="21"/>
                </w:rPr>
                <w:alias w:val="储备基金合计"/>
                <w:tag w:val="_GBC_b742e37a326c40afa59624967251e801"/>
                <w:id w:val="24725473"/>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储备基金增加数"/>
                <w:tag w:val="_GBC_7a38bfe6db1e44e7a0be11b0286b469d"/>
                <w:id w:val="2472547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储备基金减少数"/>
                <w:tag w:val="_GBC_e698f7184f9e481092e250d5994e072a"/>
                <w:id w:val="24725475"/>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储备基金合计"/>
                <w:tag w:val="_GBC_e72752d77f824e15a0419b6bbfbed7cb"/>
                <w:id w:val="2472547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tr>
          <w:tr w:rsidR="00DE031E" w:rsidTr="00DE031E">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autoSpaceDE w:val="0"/>
                  <w:autoSpaceDN w:val="0"/>
                  <w:adjustRightInd w:val="0"/>
                  <w:snapToGrid w:val="0"/>
                  <w:rPr>
                    <w:szCs w:val="21"/>
                  </w:rPr>
                </w:pPr>
                <w:r>
                  <w:rPr>
                    <w:rFonts w:hint="eastAsia"/>
                    <w:szCs w:val="21"/>
                  </w:rPr>
                  <w:t>企业发展基金</w:t>
                </w:r>
              </w:p>
            </w:tc>
            <w:sdt>
              <w:sdtPr>
                <w:rPr>
                  <w:szCs w:val="21"/>
                </w:rPr>
                <w:alias w:val="企业发展基金合计"/>
                <w:tag w:val="_GBC_300bd60ca4e64ff9a561aa0596109efd"/>
                <w:id w:val="24725477"/>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企业发展基金增加数"/>
                <w:tag w:val="_GBC_a0438322fe204144a5c6c90e69652547"/>
                <w:id w:val="2472547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企业发展基金减少数"/>
                <w:tag w:val="_GBC_338d6c10013e4804847554c487a12f26"/>
                <w:id w:val="24725479"/>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企业发展基金合计"/>
                <w:tag w:val="_GBC_dadb07a3df8b4fc18c849d3482dccc2e"/>
                <w:id w:val="24725480"/>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tr>
          <w:tr w:rsidR="00DE031E" w:rsidTr="00DE031E">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Default="001C1A59" w:rsidP="00DE031E">
                <w:pPr>
                  <w:autoSpaceDE w:val="0"/>
                  <w:autoSpaceDN w:val="0"/>
                  <w:adjustRightInd w:val="0"/>
                  <w:snapToGrid w:val="0"/>
                  <w:rPr>
                    <w:szCs w:val="21"/>
                  </w:rPr>
                </w:pPr>
                <w:r>
                  <w:rPr>
                    <w:rFonts w:hint="eastAsia"/>
                    <w:szCs w:val="21"/>
                  </w:rPr>
                  <w:t>其他</w:t>
                </w:r>
              </w:p>
            </w:tc>
            <w:sdt>
              <w:sdtPr>
                <w:rPr>
                  <w:szCs w:val="21"/>
                </w:rPr>
                <w:alias w:val="其他盈余公积"/>
                <w:tag w:val="_GBC_20e6b61f2ba049aba895d839f53c5810"/>
                <w:id w:val="24725481"/>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其他盈余公积增加数"/>
                <w:tag w:val="_GBC_592d5c84597044e19bfcce383f199240"/>
                <w:id w:val="2472548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其他盈余公积减少数"/>
                <w:tag w:val="_GBC_e400e47a63b44859b7755e3117a9f6f7"/>
                <w:id w:val="24725483"/>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sdt>
              <w:sdtPr>
                <w:rPr>
                  <w:szCs w:val="21"/>
                </w:rPr>
                <w:alias w:val="其他盈余公积"/>
                <w:tag w:val="_GBC_eaf36cbead8c4671b9859e6af7d83bcf"/>
                <w:id w:val="2472548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E031E" w:rsidRDefault="00DE031E" w:rsidP="00DE031E">
                    <w:pPr>
                      <w:autoSpaceDE w:val="0"/>
                      <w:autoSpaceDN w:val="0"/>
                      <w:adjustRightInd w:val="0"/>
                      <w:snapToGrid w:val="0"/>
                      <w:ind w:right="180"/>
                      <w:jc w:val="right"/>
                      <w:rPr>
                        <w:szCs w:val="21"/>
                      </w:rPr>
                    </w:pPr>
                  </w:p>
                </w:tc>
              </w:sdtContent>
            </w:sdt>
          </w:tr>
          <w:tr w:rsidR="00DE031E" w:rsidTr="00DE031E">
            <w:tc>
              <w:tcPr>
                <w:tcW w:w="940"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24725485"/>
                <w:lock w:val="sdtLocked"/>
              </w:sdtPr>
              <w:sdtContent>
                <w:tc>
                  <w:tcPr>
                    <w:tcW w:w="1011"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ind w:right="180"/>
                      <w:jc w:val="right"/>
                      <w:rPr>
                        <w:szCs w:val="21"/>
                      </w:rPr>
                    </w:pPr>
                    <w:r>
                      <w:rPr>
                        <w:szCs w:val="21"/>
                      </w:rPr>
                      <w:t>2,400,210,713.47</w:t>
                    </w:r>
                  </w:p>
                </w:tc>
              </w:sdtContent>
            </w:sdt>
            <w:sdt>
              <w:sdtPr>
                <w:rPr>
                  <w:szCs w:val="21"/>
                </w:rPr>
                <w:alias w:val="盈余公积增加"/>
                <w:tag w:val="_GBC_c61727c2ffbd4fbab644cff2c4826090"/>
                <w:id w:val="24725486"/>
                <w:lock w:val="sdtLocked"/>
              </w:sdtPr>
              <w:sdtContent>
                <w:tc>
                  <w:tcPr>
                    <w:tcW w:w="1014" w:type="pct"/>
                    <w:tcBorders>
                      <w:top w:val="single" w:sz="6" w:space="0" w:color="auto"/>
                      <w:left w:val="single" w:sz="6" w:space="0" w:color="auto"/>
                      <w:bottom w:val="single" w:sz="6" w:space="0" w:color="auto"/>
                      <w:right w:val="single" w:sz="6" w:space="0" w:color="auto"/>
                    </w:tcBorders>
                  </w:tcPr>
                  <w:p w:rsidR="00DE031E" w:rsidRDefault="00DE031E" w:rsidP="00DE031E">
                    <w:pPr>
                      <w:autoSpaceDE w:val="0"/>
                      <w:autoSpaceDN w:val="0"/>
                      <w:adjustRightInd w:val="0"/>
                      <w:snapToGrid w:val="0"/>
                      <w:ind w:right="180"/>
                      <w:jc w:val="right"/>
                      <w:rPr>
                        <w:szCs w:val="21"/>
                      </w:rPr>
                    </w:pPr>
                  </w:p>
                </w:tc>
              </w:sdtContent>
            </w:sdt>
            <w:sdt>
              <w:sdtPr>
                <w:rPr>
                  <w:szCs w:val="21"/>
                </w:rPr>
                <w:alias w:val="盈余公积减少"/>
                <w:tag w:val="_GBC_9cc176398dfd4135a144afc53cb1f3f4"/>
                <w:id w:val="24725487"/>
                <w:lock w:val="sdtLocked"/>
              </w:sdtPr>
              <w:sdtContent>
                <w:tc>
                  <w:tcPr>
                    <w:tcW w:w="1021" w:type="pct"/>
                    <w:tcBorders>
                      <w:top w:val="single" w:sz="6" w:space="0" w:color="auto"/>
                      <w:left w:val="single" w:sz="6" w:space="0" w:color="auto"/>
                      <w:bottom w:val="single" w:sz="6" w:space="0" w:color="auto"/>
                      <w:right w:val="single" w:sz="6" w:space="0" w:color="auto"/>
                    </w:tcBorders>
                  </w:tcPr>
                  <w:p w:rsidR="00DE031E" w:rsidRDefault="00DE031E" w:rsidP="00DE031E">
                    <w:pPr>
                      <w:autoSpaceDE w:val="0"/>
                      <w:autoSpaceDN w:val="0"/>
                      <w:adjustRightInd w:val="0"/>
                      <w:snapToGrid w:val="0"/>
                      <w:ind w:right="180"/>
                      <w:jc w:val="right"/>
                      <w:rPr>
                        <w:szCs w:val="21"/>
                      </w:rPr>
                    </w:pPr>
                  </w:p>
                </w:tc>
              </w:sdtContent>
            </w:sdt>
            <w:sdt>
              <w:sdtPr>
                <w:rPr>
                  <w:szCs w:val="21"/>
                </w:rPr>
                <w:alias w:val="盈余公积"/>
                <w:tag w:val="_GBC_3039f81cf7e045369f504a0b96294727"/>
                <w:id w:val="24725488"/>
                <w:lock w:val="sdtLocked"/>
              </w:sdtPr>
              <w:sdtContent>
                <w:tc>
                  <w:tcPr>
                    <w:tcW w:w="1014"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ind w:right="180"/>
                      <w:jc w:val="right"/>
                      <w:rPr>
                        <w:szCs w:val="21"/>
                      </w:rPr>
                    </w:pPr>
                    <w:r>
                      <w:rPr>
                        <w:szCs w:val="21"/>
                      </w:rPr>
                      <w:t>2,400,210,713.47</w:t>
                    </w:r>
                  </w:p>
                </w:tc>
              </w:sdtContent>
            </w:sdt>
          </w:tr>
        </w:tbl>
        <w:p w:rsidR="00DE031E" w:rsidRDefault="00422DCA">
          <w:pPr>
            <w:autoSpaceDE w:val="0"/>
            <w:autoSpaceDN w:val="0"/>
            <w:adjustRightInd w:val="0"/>
            <w:rPr>
              <w:color w:val="000000" w:themeColor="text1"/>
              <w:szCs w:val="21"/>
            </w:rPr>
          </w:pPr>
        </w:p>
      </w:sdtContent>
    </w:sdt>
    <w:sdt>
      <w:sdtPr>
        <w:rPr>
          <w:rFonts w:ascii="宋体" w:hAnsi="宋体" w:cs="宋体" w:hint="eastAsia"/>
          <w:b w:val="0"/>
          <w:bCs w:val="0"/>
          <w:kern w:val="0"/>
          <w:szCs w:val="21"/>
        </w:rPr>
        <w:tag w:val="_GBC_49c46a0dc2944110985622061eea0431"/>
        <w:id w:val="24725512"/>
        <w:lock w:val="sdtLocked"/>
        <w:placeholder>
          <w:docPart w:val="GBC22222222222222222222222222222"/>
        </w:placeholder>
      </w:sdtPr>
      <w:sdtContent>
        <w:p w:rsidR="00DE031E" w:rsidRDefault="001C1A59" w:rsidP="009950AC">
          <w:pPr>
            <w:pStyle w:val="3"/>
            <w:numPr>
              <w:ilvl w:val="0"/>
              <w:numId w:val="41"/>
            </w:numPr>
            <w:tabs>
              <w:tab w:val="left" w:pos="504"/>
            </w:tabs>
            <w:spacing w:line="360" w:lineRule="auto"/>
            <w:rPr>
              <w:rFonts w:ascii="宋体" w:hAnsi="宋体"/>
              <w:szCs w:val="21"/>
            </w:rPr>
          </w:pPr>
          <w:r>
            <w:rPr>
              <w:rFonts w:hint="eastAsia"/>
              <w:szCs w:val="21"/>
            </w:rPr>
            <w:t>一般风险</w:t>
          </w:r>
          <w:r>
            <w:rPr>
              <w:rFonts w:ascii="宋体" w:hAnsi="宋体" w:hint="eastAsia"/>
              <w:szCs w:val="21"/>
            </w:rPr>
            <w:t>准备</w:t>
          </w:r>
        </w:p>
        <w:sdt>
          <w:sdtPr>
            <w:alias w:val="是否适用：一般风险准备"/>
            <w:tag w:val="_GBC_8f3b292d12a4453891dd41c1275669f3"/>
            <w:id w:val="24725490"/>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rPr>
              <w:rFonts w:hint="eastAsia"/>
            </w:rPr>
            <w:t>单位：</w:t>
          </w:r>
          <w:sdt>
            <w:sdtPr>
              <w:rPr>
                <w:rFonts w:hint="eastAsia"/>
              </w:rPr>
              <w:alias w:val="单位：财务附注：一般风险准备"/>
              <w:tag w:val="_GBC_4c93f8d0fb92421a96cbaf3fc9ff24b8"/>
              <w:id w:val="24725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一般风险准备"/>
              <w:tag w:val="_GBC_db33db2dfff6465f92ac3b6566c70592"/>
              <w:id w:val="24725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0" w:type="auto"/>
            <w:jc w:val="center"/>
            <w:tblInd w:w="-318" w:type="dxa"/>
            <w:tblLook w:val="04A0"/>
          </w:tblPr>
          <w:tblGrid>
            <w:gridCol w:w="1617"/>
            <w:gridCol w:w="1896"/>
            <w:gridCol w:w="1299"/>
            <w:gridCol w:w="1360"/>
            <w:gridCol w:w="1299"/>
            <w:gridCol w:w="1896"/>
          </w:tblGrid>
          <w:tr w:rsidR="00DE031E" w:rsidTr="00DE031E">
            <w:trPr>
              <w:jc w:val="center"/>
            </w:trPr>
            <w:tc>
              <w:tcPr>
                <w:tcW w:w="1617" w:type="dxa"/>
                <w:vAlign w:val="center"/>
              </w:tcPr>
              <w:p w:rsidR="00DE031E" w:rsidRDefault="001C1A59" w:rsidP="00DE031E">
                <w:pPr>
                  <w:jc w:val="center"/>
                  <w:rPr>
                    <w:szCs w:val="21"/>
                  </w:rPr>
                </w:pPr>
                <w:r>
                  <w:rPr>
                    <w:rFonts w:hint="eastAsia"/>
                    <w:szCs w:val="21"/>
                  </w:rPr>
                  <w:t>项目</w:t>
                </w:r>
              </w:p>
            </w:tc>
            <w:tc>
              <w:tcPr>
                <w:tcW w:w="1896" w:type="dxa"/>
                <w:vAlign w:val="center"/>
              </w:tcPr>
              <w:p w:rsidR="00DE031E" w:rsidRDefault="001C1A59" w:rsidP="00DE031E">
                <w:pPr>
                  <w:jc w:val="center"/>
                  <w:rPr>
                    <w:szCs w:val="21"/>
                  </w:rPr>
                </w:pPr>
                <w:r>
                  <w:rPr>
                    <w:rFonts w:hint="eastAsia"/>
                    <w:szCs w:val="21"/>
                  </w:rPr>
                  <w:t>期初余额</w:t>
                </w:r>
              </w:p>
            </w:tc>
            <w:tc>
              <w:tcPr>
                <w:tcW w:w="1299" w:type="dxa"/>
                <w:vAlign w:val="center"/>
              </w:tcPr>
              <w:p w:rsidR="00DE031E" w:rsidRDefault="001C1A59" w:rsidP="00DE031E">
                <w:pPr>
                  <w:jc w:val="center"/>
                  <w:rPr>
                    <w:szCs w:val="21"/>
                  </w:rPr>
                </w:pPr>
                <w:r>
                  <w:rPr>
                    <w:rFonts w:hint="eastAsia"/>
                    <w:szCs w:val="21"/>
                  </w:rPr>
                  <w:t>本期计提</w:t>
                </w:r>
              </w:p>
            </w:tc>
            <w:tc>
              <w:tcPr>
                <w:tcW w:w="1360" w:type="dxa"/>
                <w:vAlign w:val="center"/>
              </w:tcPr>
              <w:p w:rsidR="00DE031E" w:rsidRDefault="001C1A59" w:rsidP="00DE031E">
                <w:pPr>
                  <w:jc w:val="center"/>
                  <w:rPr>
                    <w:szCs w:val="21"/>
                  </w:rPr>
                </w:pPr>
                <w:r>
                  <w:rPr>
                    <w:rFonts w:hint="eastAsia"/>
                    <w:szCs w:val="21"/>
                  </w:rPr>
                  <w:t>计提比例（%）</w:t>
                </w:r>
              </w:p>
            </w:tc>
            <w:tc>
              <w:tcPr>
                <w:tcW w:w="1299" w:type="dxa"/>
                <w:vAlign w:val="center"/>
              </w:tcPr>
              <w:p w:rsidR="00DE031E" w:rsidRDefault="001C1A59" w:rsidP="00DE031E">
                <w:pPr>
                  <w:jc w:val="center"/>
                  <w:rPr>
                    <w:szCs w:val="21"/>
                  </w:rPr>
                </w:pPr>
                <w:r>
                  <w:rPr>
                    <w:rFonts w:hint="eastAsia"/>
                    <w:szCs w:val="21"/>
                  </w:rPr>
                  <w:t>本期减少</w:t>
                </w:r>
              </w:p>
            </w:tc>
            <w:tc>
              <w:tcPr>
                <w:tcW w:w="1896" w:type="dxa"/>
                <w:vAlign w:val="center"/>
              </w:tcPr>
              <w:p w:rsidR="00DE031E" w:rsidRDefault="001C1A59" w:rsidP="00DE031E">
                <w:pPr>
                  <w:jc w:val="center"/>
                  <w:rPr>
                    <w:szCs w:val="21"/>
                  </w:rPr>
                </w:pPr>
                <w:r>
                  <w:rPr>
                    <w:rFonts w:hint="eastAsia"/>
                    <w:szCs w:val="21"/>
                  </w:rPr>
                  <w:t>期末余额</w:t>
                </w:r>
              </w:p>
            </w:tc>
          </w:tr>
          <w:sdt>
            <w:sdtPr>
              <w:rPr>
                <w:rFonts w:asciiTheme="minorHAnsi" w:eastAsiaTheme="minorEastAsia" w:hAnsiTheme="minorHAnsi" w:cstheme="minorBidi" w:hint="eastAsia"/>
                <w:kern w:val="2"/>
                <w:szCs w:val="21"/>
              </w:rPr>
              <w:alias w:val="一般风险准备明细"/>
              <w:tag w:val="_GBC_80120ea49adb4373a3b4e46f65717cbd"/>
              <w:id w:val="24725499"/>
              <w:lock w:val="sdtLocked"/>
            </w:sdtPr>
            <w:sdtContent>
              <w:tr w:rsidR="00DE031E" w:rsidTr="00DE031E">
                <w:trPr>
                  <w:jc w:val="center"/>
                </w:trPr>
                <w:sdt>
                  <w:sdtPr>
                    <w:rPr>
                      <w:rFonts w:asciiTheme="minorHAnsi" w:eastAsiaTheme="minorEastAsia" w:hAnsiTheme="minorHAnsi" w:cstheme="minorBidi" w:hint="eastAsia"/>
                      <w:kern w:val="2"/>
                      <w:szCs w:val="21"/>
                    </w:rPr>
                    <w:alias w:val="一般风险准备明细－项目"/>
                    <w:tag w:val="_GBC_e52f211c6aad414db4d868b04840342f"/>
                    <w:id w:val="24725493"/>
                    <w:lock w:val="sdtLocked"/>
                  </w:sdtPr>
                  <w:sdtEndPr>
                    <w:rPr>
                      <w:rFonts w:ascii="宋体" w:eastAsia="宋体" w:hAnsi="宋体" w:cs="宋体"/>
                      <w:kern w:val="0"/>
                    </w:rPr>
                  </w:sdtEndPr>
                  <w:sdtContent>
                    <w:tc>
                      <w:tcPr>
                        <w:tcW w:w="1617" w:type="dxa"/>
                      </w:tcPr>
                      <w:p w:rsidR="00DE031E" w:rsidRDefault="001C1A59" w:rsidP="00DE031E">
                        <w:pPr>
                          <w:rPr>
                            <w:szCs w:val="21"/>
                          </w:rPr>
                        </w:pPr>
                        <w:r>
                          <w:rPr>
                            <w:rFonts w:hint="eastAsia"/>
                            <w:szCs w:val="21"/>
                          </w:rPr>
                          <w:t>一般风险准备</w:t>
                        </w:r>
                      </w:p>
                    </w:tc>
                  </w:sdtContent>
                </w:sdt>
                <w:sdt>
                  <w:sdtPr>
                    <w:rPr>
                      <w:rFonts w:hint="eastAsia"/>
                      <w:szCs w:val="21"/>
                    </w:rPr>
                    <w:alias w:val="一般风险准备明细－金额"/>
                    <w:tag w:val="_GBC_cbd72d0c050741339764d5ec504cbb2f"/>
                    <w:id w:val="24725494"/>
                    <w:lock w:val="sdtLocked"/>
                  </w:sdtPr>
                  <w:sdtContent>
                    <w:tc>
                      <w:tcPr>
                        <w:tcW w:w="1896" w:type="dxa"/>
                      </w:tcPr>
                      <w:p w:rsidR="00DE031E" w:rsidRDefault="001C1A59" w:rsidP="00DE031E">
                        <w:pPr>
                          <w:jc w:val="right"/>
                          <w:rPr>
                            <w:szCs w:val="21"/>
                          </w:rPr>
                        </w:pPr>
                        <w:r>
                          <w:rPr>
                            <w:rFonts w:hint="eastAsia"/>
                            <w:szCs w:val="21"/>
                          </w:rPr>
                          <w:t>2,400,210,712.92</w:t>
                        </w:r>
                      </w:p>
                    </w:tc>
                  </w:sdtContent>
                </w:sdt>
                <w:sdt>
                  <w:sdtPr>
                    <w:rPr>
                      <w:rFonts w:hint="eastAsia"/>
                      <w:szCs w:val="21"/>
                    </w:rPr>
                    <w:alias w:val="一般风险准备明细－计提金额"/>
                    <w:tag w:val="_GBC_9f78b4b9455143e6b82c45d4ba7452e9"/>
                    <w:id w:val="24725495"/>
                    <w:lock w:val="sdtLocked"/>
                  </w:sdtPr>
                  <w:sdtContent>
                    <w:tc>
                      <w:tcPr>
                        <w:tcW w:w="1299" w:type="dxa"/>
                      </w:tcPr>
                      <w:p w:rsidR="00DE031E" w:rsidRDefault="00DE031E" w:rsidP="00DE031E">
                        <w:pPr>
                          <w:jc w:val="right"/>
                          <w:rPr>
                            <w:szCs w:val="21"/>
                          </w:rPr>
                        </w:pPr>
                      </w:p>
                    </w:tc>
                  </w:sdtContent>
                </w:sdt>
                <w:sdt>
                  <w:sdtPr>
                    <w:rPr>
                      <w:rFonts w:hint="eastAsia"/>
                      <w:szCs w:val="21"/>
                    </w:rPr>
                    <w:alias w:val="一般风险准备明细－计提比例"/>
                    <w:tag w:val="_GBC_f3b59b6683204cd194a4e77ab5f1b2c7"/>
                    <w:id w:val="24725496"/>
                    <w:lock w:val="sdtLocked"/>
                  </w:sdtPr>
                  <w:sdtContent>
                    <w:tc>
                      <w:tcPr>
                        <w:tcW w:w="1360" w:type="dxa"/>
                      </w:tcPr>
                      <w:p w:rsidR="00DE031E" w:rsidRDefault="001C1A59" w:rsidP="00DE031E">
                        <w:pPr>
                          <w:jc w:val="right"/>
                          <w:rPr>
                            <w:szCs w:val="21"/>
                          </w:rPr>
                        </w:pPr>
                        <w:r>
                          <w:rPr>
                            <w:rFonts w:hint="eastAsia"/>
                            <w:szCs w:val="21"/>
                          </w:rPr>
                          <w:t>10%</w:t>
                        </w:r>
                      </w:p>
                    </w:tc>
                  </w:sdtContent>
                </w:sdt>
                <w:sdt>
                  <w:sdtPr>
                    <w:rPr>
                      <w:rFonts w:hint="eastAsia"/>
                      <w:szCs w:val="21"/>
                    </w:rPr>
                    <w:alias w:val="一般风险准备明细－减少额"/>
                    <w:tag w:val="_GBC_c37d4b46290448fa90c564d904950cce"/>
                    <w:id w:val="24725497"/>
                    <w:lock w:val="sdtLocked"/>
                  </w:sdtPr>
                  <w:sdtContent>
                    <w:tc>
                      <w:tcPr>
                        <w:tcW w:w="1299" w:type="dxa"/>
                      </w:tcPr>
                      <w:p w:rsidR="00DE031E" w:rsidRDefault="00DE031E" w:rsidP="00DE031E">
                        <w:pPr>
                          <w:jc w:val="right"/>
                          <w:rPr>
                            <w:szCs w:val="21"/>
                          </w:rPr>
                        </w:pPr>
                      </w:p>
                    </w:tc>
                  </w:sdtContent>
                </w:sdt>
                <w:sdt>
                  <w:sdtPr>
                    <w:rPr>
                      <w:rFonts w:hint="eastAsia"/>
                      <w:szCs w:val="21"/>
                    </w:rPr>
                    <w:alias w:val="一般风险准备明细－金额"/>
                    <w:tag w:val="_GBC_72a064a4d3cd4d818ebafefa371cef36"/>
                    <w:id w:val="24725498"/>
                    <w:lock w:val="sdtLocked"/>
                  </w:sdtPr>
                  <w:sdtContent>
                    <w:tc>
                      <w:tcPr>
                        <w:tcW w:w="1896" w:type="dxa"/>
                      </w:tcPr>
                      <w:p w:rsidR="00DE031E" w:rsidRDefault="001C1A59" w:rsidP="00DE031E">
                        <w:pPr>
                          <w:jc w:val="right"/>
                          <w:rPr>
                            <w:szCs w:val="21"/>
                          </w:rPr>
                        </w:pPr>
                        <w:r>
                          <w:rPr>
                            <w:rFonts w:hint="eastAsia"/>
                            <w:szCs w:val="21"/>
                          </w:rPr>
                          <w:t>2,400,210,712.92</w:t>
                        </w:r>
                      </w:p>
                    </w:tc>
                  </w:sdtContent>
                </w:sdt>
              </w:tr>
            </w:sdtContent>
          </w:sdt>
          <w:sdt>
            <w:sdtPr>
              <w:rPr>
                <w:rFonts w:asciiTheme="minorHAnsi" w:eastAsiaTheme="minorEastAsia" w:hAnsiTheme="minorHAnsi" w:cstheme="minorBidi" w:hint="eastAsia"/>
                <w:kern w:val="2"/>
                <w:szCs w:val="21"/>
              </w:rPr>
              <w:alias w:val="一般风险准备明细"/>
              <w:tag w:val="_GBC_80120ea49adb4373a3b4e46f65717cbd"/>
              <w:id w:val="24725506"/>
              <w:lock w:val="sdtLocked"/>
            </w:sdtPr>
            <w:sdtContent>
              <w:tr w:rsidR="00DE031E" w:rsidTr="00DE031E">
                <w:trPr>
                  <w:jc w:val="center"/>
                </w:trPr>
                <w:sdt>
                  <w:sdtPr>
                    <w:rPr>
                      <w:rFonts w:asciiTheme="minorHAnsi" w:eastAsiaTheme="minorEastAsia" w:hAnsiTheme="minorHAnsi" w:cstheme="minorBidi" w:hint="eastAsia"/>
                      <w:kern w:val="2"/>
                      <w:szCs w:val="21"/>
                    </w:rPr>
                    <w:alias w:val="一般风险准备明细－项目"/>
                    <w:tag w:val="_GBC_e52f211c6aad414db4d868b04840342f"/>
                    <w:id w:val="24725500"/>
                    <w:lock w:val="sdtLocked"/>
                  </w:sdtPr>
                  <w:sdtEndPr>
                    <w:rPr>
                      <w:rFonts w:ascii="宋体" w:eastAsia="宋体" w:hAnsi="宋体" w:cs="宋体"/>
                      <w:kern w:val="0"/>
                    </w:rPr>
                  </w:sdtEndPr>
                  <w:sdtContent>
                    <w:tc>
                      <w:tcPr>
                        <w:tcW w:w="1617" w:type="dxa"/>
                      </w:tcPr>
                      <w:p w:rsidR="00DE031E" w:rsidRDefault="001C1A59" w:rsidP="00DE031E">
                        <w:pPr>
                          <w:rPr>
                            <w:szCs w:val="21"/>
                          </w:rPr>
                        </w:pPr>
                        <w:r>
                          <w:rPr>
                            <w:rFonts w:hint="eastAsia"/>
                            <w:szCs w:val="21"/>
                          </w:rPr>
                          <w:t>交易风险准备</w:t>
                        </w:r>
                      </w:p>
                    </w:tc>
                  </w:sdtContent>
                </w:sdt>
                <w:sdt>
                  <w:sdtPr>
                    <w:rPr>
                      <w:rFonts w:hint="eastAsia"/>
                      <w:szCs w:val="21"/>
                    </w:rPr>
                    <w:alias w:val="一般风险准备明细－金额"/>
                    <w:tag w:val="_GBC_cbd72d0c050741339764d5ec504cbb2f"/>
                    <w:id w:val="24725501"/>
                    <w:lock w:val="sdtLocked"/>
                  </w:sdtPr>
                  <w:sdtContent>
                    <w:tc>
                      <w:tcPr>
                        <w:tcW w:w="1896" w:type="dxa"/>
                      </w:tcPr>
                      <w:p w:rsidR="00DE031E" w:rsidRDefault="001C1A59" w:rsidP="00DE031E">
                        <w:pPr>
                          <w:jc w:val="right"/>
                          <w:rPr>
                            <w:szCs w:val="21"/>
                          </w:rPr>
                        </w:pPr>
                        <w:r>
                          <w:rPr>
                            <w:rFonts w:hint="eastAsia"/>
                            <w:szCs w:val="21"/>
                          </w:rPr>
                          <w:t>2,271,397,707.46</w:t>
                        </w:r>
                      </w:p>
                    </w:tc>
                  </w:sdtContent>
                </w:sdt>
                <w:sdt>
                  <w:sdtPr>
                    <w:rPr>
                      <w:rFonts w:hint="eastAsia"/>
                      <w:szCs w:val="21"/>
                    </w:rPr>
                    <w:alias w:val="一般风险准备明细－计提金额"/>
                    <w:tag w:val="_GBC_9f78b4b9455143e6b82c45d4ba7452e9"/>
                    <w:id w:val="24725502"/>
                    <w:lock w:val="sdtLocked"/>
                  </w:sdtPr>
                  <w:sdtContent>
                    <w:tc>
                      <w:tcPr>
                        <w:tcW w:w="1299" w:type="dxa"/>
                      </w:tcPr>
                      <w:p w:rsidR="00DE031E" w:rsidRDefault="00DE031E" w:rsidP="00DE031E">
                        <w:pPr>
                          <w:jc w:val="right"/>
                          <w:rPr>
                            <w:szCs w:val="21"/>
                          </w:rPr>
                        </w:pPr>
                      </w:p>
                    </w:tc>
                  </w:sdtContent>
                </w:sdt>
                <w:sdt>
                  <w:sdtPr>
                    <w:rPr>
                      <w:rFonts w:hint="eastAsia"/>
                      <w:szCs w:val="21"/>
                    </w:rPr>
                    <w:alias w:val="一般风险准备明细－计提比例"/>
                    <w:tag w:val="_GBC_f3b59b6683204cd194a4e77ab5f1b2c7"/>
                    <w:id w:val="24725503"/>
                    <w:lock w:val="sdtLocked"/>
                  </w:sdtPr>
                  <w:sdtContent>
                    <w:tc>
                      <w:tcPr>
                        <w:tcW w:w="1360" w:type="dxa"/>
                      </w:tcPr>
                      <w:p w:rsidR="00DE031E" w:rsidRDefault="00DE031E" w:rsidP="00DE031E">
                        <w:pPr>
                          <w:jc w:val="right"/>
                          <w:rPr>
                            <w:szCs w:val="21"/>
                          </w:rPr>
                        </w:pPr>
                      </w:p>
                    </w:tc>
                  </w:sdtContent>
                </w:sdt>
                <w:sdt>
                  <w:sdtPr>
                    <w:rPr>
                      <w:rFonts w:hint="eastAsia"/>
                      <w:szCs w:val="21"/>
                    </w:rPr>
                    <w:alias w:val="一般风险准备明细－减少额"/>
                    <w:tag w:val="_GBC_c37d4b46290448fa90c564d904950cce"/>
                    <w:id w:val="24725504"/>
                    <w:lock w:val="sdtLocked"/>
                  </w:sdtPr>
                  <w:sdtContent>
                    <w:tc>
                      <w:tcPr>
                        <w:tcW w:w="1299" w:type="dxa"/>
                      </w:tcPr>
                      <w:p w:rsidR="00DE031E" w:rsidRDefault="00DE031E" w:rsidP="00DE031E">
                        <w:pPr>
                          <w:jc w:val="right"/>
                          <w:rPr>
                            <w:szCs w:val="21"/>
                          </w:rPr>
                        </w:pPr>
                      </w:p>
                    </w:tc>
                  </w:sdtContent>
                </w:sdt>
                <w:sdt>
                  <w:sdtPr>
                    <w:rPr>
                      <w:rFonts w:hint="eastAsia"/>
                      <w:szCs w:val="21"/>
                    </w:rPr>
                    <w:alias w:val="一般风险准备明细－金额"/>
                    <w:tag w:val="_GBC_72a064a4d3cd4d818ebafefa371cef36"/>
                    <w:id w:val="24725505"/>
                    <w:lock w:val="sdtLocked"/>
                  </w:sdtPr>
                  <w:sdtContent>
                    <w:tc>
                      <w:tcPr>
                        <w:tcW w:w="1896" w:type="dxa"/>
                      </w:tcPr>
                      <w:p w:rsidR="00DE031E" w:rsidRDefault="001C1A59" w:rsidP="00DE031E">
                        <w:pPr>
                          <w:jc w:val="right"/>
                          <w:rPr>
                            <w:szCs w:val="21"/>
                          </w:rPr>
                        </w:pPr>
                        <w:r>
                          <w:rPr>
                            <w:rFonts w:hint="eastAsia"/>
                            <w:szCs w:val="21"/>
                          </w:rPr>
                          <w:t>2,271,397,707.46</w:t>
                        </w:r>
                      </w:p>
                    </w:tc>
                  </w:sdtContent>
                </w:sdt>
              </w:tr>
            </w:sdtContent>
          </w:sdt>
          <w:tr w:rsidR="00DE031E" w:rsidTr="00DE031E">
            <w:trPr>
              <w:jc w:val="center"/>
            </w:trPr>
            <w:tc>
              <w:tcPr>
                <w:tcW w:w="1617" w:type="dxa"/>
              </w:tcPr>
              <w:p w:rsidR="00DE031E" w:rsidRDefault="001C1A59" w:rsidP="00DE031E">
                <w:pPr>
                  <w:jc w:val="center"/>
                  <w:rPr>
                    <w:szCs w:val="21"/>
                  </w:rPr>
                </w:pPr>
                <w:r>
                  <w:rPr>
                    <w:rFonts w:hint="eastAsia"/>
                    <w:szCs w:val="21"/>
                  </w:rPr>
                  <w:t>合计</w:t>
                </w:r>
              </w:p>
            </w:tc>
            <w:sdt>
              <w:sdtPr>
                <w:rPr>
                  <w:rFonts w:hint="eastAsia"/>
                  <w:szCs w:val="21"/>
                </w:rPr>
                <w:alias w:val="一般风险准备"/>
                <w:tag w:val="_GBC_f288b0e42ac946c59b163fcc646afa12"/>
                <w:id w:val="24725507"/>
                <w:lock w:val="sdtLocked"/>
              </w:sdtPr>
              <w:sdtContent>
                <w:tc>
                  <w:tcPr>
                    <w:tcW w:w="1896" w:type="dxa"/>
                  </w:tcPr>
                  <w:p w:rsidR="00DE031E" w:rsidRDefault="001C1A59" w:rsidP="00DE031E">
                    <w:pPr>
                      <w:jc w:val="right"/>
                      <w:rPr>
                        <w:szCs w:val="21"/>
                      </w:rPr>
                    </w:pPr>
                    <w:r>
                      <w:rPr>
                        <w:rFonts w:hint="eastAsia"/>
                        <w:szCs w:val="21"/>
                      </w:rPr>
                      <w:t>4,671,608,420.38</w:t>
                    </w:r>
                  </w:p>
                </w:tc>
              </w:sdtContent>
            </w:sdt>
            <w:sdt>
              <w:sdtPr>
                <w:rPr>
                  <w:rFonts w:hint="eastAsia"/>
                  <w:szCs w:val="21"/>
                </w:rPr>
                <w:alias w:val="一般风险准备计提金额合计"/>
                <w:tag w:val="_GBC_832fd502b040402da105c171ef8bfdb0"/>
                <w:id w:val="24725508"/>
                <w:lock w:val="sdtLocked"/>
              </w:sdtPr>
              <w:sdtContent>
                <w:tc>
                  <w:tcPr>
                    <w:tcW w:w="1299" w:type="dxa"/>
                  </w:tcPr>
                  <w:p w:rsidR="00DE031E" w:rsidRDefault="00DE031E" w:rsidP="00DE031E">
                    <w:pPr>
                      <w:jc w:val="right"/>
                      <w:rPr>
                        <w:szCs w:val="21"/>
                      </w:rPr>
                    </w:pPr>
                  </w:p>
                </w:tc>
              </w:sdtContent>
            </w:sdt>
            <w:sdt>
              <w:sdtPr>
                <w:rPr>
                  <w:rFonts w:hint="eastAsia"/>
                  <w:szCs w:val="21"/>
                </w:rPr>
                <w:alias w:val="一般风险准备计提比例"/>
                <w:tag w:val="_GBC_f89affee3736498c8cadfc3e8fb3fb68"/>
                <w:id w:val="24725509"/>
                <w:lock w:val="sdtLocked"/>
              </w:sdtPr>
              <w:sdtContent>
                <w:tc>
                  <w:tcPr>
                    <w:tcW w:w="1360" w:type="dxa"/>
                  </w:tcPr>
                  <w:p w:rsidR="00DE031E" w:rsidRDefault="001C1A59" w:rsidP="00DE031E">
                    <w:pPr>
                      <w:jc w:val="right"/>
                      <w:rPr>
                        <w:szCs w:val="21"/>
                      </w:rPr>
                    </w:pPr>
                    <w:r>
                      <w:rPr>
                        <w:rFonts w:hint="eastAsia"/>
                        <w:szCs w:val="21"/>
                      </w:rPr>
                      <w:t>10%</w:t>
                    </w:r>
                  </w:p>
                </w:tc>
              </w:sdtContent>
            </w:sdt>
            <w:sdt>
              <w:sdtPr>
                <w:rPr>
                  <w:rFonts w:hint="eastAsia"/>
                  <w:szCs w:val="21"/>
                </w:rPr>
                <w:alias w:val="一般风险准备计减少额合计"/>
                <w:tag w:val="_GBC_eca32322e5d64f80b0eff2563b1e2947"/>
                <w:id w:val="24725510"/>
                <w:lock w:val="sdtLocked"/>
              </w:sdtPr>
              <w:sdtContent>
                <w:tc>
                  <w:tcPr>
                    <w:tcW w:w="1299" w:type="dxa"/>
                  </w:tcPr>
                  <w:p w:rsidR="00DE031E" w:rsidRDefault="00DE031E" w:rsidP="00DE031E">
                    <w:pPr>
                      <w:jc w:val="right"/>
                      <w:rPr>
                        <w:szCs w:val="21"/>
                      </w:rPr>
                    </w:pPr>
                  </w:p>
                </w:tc>
              </w:sdtContent>
            </w:sdt>
            <w:sdt>
              <w:sdtPr>
                <w:rPr>
                  <w:rFonts w:hint="eastAsia"/>
                  <w:szCs w:val="21"/>
                </w:rPr>
                <w:alias w:val="一般风险准备"/>
                <w:tag w:val="_GBC_1df7cc59c4754f51b634b26d773d92bd"/>
                <w:id w:val="24725511"/>
                <w:lock w:val="sdtLocked"/>
              </w:sdtPr>
              <w:sdtContent>
                <w:tc>
                  <w:tcPr>
                    <w:tcW w:w="1896" w:type="dxa"/>
                  </w:tcPr>
                  <w:p w:rsidR="00DE031E" w:rsidRDefault="001C1A59" w:rsidP="00DE031E">
                    <w:pPr>
                      <w:jc w:val="right"/>
                      <w:rPr>
                        <w:szCs w:val="21"/>
                      </w:rPr>
                    </w:pPr>
                    <w:r>
                      <w:rPr>
                        <w:rFonts w:hint="eastAsia"/>
                        <w:szCs w:val="21"/>
                      </w:rPr>
                      <w:t>4,671,608,420.38</w:t>
                    </w:r>
                  </w:p>
                </w:tc>
              </w:sdtContent>
            </w:sdt>
          </w:tr>
        </w:tbl>
        <w:p w:rsidR="00DE031E" w:rsidRDefault="00422DCA">
          <w:pPr>
            <w:rPr>
              <w:szCs w:val="21"/>
            </w:rPr>
          </w:pPr>
        </w:p>
      </w:sdtContent>
    </w:sdt>
    <w:sdt>
      <w:sdtPr>
        <w:rPr>
          <w:rFonts w:ascii="宋体" w:hAnsi="宋体" w:cs="宋体" w:hint="eastAsia"/>
          <w:b w:val="0"/>
          <w:bCs w:val="0"/>
          <w:kern w:val="0"/>
          <w:szCs w:val="21"/>
        </w:rPr>
        <w:tag w:val="_GBC_2cdd2861806d471aa767f92841b30fbf"/>
        <w:id w:val="24725533"/>
        <w:lock w:val="sdtLocked"/>
        <w:placeholder>
          <w:docPart w:val="GBC22222222222222222222222222222"/>
        </w:placeholder>
      </w:sdtPr>
      <w:sdtContent>
        <w:p w:rsidR="00DE031E" w:rsidRPr="00047E7C" w:rsidRDefault="001C1A59" w:rsidP="009950AC">
          <w:pPr>
            <w:pStyle w:val="3"/>
            <w:numPr>
              <w:ilvl w:val="0"/>
              <w:numId w:val="41"/>
            </w:numPr>
            <w:tabs>
              <w:tab w:val="left" w:pos="504"/>
            </w:tabs>
            <w:spacing w:line="360" w:lineRule="auto"/>
            <w:rPr>
              <w:rFonts w:ascii="宋体" w:hAnsi="宋体"/>
              <w:szCs w:val="21"/>
            </w:rPr>
          </w:pPr>
          <w:r w:rsidRPr="00047E7C">
            <w:rPr>
              <w:rFonts w:ascii="宋体" w:hAnsi="宋体" w:hint="eastAsia"/>
              <w:szCs w:val="21"/>
            </w:rPr>
            <w:t>未分配利润</w:t>
          </w:r>
        </w:p>
        <w:p w:rsidR="00DE031E" w:rsidRDefault="001C1A59">
          <w:pPr>
            <w:jc w:val="right"/>
            <w:rPr>
              <w:szCs w:val="21"/>
            </w:rPr>
          </w:pPr>
          <w:r>
            <w:rPr>
              <w:rFonts w:hint="eastAsia"/>
              <w:szCs w:val="21"/>
            </w:rPr>
            <w:t>单位：</w:t>
          </w:r>
          <w:sdt>
            <w:sdtPr>
              <w:rPr>
                <w:rFonts w:hint="eastAsia"/>
                <w:szCs w:val="21"/>
              </w:rPr>
              <w:alias w:val="单位：财务附注：未分配利润"/>
              <w:tag w:val="_GBC_cfb07ff3eded4b49916cfc42d821bab6"/>
              <w:id w:val="247255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24725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42" w:type="pct"/>
            <w:jc w:val="center"/>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682"/>
            <w:gridCol w:w="2776"/>
            <w:gridCol w:w="2690"/>
          </w:tblGrid>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center"/>
                  <w:rPr>
                    <w:szCs w:val="21"/>
                  </w:rPr>
                </w:pPr>
                <w:r>
                  <w:rPr>
                    <w:rFonts w:hint="eastAsia"/>
                    <w:szCs w:val="21"/>
                  </w:rPr>
                  <w:t>项目</w:t>
                </w:r>
              </w:p>
            </w:tc>
            <w:tc>
              <w:tcPr>
                <w:tcW w:w="1517"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center"/>
                  <w:rPr>
                    <w:szCs w:val="21"/>
                  </w:rPr>
                </w:pPr>
                <w:r>
                  <w:rPr>
                    <w:rFonts w:hint="eastAsia"/>
                    <w:szCs w:val="21"/>
                  </w:rPr>
                  <w:t>本期</w:t>
                </w:r>
              </w:p>
            </w:tc>
            <w:tc>
              <w:tcPr>
                <w:tcW w:w="1470"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center"/>
                  <w:rPr>
                    <w:szCs w:val="21"/>
                  </w:rPr>
                </w:pPr>
                <w:r>
                  <w:rPr>
                    <w:rFonts w:hint="eastAsia"/>
                    <w:szCs w:val="21"/>
                  </w:rPr>
                  <w:t>上期</w:t>
                </w:r>
              </w:p>
            </w:tc>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rPr>
                    <w:szCs w:val="21"/>
                  </w:rPr>
                </w:pPr>
                <w:r>
                  <w:rPr>
                    <w:rFonts w:hint="eastAsia"/>
                    <w:szCs w:val="21"/>
                  </w:rPr>
                  <w:t>调整前上期末未分配利润</w:t>
                </w:r>
              </w:p>
            </w:tc>
            <w:sdt>
              <w:sdtPr>
                <w:rPr>
                  <w:szCs w:val="21"/>
                </w:rPr>
                <w:alias w:val="未分配利润"/>
                <w:tag w:val="_GBC_b122bf93ea494fc1ba56264f3ef4cc6b"/>
                <w:id w:val="24725515"/>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1C1A59" w:rsidP="00DE031E">
                    <w:pPr>
                      <w:ind w:right="6"/>
                      <w:jc w:val="right"/>
                      <w:rPr>
                        <w:szCs w:val="21"/>
                      </w:rPr>
                    </w:pPr>
                    <w:r>
                      <w:rPr>
                        <w:szCs w:val="21"/>
                      </w:rPr>
                      <w:t>9,268,062,186.17</w:t>
                    </w:r>
                  </w:p>
                </w:tc>
              </w:sdtContent>
            </w:sdt>
            <w:sdt>
              <w:sdtPr>
                <w:rPr>
                  <w:szCs w:val="21"/>
                </w:rPr>
                <w:alias w:val="未分配利润"/>
                <w:tag w:val="_GBC_3b60b81a3b7a41358769befa9a27265b"/>
                <w:id w:val="24725516"/>
                <w:lock w:val="sdtLocked"/>
              </w:sdtPr>
              <w:sdtContent>
                <w:tc>
                  <w:tcPr>
                    <w:tcW w:w="1470"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7,428,911,981.62</w:t>
                    </w: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rPr>
                    <w:szCs w:val="21"/>
                  </w:rPr>
                </w:pPr>
                <w:r>
                  <w:rPr>
                    <w:rFonts w:hint="eastAsia"/>
                    <w:szCs w:val="21"/>
                  </w:rPr>
                  <w:t>调整期初未分配利润合计数（调增</w:t>
                </w:r>
                <w:r>
                  <w:rPr>
                    <w:szCs w:val="21"/>
                  </w:rPr>
                  <w:t>+</w:t>
                </w:r>
                <w:r>
                  <w:rPr>
                    <w:rFonts w:hint="eastAsia"/>
                    <w:szCs w:val="21"/>
                  </w:rPr>
                  <w:t>，调减－）</w:t>
                </w:r>
              </w:p>
            </w:tc>
            <w:sdt>
              <w:sdtPr>
                <w:rPr>
                  <w:szCs w:val="21"/>
                </w:rPr>
                <w:alias w:val="未分配利润调整合计数"/>
                <w:tag w:val="_GBC_f068ffe2209140629fb08448b2aa6667"/>
                <w:id w:val="24725517"/>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DE031E" w:rsidP="00DE031E">
                    <w:pPr>
                      <w:ind w:right="6"/>
                      <w:jc w:val="right"/>
                      <w:rPr>
                        <w:szCs w:val="21"/>
                      </w:rPr>
                    </w:pPr>
                  </w:p>
                </w:tc>
              </w:sdtContent>
            </w:sdt>
            <w:sdt>
              <w:sdtPr>
                <w:rPr>
                  <w:szCs w:val="21"/>
                </w:rPr>
                <w:alias w:val="未分配利润调整合计数"/>
                <w:tag w:val="_GBC_ccc265f084114dfeb4d96a2bd00c8692"/>
                <w:id w:val="24725518"/>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DE031E" w:rsidRDefault="00DE031E" w:rsidP="00DE031E">
                    <w:pPr>
                      <w:ind w:right="6"/>
                      <w:jc w:val="right"/>
                      <w:rPr>
                        <w:szCs w:val="21"/>
                      </w:rPr>
                    </w:pP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rPr>
                    <w:szCs w:val="21"/>
                  </w:rPr>
                </w:pPr>
                <w:r>
                  <w:rPr>
                    <w:rFonts w:hint="eastAsia"/>
                    <w:szCs w:val="21"/>
                  </w:rPr>
                  <w:t>调整后期初未分配利润</w:t>
                </w:r>
              </w:p>
            </w:tc>
            <w:sdt>
              <w:sdtPr>
                <w:rPr>
                  <w:szCs w:val="21"/>
                </w:rPr>
                <w:alias w:val="未分配利润"/>
                <w:tag w:val="_GBC_1b019340056a4d1c96b0aa8871b84020"/>
                <w:id w:val="24725519"/>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1C1A59" w:rsidP="00DE031E">
                    <w:pPr>
                      <w:ind w:right="6"/>
                      <w:jc w:val="right"/>
                      <w:rPr>
                        <w:szCs w:val="21"/>
                      </w:rPr>
                    </w:pPr>
                    <w:r>
                      <w:rPr>
                        <w:szCs w:val="21"/>
                      </w:rPr>
                      <w:t>9,268,062,186.17</w:t>
                    </w:r>
                  </w:p>
                </w:tc>
              </w:sdtContent>
            </w:sdt>
            <w:sdt>
              <w:sdtPr>
                <w:rPr>
                  <w:szCs w:val="21"/>
                </w:rPr>
                <w:alias w:val="未分配利润"/>
                <w:tag w:val="_GBC_1f9ef975a8bd404eb5e068444fe9afc4"/>
                <w:id w:val="24725520"/>
                <w:lock w:val="sdtLocked"/>
              </w:sdtPr>
              <w:sdtContent>
                <w:tc>
                  <w:tcPr>
                    <w:tcW w:w="1470" w:type="pct"/>
                    <w:tcBorders>
                      <w:top w:val="single" w:sz="6" w:space="0" w:color="auto"/>
                      <w:left w:val="single" w:sz="6" w:space="0" w:color="auto"/>
                      <w:bottom w:val="single" w:sz="6" w:space="0" w:color="auto"/>
                      <w:right w:val="single" w:sz="6" w:space="0" w:color="auto"/>
                    </w:tcBorders>
                  </w:tcPr>
                  <w:p w:rsidR="00DE031E" w:rsidRDefault="001C1A59" w:rsidP="00DE031E">
                    <w:pPr>
                      <w:ind w:right="6"/>
                      <w:jc w:val="right"/>
                      <w:rPr>
                        <w:szCs w:val="21"/>
                      </w:rPr>
                    </w:pPr>
                    <w:r>
                      <w:rPr>
                        <w:szCs w:val="21"/>
                      </w:rPr>
                      <w:t>7,428,911,981.62</w:t>
                    </w: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ind w:right="6"/>
                  <w:rPr>
                    <w:szCs w:val="21"/>
                  </w:rPr>
                </w:pPr>
                <w:r>
                  <w:rPr>
                    <w:rFonts w:hint="eastAsia"/>
                    <w:szCs w:val="21"/>
                  </w:rPr>
                  <w:t>加：本期归属于母公司所有者的净利润</w:t>
                </w:r>
              </w:p>
            </w:tc>
            <w:sdt>
              <w:sdtPr>
                <w:rPr>
                  <w:szCs w:val="21"/>
                </w:rPr>
                <w:alias w:val="归属于母公司所有者的净利润"/>
                <w:tag w:val="_GBC_af6403d9f9d848f2a194c6ba17837064"/>
                <w:id w:val="24725521"/>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1C1A59" w:rsidP="00DE031E">
                    <w:pPr>
                      <w:ind w:right="6"/>
                      <w:jc w:val="right"/>
                      <w:rPr>
                        <w:szCs w:val="21"/>
                      </w:rPr>
                    </w:pPr>
                    <w:r>
                      <w:rPr>
                        <w:szCs w:val="21"/>
                      </w:rPr>
                      <w:t>7,314,665,463.76</w:t>
                    </w:r>
                  </w:p>
                </w:tc>
              </w:sdtContent>
            </w:sdt>
            <w:sdt>
              <w:sdtPr>
                <w:rPr>
                  <w:szCs w:val="21"/>
                </w:rPr>
                <w:alias w:val="归属于母公司所有者的净利润"/>
                <w:tag w:val="_GBC_c1aa48dc3baa423a947b20ce66d52264"/>
                <w:id w:val="24725522"/>
                <w:lock w:val="sdtLocked"/>
              </w:sdtPr>
              <w:sdtContent>
                <w:tc>
                  <w:tcPr>
                    <w:tcW w:w="1470" w:type="pct"/>
                    <w:tcBorders>
                      <w:top w:val="single" w:sz="6" w:space="0" w:color="auto"/>
                      <w:left w:val="single" w:sz="6" w:space="0" w:color="auto"/>
                      <w:bottom w:val="single" w:sz="6" w:space="0" w:color="auto"/>
                      <w:right w:val="single" w:sz="6" w:space="0" w:color="auto"/>
                    </w:tcBorders>
                  </w:tcPr>
                  <w:p w:rsidR="00DE031E" w:rsidRDefault="001C1A59" w:rsidP="00DE031E">
                    <w:pPr>
                      <w:ind w:right="6"/>
                      <w:jc w:val="right"/>
                      <w:rPr>
                        <w:szCs w:val="21"/>
                      </w:rPr>
                    </w:pPr>
                    <w:r>
                      <w:rPr>
                        <w:szCs w:val="21"/>
                      </w:rPr>
                      <w:t>1,364,852,213.40</w:t>
                    </w: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rPr>
                    <w:szCs w:val="21"/>
                  </w:rPr>
                </w:pPr>
                <w:r>
                  <w:rPr>
                    <w:rFonts w:hint="eastAsia"/>
                    <w:szCs w:val="21"/>
                  </w:rPr>
                  <w:t>减：提取法定盈余公积</w:t>
                </w:r>
              </w:p>
            </w:tc>
            <w:sdt>
              <w:sdtPr>
                <w:rPr>
                  <w:szCs w:val="21"/>
                </w:rPr>
                <w:alias w:val="提取法定盈余公积"/>
                <w:tag w:val="_GBC_763ccacdfd5e4b4da0afeaa6cca36081"/>
                <w:id w:val="24725523"/>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DE031E" w:rsidP="00DE031E">
                    <w:pPr>
                      <w:jc w:val="right"/>
                      <w:rPr>
                        <w:szCs w:val="21"/>
                      </w:rPr>
                    </w:pPr>
                  </w:p>
                </w:tc>
              </w:sdtContent>
            </w:sdt>
            <w:sdt>
              <w:sdtPr>
                <w:rPr>
                  <w:szCs w:val="21"/>
                </w:rPr>
                <w:alias w:val="提取法定盈余公积"/>
                <w:tag w:val="_GBC_17f218a5ccde40269d16f6b6eb3214e0"/>
                <w:id w:val="24725524"/>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DE031E" w:rsidRDefault="00DE031E" w:rsidP="00DE031E">
                    <w:pPr>
                      <w:ind w:right="6"/>
                      <w:jc w:val="right"/>
                      <w:rPr>
                        <w:szCs w:val="21"/>
                      </w:rPr>
                    </w:pP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ind w:firstLine="420"/>
                  <w:rPr>
                    <w:szCs w:val="21"/>
                  </w:rPr>
                </w:pPr>
                <w:r>
                  <w:rPr>
                    <w:rFonts w:hint="eastAsia"/>
                    <w:szCs w:val="21"/>
                  </w:rPr>
                  <w:t>提取任意盈余公积</w:t>
                </w:r>
              </w:p>
            </w:tc>
            <w:sdt>
              <w:sdtPr>
                <w:rPr>
                  <w:szCs w:val="21"/>
                </w:rPr>
                <w:alias w:val="提取任意盈余公积"/>
                <w:tag w:val="_GBC_c232ce46af814700a3aa6b177bf1981b"/>
                <w:id w:val="24725525"/>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DE031E" w:rsidP="00DE031E">
                    <w:pPr>
                      <w:jc w:val="right"/>
                      <w:rPr>
                        <w:szCs w:val="21"/>
                      </w:rPr>
                    </w:pPr>
                  </w:p>
                </w:tc>
              </w:sdtContent>
            </w:sdt>
            <w:sdt>
              <w:sdtPr>
                <w:rPr>
                  <w:szCs w:val="21"/>
                </w:rPr>
                <w:alias w:val="提取任意盈余公积"/>
                <w:tag w:val="_GBC_124993fe56f3444888067d0ccec0b7fb"/>
                <w:id w:val="24725526"/>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DE031E" w:rsidRDefault="00DE031E" w:rsidP="00DE031E">
                    <w:pPr>
                      <w:ind w:right="6"/>
                      <w:jc w:val="right"/>
                      <w:rPr>
                        <w:szCs w:val="21"/>
                      </w:rPr>
                    </w:pP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ind w:firstLine="420"/>
                  <w:rPr>
                    <w:szCs w:val="21"/>
                  </w:rPr>
                </w:pPr>
                <w:r>
                  <w:rPr>
                    <w:rFonts w:hint="eastAsia"/>
                    <w:szCs w:val="21"/>
                  </w:rPr>
                  <w:t>提取一般风险准备</w:t>
                </w:r>
              </w:p>
            </w:tc>
            <w:sdt>
              <w:sdtPr>
                <w:rPr>
                  <w:szCs w:val="21"/>
                </w:rPr>
                <w:alias w:val="提取一般风险准备"/>
                <w:tag w:val="_GBC_69e19fe79ac746a5919ab6a6b63f3b0b"/>
                <w:id w:val="24725527"/>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DE031E" w:rsidP="00DE031E">
                    <w:pPr>
                      <w:jc w:val="right"/>
                      <w:rPr>
                        <w:szCs w:val="21"/>
                      </w:rPr>
                    </w:pPr>
                  </w:p>
                </w:tc>
              </w:sdtContent>
            </w:sdt>
            <w:sdt>
              <w:sdtPr>
                <w:rPr>
                  <w:szCs w:val="21"/>
                </w:rPr>
                <w:alias w:val="提取一般风险准备"/>
                <w:tag w:val="_GBC_7f8d67d25889414c900e08c4c41b8cfd"/>
                <w:id w:val="24725528"/>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DE031E" w:rsidRDefault="00DE031E" w:rsidP="00DE031E">
                    <w:pPr>
                      <w:ind w:right="6"/>
                      <w:jc w:val="right"/>
                      <w:rPr>
                        <w:szCs w:val="21"/>
                      </w:rPr>
                    </w:pP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ind w:firstLine="420"/>
                  <w:rPr>
                    <w:szCs w:val="21"/>
                  </w:rPr>
                </w:pPr>
                <w:r>
                  <w:rPr>
                    <w:rFonts w:hint="eastAsia"/>
                    <w:szCs w:val="21"/>
                  </w:rPr>
                  <w:t>应付普通股股利</w:t>
                </w:r>
              </w:p>
            </w:tc>
            <w:sdt>
              <w:sdtPr>
                <w:rPr>
                  <w:szCs w:val="21"/>
                </w:rPr>
                <w:alias w:val="应付普通股股利"/>
                <w:tag w:val="_GBC_59672b5a12f14724937dddcb3ddb9932"/>
                <w:id w:val="24725529"/>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1,539,155,915.19</w:t>
                    </w:r>
                  </w:p>
                </w:tc>
              </w:sdtContent>
            </w:sdt>
            <w:sdt>
              <w:sdtPr>
                <w:rPr>
                  <w:szCs w:val="21"/>
                </w:rPr>
                <w:alias w:val="应付普通股股利"/>
                <w:tag w:val="_GBC_e7104dae1039405196626a183d74cd0f"/>
                <w:id w:val="24725530"/>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DE031E" w:rsidRDefault="00DE031E" w:rsidP="00DE031E">
                    <w:pPr>
                      <w:ind w:right="6"/>
                      <w:jc w:val="right"/>
                      <w:rPr>
                        <w:szCs w:val="21"/>
                      </w:rPr>
                    </w:pPr>
                  </w:p>
                </w:tc>
              </w:sdtContent>
            </w:sdt>
          </w:tr>
          <w:tr w:rsidR="00DE031E" w:rsidTr="00DE031E">
            <w:trPr>
              <w:cantSplit/>
              <w:jc w:val="center"/>
            </w:trPr>
            <w:tc>
              <w:tcPr>
                <w:tcW w:w="201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rPr>
                    <w:szCs w:val="21"/>
                  </w:rPr>
                </w:pPr>
                <w:r>
                  <w:rPr>
                    <w:rFonts w:hint="eastAsia"/>
                    <w:szCs w:val="21"/>
                  </w:rPr>
                  <w:t>期末未分配利润</w:t>
                </w:r>
              </w:p>
            </w:tc>
            <w:sdt>
              <w:sdtPr>
                <w:rPr>
                  <w:szCs w:val="21"/>
                </w:rPr>
                <w:alias w:val="未分配利润"/>
                <w:tag w:val="_GBC_2bf8433ea0174a8aba70c9083f9a8416"/>
                <w:id w:val="24725531"/>
                <w:lock w:val="sdtLocked"/>
              </w:sdtPr>
              <w:sdtContent>
                <w:tc>
                  <w:tcPr>
                    <w:tcW w:w="1517"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15,043,571,734.74</w:t>
                    </w:r>
                  </w:p>
                </w:tc>
              </w:sdtContent>
            </w:sdt>
            <w:sdt>
              <w:sdtPr>
                <w:rPr>
                  <w:szCs w:val="21"/>
                </w:rPr>
                <w:alias w:val="未分配利润"/>
                <w:tag w:val="_GBC_d6e7c166319e45a59a512ab38071b75b"/>
                <w:id w:val="24725532"/>
                <w:lock w:val="sdtLocked"/>
              </w:sdtPr>
              <w:sdtContent>
                <w:tc>
                  <w:tcPr>
                    <w:tcW w:w="1470" w:type="pct"/>
                    <w:tcBorders>
                      <w:top w:val="single" w:sz="6" w:space="0" w:color="auto"/>
                      <w:left w:val="single" w:sz="6" w:space="0" w:color="auto"/>
                      <w:bottom w:val="single" w:sz="6" w:space="0" w:color="auto"/>
                      <w:right w:val="single" w:sz="6" w:space="0" w:color="auto"/>
                    </w:tcBorders>
                  </w:tcPr>
                  <w:p w:rsidR="00DE031E" w:rsidRDefault="001C1A59" w:rsidP="00DE031E">
                    <w:pPr>
                      <w:ind w:right="6"/>
                      <w:jc w:val="right"/>
                      <w:rPr>
                        <w:szCs w:val="21"/>
                      </w:rPr>
                    </w:pPr>
                    <w:r w:rsidRPr="00C4512A">
                      <w:rPr>
                        <w:szCs w:val="21"/>
                      </w:rPr>
                      <w:t>8,793,764,195.02</w:t>
                    </w:r>
                  </w:p>
                </w:tc>
              </w:sdtContent>
            </w:sdt>
          </w:tr>
        </w:tbl>
      </w:sdtContent>
    </w:sdt>
    <w:p w:rsidR="00DE031E" w:rsidRDefault="001C1A59" w:rsidP="009950AC">
      <w:pPr>
        <w:pStyle w:val="3"/>
        <w:numPr>
          <w:ilvl w:val="0"/>
          <w:numId w:val="41"/>
        </w:numPr>
        <w:tabs>
          <w:tab w:val="left" w:pos="504"/>
        </w:tabs>
        <w:spacing w:line="360" w:lineRule="auto"/>
        <w:rPr>
          <w:szCs w:val="21"/>
        </w:rPr>
      </w:pPr>
      <w:r>
        <w:rPr>
          <w:rFonts w:hint="eastAsia"/>
          <w:szCs w:val="21"/>
        </w:rPr>
        <w:t>少数股东权益</w:t>
      </w:r>
    </w:p>
    <w:p w:rsidR="00A15A30" w:rsidRPr="00A15A30" w:rsidRDefault="00A15A30" w:rsidP="00A15A30">
      <w:pPr>
        <w:jc w:val="right"/>
      </w:pPr>
      <w:r>
        <w:rPr>
          <w:rFonts w:hint="eastAsia"/>
        </w:rPr>
        <w:t>单位：元  币种：人民币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7"/>
        <w:gridCol w:w="2125"/>
        <w:gridCol w:w="2137"/>
      </w:tblGrid>
      <w:tr w:rsidR="00DE031E" w:rsidRPr="00D73AB7" w:rsidTr="00DE031E">
        <w:trPr>
          <w:trHeight w:hRule="exact" w:val="340"/>
          <w:tblHeader/>
        </w:trPr>
        <w:tc>
          <w:tcPr>
            <w:tcW w:w="2645" w:type="pct"/>
            <w:shd w:val="clear" w:color="auto" w:fill="auto"/>
            <w:noWrap/>
            <w:vAlign w:val="center"/>
            <w:hideMark/>
          </w:tcPr>
          <w:p w:rsidR="00DE031E" w:rsidRPr="00D73AB7" w:rsidRDefault="001C1A59" w:rsidP="00DE031E">
            <w:pPr>
              <w:jc w:val="center"/>
              <w:rPr>
                <w:rFonts w:asciiTheme="minorEastAsia" w:eastAsiaTheme="minorEastAsia" w:hAnsiTheme="minorEastAsia" w:cs="Arial"/>
                <w:b/>
                <w:bCs/>
                <w:szCs w:val="21"/>
              </w:rPr>
            </w:pPr>
            <w:r w:rsidRPr="00D73AB7">
              <w:rPr>
                <w:rFonts w:asciiTheme="minorEastAsia" w:eastAsiaTheme="minorEastAsia" w:hAnsiTheme="minorEastAsia" w:cs="Arial"/>
                <w:b/>
                <w:bCs/>
                <w:szCs w:val="21"/>
              </w:rPr>
              <w:t>子公司名称</w:t>
            </w:r>
          </w:p>
        </w:tc>
        <w:tc>
          <w:tcPr>
            <w:tcW w:w="1174" w:type="pct"/>
            <w:shd w:val="clear" w:color="auto" w:fill="auto"/>
            <w:noWrap/>
            <w:vAlign w:val="center"/>
            <w:hideMark/>
          </w:tcPr>
          <w:p w:rsidR="00DE031E" w:rsidRPr="00D73AB7" w:rsidRDefault="001C1A59" w:rsidP="00DE031E">
            <w:pPr>
              <w:spacing w:line="240" w:lineRule="atLeast"/>
              <w:ind w:leftChars="-50" w:left="-105" w:rightChars="-30" w:right="-63"/>
              <w:jc w:val="center"/>
              <w:rPr>
                <w:rFonts w:asciiTheme="minorEastAsia" w:eastAsiaTheme="minorEastAsia" w:hAnsiTheme="minorEastAsia" w:cs="Arial"/>
                <w:b/>
                <w:bCs/>
                <w:spacing w:val="-8"/>
                <w:szCs w:val="21"/>
              </w:rPr>
            </w:pPr>
            <w:r w:rsidRPr="00D73AB7">
              <w:rPr>
                <w:rFonts w:asciiTheme="minorEastAsia" w:eastAsiaTheme="minorEastAsia" w:hAnsiTheme="minorEastAsia" w:cs="Arial" w:hint="eastAsia"/>
                <w:b/>
                <w:bCs/>
                <w:spacing w:val="-8"/>
                <w:szCs w:val="21"/>
              </w:rPr>
              <w:t>2014年6月30日</w:t>
            </w:r>
          </w:p>
        </w:tc>
        <w:tc>
          <w:tcPr>
            <w:tcW w:w="1181" w:type="pct"/>
            <w:vAlign w:val="center"/>
          </w:tcPr>
          <w:p w:rsidR="00DE031E" w:rsidRPr="00D73AB7" w:rsidRDefault="001C1A59" w:rsidP="00DE031E">
            <w:pPr>
              <w:spacing w:line="240" w:lineRule="atLeast"/>
              <w:ind w:leftChars="-50" w:left="-105" w:rightChars="-30" w:right="-63"/>
              <w:jc w:val="center"/>
              <w:rPr>
                <w:rFonts w:asciiTheme="minorEastAsia" w:eastAsiaTheme="minorEastAsia" w:hAnsiTheme="minorEastAsia" w:cs="Arial"/>
                <w:b/>
                <w:bCs/>
                <w:spacing w:val="-8"/>
                <w:szCs w:val="21"/>
              </w:rPr>
            </w:pPr>
            <w:r w:rsidRPr="00D73AB7">
              <w:rPr>
                <w:rFonts w:asciiTheme="minorEastAsia" w:eastAsiaTheme="minorEastAsia" w:hAnsiTheme="minorEastAsia" w:cs="Arial" w:hint="eastAsia"/>
                <w:b/>
                <w:bCs/>
                <w:spacing w:val="-8"/>
                <w:szCs w:val="21"/>
              </w:rPr>
              <w:t>2015年6月30日</w:t>
            </w:r>
          </w:p>
        </w:tc>
      </w:tr>
      <w:tr w:rsidR="00DE031E" w:rsidRPr="00D73AB7" w:rsidTr="00DE031E">
        <w:trPr>
          <w:trHeight w:hRule="exact" w:val="340"/>
        </w:trPr>
        <w:tc>
          <w:tcPr>
            <w:tcW w:w="2645" w:type="pct"/>
            <w:shd w:val="clear" w:color="auto" w:fill="auto"/>
            <w:noWrap/>
            <w:vAlign w:val="center"/>
            <w:hideMark/>
          </w:tcPr>
          <w:p w:rsidR="00DE031E" w:rsidRPr="00D73AB7" w:rsidRDefault="001C1A59" w:rsidP="00DE031E">
            <w:pPr>
              <w:jc w:val="both"/>
              <w:rPr>
                <w:rFonts w:asciiTheme="minorEastAsia" w:eastAsiaTheme="minorEastAsia" w:hAnsiTheme="minorEastAsia" w:cs="Arial"/>
                <w:szCs w:val="21"/>
              </w:rPr>
            </w:pPr>
            <w:r w:rsidRPr="00D73AB7">
              <w:rPr>
                <w:rFonts w:asciiTheme="minorEastAsia" w:eastAsiaTheme="minorEastAsia" w:hAnsiTheme="minorEastAsia" w:cs="Arial"/>
                <w:szCs w:val="21"/>
              </w:rPr>
              <w:t>深圳市远盛投资管理有限公司</w:t>
            </w:r>
          </w:p>
        </w:tc>
        <w:tc>
          <w:tcPr>
            <w:tcW w:w="1174" w:type="pct"/>
            <w:shd w:val="clear" w:color="auto" w:fill="auto"/>
            <w:noWrap/>
            <w:vAlign w:val="center"/>
            <w:hideMark/>
          </w:tcPr>
          <w:p w:rsidR="00DE031E" w:rsidRPr="00D73AB7" w:rsidRDefault="001C1A59" w:rsidP="00DE031E">
            <w:pPr>
              <w:jc w:val="right"/>
              <w:rPr>
                <w:rFonts w:asciiTheme="minorEastAsia" w:eastAsiaTheme="minorEastAsia" w:hAnsiTheme="minorEastAsia"/>
                <w:szCs w:val="21"/>
              </w:rPr>
            </w:pPr>
            <w:r w:rsidRPr="00D73AB7">
              <w:rPr>
                <w:rFonts w:asciiTheme="minorEastAsia" w:eastAsiaTheme="minorEastAsia" w:hAnsiTheme="minorEastAsia"/>
                <w:szCs w:val="21"/>
              </w:rPr>
              <w:t>1,974,811.21</w:t>
            </w: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1,944,654.61</w:t>
            </w:r>
          </w:p>
        </w:tc>
      </w:tr>
      <w:tr w:rsidR="00DE031E" w:rsidRPr="00D73AB7" w:rsidTr="00DE031E">
        <w:trPr>
          <w:trHeight w:hRule="exact" w:val="340"/>
        </w:trPr>
        <w:tc>
          <w:tcPr>
            <w:tcW w:w="2645" w:type="pct"/>
            <w:shd w:val="clear" w:color="auto" w:fill="auto"/>
            <w:noWrap/>
            <w:vAlign w:val="center"/>
            <w:hideMark/>
          </w:tcPr>
          <w:p w:rsidR="00DE031E" w:rsidRPr="00D73AB7" w:rsidRDefault="001C1A59" w:rsidP="00DE031E">
            <w:pPr>
              <w:jc w:val="both"/>
              <w:rPr>
                <w:rFonts w:asciiTheme="minorEastAsia" w:eastAsiaTheme="minorEastAsia" w:hAnsiTheme="minorEastAsia" w:cs="Arial"/>
                <w:szCs w:val="21"/>
              </w:rPr>
            </w:pPr>
            <w:r w:rsidRPr="00D73AB7">
              <w:rPr>
                <w:rFonts w:asciiTheme="minorEastAsia" w:eastAsiaTheme="minorEastAsia" w:hAnsiTheme="minorEastAsia" w:cs="Arial"/>
                <w:szCs w:val="21"/>
              </w:rPr>
              <w:t>赣州招瑞投资管理有限公司</w:t>
            </w:r>
          </w:p>
        </w:tc>
        <w:tc>
          <w:tcPr>
            <w:tcW w:w="1174" w:type="pct"/>
            <w:shd w:val="clear" w:color="auto" w:fill="auto"/>
            <w:noWrap/>
            <w:vAlign w:val="center"/>
            <w:hideMark/>
          </w:tcPr>
          <w:p w:rsidR="00DE031E" w:rsidRPr="00D73AB7" w:rsidRDefault="001C1A59" w:rsidP="00DE031E">
            <w:pPr>
              <w:jc w:val="right"/>
              <w:rPr>
                <w:rFonts w:asciiTheme="minorEastAsia" w:eastAsiaTheme="minorEastAsia" w:hAnsiTheme="minorEastAsia"/>
                <w:szCs w:val="21"/>
              </w:rPr>
            </w:pPr>
            <w:r w:rsidRPr="00D73AB7">
              <w:rPr>
                <w:rFonts w:asciiTheme="minorEastAsia" w:eastAsiaTheme="minorEastAsia" w:hAnsiTheme="minorEastAsia"/>
                <w:szCs w:val="21"/>
              </w:rPr>
              <w:t>4,900,617.10</w:t>
            </w: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5,064,006.93</w:t>
            </w:r>
          </w:p>
        </w:tc>
      </w:tr>
      <w:tr w:rsidR="00DE031E" w:rsidRPr="00D73AB7" w:rsidTr="00DE031E">
        <w:trPr>
          <w:trHeight w:hRule="exact" w:val="340"/>
        </w:trPr>
        <w:tc>
          <w:tcPr>
            <w:tcW w:w="2645" w:type="pct"/>
            <w:shd w:val="clear" w:color="auto" w:fill="auto"/>
            <w:noWrap/>
            <w:vAlign w:val="center"/>
            <w:hideMark/>
          </w:tcPr>
          <w:p w:rsidR="00DE031E" w:rsidRPr="00D73AB7" w:rsidRDefault="001C1A59" w:rsidP="00DE031E">
            <w:pPr>
              <w:jc w:val="both"/>
              <w:rPr>
                <w:rFonts w:asciiTheme="minorEastAsia" w:eastAsiaTheme="minorEastAsia" w:hAnsiTheme="minorEastAsia" w:cs="Arial"/>
                <w:szCs w:val="21"/>
              </w:rPr>
            </w:pPr>
            <w:r w:rsidRPr="00D73AB7">
              <w:rPr>
                <w:rFonts w:asciiTheme="minorEastAsia" w:eastAsiaTheme="minorEastAsia" w:hAnsiTheme="minorEastAsia" w:cs="Arial"/>
                <w:szCs w:val="21"/>
              </w:rPr>
              <w:t>江西招联投资管理有限公司</w:t>
            </w:r>
          </w:p>
        </w:tc>
        <w:tc>
          <w:tcPr>
            <w:tcW w:w="1174" w:type="pct"/>
            <w:shd w:val="clear" w:color="auto" w:fill="auto"/>
            <w:noWrap/>
            <w:vAlign w:val="center"/>
            <w:hideMark/>
          </w:tcPr>
          <w:p w:rsidR="00DE031E" w:rsidRPr="00D73AB7" w:rsidRDefault="001C1A59" w:rsidP="00DE031E">
            <w:pPr>
              <w:jc w:val="right"/>
              <w:rPr>
                <w:rFonts w:asciiTheme="minorEastAsia" w:eastAsiaTheme="minorEastAsia" w:hAnsiTheme="minorEastAsia"/>
                <w:szCs w:val="21"/>
              </w:rPr>
            </w:pPr>
            <w:r w:rsidRPr="00D73AB7">
              <w:rPr>
                <w:rFonts w:asciiTheme="minorEastAsia" w:eastAsiaTheme="minorEastAsia" w:hAnsiTheme="minorEastAsia"/>
                <w:szCs w:val="21"/>
              </w:rPr>
              <w:t>5,328,672.80</w:t>
            </w: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5,533,547.01</w:t>
            </w:r>
          </w:p>
        </w:tc>
      </w:tr>
      <w:tr w:rsidR="00DE031E" w:rsidRPr="00D73AB7" w:rsidTr="00DE031E">
        <w:trPr>
          <w:trHeight w:hRule="exact" w:val="340"/>
        </w:trPr>
        <w:tc>
          <w:tcPr>
            <w:tcW w:w="2645" w:type="pct"/>
            <w:shd w:val="clear" w:color="auto" w:fill="auto"/>
            <w:noWrap/>
            <w:vAlign w:val="center"/>
            <w:hideMark/>
          </w:tcPr>
          <w:p w:rsidR="00DE031E" w:rsidRPr="00D73AB7" w:rsidRDefault="001C1A59" w:rsidP="00DE031E">
            <w:pPr>
              <w:jc w:val="both"/>
              <w:rPr>
                <w:rFonts w:asciiTheme="minorEastAsia" w:eastAsiaTheme="minorEastAsia" w:hAnsiTheme="minorEastAsia" w:cs="Arial"/>
                <w:szCs w:val="21"/>
              </w:rPr>
            </w:pPr>
            <w:r w:rsidRPr="00D73AB7">
              <w:rPr>
                <w:rFonts w:asciiTheme="minorEastAsia" w:eastAsiaTheme="minorEastAsia" w:hAnsiTheme="minorEastAsia" w:cs="Arial"/>
                <w:szCs w:val="21"/>
              </w:rPr>
              <w:t>江西致远发展投资管理有限公司</w:t>
            </w:r>
          </w:p>
        </w:tc>
        <w:tc>
          <w:tcPr>
            <w:tcW w:w="1174" w:type="pct"/>
            <w:shd w:val="clear" w:color="auto" w:fill="auto"/>
            <w:noWrap/>
            <w:vAlign w:val="center"/>
            <w:hideMark/>
          </w:tcPr>
          <w:p w:rsidR="00DE031E" w:rsidRPr="00D73AB7" w:rsidRDefault="001C1A59" w:rsidP="00DE031E">
            <w:pPr>
              <w:jc w:val="right"/>
              <w:rPr>
                <w:rFonts w:asciiTheme="minorEastAsia" w:eastAsiaTheme="minorEastAsia" w:hAnsiTheme="minorEastAsia"/>
                <w:szCs w:val="21"/>
              </w:rPr>
            </w:pPr>
            <w:r w:rsidRPr="00D73AB7">
              <w:rPr>
                <w:rFonts w:asciiTheme="minorEastAsia" w:eastAsiaTheme="minorEastAsia" w:hAnsiTheme="minorEastAsia"/>
                <w:szCs w:val="21"/>
              </w:rPr>
              <w:t>6,706,170.12</w:t>
            </w: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8,418,995.64</w:t>
            </w:r>
          </w:p>
        </w:tc>
      </w:tr>
      <w:tr w:rsidR="00DE031E" w:rsidRPr="00D73AB7" w:rsidTr="00DE031E">
        <w:trPr>
          <w:trHeight w:hRule="exact" w:val="314"/>
        </w:trPr>
        <w:tc>
          <w:tcPr>
            <w:tcW w:w="2645" w:type="pct"/>
            <w:shd w:val="clear" w:color="auto" w:fill="auto"/>
            <w:vAlign w:val="center"/>
            <w:hideMark/>
          </w:tcPr>
          <w:p w:rsidR="00DE031E" w:rsidRPr="00D73AB7" w:rsidRDefault="001C1A59" w:rsidP="00DE031E">
            <w:pPr>
              <w:jc w:val="both"/>
              <w:rPr>
                <w:rFonts w:asciiTheme="minorEastAsia" w:eastAsiaTheme="minorEastAsia" w:hAnsiTheme="minorEastAsia" w:cs="Arial"/>
                <w:szCs w:val="21"/>
              </w:rPr>
            </w:pPr>
            <w:r w:rsidRPr="00D73AB7">
              <w:rPr>
                <w:rFonts w:asciiTheme="minorEastAsia" w:eastAsiaTheme="minorEastAsia" w:hAnsiTheme="minorEastAsia" w:cs="Arial"/>
                <w:szCs w:val="21"/>
              </w:rPr>
              <w:t>深圳市招商致远壹号股权投资基金管理有限公司</w:t>
            </w:r>
          </w:p>
        </w:tc>
        <w:tc>
          <w:tcPr>
            <w:tcW w:w="1174" w:type="pct"/>
            <w:shd w:val="clear" w:color="auto" w:fill="auto"/>
            <w:noWrap/>
            <w:vAlign w:val="center"/>
            <w:hideMark/>
          </w:tcPr>
          <w:p w:rsidR="00DE031E" w:rsidRPr="00D73AB7" w:rsidRDefault="001C1A59" w:rsidP="00DE031E">
            <w:pPr>
              <w:jc w:val="right"/>
              <w:rPr>
                <w:rFonts w:asciiTheme="minorEastAsia" w:eastAsiaTheme="minorEastAsia" w:hAnsiTheme="minorEastAsia"/>
                <w:szCs w:val="21"/>
              </w:rPr>
            </w:pPr>
            <w:r w:rsidRPr="00D73AB7">
              <w:rPr>
                <w:rFonts w:asciiTheme="minorEastAsia" w:eastAsiaTheme="minorEastAsia" w:hAnsiTheme="minorEastAsia"/>
                <w:szCs w:val="21"/>
              </w:rPr>
              <w:t>8,060,216.35</w:t>
            </w: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58,498,722.85</w:t>
            </w:r>
          </w:p>
        </w:tc>
      </w:tr>
      <w:tr w:rsidR="00DE031E" w:rsidRPr="00D73AB7" w:rsidTr="00DE031E">
        <w:trPr>
          <w:trHeight w:hRule="exact" w:val="340"/>
        </w:trPr>
        <w:tc>
          <w:tcPr>
            <w:tcW w:w="2645" w:type="pct"/>
            <w:shd w:val="clear" w:color="auto" w:fill="auto"/>
            <w:noWrap/>
            <w:vAlign w:val="center"/>
            <w:hideMark/>
          </w:tcPr>
          <w:p w:rsidR="00DE031E" w:rsidRPr="00D73AB7" w:rsidRDefault="001C1A59" w:rsidP="00DE031E">
            <w:pPr>
              <w:jc w:val="both"/>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 xml:space="preserve">青岛国信招商创业投资管理有限公司 </w:t>
            </w:r>
          </w:p>
        </w:tc>
        <w:tc>
          <w:tcPr>
            <w:tcW w:w="1174" w:type="pct"/>
            <w:shd w:val="clear" w:color="auto" w:fill="auto"/>
            <w:noWrap/>
            <w:vAlign w:val="center"/>
            <w:hideMark/>
          </w:tcPr>
          <w:p w:rsidR="00DE031E" w:rsidRPr="00D73AB7" w:rsidRDefault="00DE031E" w:rsidP="00DE031E">
            <w:pPr>
              <w:jc w:val="right"/>
              <w:rPr>
                <w:rFonts w:asciiTheme="minorEastAsia" w:eastAsiaTheme="minorEastAsia" w:hAnsiTheme="minorEastAsia" w:cs="Arial"/>
                <w:color w:val="000000"/>
                <w:szCs w:val="21"/>
              </w:rPr>
            </w:pP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4,581,003.4</w:t>
            </w:r>
            <w:r w:rsidRPr="00D73AB7">
              <w:rPr>
                <w:rFonts w:asciiTheme="minorEastAsia" w:eastAsiaTheme="minorEastAsia" w:hAnsiTheme="minorEastAsia" w:cs="Arial" w:hint="eastAsia"/>
                <w:color w:val="000000"/>
                <w:szCs w:val="21"/>
              </w:rPr>
              <w:t>8</w:t>
            </w:r>
          </w:p>
        </w:tc>
      </w:tr>
      <w:tr w:rsidR="00DE031E" w:rsidRPr="00D73AB7" w:rsidTr="00DE031E">
        <w:trPr>
          <w:trHeight w:hRule="exact" w:val="340"/>
        </w:trPr>
        <w:tc>
          <w:tcPr>
            <w:tcW w:w="2645" w:type="pct"/>
            <w:shd w:val="clear" w:color="auto" w:fill="auto"/>
            <w:noWrap/>
            <w:vAlign w:val="center"/>
            <w:hideMark/>
          </w:tcPr>
          <w:p w:rsidR="00DE031E" w:rsidRPr="00D73AB7" w:rsidRDefault="001C1A59" w:rsidP="00DE031E">
            <w:pPr>
              <w:jc w:val="both"/>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 xml:space="preserve">深圳市致远创业投资基金管理有限公司 </w:t>
            </w:r>
          </w:p>
        </w:tc>
        <w:tc>
          <w:tcPr>
            <w:tcW w:w="1174" w:type="pct"/>
            <w:shd w:val="clear" w:color="auto" w:fill="auto"/>
            <w:noWrap/>
            <w:vAlign w:val="center"/>
            <w:hideMark/>
          </w:tcPr>
          <w:p w:rsidR="00DE031E" w:rsidRPr="00D73AB7" w:rsidRDefault="00DE031E" w:rsidP="00DE031E">
            <w:pPr>
              <w:jc w:val="right"/>
              <w:rPr>
                <w:rFonts w:asciiTheme="minorEastAsia" w:eastAsiaTheme="minorEastAsia" w:hAnsiTheme="minorEastAsia" w:cs="Arial"/>
                <w:color w:val="000000"/>
                <w:szCs w:val="21"/>
              </w:rPr>
            </w:pP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3,448,424.59</w:t>
            </w:r>
          </w:p>
        </w:tc>
      </w:tr>
      <w:tr w:rsidR="00DE031E" w:rsidRPr="00D73AB7" w:rsidTr="00DE031E">
        <w:trPr>
          <w:trHeight w:hRule="exact" w:val="340"/>
        </w:trPr>
        <w:tc>
          <w:tcPr>
            <w:tcW w:w="2645" w:type="pct"/>
            <w:shd w:val="clear" w:color="auto" w:fill="auto"/>
            <w:noWrap/>
            <w:vAlign w:val="center"/>
            <w:hideMark/>
          </w:tcPr>
          <w:p w:rsidR="00DE031E" w:rsidRPr="00D73AB7" w:rsidRDefault="001C1A59" w:rsidP="00DE031E">
            <w:pPr>
              <w:jc w:val="center"/>
              <w:rPr>
                <w:rFonts w:asciiTheme="minorEastAsia" w:eastAsiaTheme="minorEastAsia" w:hAnsiTheme="minorEastAsia" w:cs="Arial"/>
                <w:b/>
                <w:bCs/>
                <w:szCs w:val="21"/>
              </w:rPr>
            </w:pPr>
            <w:r w:rsidRPr="00D73AB7">
              <w:rPr>
                <w:rFonts w:asciiTheme="minorEastAsia" w:eastAsiaTheme="minorEastAsia" w:hAnsiTheme="minorEastAsia" w:cs="Arial"/>
                <w:b/>
                <w:bCs/>
                <w:szCs w:val="21"/>
              </w:rPr>
              <w:t>合计</w:t>
            </w:r>
          </w:p>
        </w:tc>
        <w:tc>
          <w:tcPr>
            <w:tcW w:w="1174" w:type="pct"/>
            <w:shd w:val="clear" w:color="auto" w:fill="auto"/>
            <w:noWrap/>
            <w:vAlign w:val="center"/>
            <w:hideMark/>
          </w:tcPr>
          <w:p w:rsidR="00DE031E" w:rsidRPr="00D73AB7" w:rsidRDefault="001C1A59" w:rsidP="00DE031E">
            <w:pPr>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26,970,487.58</w:t>
            </w:r>
          </w:p>
        </w:tc>
        <w:tc>
          <w:tcPr>
            <w:tcW w:w="1181" w:type="pct"/>
            <w:shd w:val="clear" w:color="auto" w:fill="auto"/>
            <w:vAlign w:val="center"/>
          </w:tcPr>
          <w:p w:rsidR="00DE031E" w:rsidRPr="00D73AB7" w:rsidRDefault="001C1A59" w:rsidP="00DE031E">
            <w:pPr>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87,489,355.1</w:t>
            </w:r>
            <w:r w:rsidRPr="00D73AB7">
              <w:rPr>
                <w:rFonts w:asciiTheme="minorEastAsia" w:eastAsiaTheme="minorEastAsia" w:hAnsiTheme="minorEastAsia" w:cs="Arial" w:hint="eastAsia"/>
                <w:b/>
                <w:bCs/>
                <w:color w:val="000000"/>
                <w:szCs w:val="21"/>
              </w:rPr>
              <w:t>1</w:t>
            </w:r>
          </w:p>
        </w:tc>
      </w:tr>
    </w:tbl>
    <w:p w:rsidR="00DE031E" w:rsidRDefault="001C1A59" w:rsidP="009950AC">
      <w:pPr>
        <w:pStyle w:val="3"/>
        <w:numPr>
          <w:ilvl w:val="0"/>
          <w:numId w:val="41"/>
        </w:numPr>
        <w:tabs>
          <w:tab w:val="left" w:pos="504"/>
        </w:tabs>
        <w:spacing w:line="360" w:lineRule="auto"/>
        <w:rPr>
          <w:szCs w:val="21"/>
        </w:rPr>
      </w:pPr>
      <w:r>
        <w:rPr>
          <w:szCs w:val="21"/>
        </w:rPr>
        <w:lastRenderedPageBreak/>
        <w:t>手续费及佣金净收入</w:t>
      </w:r>
    </w:p>
    <w:sdt>
      <w:sdtPr>
        <w:rPr>
          <w:rFonts w:ascii="宋体" w:hAnsi="宋体" w:cs="宋体" w:hint="eastAsia"/>
          <w:b w:val="0"/>
          <w:bCs w:val="0"/>
          <w:kern w:val="0"/>
          <w:szCs w:val="24"/>
        </w:rPr>
        <w:tag w:val="_GBC_4c836722fb1449438e16aaa05f3a5424"/>
        <w:id w:val="24725594"/>
        <w:lock w:val="sdtLocked"/>
        <w:placeholder>
          <w:docPart w:val="GBC22222222222222222222222222222"/>
        </w:placeholder>
      </w:sdtPr>
      <w:sdtEndPr>
        <w:rPr>
          <w:szCs w:val="21"/>
        </w:rPr>
      </w:sdtEndPr>
      <w:sdtContent>
        <w:p w:rsidR="00DE031E" w:rsidRDefault="001C1A59" w:rsidP="009950AC">
          <w:pPr>
            <w:pStyle w:val="4"/>
            <w:numPr>
              <w:ilvl w:val="0"/>
              <w:numId w:val="57"/>
            </w:numPr>
            <w:spacing w:line="360" w:lineRule="auto"/>
          </w:pPr>
          <w:r>
            <w:t>手续费及佣金净收入情况</w:t>
          </w:r>
        </w:p>
        <w:p w:rsidR="00DE031E" w:rsidRDefault="001C1A59">
          <w:pPr>
            <w:jc w:val="right"/>
          </w:pPr>
          <w:r>
            <w:rPr>
              <w:rFonts w:hint="eastAsia"/>
            </w:rPr>
            <w:t>单位：</w:t>
          </w:r>
          <w:sdt>
            <w:sdtPr>
              <w:rPr>
                <w:rFonts w:hint="eastAsia"/>
              </w:rPr>
              <w:alias w:val="单位：财务附注：手续费及佣金净收入"/>
              <w:tag w:val="_GBC_ad8a399772b9408286e1da95d6eb8f65"/>
              <w:id w:val="247255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手续费及佣金净收入"/>
              <w:tag w:val="_GBC_1019b18b1fc04a7980e65ad24965573e"/>
              <w:id w:val="24725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31" w:type="pct"/>
            <w:jc w:val="center"/>
            <w:tblInd w:w="-885" w:type="dxa"/>
            <w:tblBorders>
              <w:top w:val="single" w:sz="4" w:space="0" w:color="auto"/>
              <w:left w:val="single" w:sz="4" w:space="0" w:color="auto"/>
              <w:bottom w:val="single" w:sz="4" w:space="0" w:color="auto"/>
              <w:right w:val="single" w:sz="4" w:space="0" w:color="auto"/>
            </w:tblBorders>
            <w:tblLook w:val="0000"/>
          </w:tblPr>
          <w:tblGrid>
            <w:gridCol w:w="5387"/>
            <w:gridCol w:w="2018"/>
            <w:gridCol w:w="2062"/>
          </w:tblGrid>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center"/>
                  <w:rPr>
                    <w:szCs w:val="21"/>
                  </w:rPr>
                </w:pPr>
                <w:r>
                  <w:rPr>
                    <w:rFonts w:hint="eastAsia"/>
                    <w:szCs w:val="21"/>
                  </w:rPr>
                  <w:t>项目</w:t>
                </w:r>
              </w:p>
            </w:tc>
            <w:tc>
              <w:tcPr>
                <w:tcW w:w="1066"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center"/>
                  <w:rPr>
                    <w:szCs w:val="21"/>
                  </w:rPr>
                </w:pPr>
                <w:r>
                  <w:rPr>
                    <w:rFonts w:hint="eastAsia"/>
                    <w:szCs w:val="21"/>
                  </w:rPr>
                  <w:t>本期发生额</w:t>
                </w:r>
              </w:p>
            </w:tc>
            <w:tc>
              <w:tcPr>
                <w:tcW w:w="1089"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center"/>
                  <w:rPr>
                    <w:szCs w:val="21"/>
                  </w:rPr>
                </w:pPr>
                <w:r>
                  <w:rPr>
                    <w:rFonts w:hint="eastAsia"/>
                    <w:szCs w:val="21"/>
                  </w:rPr>
                  <w:t>上期发生额</w:t>
                </w:r>
              </w:p>
            </w:tc>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手续费及佣金收入</w:t>
                </w:r>
              </w:p>
            </w:tc>
            <w:sdt>
              <w:sdtPr>
                <w:rPr>
                  <w:szCs w:val="21"/>
                </w:rPr>
                <w:alias w:val="手续费及佣金收入"/>
                <w:tag w:val="_GBC_8f9e6f479605487a8ecb29dc5f6eeaf6"/>
                <w:id w:val="24725536"/>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10,487,818,890.02</w:t>
                    </w:r>
                  </w:p>
                </w:tc>
              </w:sdtContent>
            </w:sdt>
            <w:sdt>
              <w:sdtPr>
                <w:rPr>
                  <w:szCs w:val="21"/>
                </w:rPr>
                <w:alias w:val="手续费及佣金收入"/>
                <w:tag w:val="_GBC_58e371261070498ca05f41986af0ea61"/>
                <w:id w:val="24725537"/>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2,260,088,942.92</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证券经纪业务</w:t>
                </w:r>
              </w:p>
            </w:tc>
            <w:sdt>
              <w:sdtPr>
                <w:rPr>
                  <w:szCs w:val="21"/>
                </w:rPr>
                <w:alias w:val="证券经纪业务产生的手续费及佣金收入"/>
                <w:tag w:val="_GBC_795e5c0651a54a67a567410514fee284"/>
                <w:id w:val="24725538"/>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8,692,830,880.74</w:t>
                    </w:r>
                  </w:p>
                </w:tc>
              </w:sdtContent>
            </w:sdt>
            <w:sdt>
              <w:sdtPr>
                <w:rPr>
                  <w:szCs w:val="21"/>
                </w:rPr>
                <w:alias w:val="证券经纪业务产生的手续费及佣金收入"/>
                <w:tag w:val="_GBC_70997cc57b0843338e64d8e06de4a58e"/>
                <w:id w:val="24725539"/>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1,509,308,305.71</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其中：代理买卖证券业务</w:t>
                </w:r>
              </w:p>
            </w:tc>
            <w:sdt>
              <w:sdtPr>
                <w:rPr>
                  <w:szCs w:val="21"/>
                </w:rPr>
                <w:alias w:val="代理买卖证券业务产生的手续费及佣金收入"/>
                <w:tag w:val="_GBC_fcbd53a738ff4d57bf1334e7506f1846"/>
                <w:id w:val="24725540"/>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8,157,365,934.32</w:t>
                    </w:r>
                  </w:p>
                </w:tc>
              </w:sdtContent>
            </w:sdt>
            <w:sdt>
              <w:sdtPr>
                <w:rPr>
                  <w:szCs w:val="21"/>
                </w:rPr>
                <w:alias w:val="代理买卖证券业务产生的手续费及佣金收入"/>
                <w:tag w:val="_GBC_ae156998a1484b3f8e848c0afd640091"/>
                <w:id w:val="24725541"/>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1,365,044,299.05</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交易单元席位租赁</w:t>
                </w:r>
              </w:p>
            </w:tc>
            <w:sdt>
              <w:sdtPr>
                <w:rPr>
                  <w:szCs w:val="21"/>
                </w:rPr>
                <w:alias w:val="交易单元席位租赁产生的手续费及佣金收入"/>
                <w:tag w:val="_GBC_040bf8f88ae64f29a7d987742004aee1"/>
                <w:id w:val="24725542"/>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440,313,297.44</w:t>
                    </w:r>
                  </w:p>
                </w:tc>
              </w:sdtContent>
            </w:sdt>
            <w:sdt>
              <w:sdtPr>
                <w:rPr>
                  <w:szCs w:val="21"/>
                </w:rPr>
                <w:alias w:val="交易单元席位租赁产生的手续费及佣金收入"/>
                <w:tag w:val="_GBC_51b636a09f3048a9baf76b2c22889af3"/>
                <w:id w:val="24725543"/>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127,252,341.55</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代销金融产品业务</w:t>
                </w:r>
              </w:p>
            </w:tc>
            <w:bookmarkStart w:id="74" w:name="OLE_LINK6" w:displacedByCustomXml="next"/>
            <w:sdt>
              <w:sdtPr>
                <w:rPr>
                  <w:szCs w:val="21"/>
                </w:rPr>
                <w:alias w:val="代销金融产品业务产生的手续费及佣金收入"/>
                <w:tag w:val="_GBC_397d489fe9594d3892d911183b558aa3"/>
                <w:id w:val="24725544"/>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95,151,648.98</w:t>
                    </w:r>
                  </w:p>
                </w:tc>
              </w:sdtContent>
            </w:sdt>
            <w:bookmarkEnd w:id="74" w:displacedByCustomXml="prev"/>
            <w:sdt>
              <w:sdtPr>
                <w:rPr>
                  <w:szCs w:val="21"/>
                </w:rPr>
                <w:alias w:val="代销金融产品业务产生的手续费及佣金收入"/>
                <w:tag w:val="_GBC_5fcb5d65174b45618abde65277398e30"/>
                <w:id w:val="24725545"/>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17,011,665.11</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期货经纪业务</w:t>
                </w:r>
              </w:p>
            </w:tc>
            <w:sdt>
              <w:sdtPr>
                <w:rPr>
                  <w:szCs w:val="21"/>
                </w:rPr>
                <w:alias w:val="期货经纪业务产生的手续费及佣金收入"/>
                <w:tag w:val="_GBC_61a87b686ad747e7bee27562900870c2"/>
                <w:id w:val="24725546"/>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173,302,666.39</w:t>
                    </w:r>
                  </w:p>
                </w:tc>
              </w:sdtContent>
            </w:sdt>
            <w:sdt>
              <w:sdtPr>
                <w:rPr>
                  <w:szCs w:val="21"/>
                </w:rPr>
                <w:alias w:val="期货经纪业务产生的手续费及佣金收入"/>
                <w:tag w:val="_GBC_ec84ed165fab4b1ab88c865d72dbb58c"/>
                <w:id w:val="24725547"/>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53,374,661.15</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投资银行业务</w:t>
                </w:r>
              </w:p>
            </w:tc>
            <w:sdt>
              <w:sdtPr>
                <w:rPr>
                  <w:szCs w:val="21"/>
                </w:rPr>
                <w:alias w:val="投资银行业务产生的手续费及佣金收入"/>
                <w:tag w:val="_GBC_c6055c1db0b44482898385e6abb85d09"/>
                <w:id w:val="24725548"/>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991,415,049.79</w:t>
                    </w:r>
                  </w:p>
                </w:tc>
              </w:sdtContent>
            </w:sdt>
            <w:sdt>
              <w:sdtPr>
                <w:rPr>
                  <w:szCs w:val="21"/>
                </w:rPr>
                <w:alias w:val="投资银行业务产生的手续费及佣金收入"/>
                <w:tag w:val="_GBC_c0702f87b2d740368ec6d5e65174e534"/>
                <w:id w:val="24725549"/>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502,389,661.82</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其中：证券承销业务</w:t>
                </w:r>
              </w:p>
            </w:tc>
            <w:sdt>
              <w:sdtPr>
                <w:rPr>
                  <w:szCs w:val="21"/>
                </w:rPr>
                <w:alias w:val="证券承销业务产生的手续费及佣金收入"/>
                <w:tag w:val="_GBC_3719c7cde8c94685ac304ef994619851"/>
                <w:id w:val="24725550"/>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804,215,080.27</w:t>
                    </w:r>
                  </w:p>
                </w:tc>
              </w:sdtContent>
            </w:sdt>
            <w:sdt>
              <w:sdtPr>
                <w:rPr>
                  <w:szCs w:val="21"/>
                </w:rPr>
                <w:alias w:val="证券承销业务产生的手续费及佣金收入"/>
                <w:tag w:val="_GBC_a53bdf43b19e440ca18a8d90c5e61ec6"/>
                <w:id w:val="24725551"/>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364,475,926.63</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证券保荐业务</w:t>
                </w:r>
              </w:p>
            </w:tc>
            <w:sdt>
              <w:sdtPr>
                <w:rPr>
                  <w:szCs w:val="21"/>
                </w:rPr>
                <w:alias w:val="证券保荐业务产生的手续费及佣金收入"/>
                <w:tag w:val="_GBC_64e74afde0ca41b0927db2d294c41de8"/>
                <w:id w:val="24725552"/>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84,898,660.00</w:t>
                    </w:r>
                  </w:p>
                </w:tc>
              </w:sdtContent>
            </w:sdt>
            <w:sdt>
              <w:sdtPr>
                <w:rPr>
                  <w:szCs w:val="21"/>
                </w:rPr>
                <w:alias w:val="证券保荐业务产生的手续费及佣金收入"/>
                <w:tag w:val="_GBC_39ad041313d340e4a08fe2d41f9dda44"/>
                <w:id w:val="24725553"/>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73,009,375.00</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财务顾问业务</w:t>
                </w:r>
              </w:p>
            </w:tc>
            <w:sdt>
              <w:sdtPr>
                <w:rPr>
                  <w:szCs w:val="21"/>
                </w:rPr>
                <w:alias w:val="财务顾问业务产生的手续费及佣金收入"/>
                <w:tag w:val="_GBC_84014c6f55c04c97a0dedf8e8774388b"/>
                <w:id w:val="24725554"/>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102,301,309.52</w:t>
                    </w:r>
                  </w:p>
                </w:tc>
              </w:sdtContent>
            </w:sdt>
            <w:sdt>
              <w:sdtPr>
                <w:rPr>
                  <w:szCs w:val="21"/>
                </w:rPr>
                <w:alias w:val="财务顾问业务产生的手续费及佣金收入"/>
                <w:tag w:val="_GBC_e6bd2648ac9f4d33ab00582031f8801e"/>
                <w:id w:val="24725555"/>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64,904,360.19</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资产管理业务</w:t>
                </w:r>
              </w:p>
            </w:tc>
            <w:sdt>
              <w:sdtPr>
                <w:rPr>
                  <w:szCs w:val="21"/>
                </w:rPr>
                <w:alias w:val="受托客户资产管理业务产生的手续费及佣金收入"/>
                <w:tag w:val="_GBC_727376b15beb454aa8180154d4d34469"/>
                <w:id w:val="24725556"/>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482,047,645.15</w:t>
                    </w:r>
                  </w:p>
                </w:tc>
              </w:sdtContent>
            </w:sdt>
            <w:sdt>
              <w:sdtPr>
                <w:rPr>
                  <w:szCs w:val="21"/>
                </w:rPr>
                <w:alias w:val="受托客户资产管理业务产生的手续费及佣金收入"/>
                <w:tag w:val="_GBC_5d0b4f1d69e34c1cb3148b636e131588"/>
                <w:id w:val="24725557"/>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142,063,411.28</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基金管理业务</w:t>
                </w:r>
              </w:p>
            </w:tc>
            <w:sdt>
              <w:sdtPr>
                <w:rPr>
                  <w:szCs w:val="21"/>
                </w:rPr>
                <w:alias w:val="基金管理业务产生的手续费及佣金收入"/>
                <w:tag w:val="_GBC_bbdf3e3742724b2c8730cc4a2aef892c"/>
                <w:id w:val="24725558"/>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47,488,529.70</w:t>
                    </w:r>
                  </w:p>
                </w:tc>
              </w:sdtContent>
            </w:sdt>
            <w:sdt>
              <w:sdtPr>
                <w:rPr>
                  <w:szCs w:val="21"/>
                </w:rPr>
                <w:alias w:val="基金管理业务产生的手续费及佣金收入"/>
                <w:tag w:val="_GBC_58cf7065425d4704a165d89d4ce5908d"/>
                <w:id w:val="24725559"/>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45,330,676.95</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投资咨询业务</w:t>
                </w:r>
              </w:p>
            </w:tc>
            <w:sdt>
              <w:sdtPr>
                <w:rPr>
                  <w:szCs w:val="21"/>
                </w:rPr>
                <w:alias w:val="投资咨询业务产生的手续费及佣金收入"/>
                <w:tag w:val="_GBC_4b568e5441464f06b1aa1805dcfa8dfb"/>
                <w:id w:val="24725560"/>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100,734,118.25</w:t>
                    </w:r>
                  </w:p>
                </w:tc>
              </w:sdtContent>
            </w:sdt>
            <w:sdt>
              <w:sdtPr>
                <w:rPr>
                  <w:szCs w:val="21"/>
                </w:rPr>
                <w:alias w:val="投资咨询业务产生的手续费及佣金收入"/>
                <w:tag w:val="_GBC_4a59462f90164071b65a4d3ee2087bf2"/>
                <w:id w:val="24725561"/>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7,622,226.01</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手续费及佣金支出</w:t>
                </w:r>
              </w:p>
            </w:tc>
            <w:sdt>
              <w:sdtPr>
                <w:rPr>
                  <w:szCs w:val="21"/>
                </w:rPr>
                <w:alias w:val="手续费及佣金支出"/>
                <w:tag w:val="_GBC_a575f1031de84fdb992c64b483c4b204"/>
                <w:id w:val="24725562"/>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1,617,575,000.04</w:t>
                    </w:r>
                  </w:p>
                </w:tc>
              </w:sdtContent>
            </w:sdt>
            <w:sdt>
              <w:sdtPr>
                <w:rPr>
                  <w:szCs w:val="21"/>
                </w:rPr>
                <w:alias w:val="手续费及佣金支出"/>
                <w:tag w:val="_GBC_39b6868391bc4d569c68272aff4f7ce4"/>
                <w:id w:val="24725563"/>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386,346,074.00</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证券经纪业务</w:t>
                </w:r>
              </w:p>
            </w:tc>
            <w:sdt>
              <w:sdtPr>
                <w:rPr>
                  <w:szCs w:val="21"/>
                </w:rPr>
                <w:alias w:val="证券经纪业务手续费支出"/>
                <w:tag w:val="_GBC_48be09682ae648509988f3301241fa2d"/>
                <w:id w:val="24725564"/>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1,460,446,695.79</w:t>
                    </w:r>
                  </w:p>
                </w:tc>
              </w:sdtContent>
            </w:sdt>
            <w:sdt>
              <w:sdtPr>
                <w:rPr>
                  <w:szCs w:val="21"/>
                </w:rPr>
                <w:alias w:val="证券经纪业务手续费支出"/>
                <w:tag w:val="_GBC_f47149a58f0141cea4a07a06c12060a9"/>
                <w:id w:val="24725565"/>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280,323,756.83</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其中：代理买卖证券业务</w:t>
                </w:r>
              </w:p>
            </w:tc>
            <w:sdt>
              <w:sdtPr>
                <w:rPr>
                  <w:szCs w:val="21"/>
                </w:rPr>
                <w:alias w:val="代理买卖证券业务产生的手续费及佣金支出"/>
                <w:tag w:val="_GBC_e6a9e7aa3088480c85068483a7d17642"/>
                <w:id w:val="24725566"/>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1,460,446,695.79</w:t>
                    </w:r>
                  </w:p>
                </w:tc>
              </w:sdtContent>
            </w:sdt>
            <w:sdt>
              <w:sdtPr>
                <w:rPr>
                  <w:szCs w:val="21"/>
                </w:rPr>
                <w:alias w:val="代理买卖证券业务产生的手续费及佣金支出"/>
                <w:tag w:val="_GBC_71079a9f4b9846bd802db40fdc98528b"/>
                <w:id w:val="24725567"/>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280,323,756.83</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期货经纪业务</w:t>
                </w:r>
              </w:p>
            </w:tc>
            <w:sdt>
              <w:sdtPr>
                <w:rPr>
                  <w:szCs w:val="21"/>
                </w:rPr>
                <w:alias w:val="期货经纪业务产生的手续费及佣金支出"/>
                <w:tag w:val="_GBC_93981b29f7404c9fb9a2af67f03ea6bc"/>
                <w:id w:val="24725568"/>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5,922,516.80</w:t>
                    </w:r>
                  </w:p>
                </w:tc>
              </w:sdtContent>
            </w:sdt>
            <w:sdt>
              <w:sdtPr>
                <w:rPr>
                  <w:szCs w:val="21"/>
                </w:rPr>
                <w:alias w:val="期货经纪业务产生的手续费及佣金支出"/>
                <w:tag w:val="_GBC_c82b74f84fb64ef6b69a919035aead71"/>
                <w:id w:val="24725569"/>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1,551,694.18</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投资银行业务</w:t>
                </w:r>
              </w:p>
            </w:tc>
            <w:sdt>
              <w:sdtPr>
                <w:rPr>
                  <w:szCs w:val="21"/>
                </w:rPr>
                <w:alias w:val="投资银行业务产生的手续费及佣金支出"/>
                <w:tag w:val="_GBC_ed2fbd1b3ec34f59967ebe866b333f9f"/>
                <w:id w:val="24725570"/>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116,250,202.84</w:t>
                    </w:r>
                  </w:p>
                </w:tc>
              </w:sdtContent>
            </w:sdt>
            <w:sdt>
              <w:sdtPr>
                <w:rPr>
                  <w:szCs w:val="21"/>
                </w:rPr>
                <w:alias w:val="投资银行业务产生的手续费及佣金支出"/>
                <w:tag w:val="_GBC_cbcd797c6f7f45f58f7149bc04b06dc1"/>
                <w:id w:val="24725571"/>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95,686,120.93</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其中：证券承销业务</w:t>
                </w:r>
              </w:p>
            </w:tc>
            <w:sdt>
              <w:sdtPr>
                <w:rPr>
                  <w:szCs w:val="21"/>
                </w:rPr>
                <w:alias w:val="证券承销业务产生的手续费及佣金支出"/>
                <w:tag w:val="_GBC_73f59af7b8024a60bdbdaf5d9cfabeb6"/>
                <w:id w:val="24725572"/>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91,224,907.16</w:t>
                    </w:r>
                  </w:p>
                </w:tc>
              </w:sdtContent>
            </w:sdt>
            <w:sdt>
              <w:sdtPr>
                <w:rPr>
                  <w:szCs w:val="21"/>
                </w:rPr>
                <w:alias w:val="证券承销业务产生的手续费及佣金支出"/>
                <w:tag w:val="_GBC_9bcaf479da2d44abb1d5f378ec8a0fa3"/>
                <w:id w:val="24725573"/>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82,401,853.08</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证券保荐业务</w:t>
                </w:r>
              </w:p>
            </w:tc>
            <w:sdt>
              <w:sdtPr>
                <w:rPr>
                  <w:szCs w:val="21"/>
                </w:rPr>
                <w:alias w:val="证券保荐业务产生的手续费及佣金支出"/>
                <w:tag w:val="_GBC_a82696215e3a4f459661f3ff9c4c31a5"/>
                <w:id w:val="24725574"/>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210,000.00</w:t>
                    </w:r>
                  </w:p>
                </w:tc>
              </w:sdtContent>
            </w:sdt>
            <w:sdt>
              <w:sdtPr>
                <w:rPr>
                  <w:szCs w:val="21"/>
                </w:rPr>
                <w:alias w:val="证券保荐业务产生的手续费及佣金支出"/>
                <w:tag w:val="_GBC_c8b2da53f52042c4af6b9a82bce502ef"/>
                <w:id w:val="24725575"/>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1,981,257.77</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财务顾问业务</w:t>
                </w:r>
              </w:p>
            </w:tc>
            <w:sdt>
              <w:sdtPr>
                <w:rPr>
                  <w:szCs w:val="21"/>
                </w:rPr>
                <w:alias w:val="财务顾问业务产生的手续费及佣金支出"/>
                <w:tag w:val="_GBC_ca69fce60cd545e4984972466e2f21b0"/>
                <w:id w:val="24725576"/>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24,815,295.68</w:t>
                    </w:r>
                  </w:p>
                </w:tc>
              </w:sdtContent>
            </w:sdt>
            <w:sdt>
              <w:sdtPr>
                <w:rPr>
                  <w:szCs w:val="21"/>
                </w:rPr>
                <w:alias w:val="财务顾问业务产生的手续费及佣金支出"/>
                <w:tag w:val="_GBC_9ea903d9d59b4893b0700aa2153c309a"/>
                <w:id w:val="24725577"/>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11,303,010.08</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资产管理业务</w:t>
                </w:r>
              </w:p>
            </w:tc>
            <w:sdt>
              <w:sdtPr>
                <w:rPr>
                  <w:szCs w:val="21"/>
                </w:rPr>
                <w:alias w:val="资产管理业务产生的手续费及佣金支出"/>
                <w:tag w:val="_GBC_338a562bbc6643ed89c444e311d8bd78"/>
                <w:id w:val="24725578"/>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983D3B" w:rsidP="00DE031E">
                    <w:pPr>
                      <w:jc w:val="right"/>
                      <w:rPr>
                        <w:szCs w:val="21"/>
                      </w:rPr>
                    </w:pPr>
                    <w:r>
                      <w:rPr>
                        <w:szCs w:val="21"/>
                      </w:rPr>
                      <w:t>31,679,671.07</w:t>
                    </w:r>
                  </w:p>
                </w:tc>
              </w:sdtContent>
            </w:sdt>
            <w:sdt>
              <w:sdtPr>
                <w:rPr>
                  <w:szCs w:val="21"/>
                </w:rPr>
                <w:alias w:val="资产管理业务产生的手续费及佣金支出"/>
                <w:tag w:val="_GBC_c6bf2fd22fa3437eae48184e128961f7"/>
                <w:id w:val="24725579"/>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7,222,765.87</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基金管理业务</w:t>
                </w:r>
              </w:p>
            </w:tc>
            <w:sdt>
              <w:sdtPr>
                <w:rPr>
                  <w:szCs w:val="21"/>
                </w:rPr>
                <w:alias w:val="基金管理业务产生的手续费及佣金支出"/>
                <w:tag w:val="_GBC_0789a53fdf904b138db3a5adfcace038"/>
                <w:id w:val="24725580"/>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983D3B" w:rsidP="00DE031E">
                    <w:pPr>
                      <w:jc w:val="right"/>
                      <w:rPr>
                        <w:szCs w:val="21"/>
                      </w:rPr>
                    </w:pPr>
                    <w:r>
                      <w:rPr>
                        <w:szCs w:val="21"/>
                      </w:rPr>
                      <w:t>3,275,913.54</w:t>
                    </w:r>
                  </w:p>
                </w:tc>
              </w:sdtContent>
            </w:sdt>
            <w:sdt>
              <w:sdtPr>
                <w:rPr>
                  <w:szCs w:val="21"/>
                </w:rPr>
                <w:alias w:val="基金管理业务产生的手续费及佣金支出"/>
                <w:tag w:val="_GBC_a787039869cd495bb9b8f68f88d22138"/>
                <w:id w:val="24725581"/>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1,255,771.98</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投资咨询业务</w:t>
                </w:r>
              </w:p>
            </w:tc>
            <w:sdt>
              <w:sdtPr>
                <w:rPr>
                  <w:szCs w:val="21"/>
                </w:rPr>
                <w:alias w:val="投资咨询业务产生的手续费及佣金支出"/>
                <w:tag w:val="_GBC_9874ee5f6b2d4b42bb55bfde9c23a65c"/>
                <w:id w:val="24725582"/>
                <w:lock w:val="sdtLocked"/>
                <w:showingPlcHdr/>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rFonts w:hint="eastAsia"/>
                        <w:color w:val="333399"/>
                      </w:rPr>
                      <w:t xml:space="preserve">　</w:t>
                    </w:r>
                  </w:p>
                </w:tc>
              </w:sdtContent>
            </w:sdt>
            <w:sdt>
              <w:sdtPr>
                <w:rPr>
                  <w:szCs w:val="21"/>
                </w:rPr>
                <w:alias w:val="投资咨询业务产生的手续费及佣金支出"/>
                <w:tag w:val="_GBC_6ba51972323f42a6afb976925a4b1aa2"/>
                <w:id w:val="24725583"/>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305,964.21</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手续费及佣金净收入</w:t>
                </w:r>
              </w:p>
            </w:tc>
            <w:sdt>
              <w:sdtPr>
                <w:rPr>
                  <w:szCs w:val="21"/>
                </w:rPr>
                <w:alias w:val="手续费及佣金净收入"/>
                <w:tag w:val="_GBC_729832459c594cc693917f758bee1b6b"/>
                <w:id w:val="24725584"/>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8,870,243,889.98</w:t>
                    </w:r>
                  </w:p>
                </w:tc>
              </w:sdtContent>
            </w:sdt>
            <w:sdt>
              <w:sdtPr>
                <w:rPr>
                  <w:szCs w:val="21"/>
                </w:rPr>
                <w:alias w:val="手续费及佣金净收入"/>
                <w:tag w:val="_GBC_5beb9271e1c042978775259386512c2a"/>
                <w:id w:val="24725585"/>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1,873,742,868.92</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rPr>
                    <w:szCs w:val="21"/>
                  </w:rPr>
                </w:pPr>
                <w:r>
                  <w:rPr>
                    <w:rFonts w:hint="eastAsia"/>
                    <w:szCs w:val="21"/>
                  </w:rPr>
                  <w:t>其中：财务顾问业务净收入</w:t>
                </w:r>
              </w:p>
            </w:tc>
            <w:sdt>
              <w:sdtPr>
                <w:rPr>
                  <w:szCs w:val="21"/>
                </w:rPr>
                <w:alias w:val="财务顾问业务产生的手续费及佣金净收入"/>
                <w:tag w:val="_GBC_1b9b242bac7b4df69b08f44630856fcc"/>
                <w:id w:val="24725586"/>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77,486,013.84</w:t>
                    </w:r>
                  </w:p>
                </w:tc>
              </w:sdtContent>
            </w:sdt>
            <w:sdt>
              <w:sdtPr>
                <w:rPr>
                  <w:szCs w:val="21"/>
                </w:rPr>
                <w:alias w:val="财务顾问业务产生的手续费及佣金净收入"/>
                <w:tag w:val="_GBC_6019b95be3fe41078356137f6127699b"/>
                <w:id w:val="24725587"/>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53,601,350.11</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—并购重组财务顾问业务净收入</w:t>
                </w:r>
                <w:r>
                  <w:rPr>
                    <w:szCs w:val="21"/>
                  </w:rPr>
                  <w:t>--境内上市公司</w:t>
                </w:r>
              </w:p>
            </w:tc>
            <w:sdt>
              <w:sdtPr>
                <w:rPr>
                  <w:szCs w:val="21"/>
                </w:rPr>
                <w:alias w:val="并购重组财务顾问业务中境内上市公司产生的手续费及佣金净收入"/>
                <w:tag w:val="_GBC_e9a1da0a22aa4f7dacf8552f952d4be1"/>
                <w:id w:val="24725588"/>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11,605,380.00</w:t>
                    </w:r>
                  </w:p>
                </w:tc>
              </w:sdtContent>
            </w:sdt>
            <w:sdt>
              <w:sdtPr>
                <w:rPr>
                  <w:szCs w:val="21"/>
                </w:rPr>
                <w:alias w:val="并购重组财务顾问业务中境内上市公司产生的手续费及佣金净收入"/>
                <w:tag w:val="_GBC_49ef9b4d0284439c82875f43f8520bdc"/>
                <w:id w:val="24725589"/>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10,868,134.79</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—并购重组财务顾问业务净收入</w:t>
                </w:r>
                <w:r>
                  <w:rPr>
                    <w:szCs w:val="21"/>
                  </w:rPr>
                  <w:t>--其他</w:t>
                </w:r>
              </w:p>
            </w:tc>
            <w:sdt>
              <w:sdtPr>
                <w:rPr>
                  <w:szCs w:val="21"/>
                </w:rPr>
                <w:alias w:val="并购重组财务顾问业务中其他产生的手续费及佣金净收入"/>
                <w:tag w:val="_GBC_852f54d235f046e3924e6add54f387a1"/>
                <w:id w:val="24725590"/>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4,230,000.00</w:t>
                    </w:r>
                  </w:p>
                </w:tc>
              </w:sdtContent>
            </w:sdt>
            <w:sdt>
              <w:sdtPr>
                <w:rPr>
                  <w:szCs w:val="21"/>
                </w:rPr>
                <w:alias w:val="并购重组财务顾问业务中其他产生的手续费及佣金净收入"/>
                <w:tag w:val="_GBC_13980112ba4744369c4ca0bc84afdecb"/>
                <w:id w:val="24725591"/>
                <w:lock w:val="sdtLocked"/>
              </w:sdtPr>
              <w:sdtContent>
                <w:tc>
                  <w:tcPr>
                    <w:tcW w:w="1089"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2,675,375.63</w:t>
                    </w:r>
                  </w:p>
                </w:tc>
              </w:sdtContent>
            </w:sdt>
          </w:tr>
          <w:tr w:rsidR="00DE031E" w:rsidTr="00DE031E">
            <w:trPr>
              <w:jc w:val="center"/>
            </w:trPr>
            <w:tc>
              <w:tcPr>
                <w:tcW w:w="2845"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ind w:firstLineChars="300" w:firstLine="630"/>
                  <w:rPr>
                    <w:szCs w:val="21"/>
                  </w:rPr>
                </w:pPr>
                <w:r>
                  <w:rPr>
                    <w:rFonts w:hint="eastAsia"/>
                    <w:szCs w:val="21"/>
                  </w:rPr>
                  <w:t>—其他财务顾问业务净收入</w:t>
                </w:r>
              </w:p>
            </w:tc>
            <w:sdt>
              <w:sdtPr>
                <w:rPr>
                  <w:szCs w:val="21"/>
                </w:rPr>
                <w:alias w:val="其他财务顾问业务产生的手续费及佣金净收入"/>
                <w:tag w:val="_GBC_37860010101a4eff9dea8fa72ca94277"/>
                <w:id w:val="24725592"/>
                <w:lock w:val="sdtLocked"/>
              </w:sdtPr>
              <w:sdtContent>
                <w:tc>
                  <w:tcPr>
                    <w:tcW w:w="1066" w:type="pct"/>
                    <w:tcBorders>
                      <w:top w:val="outset" w:sz="6" w:space="0" w:color="auto"/>
                      <w:left w:val="outset" w:sz="6" w:space="0" w:color="auto"/>
                      <w:bottom w:val="outset" w:sz="6" w:space="0" w:color="auto"/>
                      <w:right w:val="outset" w:sz="6" w:space="0" w:color="auto"/>
                    </w:tcBorders>
                    <w:vAlign w:val="center"/>
                  </w:tcPr>
                  <w:p w:rsidR="00DE031E" w:rsidRDefault="001C1A59" w:rsidP="00DE031E">
                    <w:pPr>
                      <w:jc w:val="right"/>
                      <w:rPr>
                        <w:szCs w:val="21"/>
                      </w:rPr>
                    </w:pPr>
                    <w:r>
                      <w:rPr>
                        <w:szCs w:val="21"/>
                      </w:rPr>
                      <w:t>61,650,633.84</w:t>
                    </w:r>
                  </w:p>
                </w:tc>
              </w:sdtContent>
            </w:sdt>
            <w:tc>
              <w:tcPr>
                <w:tcW w:w="1089" w:type="pct"/>
                <w:tcBorders>
                  <w:top w:val="outset" w:sz="6" w:space="0" w:color="auto"/>
                  <w:left w:val="outset" w:sz="6" w:space="0" w:color="auto"/>
                  <w:bottom w:val="outset" w:sz="6" w:space="0" w:color="auto"/>
                  <w:right w:val="outset" w:sz="6" w:space="0" w:color="auto"/>
                </w:tcBorders>
                <w:vAlign w:val="center"/>
              </w:tcPr>
              <w:p w:rsidR="00DE031E" w:rsidRDefault="00422DCA" w:rsidP="00E057B8">
                <w:pPr>
                  <w:jc w:val="right"/>
                  <w:rPr>
                    <w:szCs w:val="21"/>
                  </w:rPr>
                </w:pPr>
                <w:sdt>
                  <w:sdtPr>
                    <w:rPr>
                      <w:szCs w:val="21"/>
                    </w:rPr>
                    <w:alias w:val="其他财务顾问业务产生的手续费及佣金净收入"/>
                    <w:tag w:val="_GBC_c5c9c67797d84f99b6786581e9ee65b3"/>
                    <w:id w:val="24725593"/>
                    <w:lock w:val="sdtLocked"/>
                  </w:sdtPr>
                  <w:sdtContent>
                    <w:r w:rsidR="001C1A59">
                      <w:rPr>
                        <w:szCs w:val="21"/>
                      </w:rPr>
                      <w:t>40,057,839.</w:t>
                    </w:r>
                    <w:r w:rsidR="00E057B8">
                      <w:rPr>
                        <w:rFonts w:hint="eastAsia"/>
                        <w:szCs w:val="21"/>
                      </w:rPr>
                      <w:t>69</w:t>
                    </w:r>
                  </w:sdtContent>
                </w:sdt>
              </w:p>
            </w:tc>
          </w:tr>
        </w:tbl>
        <w:p w:rsidR="002B37AD" w:rsidRDefault="002B37AD" w:rsidP="002B37AD">
          <w:pPr>
            <w:rPr>
              <w:rFonts w:asciiTheme="minorEastAsia" w:eastAsiaTheme="minorEastAsia" w:hAnsiTheme="minorEastAsia"/>
              <w:szCs w:val="21"/>
            </w:rPr>
          </w:pPr>
        </w:p>
        <w:p w:rsidR="00DE031E" w:rsidRPr="00770D05" w:rsidRDefault="002B37AD" w:rsidP="002B37AD">
          <w:pPr>
            <w:spacing w:line="360" w:lineRule="auto"/>
            <w:ind w:firstLineChars="202" w:firstLine="424"/>
            <w:rPr>
              <w:rFonts w:asciiTheme="minorEastAsia" w:eastAsiaTheme="minorEastAsia" w:hAnsiTheme="minorEastAsia"/>
              <w:szCs w:val="21"/>
            </w:rPr>
          </w:pPr>
          <w:r w:rsidRPr="002B37AD">
            <w:rPr>
              <w:rFonts w:asciiTheme="minorEastAsia" w:eastAsiaTheme="minorEastAsia" w:hAnsiTheme="minorEastAsia"/>
              <w:szCs w:val="21"/>
            </w:rPr>
            <w:t>本期手续费及佣金净收入较上年同期增加6,996,501,021.06元，增幅373.40%，主要是受到证券市场行情影响，经纪业务、投资银行业务及资产管理业务手续费净收入增加所致。</w:t>
          </w:r>
        </w:p>
      </w:sdtContent>
    </w:sdt>
    <w:sdt>
      <w:sdtPr>
        <w:rPr>
          <w:rFonts w:ascii="宋体" w:hAnsi="宋体" w:cs="宋体" w:hint="eastAsia"/>
          <w:b w:val="0"/>
          <w:bCs w:val="0"/>
          <w:kern w:val="0"/>
          <w:szCs w:val="21"/>
        </w:rPr>
        <w:tag w:val="_GBC_dde82c65c8f14a9fa915ecf7234b4e1f"/>
        <w:id w:val="24725619"/>
        <w:lock w:val="sdtLocked"/>
        <w:placeholder>
          <w:docPart w:val="GBC22222222222222222222222222222"/>
        </w:placeholder>
      </w:sdtPr>
      <w:sdtContent>
        <w:p w:rsidR="00DE031E" w:rsidRDefault="001C1A59" w:rsidP="009950AC">
          <w:pPr>
            <w:pStyle w:val="4"/>
            <w:numPr>
              <w:ilvl w:val="0"/>
              <w:numId w:val="57"/>
            </w:numPr>
            <w:rPr>
              <w:rFonts w:ascii="宋体" w:hAnsi="宋体"/>
            </w:rPr>
          </w:pPr>
          <w:r>
            <w:rPr>
              <w:rFonts w:ascii="宋体" w:hAnsi="宋体" w:hint="eastAsia"/>
            </w:rPr>
            <w:t>代理销售</w:t>
          </w:r>
          <w:r>
            <w:rPr>
              <w:rFonts w:hint="eastAsia"/>
            </w:rPr>
            <w:t>金融</w:t>
          </w:r>
          <w:r>
            <w:rPr>
              <w:rFonts w:ascii="宋体" w:hAnsi="宋体" w:hint="eastAsia"/>
            </w:rPr>
            <w:t>产品业务</w:t>
          </w:r>
        </w:p>
        <w:p w:rsidR="00DE031E" w:rsidRDefault="001C1A59">
          <w:pPr>
            <w:ind w:left="5460" w:firstLineChars="200" w:firstLine="420"/>
            <w:jc w:val="right"/>
            <w:rPr>
              <w:bCs/>
            </w:rPr>
          </w:pPr>
          <w:r>
            <w:rPr>
              <w:bCs/>
            </w:rPr>
            <w:t>单位：</w:t>
          </w:r>
          <w:sdt>
            <w:sdtPr>
              <w:rPr>
                <w:bCs/>
              </w:rPr>
              <w:alias w:val="单位：财务附注：代理销售金融产品业务"/>
              <w:tag w:val="_GBC_c4e3ca4e7e2e4348b6c7125f1b97b20d"/>
              <w:id w:val="247255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rPr>
                <w:t>元</w:t>
              </w:r>
            </w:sdtContent>
          </w:sdt>
          <w:r>
            <w:rPr>
              <w:bCs/>
            </w:rPr>
            <w:t xml:space="preserve">  币种：</w:t>
          </w:r>
          <w:sdt>
            <w:sdtPr>
              <w:rPr>
                <w:color w:val="000000" w:themeColor="text1"/>
              </w:rPr>
              <w:alias w:val="币种：财务附注：代理销售金融产品业务"/>
              <w:tag w:val="_GBC_3a0cacc2834c43f89b7ec6768e189380"/>
              <w:id w:val="247255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5508" w:type="pct"/>
            <w:jc w:val="center"/>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79"/>
            <w:gridCol w:w="2126"/>
            <w:gridCol w:w="1842"/>
            <w:gridCol w:w="2269"/>
            <w:gridCol w:w="1752"/>
          </w:tblGrid>
          <w:tr w:rsidR="00DE031E" w:rsidTr="00DE031E">
            <w:trPr>
              <w:jc w:val="center"/>
            </w:trPr>
            <w:tc>
              <w:tcPr>
                <w:tcW w:w="992" w:type="pct"/>
                <w:vMerge w:val="restart"/>
                <w:shd w:val="clear" w:color="auto" w:fill="auto"/>
                <w:vAlign w:val="center"/>
              </w:tcPr>
              <w:p w:rsidR="00DE031E" w:rsidRDefault="001C1A59" w:rsidP="00DE031E">
                <w:pPr>
                  <w:autoSpaceDN w:val="0"/>
                  <w:jc w:val="center"/>
                  <w:textAlignment w:val="bottom"/>
                </w:pPr>
                <w:r>
                  <w:t>代销金融产品业务</w:t>
                </w:r>
              </w:p>
            </w:tc>
            <w:tc>
              <w:tcPr>
                <w:tcW w:w="1990" w:type="pct"/>
                <w:gridSpan w:val="2"/>
                <w:shd w:val="clear" w:color="auto" w:fill="auto"/>
                <w:vAlign w:val="center"/>
              </w:tcPr>
              <w:p w:rsidR="00DE031E" w:rsidRDefault="001C1A59" w:rsidP="00DE031E">
                <w:pPr>
                  <w:autoSpaceDN w:val="0"/>
                  <w:jc w:val="center"/>
                  <w:textAlignment w:val="bottom"/>
                </w:pPr>
                <w:r>
                  <w:t>本期</w:t>
                </w:r>
              </w:p>
            </w:tc>
            <w:tc>
              <w:tcPr>
                <w:tcW w:w="2017" w:type="pct"/>
                <w:gridSpan w:val="2"/>
                <w:shd w:val="clear" w:color="auto" w:fill="auto"/>
                <w:vAlign w:val="center"/>
              </w:tcPr>
              <w:p w:rsidR="00DE031E" w:rsidRDefault="001C1A59" w:rsidP="00DE031E">
                <w:pPr>
                  <w:autoSpaceDN w:val="0"/>
                  <w:jc w:val="center"/>
                  <w:textAlignment w:val="bottom"/>
                </w:pPr>
                <w:r>
                  <w:t>上期</w:t>
                </w:r>
              </w:p>
            </w:tc>
          </w:tr>
          <w:tr w:rsidR="00DE031E" w:rsidTr="00DE031E">
            <w:trPr>
              <w:jc w:val="center"/>
            </w:trPr>
            <w:tc>
              <w:tcPr>
                <w:tcW w:w="992" w:type="pct"/>
                <w:vMerge/>
                <w:shd w:val="clear" w:color="auto" w:fill="auto"/>
                <w:vAlign w:val="bottom"/>
              </w:tcPr>
              <w:p w:rsidR="00DE031E" w:rsidRDefault="00DE031E" w:rsidP="00DE031E">
                <w:pPr>
                  <w:autoSpaceDN w:val="0"/>
                  <w:textAlignment w:val="bottom"/>
                </w:pPr>
              </w:p>
            </w:tc>
            <w:tc>
              <w:tcPr>
                <w:tcW w:w="1066" w:type="pct"/>
                <w:shd w:val="clear" w:color="auto" w:fill="auto"/>
                <w:vAlign w:val="center"/>
              </w:tcPr>
              <w:p w:rsidR="00DE031E" w:rsidRDefault="001C1A59" w:rsidP="00DE031E">
                <w:pPr>
                  <w:autoSpaceDN w:val="0"/>
                  <w:jc w:val="center"/>
                  <w:textAlignment w:val="center"/>
                </w:pPr>
                <w:r>
                  <w:t>销售总金额</w:t>
                </w:r>
              </w:p>
            </w:tc>
            <w:tc>
              <w:tcPr>
                <w:tcW w:w="924" w:type="pct"/>
                <w:shd w:val="clear" w:color="auto" w:fill="auto"/>
                <w:vAlign w:val="center"/>
              </w:tcPr>
              <w:p w:rsidR="00DE031E" w:rsidRDefault="001C1A59" w:rsidP="00DE031E">
                <w:pPr>
                  <w:autoSpaceDN w:val="0"/>
                  <w:jc w:val="center"/>
                  <w:textAlignment w:val="center"/>
                </w:pPr>
                <w:r>
                  <w:t>销售总收入</w:t>
                </w:r>
              </w:p>
            </w:tc>
            <w:tc>
              <w:tcPr>
                <w:tcW w:w="1138" w:type="pct"/>
                <w:shd w:val="clear" w:color="auto" w:fill="auto"/>
                <w:vAlign w:val="center"/>
              </w:tcPr>
              <w:p w:rsidR="00DE031E" w:rsidRDefault="001C1A59" w:rsidP="00DE031E">
                <w:pPr>
                  <w:autoSpaceDN w:val="0"/>
                  <w:jc w:val="center"/>
                  <w:textAlignment w:val="center"/>
                </w:pPr>
                <w:r>
                  <w:t>销售总金额</w:t>
                </w:r>
              </w:p>
            </w:tc>
            <w:tc>
              <w:tcPr>
                <w:tcW w:w="879" w:type="pct"/>
                <w:shd w:val="clear" w:color="auto" w:fill="auto"/>
                <w:vAlign w:val="center"/>
              </w:tcPr>
              <w:p w:rsidR="00DE031E" w:rsidRDefault="001C1A59" w:rsidP="00DE031E">
                <w:pPr>
                  <w:autoSpaceDN w:val="0"/>
                  <w:jc w:val="center"/>
                  <w:textAlignment w:val="center"/>
                </w:pPr>
                <w:r>
                  <w:t>销售总收入</w:t>
                </w:r>
              </w:p>
            </w:tc>
          </w:tr>
          <w:tr w:rsidR="00DE031E" w:rsidTr="00DE031E">
            <w:trPr>
              <w:jc w:val="center"/>
            </w:trPr>
            <w:tc>
              <w:tcPr>
                <w:tcW w:w="992" w:type="pct"/>
                <w:shd w:val="clear" w:color="auto" w:fill="auto"/>
                <w:vAlign w:val="center"/>
              </w:tcPr>
              <w:p w:rsidR="00DE031E" w:rsidRDefault="001C1A59" w:rsidP="00DE031E">
                <w:pPr>
                  <w:autoSpaceDN w:val="0"/>
                  <w:textAlignment w:val="bottom"/>
                </w:pPr>
                <w:r>
                  <w:t>基金</w:t>
                </w:r>
              </w:p>
            </w:tc>
            <w:sdt>
              <w:sdtPr>
                <w:alias w:val="代理销售基金金额"/>
                <w:tag w:val="_GBC_cf6967c47a9f4d4f81ca28ce315c85d0"/>
                <w:id w:val="24725597"/>
                <w:lock w:val="sdtLocked"/>
              </w:sdtPr>
              <w:sdtContent>
                <w:tc>
                  <w:tcPr>
                    <w:tcW w:w="1066" w:type="pct"/>
                    <w:vAlign w:val="center"/>
                  </w:tcPr>
                  <w:p w:rsidR="00DE031E" w:rsidRDefault="001C1A59" w:rsidP="00DE031E">
                    <w:pPr>
                      <w:autoSpaceDN w:val="0"/>
                      <w:jc w:val="right"/>
                      <w:textAlignment w:val="center"/>
                    </w:pPr>
                    <w:r>
                      <w:t>33,278,600,000.00</w:t>
                    </w:r>
                  </w:p>
                </w:tc>
              </w:sdtContent>
            </w:sdt>
            <w:sdt>
              <w:sdtPr>
                <w:alias w:val="代理销售基金收入"/>
                <w:tag w:val="_GBC_82ef12dd5d7e4d9b9bff2f9156bcf7bd"/>
                <w:id w:val="24725598"/>
                <w:lock w:val="sdtLocked"/>
              </w:sdtPr>
              <w:sdtContent>
                <w:tc>
                  <w:tcPr>
                    <w:tcW w:w="924" w:type="pct"/>
                  </w:tcPr>
                  <w:p w:rsidR="00DE031E" w:rsidRDefault="001C1A59" w:rsidP="00DE031E">
                    <w:pPr>
                      <w:jc w:val="right"/>
                    </w:pPr>
                    <w:r>
                      <w:t>64,548,591.07</w:t>
                    </w:r>
                  </w:p>
                </w:tc>
              </w:sdtContent>
            </w:sdt>
            <w:sdt>
              <w:sdtPr>
                <w:alias w:val="代理销售基金金额"/>
                <w:tag w:val="_GBC_0cdf40857a90411cb0daccf88b011b85"/>
                <w:id w:val="24725599"/>
                <w:lock w:val="sdtLocked"/>
              </w:sdtPr>
              <w:sdtContent>
                <w:tc>
                  <w:tcPr>
                    <w:tcW w:w="1138" w:type="pct"/>
                    <w:vAlign w:val="center"/>
                  </w:tcPr>
                  <w:p w:rsidR="00DE031E" w:rsidRDefault="001C1A59" w:rsidP="00DE031E">
                    <w:pPr>
                      <w:autoSpaceDN w:val="0"/>
                      <w:jc w:val="right"/>
                      <w:textAlignment w:val="center"/>
                    </w:pPr>
                    <w:r>
                      <w:t>17,282,946,815.00</w:t>
                    </w:r>
                  </w:p>
                </w:tc>
              </w:sdtContent>
            </w:sdt>
            <w:sdt>
              <w:sdtPr>
                <w:alias w:val="代理销售基金收入"/>
                <w:tag w:val="_GBC_3bf3c7001af64d858f96e259ec71c80a"/>
                <w:id w:val="24725600"/>
                <w:lock w:val="sdtLocked"/>
              </w:sdtPr>
              <w:sdtContent>
                <w:tc>
                  <w:tcPr>
                    <w:tcW w:w="879" w:type="pct"/>
                  </w:tcPr>
                  <w:p w:rsidR="00DE031E" w:rsidRDefault="001C1A59" w:rsidP="00DE031E">
                    <w:pPr>
                      <w:jc w:val="right"/>
                    </w:pPr>
                    <w:r>
                      <w:t>12,755,927.04</w:t>
                    </w:r>
                  </w:p>
                </w:tc>
              </w:sdtContent>
            </w:sdt>
          </w:tr>
          <w:tr w:rsidR="00DE031E" w:rsidTr="00DE031E">
            <w:trPr>
              <w:jc w:val="center"/>
            </w:trPr>
            <w:tc>
              <w:tcPr>
                <w:tcW w:w="992" w:type="pct"/>
                <w:shd w:val="clear" w:color="auto" w:fill="auto"/>
                <w:vAlign w:val="center"/>
              </w:tcPr>
              <w:p w:rsidR="00DE031E" w:rsidRDefault="001C1A59" w:rsidP="00DE031E">
                <w:pPr>
                  <w:autoSpaceDN w:val="0"/>
                  <w:textAlignment w:val="bottom"/>
                </w:pPr>
                <w:r>
                  <w:t>银行理财产品</w:t>
                </w:r>
              </w:p>
            </w:tc>
            <w:sdt>
              <w:sdtPr>
                <w:alias w:val="代理销售银行理财产品金额"/>
                <w:tag w:val="_GBC_65204d26e77747c5bad323e762df1a4e"/>
                <w:id w:val="24725601"/>
                <w:lock w:val="sdtLocked"/>
                <w:showingPlcHdr/>
              </w:sdtPr>
              <w:sdtContent>
                <w:tc>
                  <w:tcPr>
                    <w:tcW w:w="1066" w:type="pct"/>
                  </w:tcPr>
                  <w:p w:rsidR="00DE031E" w:rsidRDefault="00DE031E" w:rsidP="00DE031E">
                    <w:pPr>
                      <w:jc w:val="right"/>
                    </w:pPr>
                  </w:p>
                </w:tc>
              </w:sdtContent>
            </w:sdt>
            <w:sdt>
              <w:sdtPr>
                <w:alias w:val="代理销售银行理财产品收入"/>
                <w:tag w:val="_GBC_ee0c052e77c44007b1ecad15a64f2ac2"/>
                <w:id w:val="24725602"/>
                <w:lock w:val="sdtLocked"/>
                <w:showingPlcHdr/>
              </w:sdtPr>
              <w:sdtContent>
                <w:tc>
                  <w:tcPr>
                    <w:tcW w:w="924" w:type="pct"/>
                  </w:tcPr>
                  <w:p w:rsidR="00DE031E" w:rsidRDefault="00DE031E" w:rsidP="00DE031E">
                    <w:pPr>
                      <w:jc w:val="right"/>
                    </w:pPr>
                  </w:p>
                </w:tc>
              </w:sdtContent>
            </w:sdt>
            <w:sdt>
              <w:sdtPr>
                <w:alias w:val="代理销售银行理财产品金额"/>
                <w:tag w:val="_GBC_2a6ed51408464ccbb5b68eb40a390ecb"/>
                <w:id w:val="24725603"/>
                <w:lock w:val="sdtLocked"/>
              </w:sdtPr>
              <w:sdtContent>
                <w:tc>
                  <w:tcPr>
                    <w:tcW w:w="1138" w:type="pct"/>
                  </w:tcPr>
                  <w:p w:rsidR="00DE031E" w:rsidRDefault="001C1A59" w:rsidP="00DE031E">
                    <w:pPr>
                      <w:jc w:val="right"/>
                    </w:pPr>
                    <w:r>
                      <w:t>369,625,000.00</w:t>
                    </w:r>
                  </w:p>
                </w:tc>
              </w:sdtContent>
            </w:sdt>
            <w:sdt>
              <w:sdtPr>
                <w:alias w:val="代理销售银行理财产品收入"/>
                <w:tag w:val="_GBC_7d50a676e9e54b3f9588ce550ac3f569"/>
                <w:id w:val="24725604"/>
                <w:lock w:val="sdtLocked"/>
              </w:sdtPr>
              <w:sdtContent>
                <w:tc>
                  <w:tcPr>
                    <w:tcW w:w="879" w:type="pct"/>
                  </w:tcPr>
                  <w:p w:rsidR="00DE031E" w:rsidRDefault="001C1A59" w:rsidP="00DE031E">
                    <w:pPr>
                      <w:jc w:val="right"/>
                    </w:pPr>
                    <w:r>
                      <w:t>264,731.85</w:t>
                    </w:r>
                  </w:p>
                </w:tc>
              </w:sdtContent>
            </w:sdt>
          </w:tr>
          <w:tr w:rsidR="00DE031E" w:rsidTr="00DE031E">
            <w:trPr>
              <w:jc w:val="center"/>
            </w:trPr>
            <w:tc>
              <w:tcPr>
                <w:tcW w:w="992" w:type="pct"/>
                <w:shd w:val="clear" w:color="auto" w:fill="auto"/>
                <w:vAlign w:val="center"/>
              </w:tcPr>
              <w:p w:rsidR="00DE031E" w:rsidRDefault="001C1A59" w:rsidP="00DE031E">
                <w:pPr>
                  <w:autoSpaceDN w:val="0"/>
                  <w:textAlignment w:val="bottom"/>
                </w:pPr>
                <w:r>
                  <w:t>信托</w:t>
                </w:r>
                <w:r>
                  <w:rPr>
                    <w:rFonts w:hint="eastAsia"/>
                  </w:rPr>
                  <w:t>及私募</w:t>
                </w:r>
              </w:p>
            </w:tc>
            <w:sdt>
              <w:sdtPr>
                <w:alias w:val="代理销售信托金额"/>
                <w:tag w:val="_GBC_31ce18a7e1124dd9b36640b0bf80e891"/>
                <w:id w:val="24725605"/>
                <w:lock w:val="sdtLocked"/>
              </w:sdtPr>
              <w:sdtContent>
                <w:tc>
                  <w:tcPr>
                    <w:tcW w:w="1066" w:type="pct"/>
                  </w:tcPr>
                  <w:p w:rsidR="00DE031E" w:rsidRDefault="001C1A59" w:rsidP="00DE031E">
                    <w:pPr>
                      <w:jc w:val="right"/>
                    </w:pPr>
                    <w:r>
                      <w:t>5,871,693,300.00</w:t>
                    </w:r>
                  </w:p>
                </w:tc>
              </w:sdtContent>
            </w:sdt>
            <w:sdt>
              <w:sdtPr>
                <w:alias w:val="代理销售信托收入"/>
                <w:tag w:val="_GBC_75a9ef6997e443f78b8433020181fb14"/>
                <w:id w:val="24725606"/>
                <w:lock w:val="sdtLocked"/>
              </w:sdtPr>
              <w:sdtContent>
                <w:tc>
                  <w:tcPr>
                    <w:tcW w:w="924" w:type="pct"/>
                  </w:tcPr>
                  <w:p w:rsidR="00DE031E" w:rsidRDefault="001C1A59" w:rsidP="00DE031E">
                    <w:pPr>
                      <w:jc w:val="right"/>
                    </w:pPr>
                    <w:r>
                      <w:t>30,603,057.91</w:t>
                    </w:r>
                  </w:p>
                </w:tc>
              </w:sdtContent>
            </w:sdt>
            <w:sdt>
              <w:sdtPr>
                <w:alias w:val="代理销售信托金额"/>
                <w:tag w:val="_GBC_ad5b46a932914d5494194d54c5b94558"/>
                <w:id w:val="24725607"/>
                <w:lock w:val="sdtLocked"/>
              </w:sdtPr>
              <w:sdtContent>
                <w:tc>
                  <w:tcPr>
                    <w:tcW w:w="1138" w:type="pct"/>
                  </w:tcPr>
                  <w:p w:rsidR="00DE031E" w:rsidRDefault="001C1A59" w:rsidP="00DE031E">
                    <w:pPr>
                      <w:jc w:val="right"/>
                    </w:pPr>
                    <w:r>
                      <w:t>1,125,289,100.00</w:t>
                    </w:r>
                  </w:p>
                </w:tc>
              </w:sdtContent>
            </w:sdt>
            <w:sdt>
              <w:sdtPr>
                <w:alias w:val="代理销售信托收入"/>
                <w:tag w:val="_GBC_9ab2e89416ab4b798e11e18df1f65e68"/>
                <w:id w:val="24725608"/>
                <w:lock w:val="sdtLocked"/>
              </w:sdtPr>
              <w:sdtContent>
                <w:tc>
                  <w:tcPr>
                    <w:tcW w:w="879" w:type="pct"/>
                  </w:tcPr>
                  <w:p w:rsidR="00DE031E" w:rsidRDefault="001C1A59" w:rsidP="00DE031E">
                    <w:pPr>
                      <w:jc w:val="right"/>
                    </w:pPr>
                    <w:r>
                      <w:t>3,991,006.22</w:t>
                    </w:r>
                  </w:p>
                </w:tc>
              </w:sdtContent>
            </w:sdt>
          </w:tr>
          <w:sdt>
            <w:sdtPr>
              <w:rPr>
                <w:szCs w:val="21"/>
              </w:rPr>
              <w:alias w:val="代理销售金融产品业务明细"/>
              <w:tag w:val="_GBC_12801815170940fa9fd4d97db67e527b"/>
              <w:id w:val="24725614"/>
              <w:lock w:val="sdtLocked"/>
            </w:sdtPr>
            <w:sdtEndPr>
              <w:rPr>
                <w:color w:val="000000" w:themeColor="text1"/>
              </w:rPr>
            </w:sdtEndPr>
            <w:sdtContent>
              <w:tr w:rsidR="00DE031E" w:rsidTr="00DE031E">
                <w:trPr>
                  <w:jc w:val="center"/>
                </w:trPr>
                <w:tc>
                  <w:tcPr>
                    <w:tcW w:w="992" w:type="pct"/>
                    <w:shd w:val="clear" w:color="auto" w:fill="auto"/>
                  </w:tcPr>
                  <w:sdt>
                    <w:sdtPr>
                      <w:alias w:val="代理销售金融产品业务明细－项目"/>
                      <w:tag w:val="_GBC_bc8e2369b3ed4fc6a18e43663a77c5d2"/>
                      <w:id w:val="24725609"/>
                      <w:lock w:val="sdtLocked"/>
                    </w:sdtPr>
                    <w:sdtContent>
                      <w:p w:rsidR="00DE031E" w:rsidRDefault="001C1A59" w:rsidP="00DE031E">
                        <w:pPr>
                          <w:autoSpaceDN w:val="0"/>
                          <w:textAlignment w:val="bottom"/>
                        </w:pPr>
                        <w:r>
                          <w:rPr>
                            <w:rFonts w:hint="eastAsia"/>
                          </w:rPr>
                          <w:t>保险</w:t>
                        </w:r>
                      </w:p>
                    </w:sdtContent>
                  </w:sdt>
                </w:tc>
                <w:sdt>
                  <w:sdtPr>
                    <w:alias w:val="代理销售金融产品业务明细－金额"/>
                    <w:tag w:val="_GBC_1e98db71a1e34ed5b74643e00d749310"/>
                    <w:id w:val="24725610"/>
                    <w:lock w:val="sdtLocked"/>
                  </w:sdtPr>
                  <w:sdtContent>
                    <w:tc>
                      <w:tcPr>
                        <w:tcW w:w="1066" w:type="pct"/>
                      </w:tcPr>
                      <w:p w:rsidR="00DE031E" w:rsidRDefault="001C1A59" w:rsidP="00DE031E">
                        <w:pPr>
                          <w:autoSpaceDN w:val="0"/>
                          <w:jc w:val="right"/>
                          <w:textAlignment w:val="center"/>
                        </w:pPr>
                        <w:r>
                          <w:t>198,900.00</w:t>
                        </w:r>
                      </w:p>
                    </w:tc>
                  </w:sdtContent>
                </w:sdt>
                <w:sdt>
                  <w:sdtPr>
                    <w:alias w:val="代理销售金融产品业务明细－收入"/>
                    <w:tag w:val="_GBC_621ef5e49e7a43e7ba87aacddd180bf8"/>
                    <w:id w:val="24725611"/>
                    <w:lock w:val="sdtLocked"/>
                  </w:sdtPr>
                  <w:sdtContent>
                    <w:tc>
                      <w:tcPr>
                        <w:tcW w:w="924" w:type="pct"/>
                      </w:tcPr>
                      <w:p w:rsidR="00DE031E" w:rsidRDefault="00DE031E" w:rsidP="00DE031E">
                        <w:pPr>
                          <w:autoSpaceDN w:val="0"/>
                          <w:jc w:val="right"/>
                          <w:textAlignment w:val="center"/>
                        </w:pPr>
                      </w:p>
                    </w:tc>
                  </w:sdtContent>
                </w:sdt>
                <w:sdt>
                  <w:sdtPr>
                    <w:alias w:val="代理销售金融产品业务明细－金额"/>
                    <w:tag w:val="_GBC_e266c81dc1ed473fab75161edb3d146e"/>
                    <w:id w:val="24725612"/>
                    <w:lock w:val="sdtLocked"/>
                  </w:sdtPr>
                  <w:sdtContent>
                    <w:tc>
                      <w:tcPr>
                        <w:tcW w:w="1138" w:type="pct"/>
                      </w:tcPr>
                      <w:p w:rsidR="00DE031E" w:rsidRDefault="001C1A59" w:rsidP="00DE031E">
                        <w:pPr>
                          <w:autoSpaceDN w:val="0"/>
                          <w:jc w:val="right"/>
                          <w:textAlignment w:val="center"/>
                        </w:pPr>
                        <w:r>
                          <w:t>60,785.00</w:t>
                        </w:r>
                      </w:p>
                    </w:tc>
                  </w:sdtContent>
                </w:sdt>
                <w:sdt>
                  <w:sdtPr>
                    <w:alias w:val="代理销售金融产品业务明细－收入"/>
                    <w:tag w:val="_GBC_6cb6a5cb9e754f27b349c1e4211d2837"/>
                    <w:id w:val="24725613"/>
                    <w:lock w:val="sdtLocked"/>
                    <w:showingPlcHdr/>
                  </w:sdtPr>
                  <w:sdtContent>
                    <w:tc>
                      <w:tcPr>
                        <w:tcW w:w="879" w:type="pct"/>
                      </w:tcPr>
                      <w:p w:rsidR="00DE031E" w:rsidRDefault="00DE031E" w:rsidP="00DE031E">
                        <w:pPr>
                          <w:autoSpaceDN w:val="0"/>
                          <w:jc w:val="right"/>
                          <w:textAlignment w:val="center"/>
                        </w:pPr>
                      </w:p>
                    </w:tc>
                  </w:sdtContent>
                </w:sdt>
              </w:tr>
            </w:sdtContent>
          </w:sdt>
          <w:tr w:rsidR="00DE031E" w:rsidTr="00DE031E">
            <w:trPr>
              <w:jc w:val="center"/>
            </w:trPr>
            <w:tc>
              <w:tcPr>
                <w:tcW w:w="992" w:type="pct"/>
                <w:shd w:val="clear" w:color="auto" w:fill="auto"/>
                <w:vAlign w:val="bottom"/>
              </w:tcPr>
              <w:p w:rsidR="00DE031E" w:rsidRDefault="001C1A59" w:rsidP="00DE031E">
                <w:pPr>
                  <w:autoSpaceDN w:val="0"/>
                  <w:jc w:val="center"/>
                  <w:textAlignment w:val="bottom"/>
                </w:pPr>
                <w:r>
                  <w:t>合计</w:t>
                </w:r>
              </w:p>
            </w:tc>
            <w:sdt>
              <w:sdtPr>
                <w:alias w:val="代理销售金融产品金额合计"/>
                <w:tag w:val="_GBC_15f7deb9d0a143e4bff58987c69999e2"/>
                <w:id w:val="24725615"/>
                <w:lock w:val="sdtLocked"/>
              </w:sdtPr>
              <w:sdtContent>
                <w:tc>
                  <w:tcPr>
                    <w:tcW w:w="1066" w:type="pct"/>
                  </w:tcPr>
                  <w:p w:rsidR="00DE031E" w:rsidRDefault="001C1A59" w:rsidP="00DE031E">
                    <w:pPr>
                      <w:jc w:val="right"/>
                    </w:pPr>
                    <w:r>
                      <w:t>39,150,492,200.00</w:t>
                    </w:r>
                  </w:p>
                </w:tc>
              </w:sdtContent>
            </w:sdt>
            <w:sdt>
              <w:sdtPr>
                <w:alias w:val="代理销售金融产品收入合计"/>
                <w:tag w:val="_GBC_5c2b0a23b5a744d1af4a08786c711820"/>
                <w:id w:val="24725616"/>
                <w:lock w:val="sdtLocked"/>
              </w:sdtPr>
              <w:sdtContent>
                <w:tc>
                  <w:tcPr>
                    <w:tcW w:w="924" w:type="pct"/>
                  </w:tcPr>
                  <w:p w:rsidR="00DE031E" w:rsidRDefault="001C1A59" w:rsidP="00DE031E">
                    <w:pPr>
                      <w:jc w:val="right"/>
                    </w:pPr>
                    <w:r>
                      <w:t>95,151,648.98</w:t>
                    </w:r>
                  </w:p>
                </w:tc>
              </w:sdtContent>
            </w:sdt>
            <w:sdt>
              <w:sdtPr>
                <w:alias w:val="代理销售金融产品金额合计"/>
                <w:tag w:val="_GBC_23549bba110e4c0e9c84e1be7e7320af"/>
                <w:id w:val="24725617"/>
                <w:lock w:val="sdtLocked"/>
              </w:sdtPr>
              <w:sdtContent>
                <w:tc>
                  <w:tcPr>
                    <w:tcW w:w="1138" w:type="pct"/>
                  </w:tcPr>
                  <w:p w:rsidR="00DE031E" w:rsidRDefault="001C1A59" w:rsidP="00DE031E">
                    <w:pPr>
                      <w:jc w:val="right"/>
                    </w:pPr>
                    <w:r>
                      <w:t>18,777,921,700.00</w:t>
                    </w:r>
                  </w:p>
                </w:tc>
              </w:sdtContent>
            </w:sdt>
            <w:sdt>
              <w:sdtPr>
                <w:alias w:val="代理销售金融产品收入合计"/>
                <w:tag w:val="_GBC_265b04db011f4fe7a31dc732d4bdcd0a"/>
                <w:id w:val="24725618"/>
                <w:lock w:val="sdtLocked"/>
              </w:sdtPr>
              <w:sdtContent>
                <w:tc>
                  <w:tcPr>
                    <w:tcW w:w="879" w:type="pct"/>
                  </w:tcPr>
                  <w:p w:rsidR="00DE031E" w:rsidRDefault="001C1A59" w:rsidP="00DE031E">
                    <w:pPr>
                      <w:jc w:val="right"/>
                    </w:pPr>
                    <w:r>
                      <w:t>17,011,665.11</w:t>
                    </w:r>
                  </w:p>
                </w:tc>
              </w:sdtContent>
            </w:sdt>
          </w:tr>
        </w:tbl>
        <w:p w:rsidR="00DE031E" w:rsidRDefault="00422DCA">
          <w:pPr>
            <w:rPr>
              <w:szCs w:val="21"/>
            </w:rPr>
          </w:pPr>
        </w:p>
      </w:sdtContent>
    </w:sdt>
    <w:sdt>
      <w:sdtPr>
        <w:rPr>
          <w:rFonts w:ascii="宋体" w:hAnsi="宋体" w:cs="宋体" w:hint="eastAsia"/>
          <w:b w:val="0"/>
          <w:bCs w:val="0"/>
          <w:kern w:val="0"/>
          <w:szCs w:val="21"/>
        </w:rPr>
        <w:tag w:val="_GBC_933a3dff56ad4b49bb0831c43dc6bb91"/>
        <w:id w:val="24725676"/>
        <w:lock w:val="sdtLocked"/>
        <w:placeholder>
          <w:docPart w:val="GBC22222222222222222222222222222"/>
        </w:placeholder>
      </w:sdtPr>
      <w:sdtEndPr>
        <w:rPr>
          <w:rFonts w:hint="default"/>
          <w:szCs w:val="24"/>
        </w:rPr>
      </w:sdtEndPr>
      <w:sdtContent>
        <w:p w:rsidR="00DE031E" w:rsidRDefault="001C1A59" w:rsidP="009950AC">
          <w:pPr>
            <w:pStyle w:val="4"/>
            <w:numPr>
              <w:ilvl w:val="0"/>
              <w:numId w:val="57"/>
            </w:numPr>
            <w:rPr>
              <w:rFonts w:ascii="宋体" w:hAnsi="宋体"/>
            </w:rPr>
          </w:pPr>
          <w:r>
            <w:rPr>
              <w:rFonts w:ascii="宋体" w:hAnsi="宋体" w:hint="eastAsia"/>
            </w:rPr>
            <w:t>资产管理业务</w:t>
          </w:r>
        </w:p>
        <w:p w:rsidR="0072337A" w:rsidRDefault="001C1A59">
          <w:pPr>
            <w:ind w:left="5460" w:firstLineChars="200" w:firstLine="420"/>
            <w:jc w:val="right"/>
            <w:rPr>
              <w:color w:val="000000" w:themeColor="text1"/>
            </w:rPr>
          </w:pPr>
          <w:r>
            <w:rPr>
              <w:bCs/>
            </w:rPr>
            <w:t>单位：</w:t>
          </w:r>
          <w:sdt>
            <w:sdtPr>
              <w:rPr>
                <w:bCs/>
              </w:rPr>
              <w:alias w:val="单位：财务附注：资产管理业务"/>
              <w:tag w:val="_GBC_583f5bc823b64fa3b44181c08e4b87be"/>
              <w:id w:val="247256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rPr>
                <w:t>元</w:t>
              </w:r>
            </w:sdtContent>
          </w:sdt>
          <w:r>
            <w:rPr>
              <w:bCs/>
            </w:rPr>
            <w:t xml:space="preserve">  币种：</w:t>
          </w:r>
          <w:sdt>
            <w:sdtPr>
              <w:rPr>
                <w:color w:val="000000" w:themeColor="text1"/>
              </w:rPr>
              <w:alias w:val="币种：财务附注：资产管理业务"/>
              <w:tag w:val="_GBC_bb3275c200d1471ca8f96c5682ed1ef1"/>
              <w:id w:val="24725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49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54"/>
            <w:gridCol w:w="2046"/>
            <w:gridCol w:w="2107"/>
            <w:gridCol w:w="1897"/>
          </w:tblGrid>
          <w:tr w:rsidR="00477D4F" w:rsidTr="00074DB6">
            <w:trPr>
              <w:jc w:val="center"/>
            </w:trPr>
            <w:tc>
              <w:tcPr>
                <w:tcW w:w="1603" w:type="pct"/>
                <w:shd w:val="clear" w:color="auto" w:fill="auto"/>
                <w:vAlign w:val="center"/>
              </w:tcPr>
              <w:p w:rsidR="00477D4F" w:rsidRDefault="00477D4F" w:rsidP="00074DB6">
                <w:pPr>
                  <w:autoSpaceDN w:val="0"/>
                  <w:jc w:val="center"/>
                  <w:textAlignment w:val="bottom"/>
                  <w:rPr>
                    <w:b/>
                  </w:rPr>
                </w:pPr>
                <w:r>
                  <w:rPr>
                    <w:b/>
                  </w:rPr>
                  <w:t>项目</w:t>
                </w:r>
              </w:p>
            </w:tc>
            <w:tc>
              <w:tcPr>
                <w:tcW w:w="1149" w:type="pct"/>
                <w:shd w:val="clear" w:color="auto" w:fill="auto"/>
                <w:vAlign w:val="center"/>
              </w:tcPr>
              <w:p w:rsidR="00477D4F" w:rsidRDefault="00477D4F" w:rsidP="00074DB6">
                <w:pPr>
                  <w:autoSpaceDN w:val="0"/>
                  <w:jc w:val="center"/>
                  <w:textAlignment w:val="bottom"/>
                </w:pPr>
                <w:r>
                  <w:t>集合资产管理业务</w:t>
                </w:r>
              </w:p>
            </w:tc>
            <w:tc>
              <w:tcPr>
                <w:tcW w:w="1183" w:type="pct"/>
                <w:shd w:val="clear" w:color="auto" w:fill="auto"/>
                <w:vAlign w:val="center"/>
              </w:tcPr>
              <w:p w:rsidR="00477D4F" w:rsidRDefault="00477D4F" w:rsidP="00074DB6">
                <w:pPr>
                  <w:autoSpaceDN w:val="0"/>
                  <w:jc w:val="center"/>
                  <w:textAlignment w:val="bottom"/>
                </w:pPr>
                <w:r>
                  <w:t>定向资产管理业务</w:t>
                </w:r>
              </w:p>
            </w:tc>
            <w:tc>
              <w:tcPr>
                <w:tcW w:w="1065" w:type="pct"/>
                <w:shd w:val="clear" w:color="auto" w:fill="auto"/>
                <w:vAlign w:val="center"/>
              </w:tcPr>
              <w:p w:rsidR="00477D4F" w:rsidRDefault="00477D4F" w:rsidP="00074DB6">
                <w:pPr>
                  <w:autoSpaceDN w:val="0"/>
                  <w:jc w:val="center"/>
                  <w:textAlignment w:val="bottom"/>
                </w:pPr>
                <w:r>
                  <w:t>专项资产管理业务</w:t>
                </w:r>
              </w:p>
            </w:tc>
          </w:tr>
          <w:tr w:rsidR="00477D4F" w:rsidTr="00074DB6">
            <w:trPr>
              <w:jc w:val="center"/>
            </w:trPr>
            <w:tc>
              <w:tcPr>
                <w:tcW w:w="1603" w:type="pct"/>
                <w:shd w:val="clear" w:color="auto" w:fill="auto"/>
                <w:vAlign w:val="center"/>
              </w:tcPr>
              <w:p w:rsidR="00477D4F" w:rsidRDefault="00477D4F" w:rsidP="00074DB6">
                <w:pPr>
                  <w:autoSpaceDN w:val="0"/>
                  <w:textAlignment w:val="bottom"/>
                </w:pPr>
                <w:r>
                  <w:t>期末产品数量</w:t>
                </w:r>
              </w:p>
            </w:tc>
            <w:sdt>
              <w:sdtPr>
                <w:alias w:val="集合资产管理业务产品数量"/>
                <w:tag w:val="_GBC_935d3e72091d46bfbbc515ac83a933f0"/>
                <w:id w:val="28113310"/>
                <w:lock w:val="sdtLocked"/>
              </w:sdtPr>
              <w:sdtContent>
                <w:tc>
                  <w:tcPr>
                    <w:tcW w:w="1149" w:type="pct"/>
                  </w:tcPr>
                  <w:p w:rsidR="00477D4F" w:rsidRDefault="00477D4F" w:rsidP="00074DB6">
                    <w:pPr>
                      <w:jc w:val="right"/>
                    </w:pPr>
                    <w:r>
                      <w:t>47</w:t>
                    </w:r>
                  </w:p>
                </w:tc>
              </w:sdtContent>
            </w:sdt>
            <w:sdt>
              <w:sdtPr>
                <w:alias w:val="定向资产管理业务产品数量"/>
                <w:tag w:val="_GBC_b36c569718404451be0bc5c3932c475f"/>
                <w:id w:val="28113311"/>
                <w:lock w:val="sdtLocked"/>
              </w:sdtPr>
              <w:sdtContent>
                <w:tc>
                  <w:tcPr>
                    <w:tcW w:w="1183" w:type="pct"/>
                  </w:tcPr>
                  <w:p w:rsidR="00477D4F" w:rsidRDefault="00477D4F" w:rsidP="00074DB6">
                    <w:pPr>
                      <w:jc w:val="right"/>
                    </w:pPr>
                    <w:r>
                      <w:t>220</w:t>
                    </w:r>
                  </w:p>
                </w:tc>
              </w:sdtContent>
            </w:sdt>
            <w:sdt>
              <w:sdtPr>
                <w:alias w:val="专项资产管理业务产品数量"/>
                <w:tag w:val="_GBC_2960531c3d214608b3ff93a148691ff6"/>
                <w:id w:val="28113312"/>
                <w:lock w:val="sdtLocked"/>
              </w:sdtPr>
              <w:sdtContent>
                <w:tc>
                  <w:tcPr>
                    <w:tcW w:w="1065" w:type="pct"/>
                  </w:tcPr>
                  <w:p w:rsidR="00477D4F" w:rsidRDefault="00477D4F" w:rsidP="00074DB6">
                    <w:pPr>
                      <w:jc w:val="right"/>
                    </w:pPr>
                    <w:r>
                      <w:t>1</w:t>
                    </w:r>
                  </w:p>
                </w:tc>
              </w:sdtContent>
            </w:sdt>
          </w:tr>
          <w:tr w:rsidR="00477D4F" w:rsidTr="00074DB6">
            <w:trPr>
              <w:jc w:val="center"/>
            </w:trPr>
            <w:tc>
              <w:tcPr>
                <w:tcW w:w="1603" w:type="pct"/>
                <w:shd w:val="clear" w:color="auto" w:fill="auto"/>
                <w:vAlign w:val="center"/>
              </w:tcPr>
              <w:p w:rsidR="00477D4F" w:rsidRDefault="00477D4F" w:rsidP="00074DB6">
                <w:pPr>
                  <w:autoSpaceDN w:val="0"/>
                  <w:textAlignment w:val="bottom"/>
                </w:pPr>
                <w:r>
                  <w:t>期末客户数量</w:t>
                </w:r>
              </w:p>
            </w:tc>
            <w:sdt>
              <w:sdtPr>
                <w:alias w:val="集合资产管理业务客户数量"/>
                <w:tag w:val="_GBC_2e6dbf96594c403b96e6fc1a17a1f2c3"/>
                <w:id w:val="28113313"/>
                <w:lock w:val="sdtLocked"/>
              </w:sdtPr>
              <w:sdtContent>
                <w:tc>
                  <w:tcPr>
                    <w:tcW w:w="1149" w:type="pct"/>
                  </w:tcPr>
                  <w:p w:rsidR="00477D4F" w:rsidRDefault="00477D4F" w:rsidP="00074DB6">
                    <w:pPr>
                      <w:jc w:val="right"/>
                    </w:pPr>
                    <w:r>
                      <w:t>284,630</w:t>
                    </w:r>
                  </w:p>
                </w:tc>
              </w:sdtContent>
            </w:sdt>
            <w:sdt>
              <w:sdtPr>
                <w:alias w:val="定向资产管理业务客户数量"/>
                <w:tag w:val="_GBC_b5990dd3b1bc4d8a97bcef437e85c735"/>
                <w:id w:val="28113314"/>
                <w:lock w:val="sdtLocked"/>
              </w:sdtPr>
              <w:sdtContent>
                <w:tc>
                  <w:tcPr>
                    <w:tcW w:w="1183" w:type="pct"/>
                  </w:tcPr>
                  <w:p w:rsidR="00477D4F" w:rsidRDefault="00477D4F" w:rsidP="00074DB6">
                    <w:pPr>
                      <w:jc w:val="right"/>
                    </w:pPr>
                    <w:r>
                      <w:t>227</w:t>
                    </w:r>
                  </w:p>
                </w:tc>
              </w:sdtContent>
            </w:sdt>
            <w:sdt>
              <w:sdtPr>
                <w:alias w:val="专项资产管理业务客户数量"/>
                <w:tag w:val="_GBC_5144b0928cb34a2e980744786137d9e2"/>
                <w:id w:val="28113315"/>
                <w:lock w:val="sdtLocked"/>
              </w:sdtPr>
              <w:sdtContent>
                <w:tc>
                  <w:tcPr>
                    <w:tcW w:w="1065" w:type="pct"/>
                  </w:tcPr>
                  <w:p w:rsidR="00477D4F" w:rsidRDefault="00477D4F" w:rsidP="00074DB6">
                    <w:pPr>
                      <w:jc w:val="right"/>
                    </w:pPr>
                    <w:r>
                      <w:t>77</w:t>
                    </w:r>
                  </w:p>
                </w:tc>
              </w:sdtContent>
            </w:sdt>
          </w:tr>
          <w:tr w:rsidR="00477D4F" w:rsidTr="00074DB6">
            <w:trPr>
              <w:jc w:val="center"/>
            </w:trPr>
            <w:tc>
              <w:tcPr>
                <w:tcW w:w="1603" w:type="pct"/>
                <w:shd w:val="clear" w:color="auto" w:fill="auto"/>
                <w:vAlign w:val="center"/>
              </w:tcPr>
              <w:p w:rsidR="00477D4F" w:rsidRDefault="00477D4F" w:rsidP="00074DB6">
                <w:pPr>
                  <w:autoSpaceDN w:val="0"/>
                  <w:textAlignment w:val="bottom"/>
                </w:pPr>
                <w:r>
                  <w:t>其中：个人客户</w:t>
                </w:r>
              </w:p>
            </w:tc>
            <w:sdt>
              <w:sdtPr>
                <w:alias w:val="集合资产管理业务客户中个人客户数量"/>
                <w:tag w:val="_GBC_f29739cde85f4bcaa86182fd7c6d3273"/>
                <w:id w:val="28113316"/>
                <w:lock w:val="sdtLocked"/>
              </w:sdtPr>
              <w:sdtContent>
                <w:tc>
                  <w:tcPr>
                    <w:tcW w:w="1149" w:type="pct"/>
                  </w:tcPr>
                  <w:p w:rsidR="00477D4F" w:rsidRDefault="00477D4F" w:rsidP="00074DB6">
                    <w:pPr>
                      <w:jc w:val="right"/>
                    </w:pPr>
                    <w:r>
                      <w:t>284,038</w:t>
                    </w:r>
                  </w:p>
                </w:tc>
              </w:sdtContent>
            </w:sdt>
            <w:sdt>
              <w:sdtPr>
                <w:alias w:val="定向资产管理业务客户中个人客户数量"/>
                <w:tag w:val="_GBC_196e0f65e632434f9ff5a3fab9c6c821"/>
                <w:id w:val="28113317"/>
                <w:lock w:val="sdtLocked"/>
              </w:sdtPr>
              <w:sdtContent>
                <w:tc>
                  <w:tcPr>
                    <w:tcW w:w="1183" w:type="pct"/>
                  </w:tcPr>
                  <w:p w:rsidR="00477D4F" w:rsidRDefault="00436558" w:rsidP="00074DB6">
                    <w:pPr>
                      <w:jc w:val="right"/>
                    </w:pPr>
                    <w:r>
                      <w:t>54</w:t>
                    </w:r>
                  </w:p>
                </w:tc>
              </w:sdtContent>
            </w:sdt>
            <w:sdt>
              <w:sdtPr>
                <w:rPr>
                  <w:color w:val="000000" w:themeColor="text1"/>
                </w:rPr>
                <w:alias w:val="专项资产管理业务客户中个人客户数量"/>
                <w:tag w:val="_GBC_ff9abadb076f4c18a3a042177185eb88"/>
                <w:id w:val="28113318"/>
                <w:lock w:val="sdtLocked"/>
                <w:showingPlcHdr/>
              </w:sdtPr>
              <w:sdtContent>
                <w:tc>
                  <w:tcPr>
                    <w:tcW w:w="1065" w:type="pct"/>
                  </w:tcPr>
                  <w:p w:rsidR="00477D4F" w:rsidRDefault="00477D4F" w:rsidP="00074DB6">
                    <w:pPr>
                      <w:jc w:val="right"/>
                      <w:rPr>
                        <w:color w:val="000000" w:themeColor="text1"/>
                      </w:rPr>
                    </w:pPr>
                    <w:r>
                      <w:rPr>
                        <w:rFonts w:hint="eastAsia"/>
                        <w:color w:val="000000" w:themeColor="text1"/>
                      </w:rPr>
                      <w:t xml:space="preserve">　</w:t>
                    </w:r>
                  </w:p>
                </w:tc>
              </w:sdtContent>
            </w:sdt>
          </w:tr>
          <w:tr w:rsidR="00477D4F" w:rsidTr="00074DB6">
            <w:trPr>
              <w:jc w:val="center"/>
            </w:trPr>
            <w:tc>
              <w:tcPr>
                <w:tcW w:w="1603" w:type="pct"/>
                <w:shd w:val="clear" w:color="auto" w:fill="auto"/>
                <w:vAlign w:val="center"/>
              </w:tcPr>
              <w:p w:rsidR="00477D4F" w:rsidRDefault="00477D4F" w:rsidP="00074DB6">
                <w:pPr>
                  <w:autoSpaceDN w:val="0"/>
                  <w:ind w:firstLineChars="300" w:firstLine="630"/>
                  <w:textAlignment w:val="bottom"/>
                </w:pPr>
                <w:r>
                  <w:t>机构客户</w:t>
                </w:r>
              </w:p>
            </w:tc>
            <w:sdt>
              <w:sdtPr>
                <w:alias w:val="集合资产管理业务客户中机构客户数量"/>
                <w:tag w:val="_GBC_6d57a03de2f14012a1786740129e7583"/>
                <w:id w:val="28113319"/>
                <w:lock w:val="sdtLocked"/>
              </w:sdtPr>
              <w:sdtContent>
                <w:tc>
                  <w:tcPr>
                    <w:tcW w:w="1149" w:type="pct"/>
                  </w:tcPr>
                  <w:p w:rsidR="00477D4F" w:rsidRDefault="00477D4F" w:rsidP="00074DB6">
                    <w:pPr>
                      <w:jc w:val="right"/>
                    </w:pPr>
                    <w:r>
                      <w:t>592</w:t>
                    </w:r>
                  </w:p>
                </w:tc>
              </w:sdtContent>
            </w:sdt>
            <w:sdt>
              <w:sdtPr>
                <w:alias w:val="定向资产管理业务客户中机构客户数量"/>
                <w:tag w:val="_GBC_877fe28d53ec4ce1b8bd351ddb2d0048"/>
                <w:id w:val="28113320"/>
                <w:lock w:val="sdtLocked"/>
              </w:sdtPr>
              <w:sdtContent>
                <w:tc>
                  <w:tcPr>
                    <w:tcW w:w="1183" w:type="pct"/>
                  </w:tcPr>
                  <w:p w:rsidR="00477D4F" w:rsidRDefault="00436558" w:rsidP="00074DB6">
                    <w:pPr>
                      <w:jc w:val="right"/>
                    </w:pPr>
                    <w:r>
                      <w:t>173</w:t>
                    </w:r>
                  </w:p>
                </w:tc>
              </w:sdtContent>
            </w:sdt>
            <w:sdt>
              <w:sdtPr>
                <w:alias w:val="专项资产管理业务客户中机构客户数量"/>
                <w:tag w:val="_GBC_4fc7233426484fc19262b39783355774"/>
                <w:id w:val="28113321"/>
                <w:lock w:val="sdtLocked"/>
              </w:sdtPr>
              <w:sdtContent>
                <w:tc>
                  <w:tcPr>
                    <w:tcW w:w="1065" w:type="pct"/>
                  </w:tcPr>
                  <w:p w:rsidR="00477D4F" w:rsidRDefault="00477D4F" w:rsidP="00074DB6">
                    <w:pPr>
                      <w:jc w:val="right"/>
                    </w:pPr>
                    <w:r>
                      <w:t>77</w:t>
                    </w:r>
                  </w:p>
                </w:tc>
              </w:sdtContent>
            </w:sdt>
          </w:tr>
          <w:tr w:rsidR="00477D4F" w:rsidTr="00074DB6">
            <w:trPr>
              <w:jc w:val="center"/>
            </w:trPr>
            <w:tc>
              <w:tcPr>
                <w:tcW w:w="1603" w:type="pct"/>
                <w:shd w:val="clear" w:color="auto" w:fill="auto"/>
                <w:vAlign w:val="center"/>
              </w:tcPr>
              <w:p w:rsidR="00477D4F" w:rsidRDefault="00477D4F" w:rsidP="00074DB6">
                <w:pPr>
                  <w:autoSpaceDN w:val="0"/>
                  <w:textAlignment w:val="bottom"/>
                </w:pPr>
                <w:r>
                  <w:rPr>
                    <w:rFonts w:hint="eastAsia"/>
                  </w:rPr>
                  <w:t>期初</w:t>
                </w:r>
                <w:r>
                  <w:t>受托资金</w:t>
                </w:r>
              </w:p>
            </w:tc>
            <w:sdt>
              <w:sdtPr>
                <w:alias w:val="集合资产管理业务受托资金"/>
                <w:tag w:val="_GBC_1bd1c067d5504dc89cc61538964cde9c"/>
                <w:id w:val="28113322"/>
                <w:lock w:val="sdtLocked"/>
              </w:sdtPr>
              <w:sdtContent>
                <w:tc>
                  <w:tcPr>
                    <w:tcW w:w="1149" w:type="pct"/>
                  </w:tcPr>
                  <w:p w:rsidR="00477D4F" w:rsidRDefault="00477D4F" w:rsidP="00074DB6">
                    <w:pPr>
                      <w:jc w:val="right"/>
                    </w:pPr>
                    <w:r>
                      <w:t>23,050,762,601.00</w:t>
                    </w:r>
                  </w:p>
                </w:tc>
              </w:sdtContent>
            </w:sdt>
            <w:sdt>
              <w:sdtPr>
                <w:alias w:val="定向资产管理业务受托资金"/>
                <w:tag w:val="_GBC_d2776a5475b6489885b9a36b8b0a01ed"/>
                <w:id w:val="28113323"/>
                <w:lock w:val="sdtLocked"/>
              </w:sdtPr>
              <w:sdtContent>
                <w:tc>
                  <w:tcPr>
                    <w:tcW w:w="1183" w:type="pct"/>
                  </w:tcPr>
                  <w:p w:rsidR="00477D4F" w:rsidRDefault="00436558" w:rsidP="00074DB6">
                    <w:pPr>
                      <w:jc w:val="right"/>
                    </w:pPr>
                    <w:r>
                      <w:t>152,123,517,160.45</w:t>
                    </w:r>
                  </w:p>
                </w:tc>
              </w:sdtContent>
            </w:sdt>
            <w:sdt>
              <w:sdtPr>
                <w:alias w:val="专项资产管理业务受托资金"/>
                <w:tag w:val="_GBC_10af4766cfd44d93acca316cfa01f915"/>
                <w:id w:val="28113324"/>
                <w:lock w:val="sdtLocked"/>
              </w:sdtPr>
              <w:sdtContent>
                <w:tc>
                  <w:tcPr>
                    <w:tcW w:w="1065" w:type="pct"/>
                  </w:tcPr>
                  <w:p w:rsidR="00477D4F" w:rsidRDefault="00477D4F" w:rsidP="00074DB6">
                    <w:pPr>
                      <w:jc w:val="right"/>
                    </w:pPr>
                    <w:r>
                      <w:t>2,553,653,700.00</w:t>
                    </w:r>
                  </w:p>
                </w:tc>
              </w:sdtContent>
            </w:sdt>
          </w:tr>
          <w:tr w:rsidR="00477D4F" w:rsidTr="00074DB6">
            <w:trPr>
              <w:jc w:val="center"/>
            </w:trPr>
            <w:tc>
              <w:tcPr>
                <w:tcW w:w="1603" w:type="pct"/>
                <w:shd w:val="clear" w:color="auto" w:fill="auto"/>
                <w:vAlign w:val="center"/>
              </w:tcPr>
              <w:p w:rsidR="00477D4F" w:rsidRDefault="00477D4F" w:rsidP="00074DB6">
                <w:pPr>
                  <w:autoSpaceDN w:val="0"/>
                  <w:textAlignment w:val="bottom"/>
                </w:pPr>
                <w:r>
                  <w:t>其中：自有资金投入</w:t>
                </w:r>
              </w:p>
            </w:tc>
            <w:sdt>
              <w:sdtPr>
                <w:alias w:val="集合资产管理业务中自有资金投入金额"/>
                <w:tag w:val="_GBC_c48120a8124244fcbed53243b3aea034"/>
                <w:id w:val="28113325"/>
                <w:lock w:val="sdtLocked"/>
              </w:sdtPr>
              <w:sdtContent>
                <w:tc>
                  <w:tcPr>
                    <w:tcW w:w="1149" w:type="pct"/>
                  </w:tcPr>
                  <w:p w:rsidR="00477D4F" w:rsidRDefault="00477D4F" w:rsidP="00074DB6">
                    <w:pPr>
                      <w:jc w:val="right"/>
                    </w:pPr>
                    <w:r>
                      <w:t>582,867,297.01</w:t>
                    </w:r>
                  </w:p>
                </w:tc>
              </w:sdtContent>
            </w:sdt>
            <w:sdt>
              <w:sdtPr>
                <w:rPr>
                  <w:color w:val="000000" w:themeColor="text1"/>
                </w:rPr>
                <w:alias w:val="定向资产管理业务中自有资金投入金额"/>
                <w:tag w:val="_GBC_629c980331ae46a2a1333b2d2c2f5e6e"/>
                <w:id w:val="28113326"/>
                <w:lock w:val="sdtLocked"/>
                <w:showingPlcHdr/>
              </w:sdtPr>
              <w:sdtContent>
                <w:tc>
                  <w:tcPr>
                    <w:tcW w:w="1183" w:type="pct"/>
                  </w:tcPr>
                  <w:p w:rsidR="00477D4F" w:rsidRDefault="00436558" w:rsidP="00074DB6">
                    <w:pPr>
                      <w:jc w:val="right"/>
                      <w:rPr>
                        <w:color w:val="000000" w:themeColor="text1"/>
                      </w:rPr>
                    </w:pPr>
                    <w:r>
                      <w:rPr>
                        <w:color w:val="000000" w:themeColor="text1"/>
                      </w:rPr>
                      <w:t xml:space="preserve">     </w:t>
                    </w:r>
                  </w:p>
                </w:tc>
              </w:sdtContent>
            </w:sdt>
            <w:sdt>
              <w:sdtPr>
                <w:alias w:val="专项资产管理业务中自有资金投入金额"/>
                <w:tag w:val="_GBC_e9fd31c051054c08acad126e629c83e1"/>
                <w:id w:val="28113327"/>
                <w:lock w:val="sdtLocked"/>
              </w:sdtPr>
              <w:sdtContent>
                <w:tc>
                  <w:tcPr>
                    <w:tcW w:w="1065" w:type="pct"/>
                  </w:tcPr>
                  <w:p w:rsidR="00477D4F" w:rsidRDefault="00477D4F" w:rsidP="00074DB6">
                    <w:pPr>
                      <w:jc w:val="right"/>
                    </w:pPr>
                    <w:r>
                      <w:t>80,000,000.00</w:t>
                    </w:r>
                  </w:p>
                </w:tc>
              </w:sdtContent>
            </w:sdt>
          </w:tr>
          <w:tr w:rsidR="00477D4F" w:rsidTr="00074DB6">
            <w:trPr>
              <w:jc w:val="center"/>
            </w:trPr>
            <w:tc>
              <w:tcPr>
                <w:tcW w:w="1603" w:type="pct"/>
                <w:shd w:val="clear" w:color="auto" w:fill="auto"/>
                <w:vAlign w:val="center"/>
              </w:tcPr>
              <w:p w:rsidR="00477D4F" w:rsidRDefault="00477D4F" w:rsidP="00074DB6">
                <w:pPr>
                  <w:autoSpaceDN w:val="0"/>
                  <w:ind w:leftChars="279" w:left="794" w:hangingChars="99" w:hanging="208"/>
                  <w:textAlignment w:val="bottom"/>
                </w:pPr>
                <w:r>
                  <w:t>个人客户</w:t>
                </w:r>
              </w:p>
            </w:tc>
            <w:sdt>
              <w:sdtPr>
                <w:alias w:val="集合资产管理业务中受托个人客户金额"/>
                <w:tag w:val="_GBC_99281af33271468c8f32d1b891e5f86b"/>
                <w:id w:val="28113328"/>
                <w:lock w:val="sdtLocked"/>
              </w:sdtPr>
              <w:sdtContent>
                <w:tc>
                  <w:tcPr>
                    <w:tcW w:w="1149" w:type="pct"/>
                  </w:tcPr>
                  <w:p w:rsidR="00477D4F" w:rsidRDefault="00477D4F" w:rsidP="00074DB6">
                    <w:pPr>
                      <w:jc w:val="right"/>
                    </w:pPr>
                    <w:r>
                      <w:t>19,344,610,190.86</w:t>
                    </w:r>
                  </w:p>
                </w:tc>
              </w:sdtContent>
            </w:sdt>
            <w:sdt>
              <w:sdtPr>
                <w:alias w:val="定向资产管理业务中受托个人客户金额"/>
                <w:tag w:val="_GBC_9d6175ca2a804efea4f33157447a0f65"/>
                <w:id w:val="28113329"/>
                <w:lock w:val="sdtLocked"/>
              </w:sdtPr>
              <w:sdtContent>
                <w:tc>
                  <w:tcPr>
                    <w:tcW w:w="1183" w:type="pct"/>
                  </w:tcPr>
                  <w:p w:rsidR="00477D4F" w:rsidRDefault="00436558" w:rsidP="00074DB6">
                    <w:pPr>
                      <w:jc w:val="right"/>
                    </w:pPr>
                    <w:r>
                      <w:t>450,804,574.16</w:t>
                    </w:r>
                  </w:p>
                </w:tc>
              </w:sdtContent>
            </w:sdt>
            <w:sdt>
              <w:sdtPr>
                <w:rPr>
                  <w:color w:val="000000" w:themeColor="text1"/>
                </w:rPr>
                <w:alias w:val="专项资产管理业务中受托个人客户金额"/>
                <w:tag w:val="_GBC_96ca26baa29a4354b30563a46e1521c0"/>
                <w:id w:val="28113330"/>
                <w:lock w:val="sdtLocked"/>
                <w:showingPlcHdr/>
              </w:sdtPr>
              <w:sdtContent>
                <w:tc>
                  <w:tcPr>
                    <w:tcW w:w="1065" w:type="pct"/>
                  </w:tcPr>
                  <w:p w:rsidR="00477D4F" w:rsidRDefault="00477D4F" w:rsidP="00074DB6">
                    <w:pPr>
                      <w:jc w:val="right"/>
                      <w:rPr>
                        <w:color w:val="000000" w:themeColor="text1"/>
                      </w:rPr>
                    </w:pPr>
                    <w:r>
                      <w:rPr>
                        <w:rFonts w:hint="eastAsia"/>
                        <w:color w:val="000000" w:themeColor="text1"/>
                      </w:rPr>
                      <w:t xml:space="preserve">　</w:t>
                    </w:r>
                  </w:p>
                </w:tc>
              </w:sdtContent>
            </w:sdt>
          </w:tr>
          <w:tr w:rsidR="00477D4F" w:rsidTr="00074DB6">
            <w:trPr>
              <w:jc w:val="center"/>
            </w:trPr>
            <w:tc>
              <w:tcPr>
                <w:tcW w:w="1603" w:type="pct"/>
                <w:shd w:val="clear" w:color="auto" w:fill="auto"/>
                <w:vAlign w:val="center"/>
              </w:tcPr>
              <w:p w:rsidR="00477D4F" w:rsidRDefault="00477D4F" w:rsidP="00074DB6">
                <w:pPr>
                  <w:autoSpaceDN w:val="0"/>
                  <w:ind w:leftChars="279" w:left="794" w:hangingChars="99" w:hanging="208"/>
                  <w:textAlignment w:val="bottom"/>
                </w:pPr>
                <w:r>
                  <w:t>机构客户</w:t>
                </w:r>
              </w:p>
            </w:tc>
            <w:sdt>
              <w:sdtPr>
                <w:alias w:val="集合资产管理业务中受托机构客户金额"/>
                <w:tag w:val="_GBC_57597b6d071e418e9b1d3928c8a828ff"/>
                <w:id w:val="28113331"/>
                <w:lock w:val="sdtLocked"/>
              </w:sdtPr>
              <w:sdtContent>
                <w:tc>
                  <w:tcPr>
                    <w:tcW w:w="1149" w:type="pct"/>
                  </w:tcPr>
                  <w:p w:rsidR="00477D4F" w:rsidRDefault="00477D4F" w:rsidP="00074DB6">
                    <w:pPr>
                      <w:jc w:val="right"/>
                    </w:pPr>
                    <w:r>
                      <w:t>3,123,285,113.13</w:t>
                    </w:r>
                  </w:p>
                </w:tc>
              </w:sdtContent>
            </w:sdt>
            <w:sdt>
              <w:sdtPr>
                <w:alias w:val="定向资产管理业务中受托机构客户金额"/>
                <w:tag w:val="_GBC_fb3b9057ef5e4ad39002c6508f148b83"/>
                <w:id w:val="28113332"/>
                <w:lock w:val="sdtLocked"/>
              </w:sdtPr>
              <w:sdtContent>
                <w:tc>
                  <w:tcPr>
                    <w:tcW w:w="1183" w:type="pct"/>
                  </w:tcPr>
                  <w:p w:rsidR="00477D4F" w:rsidRDefault="00477D4F" w:rsidP="00074DB6">
                    <w:pPr>
                      <w:jc w:val="right"/>
                    </w:pPr>
                    <w:r>
                      <w:t>151,672,712,586.29</w:t>
                    </w:r>
                  </w:p>
                </w:tc>
              </w:sdtContent>
            </w:sdt>
            <w:sdt>
              <w:sdtPr>
                <w:alias w:val="专项资产管理业务中受托机构客户金额"/>
                <w:tag w:val="_GBC_80d3ae3e5ca24a03bacd79106bec9c61"/>
                <w:id w:val="28113333"/>
                <w:lock w:val="sdtLocked"/>
              </w:sdtPr>
              <w:sdtContent>
                <w:tc>
                  <w:tcPr>
                    <w:tcW w:w="1065" w:type="pct"/>
                  </w:tcPr>
                  <w:p w:rsidR="00477D4F" w:rsidRDefault="00477D4F" w:rsidP="00074DB6">
                    <w:pPr>
                      <w:jc w:val="right"/>
                    </w:pPr>
                    <w:r>
                      <w:t>2,473,653,700.00</w:t>
                    </w:r>
                  </w:p>
                </w:tc>
              </w:sdtContent>
            </w:sdt>
          </w:tr>
          <w:tr w:rsidR="00477D4F" w:rsidTr="00074DB6">
            <w:trPr>
              <w:jc w:val="center"/>
            </w:trPr>
            <w:tc>
              <w:tcPr>
                <w:tcW w:w="1603" w:type="pct"/>
                <w:shd w:val="clear" w:color="auto" w:fill="auto"/>
                <w:vAlign w:val="center"/>
              </w:tcPr>
              <w:p w:rsidR="00477D4F" w:rsidRDefault="00477D4F" w:rsidP="00074DB6">
                <w:pPr>
                  <w:autoSpaceDN w:val="0"/>
                  <w:textAlignment w:val="bottom"/>
                </w:pPr>
                <w:r>
                  <w:t>期末受托资金</w:t>
                </w:r>
              </w:p>
            </w:tc>
            <w:sdt>
              <w:sdtPr>
                <w:alias w:val="集合资产管理业务受托资金"/>
                <w:tag w:val="_GBC_354f5403c1d1437c966aa1ae6ee4e263"/>
                <w:id w:val="28113334"/>
                <w:lock w:val="sdtLocked"/>
              </w:sdtPr>
              <w:sdtContent>
                <w:tc>
                  <w:tcPr>
                    <w:tcW w:w="1149" w:type="pct"/>
                  </w:tcPr>
                  <w:p w:rsidR="00477D4F" w:rsidRDefault="00477D4F" w:rsidP="00074DB6">
                    <w:pPr>
                      <w:jc w:val="right"/>
                    </w:pPr>
                    <w:r>
                      <w:t>50,305,701,459.47</w:t>
                    </w:r>
                  </w:p>
                </w:tc>
              </w:sdtContent>
            </w:sdt>
            <w:sdt>
              <w:sdtPr>
                <w:alias w:val="定向资产管理业务受托资金"/>
                <w:tag w:val="_GBC_5eb886e2b9cd4c61b7ec93ba1023394c"/>
                <w:id w:val="28113335"/>
                <w:lock w:val="sdtLocked"/>
              </w:sdtPr>
              <w:sdtContent>
                <w:tc>
                  <w:tcPr>
                    <w:tcW w:w="1183" w:type="pct"/>
                  </w:tcPr>
                  <w:p w:rsidR="00477D4F" w:rsidRDefault="00477D4F" w:rsidP="00074DB6">
                    <w:pPr>
                      <w:jc w:val="right"/>
                    </w:pPr>
                    <w:r>
                      <w:t>230,716,095,543.13</w:t>
                    </w:r>
                  </w:p>
                </w:tc>
              </w:sdtContent>
            </w:sdt>
            <w:sdt>
              <w:sdtPr>
                <w:alias w:val="专项资产管理业务受托资金"/>
                <w:tag w:val="_GBC_c73d7e30034047d6b8f6b5c6332a509d"/>
                <w:id w:val="28113336"/>
                <w:lock w:val="sdtLocked"/>
              </w:sdtPr>
              <w:sdtContent>
                <w:tc>
                  <w:tcPr>
                    <w:tcW w:w="1065" w:type="pct"/>
                  </w:tcPr>
                  <w:p w:rsidR="00477D4F" w:rsidRDefault="00477D4F" w:rsidP="00074DB6">
                    <w:pPr>
                      <w:jc w:val="right"/>
                    </w:pPr>
                    <w:r>
                      <w:t>2,250,000,000.00</w:t>
                    </w:r>
                  </w:p>
                </w:tc>
              </w:sdtContent>
            </w:sdt>
          </w:tr>
          <w:tr w:rsidR="00477D4F" w:rsidTr="00074DB6">
            <w:trPr>
              <w:jc w:val="center"/>
            </w:trPr>
            <w:tc>
              <w:tcPr>
                <w:tcW w:w="1603" w:type="pct"/>
                <w:shd w:val="clear" w:color="auto" w:fill="auto"/>
                <w:vAlign w:val="center"/>
              </w:tcPr>
              <w:p w:rsidR="00477D4F" w:rsidRDefault="00477D4F" w:rsidP="00074DB6">
                <w:pPr>
                  <w:autoSpaceDN w:val="0"/>
                  <w:textAlignment w:val="bottom"/>
                </w:pPr>
                <w:r>
                  <w:t>其中：自有资金投入</w:t>
                </w:r>
              </w:p>
            </w:tc>
            <w:sdt>
              <w:sdtPr>
                <w:alias w:val="集合资产管理业务中自有资金投入金额"/>
                <w:tag w:val="_GBC_78dbd59a03d340789865db23ab9e8fa2"/>
                <w:id w:val="28113337"/>
                <w:lock w:val="sdtLocked"/>
              </w:sdtPr>
              <w:sdtContent>
                <w:tc>
                  <w:tcPr>
                    <w:tcW w:w="1149" w:type="pct"/>
                  </w:tcPr>
                  <w:p w:rsidR="00477D4F" w:rsidRDefault="00477D4F" w:rsidP="00074DB6">
                    <w:pPr>
                      <w:jc w:val="right"/>
                    </w:pPr>
                    <w:r>
                      <w:t>939,884,064.32</w:t>
                    </w:r>
                  </w:p>
                </w:tc>
              </w:sdtContent>
            </w:sdt>
            <w:sdt>
              <w:sdtPr>
                <w:rPr>
                  <w:color w:val="000000" w:themeColor="text1"/>
                </w:rPr>
                <w:alias w:val="定向资产管理业务中自有资金投入金额"/>
                <w:tag w:val="_GBC_13d23a05a7dd42589b8888c77e9c593d"/>
                <w:id w:val="28113338"/>
                <w:lock w:val="sdtLocked"/>
                <w:showingPlcHdr/>
              </w:sdtPr>
              <w:sdtContent>
                <w:tc>
                  <w:tcPr>
                    <w:tcW w:w="1183" w:type="pct"/>
                  </w:tcPr>
                  <w:p w:rsidR="00477D4F" w:rsidRDefault="00477D4F" w:rsidP="00074DB6">
                    <w:pPr>
                      <w:jc w:val="right"/>
                      <w:rPr>
                        <w:color w:val="000000" w:themeColor="text1"/>
                      </w:rPr>
                    </w:pPr>
                    <w:r>
                      <w:rPr>
                        <w:rFonts w:hint="eastAsia"/>
                        <w:color w:val="000000" w:themeColor="text1"/>
                      </w:rPr>
                      <w:t xml:space="preserve">　</w:t>
                    </w:r>
                  </w:p>
                </w:tc>
              </w:sdtContent>
            </w:sdt>
            <w:sdt>
              <w:sdtPr>
                <w:alias w:val="专项资产管理业务中自有资金投入金额"/>
                <w:tag w:val="_GBC_1e376497da0b498ca6ea50456636d03a"/>
                <w:id w:val="28113339"/>
                <w:lock w:val="sdtLocked"/>
              </w:sdtPr>
              <w:sdtContent>
                <w:tc>
                  <w:tcPr>
                    <w:tcW w:w="1065" w:type="pct"/>
                  </w:tcPr>
                  <w:p w:rsidR="00477D4F" w:rsidRDefault="00477D4F" w:rsidP="00074DB6">
                    <w:pPr>
                      <w:jc w:val="right"/>
                    </w:pPr>
                    <w:r>
                      <w:t>80,000,000.00</w:t>
                    </w:r>
                  </w:p>
                </w:tc>
              </w:sdtContent>
            </w:sdt>
          </w:tr>
          <w:tr w:rsidR="00477D4F" w:rsidTr="00074DB6">
            <w:trPr>
              <w:jc w:val="center"/>
            </w:trPr>
            <w:tc>
              <w:tcPr>
                <w:tcW w:w="1603" w:type="pct"/>
                <w:shd w:val="clear" w:color="auto" w:fill="auto"/>
                <w:vAlign w:val="center"/>
              </w:tcPr>
              <w:p w:rsidR="00477D4F" w:rsidRDefault="00477D4F" w:rsidP="00074DB6">
                <w:pPr>
                  <w:autoSpaceDN w:val="0"/>
                  <w:ind w:leftChars="279" w:left="794" w:hangingChars="99" w:hanging="208"/>
                  <w:textAlignment w:val="bottom"/>
                </w:pPr>
                <w:r>
                  <w:t>个人客户</w:t>
                </w:r>
              </w:p>
            </w:tc>
            <w:sdt>
              <w:sdtPr>
                <w:alias w:val="集合资产管理业务中受托个人客户金额"/>
                <w:tag w:val="_GBC_22b634e038004e79b91538784679b86a"/>
                <w:id w:val="28113340"/>
                <w:lock w:val="sdtLocked"/>
              </w:sdtPr>
              <w:sdtContent>
                <w:tc>
                  <w:tcPr>
                    <w:tcW w:w="1149" w:type="pct"/>
                  </w:tcPr>
                  <w:p w:rsidR="00477D4F" w:rsidRDefault="00477D4F" w:rsidP="00074DB6">
                    <w:pPr>
                      <w:jc w:val="right"/>
                    </w:pPr>
                    <w:r>
                      <w:t>45,646,686,257.84</w:t>
                    </w:r>
                  </w:p>
                </w:tc>
              </w:sdtContent>
            </w:sdt>
            <w:sdt>
              <w:sdtPr>
                <w:alias w:val="定向资产管理业务中受托个人客户金额"/>
                <w:tag w:val="_GBC_4ff74cc5b8d74a6091e17eabc1e1d9e2"/>
                <w:id w:val="28113341"/>
                <w:lock w:val="sdtLocked"/>
              </w:sdtPr>
              <w:sdtContent>
                <w:tc>
                  <w:tcPr>
                    <w:tcW w:w="1183" w:type="pct"/>
                  </w:tcPr>
                  <w:p w:rsidR="00477D4F" w:rsidRDefault="00477D4F" w:rsidP="00074DB6">
                    <w:pPr>
                      <w:jc w:val="right"/>
                    </w:pPr>
                    <w:r>
                      <w:t>591,153,933.05</w:t>
                    </w:r>
                  </w:p>
                </w:tc>
              </w:sdtContent>
            </w:sdt>
            <w:sdt>
              <w:sdtPr>
                <w:rPr>
                  <w:color w:val="000000" w:themeColor="text1"/>
                </w:rPr>
                <w:alias w:val="专项资产管理业务中受托个人客户金额"/>
                <w:tag w:val="_GBC_9181762d64f94d9c8e7d492a4398e90a"/>
                <w:id w:val="28113342"/>
                <w:lock w:val="sdtLocked"/>
                <w:showingPlcHdr/>
              </w:sdtPr>
              <w:sdtContent>
                <w:tc>
                  <w:tcPr>
                    <w:tcW w:w="1065" w:type="pct"/>
                  </w:tcPr>
                  <w:p w:rsidR="00477D4F" w:rsidRDefault="00477D4F" w:rsidP="00074DB6">
                    <w:pPr>
                      <w:jc w:val="right"/>
                      <w:rPr>
                        <w:color w:val="000000" w:themeColor="text1"/>
                      </w:rPr>
                    </w:pPr>
                    <w:r>
                      <w:rPr>
                        <w:rFonts w:hint="eastAsia"/>
                        <w:color w:val="000000" w:themeColor="text1"/>
                      </w:rPr>
                      <w:t xml:space="preserve">　</w:t>
                    </w:r>
                  </w:p>
                </w:tc>
              </w:sdtContent>
            </w:sdt>
          </w:tr>
          <w:tr w:rsidR="00477D4F" w:rsidTr="00074DB6">
            <w:trPr>
              <w:jc w:val="center"/>
            </w:trPr>
            <w:tc>
              <w:tcPr>
                <w:tcW w:w="1603" w:type="pct"/>
                <w:shd w:val="clear" w:color="auto" w:fill="auto"/>
                <w:vAlign w:val="center"/>
              </w:tcPr>
              <w:p w:rsidR="00477D4F" w:rsidRDefault="00477D4F" w:rsidP="00074DB6">
                <w:pPr>
                  <w:autoSpaceDN w:val="0"/>
                  <w:ind w:leftChars="279" w:left="794" w:hangingChars="99" w:hanging="208"/>
                  <w:textAlignment w:val="bottom"/>
                </w:pPr>
                <w:r>
                  <w:t>机构客户</w:t>
                </w:r>
              </w:p>
            </w:tc>
            <w:sdt>
              <w:sdtPr>
                <w:alias w:val="集合资产管理业务中受托机构客户金额"/>
                <w:tag w:val="_GBC_a4bca76f08c148088ec4f27a397f0158"/>
                <w:id w:val="28113343"/>
                <w:lock w:val="sdtLocked"/>
              </w:sdtPr>
              <w:sdtContent>
                <w:tc>
                  <w:tcPr>
                    <w:tcW w:w="1149" w:type="pct"/>
                  </w:tcPr>
                  <w:p w:rsidR="00477D4F" w:rsidRDefault="00477D4F" w:rsidP="00074DB6">
                    <w:pPr>
                      <w:jc w:val="right"/>
                    </w:pPr>
                    <w:r>
                      <w:t>3,719,131,137.31</w:t>
                    </w:r>
                  </w:p>
                </w:tc>
              </w:sdtContent>
            </w:sdt>
            <w:sdt>
              <w:sdtPr>
                <w:alias w:val="定向资产管理业务中受托机构客户金额"/>
                <w:tag w:val="_GBC_a149930d1de14aed9038393f58cc86c2"/>
                <w:id w:val="28113344"/>
                <w:lock w:val="sdtLocked"/>
              </w:sdtPr>
              <w:sdtContent>
                <w:tc>
                  <w:tcPr>
                    <w:tcW w:w="1183" w:type="pct"/>
                  </w:tcPr>
                  <w:p w:rsidR="00477D4F" w:rsidRDefault="00477D4F" w:rsidP="00074DB6">
                    <w:pPr>
                      <w:jc w:val="right"/>
                    </w:pPr>
                    <w:r>
                      <w:t>230,124,941,610.08</w:t>
                    </w:r>
                  </w:p>
                </w:tc>
              </w:sdtContent>
            </w:sdt>
            <w:sdt>
              <w:sdtPr>
                <w:alias w:val="专项资产管理业务中受托机构客户金额"/>
                <w:tag w:val="_GBC_f4c906a4261a421f9afcb013834a654a"/>
                <w:id w:val="28113345"/>
                <w:lock w:val="sdtLocked"/>
              </w:sdtPr>
              <w:sdtContent>
                <w:tc>
                  <w:tcPr>
                    <w:tcW w:w="1065" w:type="pct"/>
                  </w:tcPr>
                  <w:p w:rsidR="00477D4F" w:rsidRDefault="00477D4F" w:rsidP="00074DB6">
                    <w:pPr>
                      <w:jc w:val="right"/>
                    </w:pPr>
                    <w:r>
                      <w:t>2,170,000,000.00</w:t>
                    </w:r>
                  </w:p>
                </w:tc>
              </w:sdtContent>
            </w:sdt>
          </w:tr>
          <w:tr w:rsidR="00477D4F" w:rsidTr="00074DB6">
            <w:trPr>
              <w:jc w:val="center"/>
            </w:trPr>
            <w:tc>
              <w:tcPr>
                <w:tcW w:w="1603" w:type="pct"/>
                <w:tcBorders>
                  <w:bottom w:val="single" w:sz="4" w:space="0" w:color="000000"/>
                </w:tcBorders>
                <w:shd w:val="clear" w:color="auto" w:fill="auto"/>
                <w:vAlign w:val="center"/>
              </w:tcPr>
              <w:p w:rsidR="00477D4F" w:rsidRDefault="00477D4F" w:rsidP="00074DB6">
                <w:pPr>
                  <w:autoSpaceDN w:val="0"/>
                  <w:textAlignment w:val="bottom"/>
                </w:pPr>
                <w:r>
                  <w:t>期末主要受托资产初始成本</w:t>
                </w:r>
              </w:p>
            </w:tc>
            <w:sdt>
              <w:sdtPr>
                <w:alias w:val="集合资产管理业务主要受托资产初始成本"/>
                <w:tag w:val="_GBC_5eb191fed10f404a893cf7cf0c9932d1"/>
                <w:id w:val="28113346"/>
                <w:lock w:val="sdtLocked"/>
              </w:sdtPr>
              <w:sdtContent>
                <w:tc>
                  <w:tcPr>
                    <w:tcW w:w="1149" w:type="pct"/>
                  </w:tcPr>
                  <w:p w:rsidR="00477D4F" w:rsidRDefault="00477D4F" w:rsidP="00074DB6">
                    <w:pPr>
                      <w:jc w:val="right"/>
                    </w:pPr>
                    <w:r>
                      <w:t>47,491,083,214.14</w:t>
                    </w:r>
                  </w:p>
                </w:tc>
              </w:sdtContent>
            </w:sdt>
            <w:sdt>
              <w:sdtPr>
                <w:alias w:val="定向资产管理业务主要受托资产初始成本"/>
                <w:tag w:val="_GBC_9a977a2a8c644f4ea24356fc269a4de3"/>
                <w:id w:val="28113347"/>
                <w:lock w:val="sdtLocked"/>
              </w:sdtPr>
              <w:sdtContent>
                <w:tc>
                  <w:tcPr>
                    <w:tcW w:w="1183" w:type="pct"/>
                  </w:tcPr>
                  <w:p w:rsidR="00477D4F" w:rsidRDefault="00477D4F" w:rsidP="00074DB6">
                    <w:pPr>
                      <w:jc w:val="right"/>
                    </w:pPr>
                    <w:r>
                      <w:t>235,098,995,288.91</w:t>
                    </w:r>
                  </w:p>
                </w:tc>
              </w:sdtContent>
            </w:sdt>
            <w:sdt>
              <w:sdtPr>
                <w:alias w:val="专项资产管理业务主要受托资产初始成本"/>
                <w:tag w:val="_GBC_9a2679987552409bb592b1c692bf0d3f"/>
                <w:id w:val="28113348"/>
                <w:lock w:val="sdtLocked"/>
              </w:sdtPr>
              <w:sdtContent>
                <w:tc>
                  <w:tcPr>
                    <w:tcW w:w="1065" w:type="pct"/>
                  </w:tcPr>
                  <w:p w:rsidR="00477D4F" w:rsidRDefault="00477D4F" w:rsidP="00074DB6">
                    <w:pPr>
                      <w:jc w:val="right"/>
                    </w:pPr>
                    <w:r>
                      <w:t>2,339,106,680.58</w:t>
                    </w:r>
                  </w:p>
                </w:tc>
              </w:sdtContent>
            </w:sdt>
          </w:tr>
          <w:tr w:rsidR="00477D4F" w:rsidTr="00074DB6">
            <w:trPr>
              <w:jc w:val="center"/>
            </w:trPr>
            <w:tc>
              <w:tcPr>
                <w:tcW w:w="1603" w:type="pct"/>
                <w:shd w:val="clear" w:color="auto" w:fill="auto"/>
                <w:vAlign w:val="center"/>
              </w:tcPr>
              <w:p w:rsidR="00477D4F" w:rsidRDefault="00477D4F" w:rsidP="00074DB6">
                <w:pPr>
                  <w:autoSpaceDN w:val="0"/>
                  <w:textAlignment w:val="bottom"/>
                </w:pPr>
                <w:r>
                  <w:t>其中：股票</w:t>
                </w:r>
              </w:p>
            </w:tc>
            <w:sdt>
              <w:sdtPr>
                <w:alias w:val="集合资产管理业务中受托股票初始成本"/>
                <w:tag w:val="_GBC_0a0f39628b754a19963e92ec23d3cb22"/>
                <w:id w:val="28113349"/>
                <w:lock w:val="sdtLocked"/>
              </w:sdtPr>
              <w:sdtContent>
                <w:tc>
                  <w:tcPr>
                    <w:tcW w:w="1149" w:type="pct"/>
                  </w:tcPr>
                  <w:p w:rsidR="00477D4F" w:rsidRDefault="00477D4F" w:rsidP="00074DB6">
                    <w:pPr>
                      <w:jc w:val="right"/>
                    </w:pPr>
                    <w:r>
                      <w:t>1,389,273,991.39</w:t>
                    </w:r>
                  </w:p>
                </w:tc>
              </w:sdtContent>
            </w:sdt>
            <w:sdt>
              <w:sdtPr>
                <w:alias w:val="定向资产管理业务中受托股票初始成本"/>
                <w:tag w:val="_GBC_ab483a11468040b2a9168d9ea8b9cabf"/>
                <w:id w:val="28113350"/>
                <w:lock w:val="sdtLocked"/>
              </w:sdtPr>
              <w:sdtContent>
                <w:tc>
                  <w:tcPr>
                    <w:tcW w:w="1183" w:type="pct"/>
                  </w:tcPr>
                  <w:p w:rsidR="00477D4F" w:rsidRDefault="00477D4F" w:rsidP="00074DB6">
                    <w:pPr>
                      <w:jc w:val="right"/>
                    </w:pPr>
                    <w:r>
                      <w:t>1,729,267,274.84</w:t>
                    </w:r>
                  </w:p>
                </w:tc>
              </w:sdtContent>
            </w:sdt>
            <w:sdt>
              <w:sdtPr>
                <w:rPr>
                  <w:color w:val="000000" w:themeColor="text1"/>
                </w:rPr>
                <w:alias w:val="专项资产管理业务中受托股票初始成本"/>
                <w:tag w:val="_GBC_dade8e3ba3e647b591239af4268f51f3"/>
                <w:id w:val="28113351"/>
                <w:lock w:val="sdtLocked"/>
                <w:showingPlcHdr/>
              </w:sdtPr>
              <w:sdtContent>
                <w:tc>
                  <w:tcPr>
                    <w:tcW w:w="1065" w:type="pct"/>
                  </w:tcPr>
                  <w:p w:rsidR="00477D4F" w:rsidRDefault="00477D4F" w:rsidP="00074DB6">
                    <w:pPr>
                      <w:jc w:val="right"/>
                      <w:rPr>
                        <w:color w:val="000000" w:themeColor="text1"/>
                      </w:rPr>
                    </w:pPr>
                    <w:r>
                      <w:rPr>
                        <w:rFonts w:hint="eastAsia"/>
                        <w:color w:val="000000" w:themeColor="text1"/>
                      </w:rPr>
                      <w:t xml:space="preserve">　</w:t>
                    </w:r>
                  </w:p>
                </w:tc>
              </w:sdtContent>
            </w:sdt>
          </w:tr>
          <w:sdt>
            <w:sdtPr>
              <w:alias w:val="资产管理业务主要受托资产初始成本明细"/>
              <w:tag w:val="_GBC_3159788387004e44b4ad1edd1c964946"/>
              <w:id w:val="28113356"/>
            </w:sdtPr>
            <w:sdtContent>
              <w:tr w:rsidR="00477D4F" w:rsidTr="00074DB6">
                <w:trPr>
                  <w:jc w:val="center"/>
                </w:trPr>
                <w:sdt>
                  <w:sdtPr>
                    <w:alias w:val="资产管理业务主要受托资产初始成本明细－项目"/>
                    <w:tag w:val="_GBC_35f3dde72f0f4759958784c2317f18d6"/>
                    <w:id w:val="28113352"/>
                    <w:lock w:val="sdtLocked"/>
                  </w:sdtPr>
                  <w:sdtContent>
                    <w:tc>
                      <w:tcPr>
                        <w:tcW w:w="1603" w:type="pct"/>
                        <w:shd w:val="clear" w:color="auto" w:fill="auto"/>
                        <w:vAlign w:val="center"/>
                      </w:tcPr>
                      <w:p w:rsidR="00477D4F" w:rsidRDefault="00477D4F" w:rsidP="00477D4F">
                        <w:pPr>
                          <w:autoSpaceDN w:val="0"/>
                          <w:ind w:leftChars="279" w:left="794" w:hangingChars="99" w:hanging="208"/>
                          <w:textAlignment w:val="bottom"/>
                        </w:pPr>
                        <w:r>
                          <w:rPr>
                            <w:rFonts w:hint="eastAsia"/>
                          </w:rPr>
                          <w:t>债券</w:t>
                        </w:r>
                      </w:p>
                    </w:tc>
                  </w:sdtContent>
                </w:sdt>
                <w:sdt>
                  <w:sdtPr>
                    <w:alias w:val="资产管理业务主要受托资产初始成本明细－集合资产管理业务中主要受托资产初始成本"/>
                    <w:tag w:val="_GBC_eba5e8569eb24df99deab3bd7264a0cf"/>
                    <w:id w:val="28113353"/>
                    <w:lock w:val="sdtLocked"/>
                  </w:sdtPr>
                  <w:sdtContent>
                    <w:tc>
                      <w:tcPr>
                        <w:tcW w:w="1149" w:type="pct"/>
                      </w:tcPr>
                      <w:p w:rsidR="00477D4F" w:rsidRDefault="00477D4F" w:rsidP="00074DB6">
                        <w:pPr>
                          <w:jc w:val="right"/>
                        </w:pPr>
                        <w:r>
                          <w:t>817,775,110.81</w:t>
                        </w:r>
                      </w:p>
                    </w:tc>
                  </w:sdtContent>
                </w:sdt>
                <w:sdt>
                  <w:sdtPr>
                    <w:alias w:val="资产管理业务主要受托资产初始成本明细－定向资产管理业务中主要受托资产初始成本"/>
                    <w:tag w:val="_GBC_dc5917bf7fc54642b986fdfa7867db23"/>
                    <w:id w:val="28113354"/>
                    <w:lock w:val="sdtLocked"/>
                  </w:sdtPr>
                  <w:sdtContent>
                    <w:tc>
                      <w:tcPr>
                        <w:tcW w:w="1183" w:type="pct"/>
                      </w:tcPr>
                      <w:p w:rsidR="00477D4F" w:rsidRDefault="00477D4F" w:rsidP="00074DB6">
                        <w:pPr>
                          <w:jc w:val="right"/>
                        </w:pPr>
                        <w:r>
                          <w:t>101,189,047.28</w:t>
                        </w:r>
                      </w:p>
                    </w:tc>
                  </w:sdtContent>
                </w:sdt>
                <w:sdt>
                  <w:sdtPr>
                    <w:alias w:val="资产管理业务主要受托资产初始成本明细－专项资产管理业务中主要受托资产初始成本"/>
                    <w:tag w:val="_GBC_7c167b8bfbd94a18aa9d6a28033c1bd3"/>
                    <w:id w:val="28113355"/>
                    <w:lock w:val="sdtLocked"/>
                    <w:showingPlcHdr/>
                  </w:sdtPr>
                  <w:sdtContent>
                    <w:tc>
                      <w:tcPr>
                        <w:tcW w:w="1065" w:type="pct"/>
                      </w:tcPr>
                      <w:p w:rsidR="00477D4F" w:rsidRDefault="00477D4F" w:rsidP="00074DB6">
                        <w:pPr>
                          <w:jc w:val="right"/>
                        </w:pPr>
                        <w:r>
                          <w:t xml:space="preserve">　</w:t>
                        </w:r>
                      </w:p>
                    </w:tc>
                  </w:sdtContent>
                </w:sdt>
              </w:tr>
            </w:sdtContent>
          </w:sdt>
          <w:tr w:rsidR="00477D4F" w:rsidTr="00074DB6">
            <w:trPr>
              <w:jc w:val="center"/>
            </w:trPr>
            <w:tc>
              <w:tcPr>
                <w:tcW w:w="1603" w:type="pct"/>
                <w:shd w:val="clear" w:color="auto" w:fill="auto"/>
                <w:vAlign w:val="center"/>
              </w:tcPr>
              <w:p w:rsidR="00477D4F" w:rsidRDefault="00477D4F" w:rsidP="00074DB6">
                <w:pPr>
                  <w:autoSpaceDN w:val="0"/>
                  <w:ind w:leftChars="279" w:left="794" w:hangingChars="99" w:hanging="208"/>
                  <w:textAlignment w:val="bottom"/>
                </w:pPr>
                <w:r>
                  <w:t>基金</w:t>
                </w:r>
              </w:p>
            </w:tc>
            <w:sdt>
              <w:sdtPr>
                <w:alias w:val="集合资产管理业务中受托基金初始成本"/>
                <w:tag w:val="_GBC_3fcd7a85dd144ace9625059616fe18a8"/>
                <w:id w:val="28113360"/>
                <w:lock w:val="sdtLocked"/>
              </w:sdtPr>
              <w:sdtContent>
                <w:tc>
                  <w:tcPr>
                    <w:tcW w:w="1149" w:type="pct"/>
                  </w:tcPr>
                  <w:p w:rsidR="00477D4F" w:rsidRDefault="00477D4F" w:rsidP="00074DB6">
                    <w:pPr>
                      <w:jc w:val="right"/>
                    </w:pPr>
                    <w:r>
                      <w:t>17,184,273,870.81</w:t>
                    </w:r>
                  </w:p>
                </w:tc>
              </w:sdtContent>
            </w:sdt>
            <w:sdt>
              <w:sdtPr>
                <w:alias w:val="定向资产管理业务中受托基金初始成本"/>
                <w:tag w:val="_GBC_ac5839052e404164944e38bfef3325fc"/>
                <w:id w:val="28113361"/>
                <w:lock w:val="sdtLocked"/>
              </w:sdtPr>
              <w:sdtContent>
                <w:tc>
                  <w:tcPr>
                    <w:tcW w:w="1183" w:type="pct"/>
                  </w:tcPr>
                  <w:p w:rsidR="00477D4F" w:rsidRDefault="00477D4F" w:rsidP="00074DB6">
                    <w:pPr>
                      <w:jc w:val="right"/>
                    </w:pPr>
                    <w:r>
                      <w:t>29,883,455.90</w:t>
                    </w:r>
                  </w:p>
                </w:tc>
              </w:sdtContent>
            </w:sdt>
            <w:sdt>
              <w:sdtPr>
                <w:alias w:val="专项资产管理业务中受托基金初始成本"/>
                <w:tag w:val="_GBC_ed8df9cfbfce4df3a6a593d8d99e45d9"/>
                <w:id w:val="28113362"/>
                <w:lock w:val="sdtLocked"/>
              </w:sdtPr>
              <w:sdtContent>
                <w:tc>
                  <w:tcPr>
                    <w:tcW w:w="1065" w:type="pct"/>
                  </w:tcPr>
                  <w:p w:rsidR="00477D4F" w:rsidRDefault="00477D4F" w:rsidP="00074DB6">
                    <w:pPr>
                      <w:jc w:val="right"/>
                    </w:pPr>
                    <w:r>
                      <w:t>231,132,089.89</w:t>
                    </w:r>
                  </w:p>
                </w:tc>
              </w:sdtContent>
            </w:sdt>
          </w:tr>
          <w:sdt>
            <w:sdtPr>
              <w:alias w:val="资产管理业务主要受托资产初始成本明细"/>
              <w:tag w:val="_GBC_3159788387004e44b4ad1edd1c964946"/>
              <w:id w:val="28113367"/>
            </w:sdtPr>
            <w:sdtContent>
              <w:tr w:rsidR="00477D4F" w:rsidTr="00074DB6">
                <w:trPr>
                  <w:jc w:val="center"/>
                </w:trPr>
                <w:sdt>
                  <w:sdtPr>
                    <w:alias w:val="资产管理业务主要受托资产初始成本明细－项目"/>
                    <w:tag w:val="_GBC_35f3dde72f0f4759958784c2317f18d6"/>
                    <w:id w:val="28113363"/>
                    <w:lock w:val="sdtLocked"/>
                  </w:sdtPr>
                  <w:sdtContent>
                    <w:tc>
                      <w:tcPr>
                        <w:tcW w:w="1603" w:type="pct"/>
                        <w:shd w:val="clear" w:color="auto" w:fill="auto"/>
                        <w:vAlign w:val="center"/>
                      </w:tcPr>
                      <w:p w:rsidR="00477D4F" w:rsidRDefault="00477D4F" w:rsidP="00074DB6">
                        <w:pPr>
                          <w:autoSpaceDN w:val="0"/>
                          <w:ind w:leftChars="279" w:left="794" w:hangingChars="99" w:hanging="208"/>
                          <w:textAlignment w:val="bottom"/>
                        </w:pPr>
                        <w:r>
                          <w:rPr>
                            <w:rFonts w:hint="eastAsia"/>
                          </w:rPr>
                          <w:t>其他</w:t>
                        </w:r>
                      </w:p>
                    </w:tc>
                  </w:sdtContent>
                </w:sdt>
                <w:sdt>
                  <w:sdtPr>
                    <w:alias w:val="资产管理业务主要受托资产初始成本明细－集合资产管理业务中主要受托资产初始成本"/>
                    <w:tag w:val="_GBC_eba5e8569eb24df99deab3bd7264a0cf"/>
                    <w:id w:val="28113364"/>
                    <w:lock w:val="sdtLocked"/>
                  </w:sdtPr>
                  <w:sdtContent>
                    <w:tc>
                      <w:tcPr>
                        <w:tcW w:w="1149" w:type="pct"/>
                      </w:tcPr>
                      <w:p w:rsidR="00477D4F" w:rsidRDefault="00477D4F" w:rsidP="00074DB6">
                        <w:pPr>
                          <w:jc w:val="right"/>
                        </w:pPr>
                        <w:r>
                          <w:t>28,099,760,241.13</w:t>
                        </w:r>
                      </w:p>
                    </w:tc>
                  </w:sdtContent>
                </w:sdt>
                <w:sdt>
                  <w:sdtPr>
                    <w:alias w:val="资产管理业务主要受托资产初始成本明细－定向资产管理业务中主要受托资产初始成本"/>
                    <w:tag w:val="_GBC_dc5917bf7fc54642b986fdfa7867db23"/>
                    <w:id w:val="28113365"/>
                    <w:lock w:val="sdtLocked"/>
                  </w:sdtPr>
                  <w:sdtContent>
                    <w:tc>
                      <w:tcPr>
                        <w:tcW w:w="1183" w:type="pct"/>
                      </w:tcPr>
                      <w:p w:rsidR="00477D4F" w:rsidRDefault="00477D4F" w:rsidP="00074DB6">
                        <w:pPr>
                          <w:jc w:val="right"/>
                        </w:pPr>
                        <w:r>
                          <w:t>233,238,655,510.89</w:t>
                        </w:r>
                      </w:p>
                    </w:tc>
                  </w:sdtContent>
                </w:sdt>
                <w:sdt>
                  <w:sdtPr>
                    <w:alias w:val="资产管理业务主要受托资产初始成本明细－专项资产管理业务中主要受托资产初始成本"/>
                    <w:tag w:val="_GBC_7c167b8bfbd94a18aa9d6a28033c1bd3"/>
                    <w:id w:val="28113366"/>
                    <w:lock w:val="sdtLocked"/>
                  </w:sdtPr>
                  <w:sdtContent>
                    <w:tc>
                      <w:tcPr>
                        <w:tcW w:w="1065" w:type="pct"/>
                      </w:tcPr>
                      <w:p w:rsidR="00477D4F" w:rsidRDefault="00477D4F" w:rsidP="00074DB6">
                        <w:pPr>
                          <w:jc w:val="right"/>
                        </w:pPr>
                        <w:r>
                          <w:t>2,107,974,590.69</w:t>
                        </w:r>
                      </w:p>
                    </w:tc>
                  </w:sdtContent>
                </w:sdt>
              </w:tr>
            </w:sdtContent>
          </w:sdt>
          <w:tr w:rsidR="00477D4F" w:rsidRPr="0072337A" w:rsidTr="00074DB6">
            <w:trPr>
              <w:jc w:val="center"/>
            </w:trPr>
            <w:tc>
              <w:tcPr>
                <w:tcW w:w="1603" w:type="pct"/>
                <w:shd w:val="clear" w:color="auto" w:fill="auto"/>
                <w:vAlign w:val="center"/>
              </w:tcPr>
              <w:p w:rsidR="00477D4F" w:rsidRDefault="00477D4F" w:rsidP="00074DB6">
                <w:pPr>
                  <w:autoSpaceDN w:val="0"/>
                  <w:jc w:val="center"/>
                  <w:textAlignment w:val="bottom"/>
                </w:pPr>
                <w:r>
                  <w:t>当期资产管理业务净收入</w:t>
                </w:r>
              </w:p>
            </w:tc>
            <w:sdt>
              <w:sdtPr>
                <w:alias w:val="集合资产管理业务净收入"/>
                <w:tag w:val="_GBC_9d02be8fb64949f5be7859d2164df9cf"/>
                <w:id w:val="28113368"/>
                <w:lock w:val="sdtLocked"/>
              </w:sdtPr>
              <w:sdtContent>
                <w:tc>
                  <w:tcPr>
                    <w:tcW w:w="1149" w:type="pct"/>
                  </w:tcPr>
                  <w:p w:rsidR="00477D4F" w:rsidRDefault="00477D4F" w:rsidP="00074DB6">
                    <w:pPr>
                      <w:jc w:val="right"/>
                    </w:pPr>
                    <w:r>
                      <w:t>402,617,421.27</w:t>
                    </w:r>
                  </w:p>
                </w:tc>
              </w:sdtContent>
            </w:sdt>
            <w:sdt>
              <w:sdtPr>
                <w:alias w:val="定向资产管理业务净收入"/>
                <w:tag w:val="_GBC_fa1516b78fe346aaa5680a374d532c3d"/>
                <w:id w:val="28113369"/>
                <w:lock w:val="sdtLocked"/>
              </w:sdtPr>
              <w:sdtContent>
                <w:tc>
                  <w:tcPr>
                    <w:tcW w:w="1183" w:type="pct"/>
                  </w:tcPr>
                  <w:p w:rsidR="00477D4F" w:rsidRDefault="00436558" w:rsidP="00436558">
                    <w:pPr>
                      <w:jc w:val="right"/>
                    </w:pPr>
                    <w:r w:rsidRPr="00436558">
                      <w:t>4</w:t>
                    </w:r>
                    <w:r w:rsidRPr="00436558">
                      <w:rPr>
                        <w:rFonts w:hint="eastAsia"/>
                      </w:rPr>
                      <w:t>5</w:t>
                    </w:r>
                    <w:r w:rsidRPr="00436558">
                      <w:t>,</w:t>
                    </w:r>
                    <w:r w:rsidRPr="00436558">
                      <w:rPr>
                        <w:rFonts w:hint="eastAsia"/>
                      </w:rPr>
                      <w:t>320</w:t>
                    </w:r>
                    <w:r w:rsidRPr="00436558">
                      <w:t>,</w:t>
                    </w:r>
                    <w:r w:rsidRPr="00436558">
                      <w:rPr>
                        <w:rFonts w:hint="eastAsia"/>
                      </w:rPr>
                      <w:t>552</w:t>
                    </w:r>
                    <w:r w:rsidRPr="00436558">
                      <w:t>.</w:t>
                    </w:r>
                    <w:r w:rsidRPr="00436558">
                      <w:rPr>
                        <w:rFonts w:hint="eastAsia"/>
                      </w:rPr>
                      <w:t>81</w:t>
                    </w:r>
                  </w:p>
                </w:tc>
              </w:sdtContent>
            </w:sdt>
            <w:sdt>
              <w:sdtPr>
                <w:alias w:val="专项资产管理业务净收入"/>
                <w:tag w:val="_GBC_6a0e717d40044e178a959a9e57826b53"/>
                <w:id w:val="28113370"/>
                <w:lock w:val="sdtLocked"/>
              </w:sdtPr>
              <w:sdtContent>
                <w:tc>
                  <w:tcPr>
                    <w:tcW w:w="1065" w:type="pct"/>
                  </w:tcPr>
                  <w:p w:rsidR="00477D4F" w:rsidRDefault="00477D4F" w:rsidP="00074DB6">
                    <w:pPr>
                      <w:jc w:val="right"/>
                    </w:pPr>
                    <w:r>
                      <w:t>2,430,000.00</w:t>
                    </w:r>
                  </w:p>
                </w:tc>
              </w:sdtContent>
            </w:sdt>
          </w:tr>
        </w:tbl>
        <w:p w:rsidR="00DE031E" w:rsidRPr="0072337A" w:rsidRDefault="00422DCA" w:rsidP="0072337A"/>
      </w:sdtContent>
    </w:sdt>
    <w:sdt>
      <w:sdtPr>
        <w:rPr>
          <w:rFonts w:ascii="宋体" w:hAnsi="宋体" w:cs="宋体" w:hint="eastAsia"/>
          <w:b w:val="0"/>
          <w:bCs w:val="0"/>
          <w:kern w:val="0"/>
          <w:szCs w:val="21"/>
        </w:rPr>
        <w:tag w:val="_GBC_e9f48517144343b59942161564b9133f"/>
        <w:id w:val="24725734"/>
        <w:lock w:val="sdtLocked"/>
        <w:placeholder>
          <w:docPart w:val="GBC22222222222222222222222222222"/>
        </w:placeholder>
      </w:sdtPr>
      <w:sdtEndPr>
        <w:rPr>
          <w:rFonts w:asciiTheme="minorEastAsia" w:eastAsiaTheme="minorEastAsia" w:hAnsiTheme="minorEastAsia"/>
        </w:rPr>
      </w:sdtEndPr>
      <w:sdtContent>
        <w:p w:rsidR="00DE031E" w:rsidRPr="00246AD4" w:rsidRDefault="001C1A59" w:rsidP="009950AC">
          <w:pPr>
            <w:pStyle w:val="3"/>
            <w:numPr>
              <w:ilvl w:val="0"/>
              <w:numId w:val="41"/>
            </w:numPr>
            <w:tabs>
              <w:tab w:val="left" w:pos="504"/>
            </w:tabs>
            <w:rPr>
              <w:b w:val="0"/>
            </w:rPr>
          </w:pPr>
          <w:r w:rsidRPr="00246AD4">
            <w:t>利息</w:t>
          </w:r>
          <w:r w:rsidRPr="00246AD4">
            <w:rPr>
              <w:szCs w:val="21"/>
            </w:rPr>
            <w:t>净收入</w:t>
          </w:r>
        </w:p>
        <w:p w:rsidR="00DE031E" w:rsidRDefault="001C1A59">
          <w:pPr>
            <w:ind w:left="5460" w:firstLineChars="200" w:firstLine="420"/>
            <w:jc w:val="right"/>
            <w:rPr>
              <w:color w:val="FF0000"/>
            </w:rPr>
          </w:pPr>
          <w:r>
            <w:rPr>
              <w:bCs/>
            </w:rPr>
            <w:t>单位：</w:t>
          </w:r>
          <w:sdt>
            <w:sdtPr>
              <w:rPr>
                <w:bCs/>
              </w:rPr>
              <w:alias w:val="单位：财务附注：利息净收入"/>
              <w:tag w:val="_GBC_4302f3a0f6b94de5ad8dc6a16b2399cf"/>
              <w:id w:val="247256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rPr>
                <w:t>元</w:t>
              </w:r>
            </w:sdtContent>
          </w:sdt>
          <w:r>
            <w:rPr>
              <w:bCs/>
            </w:rPr>
            <w:t xml:space="preserve">  币种：</w:t>
          </w:r>
          <w:sdt>
            <w:sdtPr>
              <w:rPr>
                <w:bCs/>
              </w:rPr>
              <w:alias w:val="币种：财务附注：利息净收入"/>
              <w:tag w:val="_GBC_322d321173484ea59295688002d2ea4c"/>
              <w:id w:val="24725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841"/>
            <w:gridCol w:w="2838"/>
          </w:tblGrid>
          <w:tr w:rsidR="00DE031E" w:rsidTr="00DE031E">
            <w:tc>
              <w:tcPr>
                <w:tcW w:w="1862" w:type="pct"/>
              </w:tcPr>
              <w:p w:rsidR="00DE031E" w:rsidRDefault="001C1A59" w:rsidP="00DE031E">
                <w:pPr>
                  <w:jc w:val="center"/>
                </w:pPr>
                <w:r>
                  <w:t>项目</w:t>
                </w:r>
              </w:p>
            </w:tc>
            <w:tc>
              <w:tcPr>
                <w:tcW w:w="1570" w:type="pct"/>
              </w:tcPr>
              <w:p w:rsidR="00DE031E" w:rsidRDefault="001C1A59" w:rsidP="00DE031E">
                <w:pPr>
                  <w:jc w:val="center"/>
                </w:pPr>
                <w:r>
                  <w:t>本期发生额</w:t>
                </w:r>
              </w:p>
            </w:tc>
            <w:tc>
              <w:tcPr>
                <w:tcW w:w="1568" w:type="pct"/>
              </w:tcPr>
              <w:p w:rsidR="00DE031E" w:rsidRDefault="001C1A59" w:rsidP="00DE031E">
                <w:pPr>
                  <w:jc w:val="center"/>
                </w:pPr>
                <w:r>
                  <w:t>上期发生额</w:t>
                </w:r>
              </w:p>
            </w:tc>
          </w:tr>
          <w:tr w:rsidR="00DE031E" w:rsidTr="00DE031E">
            <w:tc>
              <w:tcPr>
                <w:tcW w:w="1862" w:type="pct"/>
              </w:tcPr>
              <w:p w:rsidR="00DE031E" w:rsidRDefault="001C1A59" w:rsidP="00DE031E">
                <w:r>
                  <w:t>利息收入</w:t>
                </w:r>
              </w:p>
            </w:tc>
            <w:sdt>
              <w:sdtPr>
                <w:alias w:val="金融资产利息收入"/>
                <w:tag w:val="_GBC_e1676b5654ef4b31b7ddfeb124da89c6"/>
                <w:id w:val="24725679"/>
                <w:lock w:val="sdtLocked"/>
              </w:sdtPr>
              <w:sdtContent>
                <w:tc>
                  <w:tcPr>
                    <w:tcW w:w="1570" w:type="pct"/>
                  </w:tcPr>
                  <w:p w:rsidR="00DE031E" w:rsidRDefault="001C1A59" w:rsidP="00DE031E">
                    <w:pPr>
                      <w:jc w:val="right"/>
                    </w:pPr>
                    <w:r>
                      <w:t>5,234,384,330.08</w:t>
                    </w:r>
                  </w:p>
                </w:tc>
              </w:sdtContent>
            </w:sdt>
            <w:sdt>
              <w:sdtPr>
                <w:alias w:val="金融资产利息收入"/>
                <w:tag w:val="_GBC_d8aeb4d83cfb4e04a6a8d36eaaad72ab"/>
                <w:id w:val="24725680"/>
                <w:lock w:val="sdtLocked"/>
              </w:sdtPr>
              <w:sdtContent>
                <w:tc>
                  <w:tcPr>
                    <w:tcW w:w="1568" w:type="pct"/>
                  </w:tcPr>
                  <w:p w:rsidR="00DE031E" w:rsidRDefault="001C1A59" w:rsidP="00DE031E">
                    <w:pPr>
                      <w:jc w:val="right"/>
                    </w:pPr>
                    <w:r>
                      <w:t>1,530,738,595.39</w:t>
                    </w:r>
                  </w:p>
                </w:tc>
              </w:sdtContent>
            </w:sdt>
          </w:tr>
          <w:tr w:rsidR="00DE031E" w:rsidTr="00DE031E">
            <w:tc>
              <w:tcPr>
                <w:tcW w:w="1862" w:type="pct"/>
              </w:tcPr>
              <w:p w:rsidR="00DE031E" w:rsidRDefault="001C1A59" w:rsidP="00DE031E">
                <w:r>
                  <w:rPr>
                    <w:rFonts w:hint="eastAsia"/>
                  </w:rPr>
                  <w:t>存放金融同业利息收入</w:t>
                </w:r>
              </w:p>
            </w:tc>
            <w:sdt>
              <w:sdtPr>
                <w:alias w:val="利息收入－存放金融机构"/>
                <w:tag w:val="_GBC_c95d84f61d314c299c62069350e3cdcf"/>
                <w:id w:val="24725681"/>
                <w:lock w:val="sdtLocked"/>
              </w:sdtPr>
              <w:sdtContent>
                <w:tc>
                  <w:tcPr>
                    <w:tcW w:w="1570" w:type="pct"/>
                  </w:tcPr>
                  <w:p w:rsidR="00DE031E" w:rsidRDefault="001C1A59" w:rsidP="00DE031E">
                    <w:pPr>
                      <w:jc w:val="right"/>
                    </w:pPr>
                    <w:r>
                      <w:t>925,912,817.42</w:t>
                    </w:r>
                  </w:p>
                </w:tc>
              </w:sdtContent>
            </w:sdt>
            <w:sdt>
              <w:sdtPr>
                <w:alias w:val="利息收入－存放金融机构"/>
                <w:tag w:val="_GBC_91e8e523e7044bdbb3f7051bf98540a9"/>
                <w:id w:val="24725682"/>
                <w:lock w:val="sdtLocked"/>
              </w:sdtPr>
              <w:sdtContent>
                <w:tc>
                  <w:tcPr>
                    <w:tcW w:w="1568" w:type="pct"/>
                  </w:tcPr>
                  <w:p w:rsidR="00DE031E" w:rsidRDefault="001C1A59" w:rsidP="00DE031E">
                    <w:pPr>
                      <w:jc w:val="right"/>
                    </w:pPr>
                    <w:r>
                      <w:t>359,525,138.85</w:t>
                    </w:r>
                  </w:p>
                </w:tc>
              </w:sdtContent>
            </w:sdt>
          </w:tr>
          <w:tr w:rsidR="00DE031E" w:rsidTr="00DE031E">
            <w:tc>
              <w:tcPr>
                <w:tcW w:w="1862" w:type="pct"/>
              </w:tcPr>
              <w:p w:rsidR="00DE031E" w:rsidRDefault="001C1A59" w:rsidP="00DE031E">
                <w:r>
                  <w:rPr>
                    <w:rFonts w:hint="eastAsia"/>
                  </w:rPr>
                  <w:t>其中：自有资金存款利息收入</w:t>
                </w:r>
              </w:p>
            </w:tc>
            <w:sdt>
              <w:sdtPr>
                <w:alias w:val="利息收入－自有资金存款"/>
                <w:tag w:val="_GBC_7189cecd3c6240bfbe8304b468fb54a5"/>
                <w:id w:val="24725683"/>
                <w:lock w:val="sdtLocked"/>
              </w:sdtPr>
              <w:sdtContent>
                <w:tc>
                  <w:tcPr>
                    <w:tcW w:w="1570" w:type="pct"/>
                  </w:tcPr>
                  <w:p w:rsidR="00DE031E" w:rsidRDefault="001C1A59" w:rsidP="00DE031E">
                    <w:pPr>
                      <w:jc w:val="right"/>
                    </w:pPr>
                    <w:r>
                      <w:t>163,266,236.70</w:t>
                    </w:r>
                  </w:p>
                </w:tc>
              </w:sdtContent>
            </w:sdt>
            <w:sdt>
              <w:sdtPr>
                <w:alias w:val="利息收入－自有资金存款"/>
                <w:tag w:val="_GBC_9941c0c0e97c48f59516ac9043121970"/>
                <w:id w:val="24725684"/>
                <w:lock w:val="sdtLocked"/>
              </w:sdtPr>
              <w:sdtContent>
                <w:tc>
                  <w:tcPr>
                    <w:tcW w:w="1568" w:type="pct"/>
                  </w:tcPr>
                  <w:p w:rsidR="00DE031E" w:rsidRDefault="001C1A59" w:rsidP="00DE031E">
                    <w:pPr>
                      <w:jc w:val="right"/>
                    </w:pPr>
                    <w:r>
                      <w:t>71,848,397.23</w:t>
                    </w:r>
                  </w:p>
                </w:tc>
              </w:sdtContent>
            </w:sdt>
          </w:tr>
          <w:tr w:rsidR="00DE031E" w:rsidTr="00DE031E">
            <w:tc>
              <w:tcPr>
                <w:tcW w:w="1862" w:type="pct"/>
              </w:tcPr>
              <w:p w:rsidR="00DE031E" w:rsidRDefault="001C1A59" w:rsidP="00DE031E">
                <w:pPr>
                  <w:ind w:firstLineChars="300" w:firstLine="630"/>
                </w:pPr>
                <w:r>
                  <w:rPr>
                    <w:rFonts w:hint="eastAsia"/>
                  </w:rPr>
                  <w:t>客户资金存款利息收入</w:t>
                </w:r>
              </w:p>
            </w:tc>
            <w:sdt>
              <w:sdtPr>
                <w:alias w:val="利息收入－客户资金存款"/>
                <w:tag w:val="_GBC_3625aabd34e14499b17be4b5193ffe2a"/>
                <w:id w:val="24725685"/>
                <w:lock w:val="sdtLocked"/>
              </w:sdtPr>
              <w:sdtContent>
                <w:tc>
                  <w:tcPr>
                    <w:tcW w:w="1570" w:type="pct"/>
                  </w:tcPr>
                  <w:p w:rsidR="00DE031E" w:rsidRDefault="001C1A59" w:rsidP="00DE031E">
                    <w:pPr>
                      <w:jc w:val="right"/>
                    </w:pPr>
                    <w:r>
                      <w:t>762,646,580.72</w:t>
                    </w:r>
                  </w:p>
                </w:tc>
              </w:sdtContent>
            </w:sdt>
            <w:sdt>
              <w:sdtPr>
                <w:alias w:val="利息收入－客户资金存款"/>
                <w:tag w:val="_GBC_8a23656daaef4d7eb1e5bba9169e9a49"/>
                <w:id w:val="24725686"/>
                <w:lock w:val="sdtLocked"/>
              </w:sdtPr>
              <w:sdtContent>
                <w:tc>
                  <w:tcPr>
                    <w:tcW w:w="1568" w:type="pct"/>
                  </w:tcPr>
                  <w:p w:rsidR="00DE031E" w:rsidRDefault="001C1A59" w:rsidP="00DE031E">
                    <w:pPr>
                      <w:jc w:val="right"/>
                    </w:pPr>
                    <w:r>
                      <w:t>287,676,741.62</w:t>
                    </w:r>
                  </w:p>
                </w:tc>
              </w:sdtContent>
            </w:sdt>
          </w:tr>
          <w:tr w:rsidR="00DE031E" w:rsidTr="00DE031E">
            <w:tc>
              <w:tcPr>
                <w:tcW w:w="1862" w:type="pct"/>
              </w:tcPr>
              <w:p w:rsidR="00DE031E" w:rsidRDefault="001C1A59" w:rsidP="00DE031E">
                <w:r>
                  <w:rPr>
                    <w:rFonts w:hint="eastAsia"/>
                  </w:rPr>
                  <w:t>融资融券利息收入</w:t>
                </w:r>
              </w:p>
            </w:tc>
            <w:sdt>
              <w:sdtPr>
                <w:alias w:val="利息收入－融资融券"/>
                <w:tag w:val="_GBC_0d5ccfdc60654915bdc5f0ab71ae3130"/>
                <w:id w:val="24725687"/>
                <w:lock w:val="sdtLocked"/>
              </w:sdtPr>
              <w:sdtContent>
                <w:tc>
                  <w:tcPr>
                    <w:tcW w:w="1570" w:type="pct"/>
                  </w:tcPr>
                  <w:p w:rsidR="00DE031E" w:rsidRDefault="001C1A59" w:rsidP="00DE031E">
                    <w:pPr>
                      <w:jc w:val="right"/>
                    </w:pPr>
                    <w:r>
                      <w:t>3,909,053,967.05</w:t>
                    </w:r>
                  </w:p>
                </w:tc>
              </w:sdtContent>
            </w:sdt>
            <w:sdt>
              <w:sdtPr>
                <w:alias w:val="利息收入－融资融券"/>
                <w:tag w:val="_GBC_dc25eb09475045a9853ecb64e3200da9"/>
                <w:id w:val="24725688"/>
                <w:lock w:val="sdtLocked"/>
              </w:sdtPr>
              <w:sdtContent>
                <w:tc>
                  <w:tcPr>
                    <w:tcW w:w="1568" w:type="pct"/>
                  </w:tcPr>
                  <w:p w:rsidR="00DE031E" w:rsidRDefault="001C1A59" w:rsidP="00DE031E">
                    <w:pPr>
                      <w:jc w:val="right"/>
                    </w:pPr>
                    <w:r>
                      <w:t>969,529,118.51</w:t>
                    </w:r>
                  </w:p>
                </w:tc>
              </w:sdtContent>
            </w:sdt>
          </w:tr>
          <w:tr w:rsidR="00DE031E" w:rsidTr="00DE031E">
            <w:tc>
              <w:tcPr>
                <w:tcW w:w="1862" w:type="pct"/>
              </w:tcPr>
              <w:p w:rsidR="00DE031E" w:rsidRDefault="001C1A59" w:rsidP="00DE031E">
                <w:r>
                  <w:rPr>
                    <w:rFonts w:hint="eastAsia"/>
                  </w:rPr>
                  <w:t>买入返售金融资产利息收入</w:t>
                </w:r>
              </w:p>
            </w:tc>
            <w:sdt>
              <w:sdtPr>
                <w:alias w:val="利息收入－买入返售金融资产"/>
                <w:tag w:val="_GBC_00a25e90acb34b9195cc20e71a0ebd93"/>
                <w:id w:val="24725689"/>
                <w:lock w:val="sdtLocked"/>
              </w:sdtPr>
              <w:sdtContent>
                <w:tc>
                  <w:tcPr>
                    <w:tcW w:w="1570" w:type="pct"/>
                  </w:tcPr>
                  <w:p w:rsidR="00DE031E" w:rsidRDefault="001C1A59" w:rsidP="00DE031E">
                    <w:pPr>
                      <w:jc w:val="right"/>
                    </w:pPr>
                    <w:r>
                      <w:t>368,996,721.52</w:t>
                    </w:r>
                  </w:p>
                </w:tc>
              </w:sdtContent>
            </w:sdt>
            <w:sdt>
              <w:sdtPr>
                <w:alias w:val="利息收入－买入返售金融资产"/>
                <w:tag w:val="_GBC_38b0367087b041918f496ea61bfbb5d3"/>
                <w:id w:val="24725690"/>
                <w:lock w:val="sdtLocked"/>
              </w:sdtPr>
              <w:sdtContent>
                <w:tc>
                  <w:tcPr>
                    <w:tcW w:w="1568" w:type="pct"/>
                  </w:tcPr>
                  <w:p w:rsidR="00DE031E" w:rsidRDefault="001C1A59" w:rsidP="00DE031E">
                    <w:pPr>
                      <w:jc w:val="right"/>
                    </w:pPr>
                    <w:r>
                      <w:t>136,418,975.63</w:t>
                    </w:r>
                  </w:p>
                </w:tc>
              </w:sdtContent>
            </w:sdt>
          </w:tr>
          <w:tr w:rsidR="00DE031E" w:rsidTr="00DE031E">
            <w:tc>
              <w:tcPr>
                <w:tcW w:w="1862" w:type="pct"/>
              </w:tcPr>
              <w:p w:rsidR="00DE031E" w:rsidRDefault="001C1A59" w:rsidP="00DE031E">
                <w:r>
                  <w:rPr>
                    <w:rFonts w:hint="eastAsia"/>
                  </w:rPr>
                  <w:t>其中：约定购回利息收入</w:t>
                </w:r>
              </w:p>
            </w:tc>
            <w:sdt>
              <w:sdtPr>
                <w:alias w:val="利息收入－买入返售金融资产约定购回"/>
                <w:tag w:val="_GBC_62b6e17a790541529711559734d65fb9"/>
                <w:id w:val="24725691"/>
                <w:lock w:val="sdtLocked"/>
              </w:sdtPr>
              <w:sdtContent>
                <w:tc>
                  <w:tcPr>
                    <w:tcW w:w="1570" w:type="pct"/>
                  </w:tcPr>
                  <w:p w:rsidR="00DE031E" w:rsidRDefault="001C1A59" w:rsidP="00DE031E">
                    <w:pPr>
                      <w:jc w:val="right"/>
                    </w:pPr>
                    <w:r>
                      <w:t>3,676.05</w:t>
                    </w:r>
                  </w:p>
                </w:tc>
              </w:sdtContent>
            </w:sdt>
            <w:sdt>
              <w:sdtPr>
                <w:alias w:val="利息收入－买入返售金融资产约定购回"/>
                <w:tag w:val="_GBC_4c90a60080d143cb8055905f7ad725ee"/>
                <w:id w:val="24725692"/>
                <w:lock w:val="sdtLocked"/>
              </w:sdtPr>
              <w:sdtContent>
                <w:tc>
                  <w:tcPr>
                    <w:tcW w:w="1568" w:type="pct"/>
                  </w:tcPr>
                  <w:p w:rsidR="00DE031E" w:rsidRDefault="001C1A59" w:rsidP="00DE031E">
                    <w:pPr>
                      <w:jc w:val="right"/>
                    </w:pPr>
                    <w:r>
                      <w:t>6,130,182.37</w:t>
                    </w:r>
                  </w:p>
                </w:tc>
              </w:sdtContent>
            </w:sdt>
          </w:tr>
          <w:tr w:rsidR="00DE031E" w:rsidTr="00DE031E">
            <w:tc>
              <w:tcPr>
                <w:tcW w:w="1862" w:type="pct"/>
              </w:tcPr>
              <w:p w:rsidR="00DE031E" w:rsidRDefault="001C1A59" w:rsidP="00DE031E">
                <w:pPr>
                  <w:ind w:firstLineChars="300" w:firstLine="630"/>
                </w:pPr>
                <w:r>
                  <w:rPr>
                    <w:rFonts w:hint="eastAsia"/>
                  </w:rPr>
                  <w:t>股权质押回购利息收入</w:t>
                </w:r>
              </w:p>
            </w:tc>
            <w:sdt>
              <w:sdtPr>
                <w:alias w:val="利息收入－买入返售金融资产股权质押回购"/>
                <w:tag w:val="_GBC_eb1c012ca24c41fd8c6982ea8145eb76"/>
                <w:id w:val="24725693"/>
                <w:lock w:val="sdtLocked"/>
              </w:sdtPr>
              <w:sdtContent>
                <w:tc>
                  <w:tcPr>
                    <w:tcW w:w="1570" w:type="pct"/>
                  </w:tcPr>
                  <w:p w:rsidR="00DE031E" w:rsidRDefault="001C1A59" w:rsidP="00DE031E">
                    <w:pPr>
                      <w:jc w:val="right"/>
                    </w:pPr>
                    <w:r>
                      <w:t>338,939,126.00</w:t>
                    </w:r>
                  </w:p>
                </w:tc>
              </w:sdtContent>
            </w:sdt>
            <w:sdt>
              <w:sdtPr>
                <w:alias w:val="利息收入－买入返售金融资产股权质押回购"/>
                <w:tag w:val="_GBC_61aa012b52fd458ebbbe0b3fcaccf749"/>
                <w:id w:val="24725694"/>
                <w:lock w:val="sdtLocked"/>
              </w:sdtPr>
              <w:sdtContent>
                <w:tc>
                  <w:tcPr>
                    <w:tcW w:w="1568" w:type="pct"/>
                  </w:tcPr>
                  <w:p w:rsidR="00DE031E" w:rsidRDefault="001C1A59" w:rsidP="00DE031E">
                    <w:pPr>
                      <w:jc w:val="right"/>
                    </w:pPr>
                    <w:r>
                      <w:t>126,229,384.45</w:t>
                    </w:r>
                  </w:p>
                </w:tc>
              </w:sdtContent>
            </w:sdt>
          </w:tr>
          <w:tr w:rsidR="00DE031E" w:rsidTr="00DE031E">
            <w:tc>
              <w:tcPr>
                <w:tcW w:w="1862" w:type="pct"/>
              </w:tcPr>
              <w:p w:rsidR="00DE031E" w:rsidRDefault="001C1A59" w:rsidP="00DE031E">
                <w:r>
                  <w:t>其他</w:t>
                </w:r>
              </w:p>
            </w:tc>
            <w:sdt>
              <w:sdtPr>
                <w:alias w:val="利息收入－其他收入"/>
                <w:tag w:val="_GBC_fa2504ec618e4e148ad4bf62dfe114c4"/>
                <w:id w:val="24725695"/>
                <w:lock w:val="sdtLocked"/>
              </w:sdtPr>
              <w:sdtContent>
                <w:tc>
                  <w:tcPr>
                    <w:tcW w:w="1570" w:type="pct"/>
                  </w:tcPr>
                  <w:p w:rsidR="00DE031E" w:rsidRDefault="001C1A59" w:rsidP="00DE031E">
                    <w:pPr>
                      <w:jc w:val="right"/>
                    </w:pPr>
                    <w:r>
                      <w:t>30,420,824.09</w:t>
                    </w:r>
                  </w:p>
                </w:tc>
              </w:sdtContent>
            </w:sdt>
            <w:sdt>
              <w:sdtPr>
                <w:alias w:val="利息收入－其他收入"/>
                <w:tag w:val="_GBC_e19fac50a5d9495bbec0c1ba4ec3b2fb"/>
                <w:id w:val="24725696"/>
                <w:lock w:val="sdtLocked"/>
              </w:sdtPr>
              <w:sdtContent>
                <w:tc>
                  <w:tcPr>
                    <w:tcW w:w="1568" w:type="pct"/>
                  </w:tcPr>
                  <w:p w:rsidR="00DE031E" w:rsidRDefault="001C1A59" w:rsidP="00DE031E">
                    <w:pPr>
                      <w:jc w:val="right"/>
                    </w:pPr>
                    <w:r>
                      <w:t>65,265,362.40</w:t>
                    </w:r>
                  </w:p>
                </w:tc>
              </w:sdtContent>
            </w:sdt>
          </w:tr>
          <w:tr w:rsidR="00DE031E" w:rsidTr="00DE031E">
            <w:tc>
              <w:tcPr>
                <w:tcW w:w="1862" w:type="pct"/>
              </w:tcPr>
              <w:p w:rsidR="00DE031E" w:rsidRDefault="001C1A59" w:rsidP="00DE031E">
                <w:r>
                  <w:t>利息支出</w:t>
                </w:r>
              </w:p>
            </w:tc>
            <w:sdt>
              <w:sdtPr>
                <w:alias w:val="金融资产利息支出"/>
                <w:tag w:val="_GBC_c8adecb821954f58ba214dcd10789aca"/>
                <w:id w:val="24725697"/>
                <w:lock w:val="sdtLocked"/>
              </w:sdtPr>
              <w:sdtContent>
                <w:tc>
                  <w:tcPr>
                    <w:tcW w:w="1570" w:type="pct"/>
                  </w:tcPr>
                  <w:p w:rsidR="00DE031E" w:rsidRDefault="001C1A59" w:rsidP="00DE031E">
                    <w:pPr>
                      <w:jc w:val="right"/>
                    </w:pPr>
                    <w:r>
                      <w:t>3,296,726,980.02</w:t>
                    </w:r>
                  </w:p>
                </w:tc>
              </w:sdtContent>
            </w:sdt>
            <w:sdt>
              <w:sdtPr>
                <w:alias w:val="金融资产利息支出"/>
                <w:tag w:val="_GBC_a7a9d985aad24f3b98173f31b4c6173b"/>
                <w:id w:val="24725698"/>
                <w:lock w:val="sdtLocked"/>
              </w:sdtPr>
              <w:sdtContent>
                <w:tc>
                  <w:tcPr>
                    <w:tcW w:w="1568" w:type="pct"/>
                  </w:tcPr>
                  <w:p w:rsidR="00DE031E" w:rsidRDefault="001C1A59" w:rsidP="00DE031E">
                    <w:pPr>
                      <w:jc w:val="right"/>
                    </w:pPr>
                    <w:r>
                      <w:t>765,580,983.54</w:t>
                    </w:r>
                  </w:p>
                </w:tc>
              </w:sdtContent>
            </w:sdt>
          </w:tr>
          <w:tr w:rsidR="00DE031E" w:rsidTr="00DE031E">
            <w:tc>
              <w:tcPr>
                <w:tcW w:w="1862" w:type="pct"/>
              </w:tcPr>
              <w:p w:rsidR="00DE031E" w:rsidRDefault="001C1A59" w:rsidP="00DE031E">
                <w:r>
                  <w:rPr>
                    <w:rFonts w:hint="eastAsia"/>
                  </w:rPr>
                  <w:t>客户资金存款利息支出</w:t>
                </w:r>
              </w:p>
            </w:tc>
            <w:sdt>
              <w:sdtPr>
                <w:alias w:val="利息支出－客户存放资金"/>
                <w:tag w:val="_GBC_76d365a635314481bbbf26859b3a5c1d"/>
                <w:id w:val="24725699"/>
                <w:lock w:val="sdtLocked"/>
              </w:sdtPr>
              <w:sdtContent>
                <w:tc>
                  <w:tcPr>
                    <w:tcW w:w="1570" w:type="pct"/>
                  </w:tcPr>
                  <w:p w:rsidR="00DE031E" w:rsidRDefault="001C1A59" w:rsidP="00DE031E">
                    <w:pPr>
                      <w:jc w:val="right"/>
                    </w:pPr>
                    <w:r>
                      <w:t>145,266,258.05</w:t>
                    </w:r>
                  </w:p>
                </w:tc>
              </w:sdtContent>
            </w:sdt>
            <w:sdt>
              <w:sdtPr>
                <w:alias w:val="利息支出－客户存放资金"/>
                <w:tag w:val="_GBC_e2309f8b06e34caa99acc6d4d4675a6c"/>
                <w:id w:val="24725700"/>
                <w:lock w:val="sdtLocked"/>
              </w:sdtPr>
              <w:sdtContent>
                <w:tc>
                  <w:tcPr>
                    <w:tcW w:w="1568" w:type="pct"/>
                  </w:tcPr>
                  <w:p w:rsidR="00DE031E" w:rsidRDefault="001C1A59" w:rsidP="00DE031E">
                    <w:pPr>
                      <w:jc w:val="right"/>
                    </w:pPr>
                    <w:r>
                      <w:t>47,599,071.69</w:t>
                    </w:r>
                  </w:p>
                </w:tc>
              </w:sdtContent>
            </w:sdt>
          </w:tr>
          <w:sdt>
            <w:sdtPr>
              <w:rPr>
                <w:szCs w:val="21"/>
              </w:rPr>
              <w:alias w:val="金融资产利息支出明细"/>
              <w:tag w:val="_GBC_77a5df5f989b4b08b4ef721697ab6880"/>
              <w:id w:val="24725704"/>
              <w:lock w:val="sdtLocked"/>
            </w:sdtPr>
            <w:sdtContent>
              <w:tr w:rsidR="00DE031E" w:rsidTr="00DE031E">
                <w:sdt>
                  <w:sdtPr>
                    <w:rPr>
                      <w:szCs w:val="21"/>
                    </w:rPr>
                    <w:alias w:val="金融资产利息支出明细－项目"/>
                    <w:tag w:val="_GBC_a9434540dc514182b8b6ecb028ef09b9"/>
                    <w:id w:val="24725701"/>
                    <w:lock w:val="sdtLocked"/>
                  </w:sdtPr>
                  <w:sdtEndPr>
                    <w:rPr>
                      <w:szCs w:val="24"/>
                    </w:rPr>
                  </w:sdtEndPr>
                  <w:sdtContent>
                    <w:tc>
                      <w:tcPr>
                        <w:tcW w:w="1862" w:type="pct"/>
                      </w:tcPr>
                      <w:p w:rsidR="00DE031E" w:rsidRDefault="001C1A59" w:rsidP="00DE031E">
                        <w:r>
                          <w:rPr>
                            <w:rFonts w:hint="eastAsia"/>
                            <w:szCs w:val="21"/>
                          </w:rPr>
                          <w:t>融资融券业务利息支出</w:t>
                        </w:r>
                      </w:p>
                    </w:tc>
                  </w:sdtContent>
                </w:sdt>
                <w:sdt>
                  <w:sdtPr>
                    <w:alias w:val="金融资产利息支出明细－金额"/>
                    <w:tag w:val="_GBC_589ec41987d04e798ef29efa96995a70"/>
                    <w:id w:val="24725702"/>
                    <w:lock w:val="sdtLocked"/>
                  </w:sdtPr>
                  <w:sdtContent>
                    <w:tc>
                      <w:tcPr>
                        <w:tcW w:w="1570" w:type="pct"/>
                      </w:tcPr>
                      <w:p w:rsidR="00DE031E" w:rsidRDefault="001C1A59" w:rsidP="00DE031E">
                        <w:pPr>
                          <w:jc w:val="right"/>
                        </w:pPr>
                        <w:r>
                          <w:t>57,899,019.22</w:t>
                        </w:r>
                      </w:p>
                    </w:tc>
                  </w:sdtContent>
                </w:sdt>
                <w:sdt>
                  <w:sdtPr>
                    <w:alias w:val="金融资产利息支出明细－金额"/>
                    <w:tag w:val="_GBC_a4eee84ba51d403097fadd639b355399"/>
                    <w:id w:val="24725703"/>
                    <w:lock w:val="sdtLocked"/>
                  </w:sdtPr>
                  <w:sdtContent>
                    <w:tc>
                      <w:tcPr>
                        <w:tcW w:w="1568" w:type="pct"/>
                      </w:tcPr>
                      <w:p w:rsidR="00DE031E" w:rsidRDefault="001C1A59" w:rsidP="00DE031E">
                        <w:pPr>
                          <w:jc w:val="right"/>
                        </w:pPr>
                        <w:r>
                          <w:t>29,815,297.62</w:t>
                        </w:r>
                      </w:p>
                    </w:tc>
                  </w:sdtContent>
                </w:sdt>
              </w:tr>
            </w:sdtContent>
          </w:sdt>
          <w:tr w:rsidR="00DE031E" w:rsidTr="00DE031E">
            <w:tc>
              <w:tcPr>
                <w:tcW w:w="1862" w:type="pct"/>
              </w:tcPr>
              <w:p w:rsidR="00DE031E" w:rsidRDefault="001C1A59" w:rsidP="00DE031E">
                <w:r>
                  <w:rPr>
                    <w:rFonts w:hint="eastAsia"/>
                  </w:rPr>
                  <w:t>卖出回购金融资产利息支出</w:t>
                </w:r>
              </w:p>
            </w:tc>
            <w:sdt>
              <w:sdtPr>
                <w:alias w:val="利息支出－卖出回购金融资产"/>
                <w:tag w:val="_GBC_7900d90e21e84d8ab52907ccd04898ad"/>
                <w:id w:val="24725705"/>
                <w:lock w:val="sdtLocked"/>
              </w:sdtPr>
              <w:sdtContent>
                <w:tc>
                  <w:tcPr>
                    <w:tcW w:w="1570" w:type="pct"/>
                  </w:tcPr>
                  <w:p w:rsidR="00DE031E" w:rsidRDefault="001C1A59" w:rsidP="00DE031E">
                    <w:pPr>
                      <w:jc w:val="right"/>
                    </w:pPr>
                    <w:r>
                      <w:t>1,460,529,306.84</w:t>
                    </w:r>
                  </w:p>
                </w:tc>
              </w:sdtContent>
            </w:sdt>
            <w:sdt>
              <w:sdtPr>
                <w:alias w:val="利息支出－卖出回购金融资产"/>
                <w:tag w:val="_GBC_d91da36227db410c8465695d21e111af"/>
                <w:id w:val="24725706"/>
                <w:lock w:val="sdtLocked"/>
              </w:sdtPr>
              <w:sdtContent>
                <w:tc>
                  <w:tcPr>
                    <w:tcW w:w="1568" w:type="pct"/>
                  </w:tcPr>
                  <w:p w:rsidR="00DE031E" w:rsidRDefault="001C1A59" w:rsidP="00DE031E">
                    <w:pPr>
                      <w:jc w:val="right"/>
                    </w:pPr>
                    <w:r>
                      <w:t>193,559,939.33</w:t>
                    </w:r>
                  </w:p>
                </w:tc>
              </w:sdtContent>
            </w:sdt>
          </w:tr>
          <w:tr w:rsidR="00DE031E" w:rsidTr="00DE031E">
            <w:tc>
              <w:tcPr>
                <w:tcW w:w="1862" w:type="pct"/>
              </w:tcPr>
              <w:p w:rsidR="00DE031E" w:rsidRDefault="001C1A59" w:rsidP="00DE031E">
                <w:r>
                  <w:rPr>
                    <w:rFonts w:hint="eastAsia"/>
                  </w:rPr>
                  <w:t>其中：报价回购利息支出</w:t>
                </w:r>
              </w:p>
            </w:tc>
            <w:sdt>
              <w:sdtPr>
                <w:alias w:val="利息支出－卖出回购金融资产报价回购"/>
                <w:tag w:val="_GBC_3168b050b00c4ca5975a51fe0754a435"/>
                <w:id w:val="24725707"/>
                <w:lock w:val="sdtLocked"/>
              </w:sdtPr>
              <w:sdtContent>
                <w:tc>
                  <w:tcPr>
                    <w:tcW w:w="1570" w:type="pct"/>
                  </w:tcPr>
                  <w:p w:rsidR="00DE031E" w:rsidRDefault="001C1A59" w:rsidP="00DE031E">
                    <w:pPr>
                      <w:jc w:val="right"/>
                    </w:pPr>
                    <w:r>
                      <w:t>230,794.24</w:t>
                    </w:r>
                  </w:p>
                </w:tc>
              </w:sdtContent>
            </w:sdt>
            <w:sdt>
              <w:sdtPr>
                <w:alias w:val="利息支出－卖出回购金融资产报价回购"/>
                <w:tag w:val="_GBC_158907b8736b40b682ae8292c4b96d2e"/>
                <w:id w:val="24725708"/>
                <w:lock w:val="sdtLocked"/>
              </w:sdtPr>
              <w:sdtContent>
                <w:tc>
                  <w:tcPr>
                    <w:tcW w:w="1568" w:type="pct"/>
                  </w:tcPr>
                  <w:p w:rsidR="00DE031E" w:rsidRDefault="001C1A59" w:rsidP="00DE031E">
                    <w:pPr>
                      <w:jc w:val="right"/>
                    </w:pPr>
                    <w:r>
                      <w:t>297,548.31</w:t>
                    </w:r>
                  </w:p>
                </w:tc>
              </w:sdtContent>
            </w:sdt>
          </w:tr>
          <w:tr w:rsidR="00DE031E" w:rsidTr="00DE031E">
            <w:tc>
              <w:tcPr>
                <w:tcW w:w="1862" w:type="pct"/>
              </w:tcPr>
              <w:p w:rsidR="00DE031E" w:rsidRDefault="001C1A59" w:rsidP="00DE031E">
                <w:r>
                  <w:rPr>
                    <w:rFonts w:hint="eastAsia"/>
                  </w:rPr>
                  <w:t>拆入资金利息支出</w:t>
                </w:r>
              </w:p>
            </w:tc>
            <w:sdt>
              <w:sdtPr>
                <w:alias w:val="拆入资金产生的金融资产利息支出"/>
                <w:tag w:val="_GBC_52dfd641435747ba9698b47ef1a91d65"/>
                <w:id w:val="24725709"/>
                <w:lock w:val="sdtLocked"/>
              </w:sdtPr>
              <w:sdtContent>
                <w:tc>
                  <w:tcPr>
                    <w:tcW w:w="1570" w:type="pct"/>
                  </w:tcPr>
                  <w:p w:rsidR="00DE031E" w:rsidRDefault="001C1A59" w:rsidP="00DE031E">
                    <w:pPr>
                      <w:jc w:val="right"/>
                    </w:pPr>
                    <w:r>
                      <w:t>38,636,336.83</w:t>
                    </w:r>
                  </w:p>
                </w:tc>
              </w:sdtContent>
            </w:sdt>
            <w:sdt>
              <w:sdtPr>
                <w:alias w:val="拆入资金产生的金融资产利息支出"/>
                <w:tag w:val="_GBC_1b4de07026da41dabfd1b13a7f4fd03a"/>
                <w:id w:val="24725710"/>
                <w:lock w:val="sdtLocked"/>
              </w:sdtPr>
              <w:sdtContent>
                <w:tc>
                  <w:tcPr>
                    <w:tcW w:w="1568" w:type="pct"/>
                  </w:tcPr>
                  <w:p w:rsidR="00DE031E" w:rsidRDefault="001C1A59" w:rsidP="00DE031E">
                    <w:pPr>
                      <w:jc w:val="right"/>
                    </w:pPr>
                    <w:r>
                      <w:t>7,972,114.72</w:t>
                    </w:r>
                  </w:p>
                </w:tc>
              </w:sdtContent>
            </w:sdt>
          </w:tr>
          <w:tr w:rsidR="00DE031E" w:rsidTr="00DE031E">
            <w:tc>
              <w:tcPr>
                <w:tcW w:w="1862" w:type="pct"/>
              </w:tcPr>
              <w:p w:rsidR="00DE031E" w:rsidRDefault="001C1A59" w:rsidP="00DE031E">
                <w:r>
                  <w:rPr>
                    <w:rFonts w:hint="eastAsia"/>
                  </w:rPr>
                  <w:t>应付债券利息支出</w:t>
                </w:r>
              </w:p>
            </w:tc>
            <w:sdt>
              <w:sdtPr>
                <w:alias w:val="利息支出－应付债券"/>
                <w:tag w:val="_GBC_ccedc3f2fb6b43408588169b9caa1435"/>
                <w:id w:val="24725711"/>
                <w:lock w:val="sdtLocked"/>
              </w:sdtPr>
              <w:sdtContent>
                <w:tc>
                  <w:tcPr>
                    <w:tcW w:w="1570" w:type="pct"/>
                  </w:tcPr>
                  <w:p w:rsidR="00DE031E" w:rsidRDefault="001C1A59" w:rsidP="00DE031E">
                    <w:pPr>
                      <w:jc w:val="right"/>
                    </w:pPr>
                    <w:r>
                      <w:t>276,810,330.83</w:t>
                    </w:r>
                  </w:p>
                </w:tc>
              </w:sdtContent>
            </w:sdt>
            <w:sdt>
              <w:sdtPr>
                <w:alias w:val="利息支出－应付债券"/>
                <w:tag w:val="_GBC_ec6ed28926074d3291b6bdc8c822ef3a"/>
                <w:id w:val="24725712"/>
                <w:lock w:val="sdtLocked"/>
              </w:sdtPr>
              <w:sdtContent>
                <w:tc>
                  <w:tcPr>
                    <w:tcW w:w="1568" w:type="pct"/>
                  </w:tcPr>
                  <w:p w:rsidR="00DE031E" w:rsidRDefault="001C1A59" w:rsidP="00DE031E">
                    <w:pPr>
                      <w:jc w:val="right"/>
                    </w:pPr>
                    <w:r>
                      <w:t>248,696,200.06</w:t>
                    </w:r>
                  </w:p>
                </w:tc>
              </w:sdtContent>
            </w:sdt>
          </w:tr>
          <w:tr w:rsidR="00DE031E" w:rsidTr="00DE031E">
            <w:tc>
              <w:tcPr>
                <w:tcW w:w="1862" w:type="pct"/>
              </w:tcPr>
              <w:p w:rsidR="00DE031E" w:rsidRDefault="001C1A59" w:rsidP="00DE031E">
                <w:r>
                  <w:rPr>
                    <w:rFonts w:hint="eastAsia"/>
                  </w:rPr>
                  <w:t>次级债券利息支出</w:t>
                </w:r>
              </w:p>
            </w:tc>
            <w:sdt>
              <w:sdtPr>
                <w:alias w:val="利息支出－次级债券"/>
                <w:tag w:val="_GBC_f3b2cee48e1948828f5ef84adb21b02a"/>
                <w:id w:val="24725713"/>
                <w:lock w:val="sdtLocked"/>
              </w:sdtPr>
              <w:sdtContent>
                <w:tc>
                  <w:tcPr>
                    <w:tcW w:w="1570" w:type="pct"/>
                  </w:tcPr>
                  <w:p w:rsidR="00DE031E" w:rsidRDefault="001C1A59" w:rsidP="00DE031E">
                    <w:pPr>
                      <w:jc w:val="right"/>
                    </w:pPr>
                    <w:r>
                      <w:t>483,466,451.75</w:t>
                    </w:r>
                  </w:p>
                </w:tc>
              </w:sdtContent>
            </w:sdt>
            <w:sdt>
              <w:sdtPr>
                <w:alias w:val="利息支出－次级债券"/>
                <w:tag w:val="_GBC_f65422a5f5c846949bc60ca2249a2f72"/>
                <w:id w:val="24725714"/>
                <w:lock w:val="sdtLocked"/>
                <w:showingPlcHdr/>
              </w:sdtPr>
              <w:sdtContent>
                <w:tc>
                  <w:tcPr>
                    <w:tcW w:w="1568" w:type="pct"/>
                  </w:tcPr>
                  <w:p w:rsidR="00DE031E" w:rsidRDefault="00DE031E" w:rsidP="00DE031E">
                    <w:pPr>
                      <w:jc w:val="right"/>
                    </w:pPr>
                  </w:p>
                </w:tc>
              </w:sdtContent>
            </w:sdt>
          </w:tr>
          <w:sdt>
            <w:sdtPr>
              <w:rPr>
                <w:szCs w:val="21"/>
              </w:rPr>
              <w:alias w:val="金融资产利息支出明细"/>
              <w:tag w:val="_GBC_77a5df5f989b4b08b4ef721697ab6880"/>
              <w:id w:val="24725718"/>
              <w:lock w:val="sdtLocked"/>
            </w:sdtPr>
            <w:sdtContent>
              <w:tr w:rsidR="00DE031E" w:rsidTr="00DE031E">
                <w:sdt>
                  <w:sdtPr>
                    <w:rPr>
                      <w:szCs w:val="21"/>
                    </w:rPr>
                    <w:alias w:val="金融资产利息支出明细－项目"/>
                    <w:tag w:val="_GBC_a9434540dc514182b8b6ecb028ef09b9"/>
                    <w:id w:val="24725715"/>
                    <w:lock w:val="sdtLocked"/>
                  </w:sdtPr>
                  <w:sdtEndPr>
                    <w:rPr>
                      <w:szCs w:val="24"/>
                    </w:rPr>
                  </w:sdtEndPr>
                  <w:sdtContent>
                    <w:tc>
                      <w:tcPr>
                        <w:tcW w:w="1862" w:type="pct"/>
                      </w:tcPr>
                      <w:p w:rsidR="00DE031E" w:rsidRDefault="001C1A59" w:rsidP="00DE031E">
                        <w:r>
                          <w:rPr>
                            <w:rFonts w:hint="eastAsia"/>
                            <w:szCs w:val="21"/>
                          </w:rPr>
                          <w:t>金融同业借款利息支出</w:t>
                        </w:r>
                      </w:p>
                    </w:tc>
                  </w:sdtContent>
                </w:sdt>
                <w:sdt>
                  <w:sdtPr>
                    <w:alias w:val="金融资产利息支出明细－金额"/>
                    <w:tag w:val="_GBC_589ec41987d04e798ef29efa96995a70"/>
                    <w:id w:val="24725716"/>
                    <w:lock w:val="sdtLocked"/>
                  </w:sdtPr>
                  <w:sdtContent>
                    <w:tc>
                      <w:tcPr>
                        <w:tcW w:w="1570" w:type="pct"/>
                      </w:tcPr>
                      <w:p w:rsidR="00DE031E" w:rsidRDefault="001C1A59" w:rsidP="00DE031E">
                        <w:pPr>
                          <w:jc w:val="right"/>
                        </w:pPr>
                        <w:r>
                          <w:t>43,806,301.11</w:t>
                        </w:r>
                      </w:p>
                    </w:tc>
                  </w:sdtContent>
                </w:sdt>
                <w:sdt>
                  <w:sdtPr>
                    <w:alias w:val="金融资产利息支出明细－金额"/>
                    <w:tag w:val="_GBC_a4eee84ba51d403097fadd639b355399"/>
                    <w:id w:val="24725717"/>
                    <w:lock w:val="sdtLocked"/>
                  </w:sdtPr>
                  <w:sdtContent>
                    <w:tc>
                      <w:tcPr>
                        <w:tcW w:w="1568" w:type="pct"/>
                      </w:tcPr>
                      <w:p w:rsidR="00DE031E" w:rsidRDefault="001C1A59" w:rsidP="00DE031E">
                        <w:pPr>
                          <w:jc w:val="right"/>
                        </w:pPr>
                        <w:r>
                          <w:t>20,971,262.64</w:t>
                        </w:r>
                      </w:p>
                    </w:tc>
                  </w:sdtContent>
                </w:sdt>
              </w:tr>
            </w:sdtContent>
          </w:sdt>
          <w:sdt>
            <w:sdtPr>
              <w:rPr>
                <w:szCs w:val="21"/>
              </w:rPr>
              <w:alias w:val="金融资产利息支出明细"/>
              <w:tag w:val="_GBC_77a5df5f989b4b08b4ef721697ab6880"/>
              <w:id w:val="24725722"/>
              <w:lock w:val="sdtLocked"/>
            </w:sdtPr>
            <w:sdtContent>
              <w:tr w:rsidR="00DE031E" w:rsidTr="00DE031E">
                <w:sdt>
                  <w:sdtPr>
                    <w:rPr>
                      <w:szCs w:val="21"/>
                    </w:rPr>
                    <w:alias w:val="金融资产利息支出明细－项目"/>
                    <w:tag w:val="_GBC_a9434540dc514182b8b6ecb028ef09b9"/>
                    <w:id w:val="24725719"/>
                    <w:lock w:val="sdtLocked"/>
                  </w:sdtPr>
                  <w:sdtEndPr>
                    <w:rPr>
                      <w:szCs w:val="24"/>
                    </w:rPr>
                  </w:sdtEndPr>
                  <w:sdtContent>
                    <w:tc>
                      <w:tcPr>
                        <w:tcW w:w="1862" w:type="pct"/>
                      </w:tcPr>
                      <w:p w:rsidR="00DE031E" w:rsidRDefault="001C1A59" w:rsidP="00DE031E">
                        <w:r>
                          <w:rPr>
                            <w:rFonts w:hint="eastAsia"/>
                            <w:szCs w:val="21"/>
                          </w:rPr>
                          <w:t>应付短期融资券利息支出</w:t>
                        </w:r>
                      </w:p>
                    </w:tc>
                  </w:sdtContent>
                </w:sdt>
                <w:sdt>
                  <w:sdtPr>
                    <w:alias w:val="金融资产利息支出明细－金额"/>
                    <w:tag w:val="_GBC_589ec41987d04e798ef29efa96995a70"/>
                    <w:id w:val="24725720"/>
                    <w:lock w:val="sdtLocked"/>
                  </w:sdtPr>
                  <w:sdtContent>
                    <w:tc>
                      <w:tcPr>
                        <w:tcW w:w="1570" w:type="pct"/>
                      </w:tcPr>
                      <w:p w:rsidR="00DE031E" w:rsidRDefault="001C1A59" w:rsidP="00DE031E">
                        <w:pPr>
                          <w:jc w:val="right"/>
                        </w:pPr>
                        <w:r>
                          <w:t>180,719,353.95</w:t>
                        </w:r>
                      </w:p>
                    </w:tc>
                  </w:sdtContent>
                </w:sdt>
                <w:sdt>
                  <w:sdtPr>
                    <w:alias w:val="金融资产利息支出明细－金额"/>
                    <w:tag w:val="_GBC_a4eee84ba51d403097fadd639b355399"/>
                    <w:id w:val="24725721"/>
                    <w:lock w:val="sdtLocked"/>
                  </w:sdtPr>
                  <w:sdtContent>
                    <w:tc>
                      <w:tcPr>
                        <w:tcW w:w="1568" w:type="pct"/>
                      </w:tcPr>
                      <w:p w:rsidR="00DE031E" w:rsidRDefault="001C1A59" w:rsidP="00DE031E">
                        <w:pPr>
                          <w:jc w:val="right"/>
                        </w:pPr>
                        <w:r>
                          <w:t>216,967,097.48</w:t>
                        </w:r>
                      </w:p>
                    </w:tc>
                  </w:sdtContent>
                </w:sdt>
              </w:tr>
            </w:sdtContent>
          </w:sdt>
          <w:sdt>
            <w:sdtPr>
              <w:rPr>
                <w:szCs w:val="21"/>
              </w:rPr>
              <w:alias w:val="金融资产利息支出明细"/>
              <w:tag w:val="_GBC_77a5df5f989b4b08b4ef721697ab6880"/>
              <w:id w:val="24725726"/>
              <w:lock w:val="sdtLocked"/>
            </w:sdtPr>
            <w:sdtContent>
              <w:tr w:rsidR="00DE031E" w:rsidTr="00DE031E">
                <w:sdt>
                  <w:sdtPr>
                    <w:rPr>
                      <w:szCs w:val="21"/>
                    </w:rPr>
                    <w:alias w:val="金融资产利息支出明细－项目"/>
                    <w:tag w:val="_GBC_a9434540dc514182b8b6ecb028ef09b9"/>
                    <w:id w:val="24725723"/>
                    <w:lock w:val="sdtLocked"/>
                  </w:sdtPr>
                  <w:sdtEndPr>
                    <w:rPr>
                      <w:szCs w:val="24"/>
                    </w:rPr>
                  </w:sdtEndPr>
                  <w:sdtContent>
                    <w:tc>
                      <w:tcPr>
                        <w:tcW w:w="1862" w:type="pct"/>
                      </w:tcPr>
                      <w:p w:rsidR="00DE031E" w:rsidRDefault="001C1A59" w:rsidP="00DE031E">
                        <w:r>
                          <w:rPr>
                            <w:rFonts w:hint="eastAsia"/>
                            <w:szCs w:val="21"/>
                          </w:rPr>
                          <w:t>应付短期公司债利息支出</w:t>
                        </w:r>
                      </w:p>
                    </w:tc>
                  </w:sdtContent>
                </w:sdt>
                <w:sdt>
                  <w:sdtPr>
                    <w:alias w:val="金融资产利息支出明细－金额"/>
                    <w:tag w:val="_GBC_589ec41987d04e798ef29efa96995a70"/>
                    <w:id w:val="24725724"/>
                    <w:lock w:val="sdtLocked"/>
                  </w:sdtPr>
                  <w:sdtContent>
                    <w:tc>
                      <w:tcPr>
                        <w:tcW w:w="1570" w:type="pct"/>
                      </w:tcPr>
                      <w:p w:rsidR="00DE031E" w:rsidRDefault="001C1A59" w:rsidP="00DE031E">
                        <w:pPr>
                          <w:jc w:val="right"/>
                        </w:pPr>
                        <w:r>
                          <w:t>347,900,405.25</w:t>
                        </w:r>
                      </w:p>
                    </w:tc>
                  </w:sdtContent>
                </w:sdt>
                <w:sdt>
                  <w:sdtPr>
                    <w:alias w:val="金融资产利息支出明细－金额"/>
                    <w:tag w:val="_GBC_a4eee84ba51d403097fadd639b355399"/>
                    <w:id w:val="24725725"/>
                    <w:lock w:val="sdtLocked"/>
                    <w:showingPlcHdr/>
                  </w:sdtPr>
                  <w:sdtContent>
                    <w:tc>
                      <w:tcPr>
                        <w:tcW w:w="1568" w:type="pct"/>
                      </w:tcPr>
                      <w:p w:rsidR="00DE031E" w:rsidRDefault="00DE031E" w:rsidP="00DE031E">
                        <w:pPr>
                          <w:jc w:val="right"/>
                        </w:pPr>
                      </w:p>
                    </w:tc>
                  </w:sdtContent>
                </w:sdt>
              </w:tr>
            </w:sdtContent>
          </w:sdt>
          <w:sdt>
            <w:sdtPr>
              <w:rPr>
                <w:szCs w:val="21"/>
              </w:rPr>
              <w:alias w:val="金融资产利息支出明细"/>
              <w:tag w:val="_GBC_77a5df5f989b4b08b4ef721697ab6880"/>
              <w:id w:val="24725730"/>
              <w:lock w:val="sdtLocked"/>
            </w:sdtPr>
            <w:sdtContent>
              <w:tr w:rsidR="00DE031E" w:rsidTr="00DE031E">
                <w:sdt>
                  <w:sdtPr>
                    <w:rPr>
                      <w:szCs w:val="21"/>
                    </w:rPr>
                    <w:alias w:val="金融资产利息支出明细－项目"/>
                    <w:tag w:val="_GBC_a9434540dc514182b8b6ecb028ef09b9"/>
                    <w:id w:val="24725727"/>
                    <w:lock w:val="sdtLocked"/>
                  </w:sdtPr>
                  <w:sdtEndPr>
                    <w:rPr>
                      <w:szCs w:val="24"/>
                    </w:rPr>
                  </w:sdtEndPr>
                  <w:sdtContent>
                    <w:tc>
                      <w:tcPr>
                        <w:tcW w:w="1862" w:type="pct"/>
                      </w:tcPr>
                      <w:p w:rsidR="00DE031E" w:rsidRDefault="001C1A59" w:rsidP="00DE031E">
                        <w:r>
                          <w:rPr>
                            <w:rFonts w:hint="eastAsia"/>
                            <w:szCs w:val="21"/>
                          </w:rPr>
                          <w:t>应付收益凭证利息支出</w:t>
                        </w:r>
                      </w:p>
                    </w:tc>
                  </w:sdtContent>
                </w:sdt>
                <w:sdt>
                  <w:sdtPr>
                    <w:alias w:val="金融资产利息支出明细－金额"/>
                    <w:tag w:val="_GBC_589ec41987d04e798ef29efa96995a70"/>
                    <w:id w:val="24725728"/>
                    <w:lock w:val="sdtLocked"/>
                  </w:sdtPr>
                  <w:sdtContent>
                    <w:tc>
                      <w:tcPr>
                        <w:tcW w:w="1570" w:type="pct"/>
                      </w:tcPr>
                      <w:p w:rsidR="00DE031E" w:rsidRDefault="001C1A59" w:rsidP="00DE031E">
                        <w:pPr>
                          <w:jc w:val="right"/>
                        </w:pPr>
                        <w:r>
                          <w:t>261,693,216.19</w:t>
                        </w:r>
                      </w:p>
                    </w:tc>
                  </w:sdtContent>
                </w:sdt>
                <w:sdt>
                  <w:sdtPr>
                    <w:alias w:val="金融资产利息支出明细－金额"/>
                    <w:tag w:val="_GBC_a4eee84ba51d403097fadd639b355399"/>
                    <w:id w:val="24725729"/>
                    <w:lock w:val="sdtLocked"/>
                    <w:showingPlcHdr/>
                  </w:sdtPr>
                  <w:sdtContent>
                    <w:tc>
                      <w:tcPr>
                        <w:tcW w:w="1568" w:type="pct"/>
                      </w:tcPr>
                      <w:p w:rsidR="00DE031E" w:rsidRDefault="00DE031E" w:rsidP="00DE031E">
                        <w:pPr>
                          <w:jc w:val="right"/>
                        </w:pPr>
                      </w:p>
                    </w:tc>
                  </w:sdtContent>
                </w:sdt>
              </w:tr>
            </w:sdtContent>
          </w:sdt>
          <w:tr w:rsidR="00DE031E" w:rsidTr="00DE031E">
            <w:tc>
              <w:tcPr>
                <w:tcW w:w="1862" w:type="pct"/>
              </w:tcPr>
              <w:p w:rsidR="00DE031E" w:rsidRDefault="001C1A59" w:rsidP="00DE031E">
                <w:r>
                  <w:t>利息净收入</w:t>
                </w:r>
              </w:p>
            </w:tc>
            <w:sdt>
              <w:sdtPr>
                <w:alias w:val="金融资产利息净收入"/>
                <w:tag w:val="_GBC_74c1f2f7a6374b08bcd8f785740db75d"/>
                <w:id w:val="24725731"/>
                <w:lock w:val="sdtLocked"/>
              </w:sdtPr>
              <w:sdtContent>
                <w:tc>
                  <w:tcPr>
                    <w:tcW w:w="1570" w:type="pct"/>
                  </w:tcPr>
                  <w:p w:rsidR="00DE031E" w:rsidRDefault="001C1A59" w:rsidP="00DE031E">
                    <w:pPr>
                      <w:jc w:val="right"/>
                    </w:pPr>
                    <w:r>
                      <w:t>1,937,657,350.06</w:t>
                    </w:r>
                  </w:p>
                </w:tc>
              </w:sdtContent>
            </w:sdt>
            <w:sdt>
              <w:sdtPr>
                <w:alias w:val="金融资产利息净收入"/>
                <w:tag w:val="_GBC_365528f8907a46f1ba3d9f0d140dfeeb"/>
                <w:id w:val="24725732"/>
                <w:lock w:val="sdtLocked"/>
              </w:sdtPr>
              <w:sdtContent>
                <w:tc>
                  <w:tcPr>
                    <w:tcW w:w="1568" w:type="pct"/>
                  </w:tcPr>
                  <w:p w:rsidR="00DE031E" w:rsidRDefault="001C1A59" w:rsidP="00DE031E">
                    <w:pPr>
                      <w:jc w:val="right"/>
                    </w:pPr>
                    <w:r>
                      <w:t>765,157,611.85</w:t>
                    </w:r>
                  </w:p>
                </w:tc>
              </w:sdtContent>
            </w:sdt>
          </w:tr>
        </w:tbl>
        <w:sdt>
          <w:sdtPr>
            <w:rPr>
              <w:b/>
            </w:rPr>
            <w:alias w:val="金融资产利息净收入注释"/>
            <w:tag w:val="_GBC_d74db27f037842db9cd8d90ae4370892"/>
            <w:id w:val="24725733"/>
            <w:lock w:val="sdtLocked"/>
            <w:placeholder>
              <w:docPart w:val="GBC22222222222222222222222222222"/>
            </w:placeholder>
          </w:sdtPr>
          <w:sdtEndPr>
            <w:rPr>
              <w:rFonts w:asciiTheme="minorEastAsia" w:eastAsiaTheme="minorEastAsia" w:hAnsiTheme="minorEastAsia"/>
              <w:szCs w:val="21"/>
            </w:rPr>
          </w:sdtEndPr>
          <w:sdtContent>
            <w:p w:rsidR="00DE031E" w:rsidRPr="00C511F2" w:rsidRDefault="001C1A59" w:rsidP="003A0284">
              <w:pPr>
                <w:widowControl w:val="0"/>
                <w:autoSpaceDE w:val="0"/>
                <w:autoSpaceDN w:val="0"/>
                <w:adjustRightInd w:val="0"/>
                <w:spacing w:beforeLines="50" w:line="360" w:lineRule="auto"/>
                <w:ind w:firstLineChars="196" w:firstLine="413"/>
                <w:rPr>
                  <w:b/>
                </w:rPr>
              </w:pPr>
              <w:r w:rsidRPr="00113CC4">
                <w:rPr>
                  <w:rFonts w:asciiTheme="minorEastAsia" w:eastAsiaTheme="minorEastAsia" w:hAnsiTheme="minorEastAsia" w:hint="eastAsia"/>
                  <w:szCs w:val="21"/>
                </w:rPr>
                <w:t>本期利息净收入较上年增加</w:t>
              </w:r>
              <w:r w:rsidRPr="00113CC4">
                <w:rPr>
                  <w:rFonts w:asciiTheme="minorEastAsia" w:eastAsiaTheme="minorEastAsia" w:hAnsiTheme="minorEastAsia" w:cs="Arial"/>
                  <w:szCs w:val="21"/>
                </w:rPr>
                <w:t>1,</w:t>
              </w:r>
              <w:r w:rsidRPr="00113CC4">
                <w:rPr>
                  <w:rFonts w:asciiTheme="minorEastAsia" w:eastAsiaTheme="minorEastAsia" w:hAnsiTheme="minorEastAsia" w:cs="Arial" w:hint="eastAsia"/>
                  <w:szCs w:val="21"/>
                </w:rPr>
                <w:t>172</w:t>
              </w:r>
              <w:r w:rsidRPr="00113CC4">
                <w:rPr>
                  <w:rFonts w:asciiTheme="minorEastAsia" w:eastAsiaTheme="minorEastAsia" w:hAnsiTheme="minorEastAsia" w:cs="Arial"/>
                  <w:szCs w:val="21"/>
                </w:rPr>
                <w:t>,</w:t>
              </w:r>
              <w:r w:rsidRPr="00113CC4">
                <w:rPr>
                  <w:rFonts w:asciiTheme="minorEastAsia" w:eastAsiaTheme="minorEastAsia" w:hAnsiTheme="minorEastAsia" w:cs="Arial" w:hint="eastAsia"/>
                  <w:szCs w:val="21"/>
                </w:rPr>
                <w:t>499</w:t>
              </w:r>
              <w:r w:rsidRPr="00113CC4">
                <w:rPr>
                  <w:rFonts w:asciiTheme="minorEastAsia" w:eastAsiaTheme="minorEastAsia" w:hAnsiTheme="minorEastAsia" w:cs="Arial"/>
                  <w:szCs w:val="21"/>
                </w:rPr>
                <w:t>,</w:t>
              </w:r>
              <w:r w:rsidRPr="00113CC4">
                <w:rPr>
                  <w:rFonts w:asciiTheme="minorEastAsia" w:eastAsiaTheme="minorEastAsia" w:hAnsiTheme="minorEastAsia" w:cs="Arial" w:hint="eastAsia"/>
                  <w:szCs w:val="21"/>
                </w:rPr>
                <w:t>738</w:t>
              </w:r>
              <w:r w:rsidRPr="00113CC4">
                <w:rPr>
                  <w:rFonts w:asciiTheme="minorEastAsia" w:eastAsiaTheme="minorEastAsia" w:hAnsiTheme="minorEastAsia" w:cs="Arial"/>
                  <w:szCs w:val="21"/>
                </w:rPr>
                <w:t>.</w:t>
              </w:r>
              <w:r w:rsidRPr="00113CC4">
                <w:rPr>
                  <w:rFonts w:asciiTheme="minorEastAsia" w:eastAsiaTheme="minorEastAsia" w:hAnsiTheme="minorEastAsia" w:cs="Arial" w:hint="eastAsia"/>
                  <w:szCs w:val="21"/>
                </w:rPr>
                <w:t>21</w:t>
              </w:r>
              <w:r w:rsidRPr="00113CC4">
                <w:rPr>
                  <w:rFonts w:asciiTheme="minorEastAsia" w:eastAsiaTheme="minorEastAsia" w:hAnsiTheme="minorEastAsia" w:hint="eastAsia"/>
                  <w:szCs w:val="21"/>
                </w:rPr>
                <w:t>元，增幅</w:t>
              </w:r>
              <w:r w:rsidRPr="00113CC4">
                <w:rPr>
                  <w:rFonts w:asciiTheme="minorEastAsia" w:eastAsiaTheme="minorEastAsia" w:hAnsiTheme="minorEastAsia" w:cs="Arial" w:hint="eastAsia"/>
                  <w:szCs w:val="21"/>
                </w:rPr>
                <w:t>153.24</w:t>
              </w:r>
              <w:r w:rsidRPr="00113CC4">
                <w:rPr>
                  <w:rFonts w:asciiTheme="minorEastAsia" w:eastAsiaTheme="minorEastAsia" w:hAnsiTheme="minorEastAsia" w:cs="Arial"/>
                  <w:szCs w:val="21"/>
                </w:rPr>
                <w:t>%</w:t>
              </w:r>
              <w:r w:rsidRPr="00113CC4">
                <w:rPr>
                  <w:rFonts w:asciiTheme="minorEastAsia" w:eastAsiaTheme="minorEastAsia" w:hAnsiTheme="minorEastAsia" w:hint="eastAsia"/>
                  <w:szCs w:val="21"/>
                </w:rPr>
                <w:t>，主要是融资融券业务规模增</w:t>
              </w:r>
              <w:r w:rsidRPr="00113CC4">
                <w:rPr>
                  <w:rFonts w:asciiTheme="minorEastAsia" w:eastAsiaTheme="minorEastAsia" w:hAnsiTheme="minorEastAsia" w:hint="eastAsia"/>
                  <w:szCs w:val="21"/>
                </w:rPr>
                <w:lastRenderedPageBreak/>
                <w:t>长导致融资融券利息收入增加。</w:t>
              </w:r>
            </w:p>
          </w:sdtContent>
        </w:sdt>
      </w:sdtContent>
    </w:sdt>
    <w:sdt>
      <w:sdtPr>
        <w:rPr>
          <w:rFonts w:ascii="宋体" w:hAnsi="宋体" w:cs="宋体"/>
          <w:b w:val="0"/>
          <w:bCs w:val="0"/>
          <w:kern w:val="0"/>
          <w:szCs w:val="24"/>
        </w:rPr>
        <w:tag w:val="_GBC_200ed499cf9d4dd89b6631b59223a792"/>
        <w:id w:val="24725769"/>
        <w:lock w:val="sdtLocked"/>
        <w:placeholder>
          <w:docPart w:val="GBC22222222222222222222222222222"/>
        </w:placeholder>
      </w:sdtPr>
      <w:sdtEndPr>
        <w:rPr>
          <w:rFonts w:hint="eastAsia"/>
          <w:szCs w:val="21"/>
        </w:rPr>
      </w:sdtEndPr>
      <w:sdtContent>
        <w:p w:rsidR="00DE031E" w:rsidRDefault="001C1A59" w:rsidP="009950AC">
          <w:pPr>
            <w:pStyle w:val="3"/>
            <w:numPr>
              <w:ilvl w:val="0"/>
              <w:numId w:val="41"/>
            </w:numPr>
            <w:tabs>
              <w:tab w:val="left" w:pos="504"/>
            </w:tabs>
            <w:spacing w:line="360" w:lineRule="auto"/>
            <w:rPr>
              <w:szCs w:val="21"/>
            </w:rPr>
          </w:pPr>
          <w:r>
            <w:t>投资</w:t>
          </w:r>
          <w:r>
            <w:rPr>
              <w:szCs w:val="21"/>
            </w:rPr>
            <w:t>收益</w:t>
          </w:r>
        </w:p>
        <w:sdt>
          <w:sdtPr>
            <w:alias w:val="是否适用：投资收益"/>
            <w:tag w:val="_GBC_a63c009fa20b4958849cc6e350d801e6"/>
            <w:id w:val="24725735"/>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color w:val="FF0000"/>
            </w:rPr>
          </w:pPr>
          <w:r>
            <w:t>单位：</w:t>
          </w:r>
          <w:sdt>
            <w:sdtPr>
              <w:rPr>
                <w:rFonts w:hint="eastAsia"/>
              </w:rPr>
              <w:alias w:val="单位：财务附注：会计报表中的投资收益项目增加"/>
              <w:tag w:val="_GBC_16b6724184184cd0a6cebd1b252803cd"/>
              <w:id w:val="247257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 xml:space="preserve">元 </w:t>
              </w:r>
            </w:sdtContent>
          </w:sdt>
          <w:r>
            <w:t xml:space="preserve">  币种：</w:t>
          </w:r>
          <w:sdt>
            <w:sdtPr>
              <w:alias w:val="币种：财务附注：会计报表中的投资收益项目增加"/>
              <w:tag w:val="_GBC_ed81d588b81e47069834dc195266d438"/>
              <w:id w:val="24725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6"/>
            <w:gridCol w:w="2859"/>
            <w:gridCol w:w="2764"/>
          </w:tblGrid>
          <w:tr w:rsidR="00DE031E" w:rsidTr="00DE031E">
            <w:trPr>
              <w:jc w:val="center"/>
            </w:trPr>
            <w:tc>
              <w:tcPr>
                <w:tcW w:w="1893" w:type="pct"/>
              </w:tcPr>
              <w:p w:rsidR="00DE031E" w:rsidRDefault="001C1A59" w:rsidP="00DE031E">
                <w:pPr>
                  <w:ind w:left="420" w:hanging="420"/>
                  <w:jc w:val="center"/>
                </w:pPr>
                <w:r>
                  <w:t>项目</w:t>
                </w:r>
              </w:p>
            </w:tc>
            <w:tc>
              <w:tcPr>
                <w:tcW w:w="1580" w:type="pct"/>
              </w:tcPr>
              <w:p w:rsidR="00DE031E" w:rsidRDefault="001C1A59" w:rsidP="00DE031E">
                <w:pPr>
                  <w:ind w:left="420" w:hanging="420"/>
                  <w:jc w:val="center"/>
                </w:pPr>
                <w:r>
                  <w:t>本期发生额</w:t>
                </w:r>
              </w:p>
            </w:tc>
            <w:tc>
              <w:tcPr>
                <w:tcW w:w="1527" w:type="pct"/>
              </w:tcPr>
              <w:p w:rsidR="00DE031E" w:rsidRDefault="001C1A59" w:rsidP="00DE031E">
                <w:pPr>
                  <w:ind w:left="420" w:hanging="420"/>
                  <w:jc w:val="center"/>
                </w:pPr>
                <w:r>
                  <w:t>上期发生额</w:t>
                </w:r>
              </w:p>
            </w:tc>
          </w:tr>
          <w:tr w:rsidR="00DE031E" w:rsidTr="00DE031E">
            <w:trPr>
              <w:jc w:val="center"/>
            </w:trPr>
            <w:tc>
              <w:tcPr>
                <w:tcW w:w="1893" w:type="pct"/>
                <w:vAlign w:val="center"/>
              </w:tcPr>
              <w:p w:rsidR="00DE031E" w:rsidRDefault="001C1A59" w:rsidP="00DE031E">
                <w:r>
                  <w:rPr>
                    <w:rFonts w:hint="eastAsia"/>
                  </w:rPr>
                  <w:t>成本法核算的长期股权投资收益</w:t>
                </w:r>
              </w:p>
            </w:tc>
            <w:sdt>
              <w:sdtPr>
                <w:rPr>
                  <w:color w:val="000000" w:themeColor="text1"/>
                </w:rPr>
                <w:alias w:val="长期投资成本法合计"/>
                <w:tag w:val="_GBC_4ad20e51665e4dd8b1a008fdd23013bd"/>
                <w:id w:val="24725738"/>
                <w:lock w:val="sdtLocked"/>
                <w:showingPlcHdr/>
              </w:sdtPr>
              <w:sdtContent>
                <w:tc>
                  <w:tcPr>
                    <w:tcW w:w="1580" w:type="pct"/>
                    <w:vAlign w:val="center"/>
                  </w:tcPr>
                  <w:p w:rsidR="00DE031E" w:rsidRDefault="001C1A59" w:rsidP="00DE031E">
                    <w:pPr>
                      <w:jc w:val="right"/>
                      <w:rPr>
                        <w:color w:val="000000" w:themeColor="text1"/>
                      </w:rPr>
                    </w:pPr>
                    <w:r>
                      <w:rPr>
                        <w:rFonts w:hint="eastAsia"/>
                        <w:color w:val="000000" w:themeColor="text1"/>
                      </w:rPr>
                      <w:t xml:space="preserve">　</w:t>
                    </w:r>
                  </w:p>
                </w:tc>
              </w:sdtContent>
            </w:sdt>
            <w:sdt>
              <w:sdtPr>
                <w:rPr>
                  <w:color w:val="000000" w:themeColor="text1"/>
                </w:rPr>
                <w:alias w:val="长期投资成本法合计"/>
                <w:tag w:val="_GBC_96b5161e20184c05b49409351ad7efe2"/>
                <w:id w:val="24725739"/>
                <w:lock w:val="sdtLocked"/>
                <w:showingPlcHdr/>
              </w:sdtPr>
              <w:sdtContent>
                <w:tc>
                  <w:tcPr>
                    <w:tcW w:w="1527" w:type="pct"/>
                    <w:vAlign w:val="center"/>
                  </w:tcPr>
                  <w:p w:rsidR="00DE031E" w:rsidRDefault="001C1A59" w:rsidP="00DE031E">
                    <w:pPr>
                      <w:jc w:val="right"/>
                      <w:rPr>
                        <w:color w:val="000000" w:themeColor="text1"/>
                      </w:rPr>
                    </w:pPr>
                    <w:r>
                      <w:rPr>
                        <w:rFonts w:hint="eastAsia"/>
                        <w:color w:val="000000" w:themeColor="text1"/>
                      </w:rPr>
                      <w:t xml:space="preserve">　</w:t>
                    </w:r>
                  </w:p>
                </w:tc>
              </w:sdtContent>
            </w:sdt>
          </w:tr>
          <w:tr w:rsidR="00DE031E" w:rsidTr="00DE031E">
            <w:trPr>
              <w:jc w:val="center"/>
            </w:trPr>
            <w:tc>
              <w:tcPr>
                <w:tcW w:w="1893" w:type="pct"/>
              </w:tcPr>
              <w:p w:rsidR="00DE031E" w:rsidRDefault="001C1A59" w:rsidP="00DE031E">
                <w:r>
                  <w:rPr>
                    <w:rFonts w:hint="eastAsia"/>
                  </w:rPr>
                  <w:t>权益法核算的长期股权投资收益</w:t>
                </w:r>
              </w:p>
            </w:tc>
            <w:sdt>
              <w:sdtPr>
                <w:alias w:val="长期投资权益法合计"/>
                <w:tag w:val="_GBC_3821c14a4b4b4818aaf1caaeaa7a55c1"/>
                <w:id w:val="24725740"/>
                <w:lock w:val="sdtLocked"/>
              </w:sdtPr>
              <w:sdtContent>
                <w:tc>
                  <w:tcPr>
                    <w:tcW w:w="1580" w:type="pct"/>
                    <w:vAlign w:val="center"/>
                  </w:tcPr>
                  <w:p w:rsidR="00DE031E" w:rsidRDefault="001C1A59" w:rsidP="00DE031E">
                    <w:pPr>
                      <w:jc w:val="right"/>
                    </w:pPr>
                    <w:r>
                      <w:t>309,124,851.34</w:t>
                    </w:r>
                  </w:p>
                </w:tc>
              </w:sdtContent>
            </w:sdt>
            <w:sdt>
              <w:sdtPr>
                <w:alias w:val="长期投资权益法合计"/>
                <w:tag w:val="_GBC_d1c42629331642d0940626a29002b9b9"/>
                <w:id w:val="24725741"/>
                <w:lock w:val="sdtLocked"/>
              </w:sdtPr>
              <w:sdtContent>
                <w:tc>
                  <w:tcPr>
                    <w:tcW w:w="1527" w:type="pct"/>
                    <w:vAlign w:val="center"/>
                  </w:tcPr>
                  <w:p w:rsidR="00DE031E" w:rsidRDefault="001C1A59" w:rsidP="00DE031E">
                    <w:pPr>
                      <w:jc w:val="right"/>
                    </w:pPr>
                    <w:r>
                      <w:t>164,487,287.96</w:t>
                    </w:r>
                  </w:p>
                </w:tc>
              </w:sdtContent>
            </w:sdt>
          </w:tr>
          <w:tr w:rsidR="00DE031E" w:rsidTr="00DE031E">
            <w:trPr>
              <w:jc w:val="center"/>
            </w:trPr>
            <w:tc>
              <w:tcPr>
                <w:tcW w:w="1893" w:type="pct"/>
              </w:tcPr>
              <w:p w:rsidR="00DE031E" w:rsidRDefault="001C1A59" w:rsidP="00DE031E">
                <w:r>
                  <w:rPr>
                    <w:rFonts w:hint="eastAsia"/>
                  </w:rPr>
                  <w:t>处置长期股权投资产生的投资收益</w:t>
                </w:r>
              </w:p>
            </w:tc>
            <w:sdt>
              <w:sdtPr>
                <w:alias w:val="处置长期股权投资产生的投资收益"/>
                <w:tag w:val="_GBC_1aeed4f996e640a09bdaafa72080d7f4"/>
                <w:id w:val="24725742"/>
                <w:lock w:val="sdtLocked"/>
              </w:sdtPr>
              <w:sdtContent>
                <w:tc>
                  <w:tcPr>
                    <w:tcW w:w="1580" w:type="pct"/>
                    <w:vAlign w:val="center"/>
                  </w:tcPr>
                  <w:p w:rsidR="00DE031E" w:rsidRDefault="00DE031E" w:rsidP="00DE031E">
                    <w:pPr>
                      <w:jc w:val="right"/>
                    </w:pPr>
                  </w:p>
                </w:tc>
              </w:sdtContent>
            </w:sdt>
            <w:sdt>
              <w:sdtPr>
                <w:alias w:val="处置长期股权投资产生的投资收益"/>
                <w:tag w:val="_GBC_41ae6b3efb2e42c7bcc58d827881afbc"/>
                <w:id w:val="24725743"/>
                <w:lock w:val="sdtLocked"/>
              </w:sdtPr>
              <w:sdtContent>
                <w:tc>
                  <w:tcPr>
                    <w:tcW w:w="1527" w:type="pct"/>
                    <w:vAlign w:val="center"/>
                  </w:tcPr>
                  <w:p w:rsidR="00DE031E" w:rsidRDefault="00DE031E" w:rsidP="00DE031E">
                    <w:pPr>
                      <w:jc w:val="right"/>
                    </w:pPr>
                  </w:p>
                </w:tc>
              </w:sdtContent>
            </w:sdt>
          </w:tr>
          <w:tr w:rsidR="00DE031E" w:rsidTr="00DE031E">
            <w:trPr>
              <w:jc w:val="center"/>
            </w:trPr>
            <w:tc>
              <w:tcPr>
                <w:tcW w:w="1893" w:type="pct"/>
              </w:tcPr>
              <w:p w:rsidR="00DE031E" w:rsidRDefault="001C1A59" w:rsidP="00DE031E">
                <w:r>
                  <w:rPr>
                    <w:rFonts w:hint="eastAsia"/>
                  </w:rPr>
                  <w:t>金融工具投资收益</w:t>
                </w:r>
              </w:p>
            </w:tc>
            <w:sdt>
              <w:sdtPr>
                <w:alias w:val="金融工具产生的投资收益"/>
                <w:tag w:val="_GBC_311f1e9c56ae4657801b925c85dba73a"/>
                <w:id w:val="24725744"/>
                <w:lock w:val="sdtLocked"/>
              </w:sdtPr>
              <w:sdtContent>
                <w:tc>
                  <w:tcPr>
                    <w:tcW w:w="1580" w:type="pct"/>
                    <w:vAlign w:val="center"/>
                  </w:tcPr>
                  <w:p w:rsidR="00DE031E" w:rsidRDefault="001C1A59" w:rsidP="00DE031E">
                    <w:pPr>
                      <w:jc w:val="right"/>
                    </w:pPr>
                    <w:r>
                      <w:t>2,132,138,917.35</w:t>
                    </w:r>
                  </w:p>
                </w:tc>
              </w:sdtContent>
            </w:sdt>
            <w:sdt>
              <w:sdtPr>
                <w:alias w:val="金融工具产生的投资收益"/>
                <w:tag w:val="_GBC_f4f5c1e7059242fdac6dbded289a3a9f"/>
                <w:id w:val="24725745"/>
                <w:lock w:val="sdtLocked"/>
              </w:sdtPr>
              <w:sdtContent>
                <w:tc>
                  <w:tcPr>
                    <w:tcW w:w="1527" w:type="pct"/>
                    <w:vAlign w:val="center"/>
                  </w:tcPr>
                  <w:p w:rsidR="00DE031E" w:rsidRDefault="001C1A59" w:rsidP="00DE031E">
                    <w:pPr>
                      <w:jc w:val="right"/>
                    </w:pPr>
                    <w:r>
                      <w:t>852,539,426.26</w:t>
                    </w:r>
                  </w:p>
                </w:tc>
              </w:sdtContent>
            </w:sdt>
          </w:tr>
          <w:tr w:rsidR="00DE031E" w:rsidTr="00DE031E">
            <w:trPr>
              <w:jc w:val="center"/>
            </w:trPr>
            <w:tc>
              <w:tcPr>
                <w:tcW w:w="1893" w:type="pct"/>
                <w:vAlign w:val="center"/>
              </w:tcPr>
              <w:p w:rsidR="00DE031E" w:rsidRDefault="001C1A59" w:rsidP="00DE031E">
                <w:r>
                  <w:rPr>
                    <w:rFonts w:hint="eastAsia"/>
                  </w:rPr>
                  <w:t>其中：持有期间取得的收益</w:t>
                </w:r>
              </w:p>
            </w:tc>
            <w:sdt>
              <w:sdtPr>
                <w:alias w:val="持有金融工具期间取得的投资收益"/>
                <w:tag w:val="_GBC_55f3fe9ac7cd48078b5a85752c34c9f7"/>
                <w:id w:val="24725746"/>
                <w:lock w:val="sdtLocked"/>
              </w:sdtPr>
              <w:sdtContent>
                <w:tc>
                  <w:tcPr>
                    <w:tcW w:w="1580" w:type="pct"/>
                    <w:vAlign w:val="center"/>
                  </w:tcPr>
                  <w:p w:rsidR="00DE031E" w:rsidRDefault="001C1A59" w:rsidP="00DE031E">
                    <w:pPr>
                      <w:jc w:val="right"/>
                    </w:pPr>
                    <w:r>
                      <w:t>1,556,330,408.96</w:t>
                    </w:r>
                  </w:p>
                </w:tc>
              </w:sdtContent>
            </w:sdt>
            <w:sdt>
              <w:sdtPr>
                <w:alias w:val="持有金融工具期间取得的投资收益"/>
                <w:tag w:val="_GBC_9ba4ba4450be43cfa5771e549d28d01a"/>
                <w:id w:val="24725747"/>
                <w:lock w:val="sdtLocked"/>
              </w:sdtPr>
              <w:sdtContent>
                <w:tc>
                  <w:tcPr>
                    <w:tcW w:w="1527" w:type="pct"/>
                    <w:vAlign w:val="center"/>
                  </w:tcPr>
                  <w:p w:rsidR="00DE031E" w:rsidRDefault="001C1A59" w:rsidP="00DE031E">
                    <w:pPr>
                      <w:jc w:val="right"/>
                    </w:pPr>
                    <w:r>
                      <w:t>702,093,726.97</w:t>
                    </w: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－以公允价值计量且其变动计入当期损益的金融资产</w:t>
                </w:r>
              </w:p>
            </w:tc>
            <w:sdt>
              <w:sdtPr>
                <w:alias w:val="持有交易性金融资产期间取得的投资收益"/>
                <w:tag w:val="_GBC_3889ac2c2fee4b1ebcf2f4ee133beab3"/>
                <w:id w:val="24725748"/>
                <w:lock w:val="sdtLocked"/>
              </w:sdtPr>
              <w:sdtContent>
                <w:tc>
                  <w:tcPr>
                    <w:tcW w:w="1580" w:type="pct"/>
                    <w:vAlign w:val="center"/>
                  </w:tcPr>
                  <w:p w:rsidR="00DE031E" w:rsidRDefault="001C1A59" w:rsidP="00DE031E">
                    <w:pPr>
                      <w:jc w:val="right"/>
                    </w:pPr>
                    <w:r>
                      <w:t>1,276,214,710.30</w:t>
                    </w:r>
                  </w:p>
                </w:tc>
              </w:sdtContent>
            </w:sdt>
            <w:sdt>
              <w:sdtPr>
                <w:alias w:val="持有交易性金融资产期间取得的投资收益"/>
                <w:tag w:val="_GBC_38e24dfcb915490e94988c6802147388"/>
                <w:id w:val="24725749"/>
                <w:lock w:val="sdtLocked"/>
              </w:sdtPr>
              <w:sdtContent>
                <w:tc>
                  <w:tcPr>
                    <w:tcW w:w="1527" w:type="pct"/>
                    <w:vAlign w:val="center"/>
                  </w:tcPr>
                  <w:p w:rsidR="00DE031E" w:rsidRDefault="001C1A59" w:rsidP="00DE031E">
                    <w:pPr>
                      <w:jc w:val="right"/>
                    </w:pPr>
                    <w:r>
                      <w:t>573,023,269.10</w:t>
                    </w: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－持有至到期投资</w:t>
                </w:r>
              </w:p>
            </w:tc>
            <w:sdt>
              <w:sdtPr>
                <w:alias w:val="持有至到期投资取得的投资收益期间取得的投资收益"/>
                <w:tag w:val="_GBC_01e9f01ce556429db34cf4e13315eb58"/>
                <w:id w:val="24725750"/>
                <w:lock w:val="sdtLocked"/>
              </w:sdtPr>
              <w:sdtContent>
                <w:tc>
                  <w:tcPr>
                    <w:tcW w:w="1580" w:type="pct"/>
                    <w:vAlign w:val="center"/>
                  </w:tcPr>
                  <w:p w:rsidR="00DE031E" w:rsidRDefault="00DE031E" w:rsidP="00DE031E">
                    <w:pPr>
                      <w:jc w:val="right"/>
                    </w:pPr>
                  </w:p>
                </w:tc>
              </w:sdtContent>
            </w:sdt>
            <w:sdt>
              <w:sdtPr>
                <w:alias w:val="持有至到期投资取得的投资收益期间取得的投资收益"/>
                <w:tag w:val="_GBC_c048507fb4fe4f1686c6336bafa18be7"/>
                <w:id w:val="24725751"/>
                <w:lock w:val="sdtLocked"/>
              </w:sdtPr>
              <w:sdtContent>
                <w:tc>
                  <w:tcPr>
                    <w:tcW w:w="1527" w:type="pct"/>
                    <w:vAlign w:val="center"/>
                  </w:tcPr>
                  <w:p w:rsidR="00DE031E" w:rsidRDefault="00DE031E" w:rsidP="00DE031E">
                    <w:pPr>
                      <w:jc w:val="right"/>
                    </w:pP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－可供出售金融资产</w:t>
                </w:r>
              </w:p>
            </w:tc>
            <w:sdt>
              <w:sdtPr>
                <w:alias w:val="持有可供出售金融资产等期间取得的投资收益"/>
                <w:tag w:val="_GBC_46f191f8d3be47979abb296c01461484"/>
                <w:id w:val="24725752"/>
                <w:lock w:val="sdtLocked"/>
              </w:sdtPr>
              <w:sdtContent>
                <w:tc>
                  <w:tcPr>
                    <w:tcW w:w="1580" w:type="pct"/>
                    <w:vAlign w:val="center"/>
                  </w:tcPr>
                  <w:p w:rsidR="00DE031E" w:rsidRDefault="001C1A59" w:rsidP="00DE031E">
                    <w:pPr>
                      <w:jc w:val="right"/>
                    </w:pPr>
                    <w:r>
                      <w:t>280,115,698.66</w:t>
                    </w:r>
                  </w:p>
                </w:tc>
              </w:sdtContent>
            </w:sdt>
            <w:sdt>
              <w:sdtPr>
                <w:alias w:val="持有可供出售金融资产等期间取得的投资收益"/>
                <w:tag w:val="_GBC_c99c2abd5175486d9c4310f53fcb79cb"/>
                <w:id w:val="24725753"/>
                <w:lock w:val="sdtLocked"/>
              </w:sdtPr>
              <w:sdtContent>
                <w:tc>
                  <w:tcPr>
                    <w:tcW w:w="1527" w:type="pct"/>
                    <w:vAlign w:val="center"/>
                  </w:tcPr>
                  <w:p w:rsidR="00DE031E" w:rsidRDefault="001C1A59" w:rsidP="00DE031E">
                    <w:pPr>
                      <w:jc w:val="right"/>
                    </w:pPr>
                    <w:r>
                      <w:t>129,070,457.87</w:t>
                    </w: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－衍生金融工具</w:t>
                </w:r>
              </w:p>
            </w:tc>
            <w:sdt>
              <w:sdtPr>
                <w:alias w:val="持有衍生金融工具期间取得的投资收益"/>
                <w:tag w:val="_GBC_e30351663d244334bd69bfbb77a22ad9"/>
                <w:id w:val="24725754"/>
                <w:lock w:val="sdtLocked"/>
              </w:sdtPr>
              <w:sdtContent>
                <w:tc>
                  <w:tcPr>
                    <w:tcW w:w="1580" w:type="pct"/>
                    <w:vAlign w:val="center"/>
                  </w:tcPr>
                  <w:p w:rsidR="00DE031E" w:rsidRDefault="00DE031E" w:rsidP="00DE031E">
                    <w:pPr>
                      <w:jc w:val="right"/>
                    </w:pPr>
                  </w:p>
                </w:tc>
              </w:sdtContent>
            </w:sdt>
            <w:sdt>
              <w:sdtPr>
                <w:alias w:val="持有衍生金融工具期间取得的投资收益"/>
                <w:tag w:val="_GBC_b8c47f2b2c6e4b3b91a82725748e6799"/>
                <w:id w:val="24725755"/>
                <w:lock w:val="sdtLocked"/>
              </w:sdtPr>
              <w:sdtContent>
                <w:tc>
                  <w:tcPr>
                    <w:tcW w:w="1527" w:type="pct"/>
                    <w:vAlign w:val="center"/>
                  </w:tcPr>
                  <w:p w:rsidR="00DE031E" w:rsidRDefault="00DE031E" w:rsidP="00DE031E">
                    <w:pPr>
                      <w:jc w:val="right"/>
                    </w:pPr>
                  </w:p>
                </w:tc>
              </w:sdtContent>
            </w:sdt>
          </w:tr>
          <w:tr w:rsidR="00DE031E" w:rsidTr="00DE031E">
            <w:trPr>
              <w:jc w:val="center"/>
            </w:trPr>
            <w:tc>
              <w:tcPr>
                <w:tcW w:w="1893" w:type="pct"/>
                <w:vAlign w:val="center"/>
              </w:tcPr>
              <w:p w:rsidR="00DE031E" w:rsidRDefault="001C1A59" w:rsidP="00DE031E">
                <w:pPr>
                  <w:ind w:firstLineChars="300" w:firstLine="630"/>
                </w:pPr>
                <w:r>
                  <w:rPr>
                    <w:rFonts w:hint="eastAsia"/>
                  </w:rPr>
                  <w:t>处置金融工具取得的收益</w:t>
                </w:r>
              </w:p>
            </w:tc>
            <w:sdt>
              <w:sdtPr>
                <w:alias w:val="处置金融工具取得的投资收益"/>
                <w:tag w:val="_GBC_63995d20510e4dd794e2d5dd6e2db8b5"/>
                <w:id w:val="24725756"/>
                <w:lock w:val="sdtLocked"/>
              </w:sdtPr>
              <w:sdtContent>
                <w:tc>
                  <w:tcPr>
                    <w:tcW w:w="1580" w:type="pct"/>
                    <w:vAlign w:val="center"/>
                  </w:tcPr>
                  <w:p w:rsidR="00DE031E" w:rsidRDefault="001C1A59" w:rsidP="00DE031E">
                    <w:pPr>
                      <w:jc w:val="right"/>
                    </w:pPr>
                    <w:r>
                      <w:t>575,808,508.39</w:t>
                    </w:r>
                  </w:p>
                </w:tc>
              </w:sdtContent>
            </w:sdt>
            <w:sdt>
              <w:sdtPr>
                <w:alias w:val="处置金融工具取得的投资收益"/>
                <w:tag w:val="_GBC_6d7d475f10b04ff68f6fbac3593d69f2"/>
                <w:id w:val="24725757"/>
                <w:lock w:val="sdtLocked"/>
              </w:sdtPr>
              <w:sdtContent>
                <w:tc>
                  <w:tcPr>
                    <w:tcW w:w="1527" w:type="pct"/>
                    <w:vAlign w:val="center"/>
                  </w:tcPr>
                  <w:p w:rsidR="00DE031E" w:rsidRDefault="001C1A59" w:rsidP="00DE031E">
                    <w:pPr>
                      <w:jc w:val="right"/>
                    </w:pPr>
                    <w:r>
                      <w:t>150,445,699.29</w:t>
                    </w: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－以公允价值计量且其变动计入当期损益的金融资产</w:t>
                </w:r>
              </w:p>
            </w:tc>
            <w:sdt>
              <w:sdtPr>
                <w:alias w:val="处置交易性金融资产取得的投资收益"/>
                <w:tag w:val="_GBC_6fe416e6e79d4fb9949abf8a3f3aad8c"/>
                <w:id w:val="24725758"/>
                <w:lock w:val="sdtLocked"/>
              </w:sdtPr>
              <w:sdtContent>
                <w:tc>
                  <w:tcPr>
                    <w:tcW w:w="1580" w:type="pct"/>
                    <w:vAlign w:val="center"/>
                  </w:tcPr>
                  <w:p w:rsidR="00DE031E" w:rsidRDefault="001C1A59" w:rsidP="00DE031E">
                    <w:pPr>
                      <w:jc w:val="right"/>
                    </w:pPr>
                    <w:r>
                      <w:t>8,055,295,419.50</w:t>
                    </w:r>
                  </w:p>
                </w:tc>
              </w:sdtContent>
            </w:sdt>
            <w:sdt>
              <w:sdtPr>
                <w:alias w:val="处置交易性金融资产取得的投资收益"/>
                <w:tag w:val="_GBC_26c82b56ebd74ad1ba31fdca4f3e9244"/>
                <w:id w:val="24725759"/>
                <w:lock w:val="sdtLocked"/>
              </w:sdtPr>
              <w:sdtContent>
                <w:tc>
                  <w:tcPr>
                    <w:tcW w:w="1527" w:type="pct"/>
                    <w:vAlign w:val="center"/>
                  </w:tcPr>
                  <w:p w:rsidR="00DE031E" w:rsidRDefault="001C1A59" w:rsidP="00DE031E">
                    <w:pPr>
                      <w:jc w:val="right"/>
                    </w:pPr>
                    <w:r>
                      <w:t>-141,687,666.48</w:t>
                    </w: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－持有至到期投资</w:t>
                </w:r>
              </w:p>
            </w:tc>
            <w:sdt>
              <w:sdtPr>
                <w:alias w:val="持有至到期投资取得的投资收益"/>
                <w:tag w:val="_GBC_d66d5c587009409ebc1495c5062c1ac3"/>
                <w:id w:val="24725760"/>
                <w:lock w:val="sdtLocked"/>
              </w:sdtPr>
              <w:sdtContent>
                <w:tc>
                  <w:tcPr>
                    <w:tcW w:w="1580" w:type="pct"/>
                    <w:vAlign w:val="center"/>
                  </w:tcPr>
                  <w:p w:rsidR="00DE031E" w:rsidRDefault="00DE031E" w:rsidP="00DE031E">
                    <w:pPr>
                      <w:jc w:val="right"/>
                    </w:pPr>
                  </w:p>
                </w:tc>
              </w:sdtContent>
            </w:sdt>
            <w:sdt>
              <w:sdtPr>
                <w:alias w:val="持有至到期投资取得的投资收益"/>
                <w:tag w:val="_GBC_34e73eb15e354ce5964836a469771c47"/>
                <w:id w:val="24725761"/>
                <w:lock w:val="sdtLocked"/>
              </w:sdtPr>
              <w:sdtContent>
                <w:tc>
                  <w:tcPr>
                    <w:tcW w:w="1527" w:type="pct"/>
                    <w:vAlign w:val="center"/>
                  </w:tcPr>
                  <w:p w:rsidR="00DE031E" w:rsidRDefault="00DE031E" w:rsidP="00DE031E">
                    <w:pPr>
                      <w:jc w:val="right"/>
                    </w:pP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－可供出售金融资产</w:t>
                </w:r>
              </w:p>
            </w:tc>
            <w:sdt>
              <w:sdtPr>
                <w:alias w:val="可供出售金融资产等取得的投资收益"/>
                <w:tag w:val="_GBC_61bbd64e090547eeba62a8632cc3828e"/>
                <w:id w:val="24725762"/>
                <w:lock w:val="sdtLocked"/>
              </w:sdtPr>
              <w:sdtContent>
                <w:tc>
                  <w:tcPr>
                    <w:tcW w:w="1580" w:type="pct"/>
                    <w:vAlign w:val="center"/>
                  </w:tcPr>
                  <w:p w:rsidR="00DE031E" w:rsidRDefault="001C1A59" w:rsidP="00DE031E">
                    <w:pPr>
                      <w:jc w:val="right"/>
                    </w:pPr>
                    <w:r>
                      <w:t>434,746,142.23</w:t>
                    </w:r>
                  </w:p>
                </w:tc>
              </w:sdtContent>
            </w:sdt>
            <w:sdt>
              <w:sdtPr>
                <w:alias w:val="可供出售金融资产等取得的投资收益"/>
                <w:tag w:val="_GBC_0485441d9f3b4caf8c9c25b7bb573109"/>
                <w:id w:val="24725763"/>
                <w:lock w:val="sdtLocked"/>
              </w:sdtPr>
              <w:sdtContent>
                <w:tc>
                  <w:tcPr>
                    <w:tcW w:w="1527" w:type="pct"/>
                    <w:vAlign w:val="center"/>
                  </w:tcPr>
                  <w:p w:rsidR="00DE031E" w:rsidRDefault="001C1A59" w:rsidP="00DE031E">
                    <w:pPr>
                      <w:jc w:val="right"/>
                    </w:pPr>
                    <w:r>
                      <w:t>7,071,471.65</w:t>
                    </w: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－衍生金融工具</w:t>
                </w:r>
              </w:p>
            </w:tc>
            <w:sdt>
              <w:sdtPr>
                <w:alias w:val="处置衍生金融工具取得的投资收益"/>
                <w:tag w:val="_GBC_deb5fbf8174546ecad477e42cfc8b719"/>
                <w:id w:val="24725764"/>
                <w:lock w:val="sdtLocked"/>
              </w:sdtPr>
              <w:sdtContent>
                <w:tc>
                  <w:tcPr>
                    <w:tcW w:w="1580" w:type="pct"/>
                    <w:vAlign w:val="center"/>
                  </w:tcPr>
                  <w:p w:rsidR="00DE031E" w:rsidRDefault="001C1A59" w:rsidP="00DE031E">
                    <w:pPr>
                      <w:jc w:val="right"/>
                    </w:pPr>
                    <w:r>
                      <w:t>-7,898,032,785.88</w:t>
                    </w:r>
                  </w:p>
                </w:tc>
              </w:sdtContent>
            </w:sdt>
            <w:sdt>
              <w:sdtPr>
                <w:alias w:val="处置衍生金融工具取得的投资收益"/>
                <w:tag w:val="_GBC_de2a9a35f1e0480ab4c68e3161d65bc1"/>
                <w:id w:val="24725765"/>
                <w:lock w:val="sdtLocked"/>
              </w:sdtPr>
              <w:sdtContent>
                <w:tc>
                  <w:tcPr>
                    <w:tcW w:w="1527" w:type="pct"/>
                    <w:vAlign w:val="center"/>
                  </w:tcPr>
                  <w:p w:rsidR="00DE031E" w:rsidRDefault="001C1A59" w:rsidP="00DE031E">
                    <w:pPr>
                      <w:jc w:val="right"/>
                    </w:pPr>
                    <w:r>
                      <w:t>272,845,218.04</w:t>
                    </w:r>
                  </w:p>
                </w:tc>
              </w:sdtContent>
            </w:sdt>
          </w:tr>
          <w:tr w:rsidR="00DE031E" w:rsidTr="00DE031E">
            <w:trPr>
              <w:jc w:val="center"/>
            </w:trPr>
            <w:tc>
              <w:tcPr>
                <w:tcW w:w="1893" w:type="pct"/>
                <w:vAlign w:val="center"/>
              </w:tcPr>
              <w:p w:rsidR="00DE031E" w:rsidRDefault="001C1A59" w:rsidP="00DE031E">
                <w:pPr>
                  <w:ind w:firstLineChars="500" w:firstLine="1050"/>
                </w:pPr>
                <w:r>
                  <w:rPr>
                    <w:rFonts w:hint="eastAsia"/>
                  </w:rPr>
                  <w:t>—</w:t>
                </w:r>
                <w:r w:rsidRPr="00F26E7E">
                  <w:rPr>
                    <w:rFonts w:hint="eastAsia"/>
                  </w:rPr>
                  <w:t>以公允价值计量且其变动计入当期损益的金融负债</w:t>
                </w:r>
              </w:p>
            </w:tc>
            <w:tc>
              <w:tcPr>
                <w:tcW w:w="1580" w:type="pct"/>
                <w:vAlign w:val="center"/>
              </w:tcPr>
              <w:p w:rsidR="00DE031E" w:rsidRDefault="001C1A59" w:rsidP="00DE031E">
                <w:pPr>
                  <w:jc w:val="right"/>
                  <w:rPr>
                    <w:color w:val="000000" w:themeColor="text1"/>
                  </w:rPr>
                </w:pPr>
                <w:r w:rsidRPr="001B0324">
                  <w:rPr>
                    <w:color w:val="000000" w:themeColor="text1"/>
                  </w:rPr>
                  <w:t>-16,200,267.46</w:t>
                </w:r>
              </w:p>
            </w:tc>
            <w:tc>
              <w:tcPr>
                <w:tcW w:w="1527" w:type="pct"/>
                <w:vAlign w:val="center"/>
              </w:tcPr>
              <w:p w:rsidR="00DE031E" w:rsidRDefault="001C1A59" w:rsidP="00DE031E">
                <w:pPr>
                  <w:jc w:val="right"/>
                  <w:rPr>
                    <w:color w:val="000000" w:themeColor="text1"/>
                  </w:rPr>
                </w:pPr>
                <w:r w:rsidRPr="001B0324">
                  <w:rPr>
                    <w:color w:val="000000" w:themeColor="text1"/>
                  </w:rPr>
                  <w:t>12,216,676.08</w:t>
                </w:r>
              </w:p>
            </w:tc>
          </w:tr>
          <w:tr w:rsidR="00DE031E" w:rsidTr="00DE031E">
            <w:trPr>
              <w:jc w:val="center"/>
            </w:trPr>
            <w:tc>
              <w:tcPr>
                <w:tcW w:w="1893" w:type="pct"/>
              </w:tcPr>
              <w:p w:rsidR="00DE031E" w:rsidRDefault="001C1A59" w:rsidP="00DE031E">
                <w:pPr>
                  <w:jc w:val="center"/>
                </w:pPr>
                <w:r>
                  <w:t>合计</w:t>
                </w:r>
              </w:p>
            </w:tc>
            <w:sdt>
              <w:sdtPr>
                <w:alias w:val="投资收益"/>
                <w:tag w:val="_GBC_4e45874948a64ba79bc2a48370e1055a"/>
                <w:id w:val="24725766"/>
                <w:lock w:val="sdtLocked"/>
              </w:sdtPr>
              <w:sdtContent>
                <w:tc>
                  <w:tcPr>
                    <w:tcW w:w="1580" w:type="pct"/>
                    <w:vAlign w:val="center"/>
                  </w:tcPr>
                  <w:p w:rsidR="00DE031E" w:rsidRDefault="001C1A59" w:rsidP="00DE031E">
                    <w:pPr>
                      <w:ind w:left="420" w:hanging="420"/>
                      <w:jc w:val="right"/>
                    </w:pPr>
                    <w:r>
                      <w:t>2,441,263,768.69</w:t>
                    </w:r>
                  </w:p>
                </w:tc>
              </w:sdtContent>
            </w:sdt>
            <w:sdt>
              <w:sdtPr>
                <w:alias w:val="投资收益"/>
                <w:tag w:val="_GBC_8312096027104f44901e02c6b34cc5c8"/>
                <w:id w:val="24725767"/>
                <w:lock w:val="sdtLocked"/>
              </w:sdtPr>
              <w:sdtContent>
                <w:tc>
                  <w:tcPr>
                    <w:tcW w:w="1527" w:type="pct"/>
                    <w:vAlign w:val="center"/>
                  </w:tcPr>
                  <w:p w:rsidR="00DE031E" w:rsidRDefault="001C1A59" w:rsidP="00DE031E">
                    <w:pPr>
                      <w:ind w:left="420" w:hanging="420"/>
                      <w:jc w:val="right"/>
                    </w:pPr>
                    <w:r>
                      <w:t>1,017,026,714.22</w:t>
                    </w:r>
                  </w:p>
                </w:tc>
              </w:sdtContent>
            </w:sdt>
          </w:tr>
        </w:tbl>
        <w:sdt>
          <w:sdtPr>
            <w:rPr>
              <w:color w:val="000000" w:themeColor="text1"/>
            </w:rPr>
            <w:alias w:val="投资收益说明"/>
            <w:tag w:val="_GBC_5691804563174e69b79f3f5b970f505e"/>
            <w:id w:val="24725768"/>
            <w:lock w:val="sdtLocked"/>
            <w:placeholder>
              <w:docPart w:val="GBC22222222222222222222222222222"/>
            </w:placeholder>
          </w:sdtPr>
          <w:sdtContent>
            <w:p w:rsidR="00DE031E" w:rsidRDefault="001C1A59" w:rsidP="003A0284">
              <w:pPr>
                <w:widowControl w:val="0"/>
                <w:autoSpaceDE w:val="0"/>
                <w:autoSpaceDN w:val="0"/>
                <w:adjustRightInd w:val="0"/>
                <w:spacing w:beforeLines="50" w:line="360" w:lineRule="auto"/>
                <w:ind w:firstLineChars="200" w:firstLine="420"/>
                <w:rPr>
                  <w:szCs w:val="21"/>
                </w:rPr>
              </w:pPr>
              <w:r w:rsidRPr="00113CC4">
                <w:rPr>
                  <w:rFonts w:asciiTheme="minorEastAsia" w:eastAsiaTheme="minorEastAsia" w:hAnsiTheme="minorEastAsia" w:hint="eastAsia"/>
                  <w:szCs w:val="21"/>
                </w:rPr>
                <w:t>本期投资收益较上年同期增加</w:t>
              </w:r>
              <w:r w:rsidRPr="00113CC4">
                <w:rPr>
                  <w:rFonts w:asciiTheme="minorEastAsia" w:eastAsiaTheme="minorEastAsia" w:hAnsiTheme="minorEastAsia" w:cs="Arial"/>
                  <w:szCs w:val="21"/>
                </w:rPr>
                <w:t>1,</w:t>
              </w:r>
              <w:r w:rsidRPr="00113CC4">
                <w:rPr>
                  <w:rFonts w:asciiTheme="minorEastAsia" w:eastAsiaTheme="minorEastAsia" w:hAnsiTheme="minorEastAsia" w:cs="Arial" w:hint="eastAsia"/>
                  <w:szCs w:val="21"/>
                </w:rPr>
                <w:t>424</w:t>
              </w:r>
              <w:r w:rsidRPr="00113CC4">
                <w:rPr>
                  <w:rFonts w:asciiTheme="minorEastAsia" w:eastAsiaTheme="minorEastAsia" w:hAnsiTheme="minorEastAsia" w:cs="Arial"/>
                  <w:szCs w:val="21"/>
                </w:rPr>
                <w:t>,</w:t>
              </w:r>
              <w:r w:rsidRPr="00113CC4">
                <w:rPr>
                  <w:rFonts w:asciiTheme="minorEastAsia" w:eastAsiaTheme="minorEastAsia" w:hAnsiTheme="minorEastAsia" w:cs="Arial" w:hint="eastAsia"/>
                  <w:szCs w:val="21"/>
                </w:rPr>
                <w:t>237</w:t>
              </w:r>
              <w:r w:rsidRPr="00113CC4">
                <w:rPr>
                  <w:rFonts w:asciiTheme="minorEastAsia" w:eastAsiaTheme="minorEastAsia" w:hAnsiTheme="minorEastAsia" w:cs="Arial"/>
                  <w:szCs w:val="21"/>
                </w:rPr>
                <w:t>,</w:t>
              </w:r>
              <w:r w:rsidRPr="00113CC4">
                <w:rPr>
                  <w:rFonts w:asciiTheme="minorEastAsia" w:eastAsiaTheme="minorEastAsia" w:hAnsiTheme="minorEastAsia" w:cs="Arial" w:hint="eastAsia"/>
                  <w:szCs w:val="21"/>
                </w:rPr>
                <w:t>054</w:t>
              </w:r>
              <w:r w:rsidRPr="00113CC4">
                <w:rPr>
                  <w:rFonts w:asciiTheme="minorEastAsia" w:eastAsiaTheme="minorEastAsia" w:hAnsiTheme="minorEastAsia" w:cs="Arial"/>
                  <w:szCs w:val="21"/>
                </w:rPr>
                <w:t>.4</w:t>
              </w:r>
              <w:r w:rsidRPr="00113CC4">
                <w:rPr>
                  <w:rFonts w:asciiTheme="minorEastAsia" w:eastAsiaTheme="minorEastAsia" w:hAnsiTheme="minorEastAsia" w:cs="Arial" w:hint="eastAsia"/>
                  <w:szCs w:val="21"/>
                </w:rPr>
                <w:t>7</w:t>
              </w:r>
              <w:r w:rsidRPr="00113CC4">
                <w:rPr>
                  <w:rFonts w:asciiTheme="minorEastAsia" w:eastAsiaTheme="minorEastAsia" w:hAnsiTheme="minorEastAsia" w:hint="eastAsia"/>
                  <w:szCs w:val="21"/>
                </w:rPr>
                <w:t>元，增幅140.04%，主要是由于以公允价值计量且其变动计入当期损益的金融资产收到分红及处置投资收益增加所致。</w:t>
              </w:r>
            </w:p>
          </w:sdtContent>
        </w:sdt>
      </w:sdtContent>
    </w:sdt>
    <w:sdt>
      <w:sdtPr>
        <w:rPr>
          <w:rFonts w:ascii="宋体" w:hAnsi="宋体" w:cs="宋体" w:hint="eastAsia"/>
          <w:b w:val="0"/>
          <w:bCs w:val="0"/>
          <w:kern w:val="0"/>
          <w:szCs w:val="21"/>
        </w:rPr>
        <w:tag w:val="_GBC_0b17f217cf54466eb301c105f63ad0ce"/>
        <w:id w:val="24725782"/>
        <w:lock w:val="sdtLocked"/>
        <w:placeholder>
          <w:docPart w:val="GBC22222222222222222222222222222"/>
        </w:placeholder>
      </w:sdtPr>
      <w:sdtContent>
        <w:p w:rsidR="00DE031E" w:rsidRDefault="001C1A59" w:rsidP="009950AC">
          <w:pPr>
            <w:pStyle w:val="3"/>
            <w:numPr>
              <w:ilvl w:val="0"/>
              <w:numId w:val="41"/>
            </w:numPr>
            <w:tabs>
              <w:tab w:val="left" w:pos="504"/>
            </w:tabs>
            <w:spacing w:line="360" w:lineRule="auto"/>
          </w:pPr>
          <w:r>
            <w:t>公允价值变动收益</w:t>
          </w:r>
          <w:r>
            <w:rPr>
              <w:rFonts w:hint="eastAsia"/>
            </w:rPr>
            <w:t>／（</w:t>
          </w:r>
          <w:r>
            <w:t>损失</w:t>
          </w:r>
          <w:r>
            <w:rPr>
              <w:rFonts w:hint="eastAsia"/>
            </w:rPr>
            <w:t>）</w:t>
          </w:r>
        </w:p>
        <w:sdt>
          <w:sdtPr>
            <w:alias w:val="是否适用：公允价值变动收益"/>
            <w:tag w:val="_GBC_e2016baac1b74a3e8cb45768dedca8d2"/>
            <w:id w:val="24725770"/>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t>单位：</w:t>
          </w:r>
          <w:sdt>
            <w:sdtPr>
              <w:rPr>
                <w:rFonts w:hint="eastAsia"/>
              </w:rPr>
              <w:alias w:val="单位：财务附注：公允价值变动收益"/>
              <w:tag w:val="_GBC_8f560ec94bdb46e8a96ce4ca6ad37a89"/>
              <w:id w:val="247257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 xml:space="preserve">元 </w:t>
              </w:r>
            </w:sdtContent>
          </w:sdt>
          <w:r>
            <w:t xml:space="preserve">  币种：</w:t>
          </w:r>
          <w:sdt>
            <w:sdtPr>
              <w:alias w:val="币种：财务附注：公允价值变动收益"/>
              <w:tag w:val="_GBC_1882c18e68a346159c4d630aa164a714"/>
              <w:id w:val="24725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5"/>
            <w:gridCol w:w="2043"/>
            <w:gridCol w:w="1791"/>
          </w:tblGrid>
          <w:tr w:rsidR="00DE031E" w:rsidTr="00DE031E">
            <w:trPr>
              <w:jc w:val="center"/>
            </w:trPr>
            <w:tc>
              <w:tcPr>
                <w:tcW w:w="2885" w:type="pct"/>
              </w:tcPr>
              <w:p w:rsidR="00DE031E" w:rsidRDefault="001C1A59">
                <w:pPr>
                  <w:jc w:val="center"/>
                  <w:rPr>
                    <w:b/>
                    <w:color w:val="FF00FF"/>
                  </w:rPr>
                </w:pPr>
                <w:r>
                  <w:t>项目</w:t>
                </w:r>
              </w:p>
            </w:tc>
            <w:tc>
              <w:tcPr>
                <w:tcW w:w="1132" w:type="pct"/>
              </w:tcPr>
              <w:p w:rsidR="00DE031E" w:rsidRDefault="001C1A59">
                <w:pPr>
                  <w:autoSpaceDE w:val="0"/>
                  <w:autoSpaceDN w:val="0"/>
                  <w:adjustRightInd w:val="0"/>
                  <w:jc w:val="center"/>
                </w:pPr>
                <w:r>
                  <w:t>本期发生额</w:t>
                </w:r>
              </w:p>
            </w:tc>
            <w:tc>
              <w:tcPr>
                <w:tcW w:w="983" w:type="pct"/>
              </w:tcPr>
              <w:p w:rsidR="00DE031E" w:rsidRDefault="001C1A59">
                <w:pPr>
                  <w:autoSpaceDE w:val="0"/>
                  <w:autoSpaceDN w:val="0"/>
                  <w:adjustRightInd w:val="0"/>
                  <w:jc w:val="center"/>
                </w:pPr>
                <w:r>
                  <w:t>上期发生额</w:t>
                </w:r>
              </w:p>
            </w:tc>
          </w:tr>
          <w:tr w:rsidR="00DE031E" w:rsidTr="00DE031E">
            <w:trPr>
              <w:jc w:val="center"/>
            </w:trPr>
            <w:tc>
              <w:tcPr>
                <w:tcW w:w="2885" w:type="pct"/>
              </w:tcPr>
              <w:p w:rsidR="00DE031E" w:rsidRDefault="001C1A59">
                <w:r>
                  <w:rPr>
                    <w:rFonts w:hint="eastAsia"/>
                  </w:rPr>
                  <w:t>以公允价值计量且其变动计入当期损益的金融资产</w:t>
                </w:r>
              </w:p>
            </w:tc>
            <w:sdt>
              <w:sdtPr>
                <w:rPr>
                  <w:color w:val="000000" w:themeColor="text1"/>
                </w:rPr>
                <w:alias w:val="交易性金融资产产生的公允价值变动收益"/>
                <w:tag w:val="_GBC_f4e73538833b496cab23b88cebff59cf"/>
                <w:id w:val="24725773"/>
                <w:lock w:val="sdtLocked"/>
              </w:sdtPr>
              <w:sdtContent>
                <w:tc>
                  <w:tcPr>
                    <w:tcW w:w="1132" w:type="pct"/>
                    <w:vAlign w:val="center"/>
                  </w:tcPr>
                  <w:p w:rsidR="00DE031E" w:rsidRDefault="001C1A59" w:rsidP="00DE031E">
                    <w:pPr>
                      <w:jc w:val="right"/>
                      <w:rPr>
                        <w:color w:val="000000" w:themeColor="text1"/>
                      </w:rPr>
                    </w:pPr>
                    <w:r>
                      <w:rPr>
                        <w:color w:val="000000" w:themeColor="text1"/>
                      </w:rPr>
                      <w:t>3,822,337,374.93</w:t>
                    </w:r>
                  </w:p>
                </w:tc>
              </w:sdtContent>
            </w:sdt>
            <w:sdt>
              <w:sdtPr>
                <w:rPr>
                  <w:color w:val="000000" w:themeColor="text1"/>
                </w:rPr>
                <w:alias w:val="交易性金融资产产生的公允价值变动收益"/>
                <w:tag w:val="_GBC_da590126049a4d5a80bfa1b60f1eaa51"/>
                <w:id w:val="24725774"/>
                <w:lock w:val="sdtLocked"/>
              </w:sdtPr>
              <w:sdtContent>
                <w:tc>
                  <w:tcPr>
                    <w:tcW w:w="983" w:type="pct"/>
                    <w:vAlign w:val="center"/>
                  </w:tcPr>
                  <w:p w:rsidR="00DE031E" w:rsidRDefault="001C1A59" w:rsidP="00DE031E">
                    <w:pPr>
                      <w:jc w:val="right"/>
                      <w:rPr>
                        <w:color w:val="000000" w:themeColor="text1"/>
                      </w:rPr>
                    </w:pPr>
                    <w:r>
                      <w:rPr>
                        <w:color w:val="000000" w:themeColor="text1"/>
                      </w:rPr>
                      <w:t>244,850,044.35</w:t>
                    </w:r>
                  </w:p>
                </w:tc>
              </w:sdtContent>
            </w:sdt>
          </w:tr>
          <w:tr w:rsidR="00DE031E" w:rsidTr="00DE031E">
            <w:trPr>
              <w:jc w:val="center"/>
            </w:trPr>
            <w:tc>
              <w:tcPr>
                <w:tcW w:w="2885" w:type="pct"/>
              </w:tcPr>
              <w:p w:rsidR="00DE031E" w:rsidRDefault="001C1A59">
                <w:r w:rsidRPr="00F26E7E">
                  <w:rPr>
                    <w:rFonts w:hint="eastAsia"/>
                  </w:rPr>
                  <w:t>以公允价值计量且其变动计入当期损益的金融负债</w:t>
                </w:r>
              </w:p>
            </w:tc>
            <w:sdt>
              <w:sdtPr>
                <w:rPr>
                  <w:color w:val="000000" w:themeColor="text1"/>
                </w:rPr>
                <w:alias w:val="交易性金融负债（公允价值变动）"/>
                <w:tag w:val="_GBC_7e200d1bd121445db2c234d3b0c81389"/>
                <w:id w:val="24725775"/>
                <w:lock w:val="sdtLocked"/>
              </w:sdtPr>
              <w:sdtContent>
                <w:tc>
                  <w:tcPr>
                    <w:tcW w:w="1132" w:type="pct"/>
                    <w:vAlign w:val="center"/>
                  </w:tcPr>
                  <w:p w:rsidR="00DE031E" w:rsidRDefault="001C1A59" w:rsidP="00DE031E">
                    <w:pPr>
                      <w:jc w:val="right"/>
                      <w:rPr>
                        <w:color w:val="000000" w:themeColor="text1"/>
                      </w:rPr>
                    </w:pPr>
                    <w:r>
                      <w:rPr>
                        <w:color w:val="000000" w:themeColor="text1"/>
                      </w:rPr>
                      <w:t>4,528,346.11</w:t>
                    </w:r>
                  </w:p>
                </w:tc>
              </w:sdtContent>
            </w:sdt>
            <w:sdt>
              <w:sdtPr>
                <w:rPr>
                  <w:color w:val="000000" w:themeColor="text1"/>
                </w:rPr>
                <w:alias w:val="交易性金融负债（公允价值变动）"/>
                <w:tag w:val="_GBC_986e6d8a03f34b17945bbb83cbafca1b"/>
                <w:id w:val="24725776"/>
                <w:lock w:val="sdtLocked"/>
              </w:sdtPr>
              <w:sdtContent>
                <w:tc>
                  <w:tcPr>
                    <w:tcW w:w="983" w:type="pct"/>
                    <w:vAlign w:val="center"/>
                  </w:tcPr>
                  <w:p w:rsidR="00DE031E" w:rsidRDefault="001C1A59" w:rsidP="00DE031E">
                    <w:pPr>
                      <w:jc w:val="right"/>
                      <w:rPr>
                        <w:color w:val="000000" w:themeColor="text1"/>
                      </w:rPr>
                    </w:pPr>
                    <w:r>
                      <w:rPr>
                        <w:color w:val="000000" w:themeColor="text1"/>
                      </w:rPr>
                      <w:t>14,704,940.43</w:t>
                    </w:r>
                  </w:p>
                </w:tc>
              </w:sdtContent>
            </w:sdt>
          </w:tr>
          <w:tr w:rsidR="00DE031E" w:rsidTr="00DE031E">
            <w:trPr>
              <w:jc w:val="center"/>
            </w:trPr>
            <w:tc>
              <w:tcPr>
                <w:tcW w:w="2885" w:type="pct"/>
              </w:tcPr>
              <w:p w:rsidR="00DE031E" w:rsidRDefault="001C1A59">
                <w:r>
                  <w:rPr>
                    <w:rFonts w:hint="eastAsia"/>
                  </w:rPr>
                  <w:t>衍生金融工具</w:t>
                </w:r>
              </w:p>
            </w:tc>
            <w:sdt>
              <w:sdtPr>
                <w:rPr>
                  <w:color w:val="000000" w:themeColor="text1"/>
                </w:rPr>
                <w:alias w:val="衍生金融工具产生的公允价值变动收益"/>
                <w:tag w:val="_GBC_f68862cabf304c6d86e3965223dff9cf"/>
                <w:id w:val="24725777"/>
                <w:lock w:val="sdtLocked"/>
              </w:sdtPr>
              <w:sdtContent>
                <w:tc>
                  <w:tcPr>
                    <w:tcW w:w="1132" w:type="pct"/>
                    <w:vAlign w:val="center"/>
                  </w:tcPr>
                  <w:p w:rsidR="00DE031E" w:rsidRDefault="001C1A59" w:rsidP="00DE031E">
                    <w:pPr>
                      <w:jc w:val="right"/>
                      <w:rPr>
                        <w:color w:val="000000" w:themeColor="text1"/>
                      </w:rPr>
                    </w:pPr>
                    <w:r>
                      <w:rPr>
                        <w:color w:val="000000" w:themeColor="text1"/>
                      </w:rPr>
                      <w:t>-1,221,769,253.21</w:t>
                    </w:r>
                  </w:p>
                </w:tc>
              </w:sdtContent>
            </w:sdt>
            <w:sdt>
              <w:sdtPr>
                <w:rPr>
                  <w:color w:val="000000" w:themeColor="text1"/>
                </w:rPr>
                <w:alias w:val="衍生金融工具产生的公允价值变动收益"/>
                <w:tag w:val="_GBC_888dce54b1eb4382bbd2e03652c9dedc"/>
                <w:id w:val="24725778"/>
                <w:lock w:val="sdtLocked"/>
              </w:sdtPr>
              <w:sdtContent>
                <w:tc>
                  <w:tcPr>
                    <w:tcW w:w="983" w:type="pct"/>
                    <w:vAlign w:val="center"/>
                  </w:tcPr>
                  <w:p w:rsidR="00DE031E" w:rsidRDefault="001C1A59" w:rsidP="00DE031E">
                    <w:pPr>
                      <w:jc w:val="right"/>
                      <w:rPr>
                        <w:color w:val="000000" w:themeColor="text1"/>
                      </w:rPr>
                    </w:pPr>
                    <w:r>
                      <w:rPr>
                        <w:color w:val="000000" w:themeColor="text1"/>
                      </w:rPr>
                      <w:t>-314,280,200.89</w:t>
                    </w:r>
                  </w:p>
                </w:tc>
              </w:sdtContent>
            </w:sdt>
          </w:tr>
          <w:tr w:rsidR="00DE031E" w:rsidTr="00DE031E">
            <w:trPr>
              <w:jc w:val="center"/>
            </w:trPr>
            <w:tc>
              <w:tcPr>
                <w:tcW w:w="2885" w:type="pct"/>
              </w:tcPr>
              <w:p w:rsidR="00DE031E" w:rsidRDefault="001C1A59">
                <w:pPr>
                  <w:autoSpaceDE w:val="0"/>
                  <w:autoSpaceDN w:val="0"/>
                  <w:adjustRightInd w:val="0"/>
                  <w:jc w:val="center"/>
                </w:pPr>
                <w:r>
                  <w:t>合计</w:t>
                </w:r>
              </w:p>
            </w:tc>
            <w:sdt>
              <w:sdtPr>
                <w:rPr>
                  <w:color w:val="000000" w:themeColor="text1"/>
                </w:rPr>
                <w:alias w:val="公允价值变动收益"/>
                <w:tag w:val="_GBC_5a727d5ad2a24671b61d476c45200ee2"/>
                <w:id w:val="24725779"/>
                <w:lock w:val="sdtLocked"/>
              </w:sdtPr>
              <w:sdtContent>
                <w:tc>
                  <w:tcPr>
                    <w:tcW w:w="1132" w:type="pct"/>
                    <w:vAlign w:val="center"/>
                  </w:tcPr>
                  <w:p w:rsidR="00DE031E" w:rsidRDefault="001C1A59" w:rsidP="00DE031E">
                    <w:pPr>
                      <w:jc w:val="right"/>
                      <w:rPr>
                        <w:color w:val="000000" w:themeColor="text1"/>
                      </w:rPr>
                    </w:pPr>
                    <w:r>
                      <w:rPr>
                        <w:color w:val="000000" w:themeColor="text1"/>
                      </w:rPr>
                      <w:t>2,605,096,467.83</w:t>
                    </w:r>
                  </w:p>
                </w:tc>
              </w:sdtContent>
            </w:sdt>
            <w:sdt>
              <w:sdtPr>
                <w:rPr>
                  <w:color w:val="000000" w:themeColor="text1"/>
                </w:rPr>
                <w:alias w:val="公允价值变动收益"/>
                <w:tag w:val="_GBC_2584e19f79204973a05052225bedd6a9"/>
                <w:id w:val="24725780"/>
                <w:lock w:val="sdtLocked"/>
              </w:sdtPr>
              <w:sdtContent>
                <w:tc>
                  <w:tcPr>
                    <w:tcW w:w="983" w:type="pct"/>
                    <w:vAlign w:val="center"/>
                  </w:tcPr>
                  <w:p w:rsidR="00DE031E" w:rsidRDefault="001C1A59" w:rsidP="00DE031E">
                    <w:pPr>
                      <w:jc w:val="right"/>
                      <w:rPr>
                        <w:color w:val="000000" w:themeColor="text1"/>
                      </w:rPr>
                    </w:pPr>
                    <w:r>
                      <w:rPr>
                        <w:color w:val="000000" w:themeColor="text1"/>
                      </w:rPr>
                      <w:t>-54,725,216.11</w:t>
                    </w:r>
                  </w:p>
                </w:tc>
              </w:sdtContent>
            </w:sdt>
          </w:tr>
        </w:tbl>
        <w:sdt>
          <w:sdtPr>
            <w:rPr>
              <w:color w:val="000000" w:themeColor="text1"/>
            </w:rPr>
            <w:alias w:val="公允价值变动收益的说明"/>
            <w:tag w:val="_GBC_e2c39b89540e46589053a5eef477596d"/>
            <w:id w:val="24725781"/>
            <w:lock w:val="sdtLocked"/>
            <w:placeholder>
              <w:docPart w:val="GBC22222222222222222222222222222"/>
            </w:placeholder>
          </w:sdtPr>
          <w:sdtContent>
            <w:p w:rsidR="00DE031E" w:rsidRPr="00A81DED" w:rsidRDefault="001C1A59" w:rsidP="003A0284">
              <w:pPr>
                <w:widowControl w:val="0"/>
                <w:autoSpaceDE w:val="0"/>
                <w:autoSpaceDN w:val="0"/>
                <w:adjustRightInd w:val="0"/>
                <w:spacing w:beforeLines="50" w:line="360" w:lineRule="auto"/>
                <w:ind w:firstLineChars="200" w:firstLine="420"/>
                <w:rPr>
                  <w:color w:val="000000" w:themeColor="text1"/>
                </w:rPr>
              </w:pPr>
              <w:r>
                <w:rPr>
                  <w:rFonts w:hAnsi="Calibri" w:hint="eastAsia"/>
                  <w:sz w:val="22"/>
                  <w:szCs w:val="22"/>
                </w:rPr>
                <w:t>本期公允价值变动收益较上年同期增加</w:t>
              </w:r>
              <w:r>
                <w:rPr>
                  <w:rFonts w:ascii="Arial" w:hAnsi="Arial" w:cs="Arial" w:hint="eastAsia"/>
                  <w:sz w:val="22"/>
                  <w:szCs w:val="22"/>
                </w:rPr>
                <w:t>2</w:t>
              </w:r>
              <w:r>
                <w:rPr>
                  <w:rFonts w:ascii="Arial" w:hAnsi="Arial" w:cs="Arial"/>
                  <w:sz w:val="22"/>
                  <w:szCs w:val="22"/>
                </w:rPr>
                <w:t>,</w:t>
              </w:r>
              <w:r>
                <w:rPr>
                  <w:rFonts w:ascii="Arial" w:hAnsi="Arial" w:cs="Arial" w:hint="eastAsia"/>
                  <w:sz w:val="22"/>
                  <w:szCs w:val="22"/>
                </w:rPr>
                <w:t>659</w:t>
              </w:r>
              <w:r>
                <w:rPr>
                  <w:rFonts w:ascii="Arial" w:hAnsi="Arial" w:cs="Arial"/>
                  <w:sz w:val="22"/>
                  <w:szCs w:val="22"/>
                </w:rPr>
                <w:t>,</w:t>
              </w:r>
              <w:r>
                <w:rPr>
                  <w:rFonts w:ascii="Arial" w:hAnsi="Arial" w:cs="Arial" w:hint="eastAsia"/>
                  <w:sz w:val="22"/>
                  <w:szCs w:val="22"/>
                </w:rPr>
                <w:t>821</w:t>
              </w:r>
              <w:r>
                <w:rPr>
                  <w:rFonts w:ascii="Arial" w:hAnsi="Arial" w:cs="Arial"/>
                  <w:sz w:val="22"/>
                  <w:szCs w:val="22"/>
                </w:rPr>
                <w:t>,</w:t>
              </w:r>
              <w:r>
                <w:rPr>
                  <w:rFonts w:ascii="Arial" w:hAnsi="Arial" w:cs="Arial" w:hint="eastAsia"/>
                  <w:sz w:val="22"/>
                  <w:szCs w:val="22"/>
                </w:rPr>
                <w:t>683</w:t>
              </w:r>
              <w:r>
                <w:rPr>
                  <w:rFonts w:ascii="Arial" w:hAnsi="Arial" w:cs="Arial"/>
                  <w:sz w:val="22"/>
                  <w:szCs w:val="22"/>
                </w:rPr>
                <w:t>.</w:t>
              </w:r>
              <w:r>
                <w:rPr>
                  <w:rFonts w:ascii="Arial" w:hAnsi="Arial" w:cs="Arial" w:hint="eastAsia"/>
                  <w:sz w:val="22"/>
                  <w:szCs w:val="22"/>
                </w:rPr>
                <w:t>94</w:t>
              </w:r>
              <w:r>
                <w:rPr>
                  <w:rFonts w:hAnsi="Calibri" w:hint="eastAsia"/>
                  <w:sz w:val="22"/>
                  <w:szCs w:val="22"/>
                </w:rPr>
                <w:t>元，主要是由于以公允价值计量且其变动计入当期损益的金融资产公允价值变动所致。</w:t>
              </w:r>
            </w:p>
          </w:sdtContent>
        </w:sdt>
      </w:sdtContent>
    </w:sdt>
    <w:sdt>
      <w:sdtPr>
        <w:rPr>
          <w:rFonts w:ascii="宋体" w:hAnsi="宋体" w:cs="宋体" w:hint="eastAsia"/>
          <w:b w:val="0"/>
          <w:bCs w:val="0"/>
          <w:kern w:val="0"/>
          <w:szCs w:val="21"/>
        </w:rPr>
        <w:tag w:val="_GBC_7dad987952fd4d2aba478caee8b2b0ed"/>
        <w:id w:val="24725786"/>
        <w:lock w:val="sdtLocked"/>
        <w:placeholder>
          <w:docPart w:val="GBC22222222222222222222222222222"/>
        </w:placeholder>
      </w:sdtPr>
      <w:sdtContent>
        <w:p w:rsidR="00DE031E" w:rsidRPr="00D73AB7" w:rsidRDefault="001C1A59" w:rsidP="009950AC">
          <w:pPr>
            <w:pStyle w:val="3"/>
            <w:numPr>
              <w:ilvl w:val="0"/>
              <w:numId w:val="41"/>
            </w:numPr>
            <w:tabs>
              <w:tab w:val="left" w:pos="504"/>
            </w:tabs>
            <w:spacing w:line="360" w:lineRule="auto"/>
            <w:rPr>
              <w:shd w:val="clear" w:color="auto" w:fill="FFFFFF"/>
            </w:rPr>
          </w:pPr>
          <w:r w:rsidRPr="00D73AB7">
            <w:rPr>
              <w:rFonts w:hint="eastAsia"/>
              <w:shd w:val="clear" w:color="auto" w:fill="FFFFFF"/>
            </w:rPr>
            <w:t>其他业务收入</w:t>
          </w:r>
        </w:p>
        <w:sdt>
          <w:sdtPr>
            <w:rPr>
              <w:rFonts w:hint="eastAsia"/>
              <w:szCs w:val="21"/>
            </w:rPr>
            <w:alias w:val="其他业务收入情况说明"/>
            <w:tag w:val="_GBC_5a7c6db7f16f4b46b750aa38e55ef85f"/>
            <w:id w:val="24725785"/>
            <w:lock w:val="sdtLocked"/>
            <w:placeholder>
              <w:docPart w:val="GBC22222222222222222222222222222"/>
            </w:placeholder>
          </w:sdtPr>
          <w:sdtContent>
            <w:p w:rsidR="00DE031E" w:rsidRDefault="001C1A59" w:rsidP="00DE031E">
              <w:pPr>
                <w:jc w:val="right"/>
                <w:rPr>
                  <w:szCs w:val="21"/>
                </w:rPr>
              </w:pPr>
              <w:r>
                <w:rPr>
                  <w:rFonts w:hint="eastAsia"/>
                </w:rPr>
                <w:t>单位：</w:t>
              </w:r>
              <w:sdt>
                <w:sdtPr>
                  <w:rPr>
                    <w:rFonts w:hint="eastAsia"/>
                  </w:rPr>
                  <w:alias w:val="单位：财务附注：营业税金及附加"/>
                  <w:tag w:val="_GBC_6702fa400ded44aba76c49803b2e87e0"/>
                  <w:id w:val="24725783"/>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税金及附加"/>
                  <w:tag w:val="_GBC_8cb15e4c097a4f419dfede44ff4203e5"/>
                  <w:id w:val="2472578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6"/>
                <w:gridCol w:w="2856"/>
                <w:gridCol w:w="2767"/>
              </w:tblGrid>
              <w:tr w:rsidR="00DE031E" w:rsidRPr="000D56C4" w:rsidTr="00DE031E">
                <w:tc>
                  <w:tcPr>
                    <w:tcW w:w="1893" w:type="pct"/>
                  </w:tcPr>
                  <w:p w:rsidR="00DE031E" w:rsidRPr="000D56C4" w:rsidRDefault="001C1A59" w:rsidP="00DE031E">
                    <w:pPr>
                      <w:jc w:val="center"/>
                      <w:rPr>
                        <w:color w:val="FF00FF"/>
                        <w:szCs w:val="21"/>
                      </w:rPr>
                    </w:pPr>
                    <w:r w:rsidRPr="000D56C4">
                      <w:rPr>
                        <w:szCs w:val="21"/>
                      </w:rPr>
                      <w:t>项目</w:t>
                    </w:r>
                  </w:p>
                </w:tc>
                <w:tc>
                  <w:tcPr>
                    <w:tcW w:w="1578" w:type="pct"/>
                  </w:tcPr>
                  <w:p w:rsidR="00DE031E" w:rsidRPr="000D56C4" w:rsidRDefault="001C1A59" w:rsidP="00DE031E">
                    <w:pPr>
                      <w:autoSpaceDE w:val="0"/>
                      <w:autoSpaceDN w:val="0"/>
                      <w:adjustRightInd w:val="0"/>
                      <w:jc w:val="center"/>
                      <w:rPr>
                        <w:szCs w:val="21"/>
                      </w:rPr>
                    </w:pPr>
                    <w:r w:rsidRPr="000D56C4">
                      <w:rPr>
                        <w:szCs w:val="21"/>
                      </w:rPr>
                      <w:t>本期发生额</w:t>
                    </w:r>
                  </w:p>
                </w:tc>
                <w:tc>
                  <w:tcPr>
                    <w:tcW w:w="1529" w:type="pct"/>
                  </w:tcPr>
                  <w:p w:rsidR="00DE031E" w:rsidRPr="000D56C4" w:rsidRDefault="001C1A59" w:rsidP="00DE031E">
                    <w:pPr>
                      <w:autoSpaceDE w:val="0"/>
                      <w:autoSpaceDN w:val="0"/>
                      <w:adjustRightInd w:val="0"/>
                      <w:jc w:val="center"/>
                      <w:rPr>
                        <w:szCs w:val="21"/>
                      </w:rPr>
                    </w:pPr>
                    <w:r w:rsidRPr="000D56C4">
                      <w:rPr>
                        <w:szCs w:val="21"/>
                      </w:rPr>
                      <w:t>上期发生额</w:t>
                    </w:r>
                  </w:p>
                </w:tc>
              </w:tr>
              <w:tr w:rsidR="00DE031E" w:rsidRPr="000D56C4" w:rsidTr="00DE031E">
                <w:tc>
                  <w:tcPr>
                    <w:tcW w:w="1893" w:type="pct"/>
                    <w:vAlign w:val="center"/>
                  </w:tcPr>
                  <w:p w:rsidR="00DE031E" w:rsidRPr="000D56C4" w:rsidRDefault="001C1A59" w:rsidP="00DE031E">
                    <w:pPr>
                      <w:jc w:val="both"/>
                      <w:rPr>
                        <w:color w:val="000000"/>
                        <w:szCs w:val="21"/>
                      </w:rPr>
                    </w:pPr>
                    <w:r w:rsidRPr="000D56C4">
                      <w:rPr>
                        <w:rFonts w:hint="eastAsia"/>
                        <w:color w:val="000000"/>
                        <w:szCs w:val="21"/>
                      </w:rPr>
                      <w:t>租赁收入</w:t>
                    </w:r>
                  </w:p>
                </w:tc>
                <w:tc>
                  <w:tcPr>
                    <w:tcW w:w="1578" w:type="pct"/>
                    <w:vAlign w:val="center"/>
                  </w:tcPr>
                  <w:p w:rsidR="00DE031E" w:rsidRPr="000D56C4" w:rsidRDefault="001C1A59" w:rsidP="00DE031E">
                    <w:pPr>
                      <w:jc w:val="right"/>
                      <w:rPr>
                        <w:rFonts w:cs="Arial"/>
                        <w:color w:val="000000"/>
                        <w:szCs w:val="21"/>
                      </w:rPr>
                    </w:pPr>
                    <w:r w:rsidRPr="000D56C4">
                      <w:rPr>
                        <w:rFonts w:cs="Arial"/>
                        <w:color w:val="000000"/>
                        <w:szCs w:val="21"/>
                      </w:rPr>
                      <w:t>4,234,660.31</w:t>
                    </w:r>
                  </w:p>
                </w:tc>
                <w:tc>
                  <w:tcPr>
                    <w:tcW w:w="1529" w:type="pct"/>
                    <w:vAlign w:val="center"/>
                  </w:tcPr>
                  <w:p w:rsidR="00DE031E" w:rsidRPr="000D56C4" w:rsidRDefault="001C1A59" w:rsidP="00DE031E">
                    <w:pPr>
                      <w:jc w:val="right"/>
                      <w:rPr>
                        <w:rFonts w:cs="Arial"/>
                        <w:color w:val="000000"/>
                        <w:szCs w:val="21"/>
                      </w:rPr>
                    </w:pPr>
                    <w:r w:rsidRPr="000D56C4">
                      <w:rPr>
                        <w:rFonts w:cs="Arial"/>
                        <w:color w:val="000000"/>
                        <w:szCs w:val="21"/>
                      </w:rPr>
                      <w:t>3,754,061.38</w:t>
                    </w:r>
                  </w:p>
                </w:tc>
              </w:tr>
              <w:tr w:rsidR="00DE031E" w:rsidRPr="000D56C4" w:rsidTr="00DE031E">
                <w:tc>
                  <w:tcPr>
                    <w:tcW w:w="1893" w:type="pct"/>
                    <w:vAlign w:val="center"/>
                  </w:tcPr>
                  <w:p w:rsidR="00DE031E" w:rsidRPr="000D56C4" w:rsidRDefault="001C1A59" w:rsidP="00DE031E">
                    <w:pPr>
                      <w:jc w:val="both"/>
                      <w:rPr>
                        <w:color w:val="000000"/>
                        <w:szCs w:val="21"/>
                      </w:rPr>
                    </w:pPr>
                    <w:r w:rsidRPr="000D56C4">
                      <w:rPr>
                        <w:rFonts w:hint="eastAsia"/>
                        <w:color w:val="000000"/>
                        <w:szCs w:val="21"/>
                      </w:rPr>
                      <w:t>三代手续费收入</w:t>
                    </w:r>
                  </w:p>
                </w:tc>
                <w:tc>
                  <w:tcPr>
                    <w:tcW w:w="1578" w:type="pct"/>
                    <w:vAlign w:val="center"/>
                  </w:tcPr>
                  <w:p w:rsidR="00DE031E" w:rsidRPr="000D56C4" w:rsidRDefault="001C1A59" w:rsidP="00DE031E">
                    <w:pPr>
                      <w:jc w:val="right"/>
                      <w:rPr>
                        <w:rFonts w:cs="Arial"/>
                        <w:color w:val="000000"/>
                        <w:szCs w:val="21"/>
                      </w:rPr>
                    </w:pPr>
                    <w:r w:rsidRPr="000D56C4">
                      <w:rPr>
                        <w:rFonts w:cs="Arial"/>
                        <w:color w:val="000000"/>
                        <w:szCs w:val="21"/>
                      </w:rPr>
                      <w:t>414</w:t>
                    </w:r>
                    <w:r>
                      <w:rPr>
                        <w:rFonts w:cs="Arial" w:hint="eastAsia"/>
                        <w:color w:val="000000"/>
                        <w:szCs w:val="21"/>
                      </w:rPr>
                      <w:t>,6</w:t>
                    </w:r>
                    <w:r w:rsidRPr="000D56C4">
                      <w:rPr>
                        <w:rFonts w:cs="Arial"/>
                        <w:color w:val="000000"/>
                        <w:szCs w:val="21"/>
                      </w:rPr>
                      <w:t>45.09</w:t>
                    </w:r>
                  </w:p>
                </w:tc>
                <w:tc>
                  <w:tcPr>
                    <w:tcW w:w="1529" w:type="pct"/>
                    <w:vAlign w:val="center"/>
                  </w:tcPr>
                  <w:p w:rsidR="00DE031E" w:rsidRPr="000D56C4" w:rsidRDefault="001C1A59" w:rsidP="00DE031E">
                    <w:pPr>
                      <w:jc w:val="right"/>
                      <w:rPr>
                        <w:rFonts w:cs="Arial"/>
                        <w:color w:val="000000"/>
                        <w:szCs w:val="21"/>
                      </w:rPr>
                    </w:pPr>
                    <w:r w:rsidRPr="000D56C4">
                      <w:rPr>
                        <w:rFonts w:cs="Arial"/>
                        <w:color w:val="000000"/>
                        <w:szCs w:val="21"/>
                      </w:rPr>
                      <w:t>3,911,820.89</w:t>
                    </w:r>
                  </w:p>
                </w:tc>
              </w:tr>
              <w:tr w:rsidR="00DE031E" w:rsidRPr="000D56C4" w:rsidTr="00DE031E">
                <w:tc>
                  <w:tcPr>
                    <w:tcW w:w="1893" w:type="pct"/>
                    <w:vAlign w:val="center"/>
                  </w:tcPr>
                  <w:p w:rsidR="00DE031E" w:rsidRPr="000D56C4" w:rsidRDefault="001C1A59" w:rsidP="00DE031E">
                    <w:pPr>
                      <w:jc w:val="both"/>
                      <w:rPr>
                        <w:color w:val="000000"/>
                        <w:szCs w:val="21"/>
                      </w:rPr>
                    </w:pPr>
                    <w:r w:rsidRPr="000D56C4">
                      <w:rPr>
                        <w:rFonts w:hint="eastAsia"/>
                        <w:color w:val="000000"/>
                        <w:szCs w:val="21"/>
                      </w:rPr>
                      <w:t>其他</w:t>
                    </w:r>
                  </w:p>
                </w:tc>
                <w:tc>
                  <w:tcPr>
                    <w:tcW w:w="1578" w:type="pct"/>
                    <w:vAlign w:val="center"/>
                  </w:tcPr>
                  <w:p w:rsidR="00DE031E" w:rsidRPr="000D56C4" w:rsidRDefault="001C1A59" w:rsidP="00DE031E">
                    <w:pPr>
                      <w:jc w:val="right"/>
                      <w:rPr>
                        <w:rFonts w:cs="Arial"/>
                        <w:color w:val="000000"/>
                        <w:szCs w:val="21"/>
                      </w:rPr>
                    </w:pPr>
                    <w:r w:rsidRPr="000D56C4">
                      <w:rPr>
                        <w:rFonts w:cs="Arial"/>
                        <w:color w:val="000000"/>
                        <w:szCs w:val="21"/>
                      </w:rPr>
                      <w:t>3</w:t>
                    </w:r>
                    <w:r>
                      <w:rPr>
                        <w:rFonts w:cs="Arial" w:hint="eastAsia"/>
                        <w:color w:val="000000"/>
                        <w:szCs w:val="21"/>
                      </w:rPr>
                      <w:t>,3</w:t>
                    </w:r>
                    <w:r w:rsidRPr="000D56C4">
                      <w:rPr>
                        <w:rFonts w:cs="Arial"/>
                        <w:color w:val="000000"/>
                        <w:szCs w:val="21"/>
                      </w:rPr>
                      <w:t>13</w:t>
                    </w:r>
                    <w:r>
                      <w:rPr>
                        <w:rFonts w:cs="Arial" w:hint="eastAsia"/>
                        <w:color w:val="000000"/>
                        <w:szCs w:val="21"/>
                      </w:rPr>
                      <w:t>,</w:t>
                    </w:r>
                    <w:r w:rsidRPr="000D56C4">
                      <w:rPr>
                        <w:rFonts w:cs="Arial"/>
                        <w:color w:val="000000"/>
                        <w:szCs w:val="21"/>
                      </w:rPr>
                      <w:t>172.47</w:t>
                    </w:r>
                  </w:p>
                </w:tc>
                <w:tc>
                  <w:tcPr>
                    <w:tcW w:w="1529" w:type="pct"/>
                    <w:vAlign w:val="center"/>
                  </w:tcPr>
                  <w:p w:rsidR="00DE031E" w:rsidRPr="000D56C4" w:rsidRDefault="001C1A59" w:rsidP="00E057B8">
                    <w:pPr>
                      <w:jc w:val="right"/>
                      <w:rPr>
                        <w:rFonts w:cs="Arial"/>
                        <w:color w:val="000000"/>
                        <w:szCs w:val="21"/>
                      </w:rPr>
                    </w:pPr>
                    <w:r w:rsidRPr="000D56C4">
                      <w:rPr>
                        <w:rFonts w:cs="Arial"/>
                        <w:color w:val="000000"/>
                        <w:szCs w:val="21"/>
                      </w:rPr>
                      <w:t>9,5</w:t>
                    </w:r>
                    <w:r w:rsidR="00E057B8">
                      <w:rPr>
                        <w:rFonts w:cs="Arial" w:hint="eastAsia"/>
                        <w:color w:val="000000"/>
                        <w:szCs w:val="21"/>
                      </w:rPr>
                      <w:t>77</w:t>
                    </w:r>
                    <w:r w:rsidRPr="000D56C4">
                      <w:rPr>
                        <w:rFonts w:cs="Arial"/>
                        <w:color w:val="000000"/>
                        <w:szCs w:val="21"/>
                      </w:rPr>
                      <w:t>.</w:t>
                    </w:r>
                    <w:r w:rsidR="00E057B8">
                      <w:rPr>
                        <w:rFonts w:cs="Arial" w:hint="eastAsia"/>
                        <w:color w:val="000000"/>
                        <w:szCs w:val="21"/>
                      </w:rPr>
                      <w:t>4</w:t>
                    </w:r>
                    <w:r w:rsidRPr="000D56C4">
                      <w:rPr>
                        <w:rFonts w:cs="Arial"/>
                        <w:color w:val="000000"/>
                        <w:szCs w:val="21"/>
                      </w:rPr>
                      <w:t>8</w:t>
                    </w:r>
                  </w:p>
                </w:tc>
              </w:tr>
              <w:tr w:rsidR="00DE031E" w:rsidRPr="000D56C4" w:rsidTr="00DE031E">
                <w:tc>
                  <w:tcPr>
                    <w:tcW w:w="1893" w:type="pct"/>
                    <w:vAlign w:val="center"/>
                  </w:tcPr>
                  <w:p w:rsidR="00DE031E" w:rsidRPr="000D56C4" w:rsidRDefault="001C1A59" w:rsidP="00DE031E">
                    <w:pPr>
                      <w:jc w:val="both"/>
                      <w:rPr>
                        <w:b/>
                        <w:bCs/>
                        <w:color w:val="000000"/>
                        <w:szCs w:val="21"/>
                      </w:rPr>
                    </w:pPr>
                    <w:r w:rsidRPr="000D56C4">
                      <w:rPr>
                        <w:rFonts w:hint="eastAsia"/>
                        <w:b/>
                        <w:bCs/>
                        <w:color w:val="000000"/>
                        <w:szCs w:val="21"/>
                      </w:rPr>
                      <w:t>合计</w:t>
                    </w:r>
                  </w:p>
                </w:tc>
                <w:tc>
                  <w:tcPr>
                    <w:tcW w:w="1578" w:type="pct"/>
                    <w:vAlign w:val="center"/>
                  </w:tcPr>
                  <w:p w:rsidR="00DE031E" w:rsidRPr="000D56C4" w:rsidRDefault="001C1A59" w:rsidP="00DE031E">
                    <w:pPr>
                      <w:jc w:val="right"/>
                      <w:rPr>
                        <w:rFonts w:cs="Arial"/>
                        <w:bCs/>
                        <w:color w:val="000000"/>
                        <w:szCs w:val="21"/>
                      </w:rPr>
                    </w:pPr>
                    <w:r w:rsidRPr="000D56C4">
                      <w:rPr>
                        <w:rFonts w:cs="Arial"/>
                        <w:bCs/>
                        <w:color w:val="000000"/>
                        <w:szCs w:val="21"/>
                      </w:rPr>
                      <w:t>7,962,477.87</w:t>
                    </w:r>
                  </w:p>
                </w:tc>
                <w:tc>
                  <w:tcPr>
                    <w:tcW w:w="1529" w:type="pct"/>
                    <w:vAlign w:val="center"/>
                  </w:tcPr>
                  <w:p w:rsidR="00DE031E" w:rsidRPr="000D56C4" w:rsidRDefault="001C1A59" w:rsidP="00E057B8">
                    <w:pPr>
                      <w:jc w:val="right"/>
                      <w:rPr>
                        <w:rFonts w:cs="Arial"/>
                        <w:bCs/>
                        <w:color w:val="000000"/>
                        <w:szCs w:val="21"/>
                      </w:rPr>
                    </w:pPr>
                    <w:r w:rsidRPr="000D56C4">
                      <w:rPr>
                        <w:rFonts w:cs="Arial"/>
                        <w:bCs/>
                        <w:color w:val="000000"/>
                        <w:szCs w:val="21"/>
                      </w:rPr>
                      <w:t>7,675,4</w:t>
                    </w:r>
                    <w:r w:rsidR="00E057B8">
                      <w:rPr>
                        <w:rFonts w:cs="Arial" w:hint="eastAsia"/>
                        <w:bCs/>
                        <w:color w:val="000000"/>
                        <w:szCs w:val="21"/>
                      </w:rPr>
                      <w:t>59</w:t>
                    </w:r>
                    <w:r w:rsidRPr="000D56C4">
                      <w:rPr>
                        <w:rFonts w:cs="Arial"/>
                        <w:bCs/>
                        <w:color w:val="000000"/>
                        <w:szCs w:val="21"/>
                      </w:rPr>
                      <w:t>.</w:t>
                    </w:r>
                    <w:r w:rsidR="00E057B8">
                      <w:rPr>
                        <w:rFonts w:cs="Arial" w:hint="eastAsia"/>
                        <w:bCs/>
                        <w:color w:val="000000"/>
                        <w:szCs w:val="21"/>
                      </w:rPr>
                      <w:t>7</w:t>
                    </w:r>
                    <w:r w:rsidRPr="000D56C4">
                      <w:rPr>
                        <w:rFonts w:cs="Arial"/>
                        <w:bCs/>
                        <w:color w:val="000000"/>
                        <w:szCs w:val="21"/>
                      </w:rPr>
                      <w:t>5</w:t>
                    </w:r>
                  </w:p>
                </w:tc>
              </w:tr>
            </w:tbl>
            <w:p w:rsidR="00DE031E" w:rsidRDefault="00422DCA">
              <w:pPr>
                <w:rPr>
                  <w:szCs w:val="21"/>
                </w:rPr>
              </w:pPr>
            </w:p>
          </w:sdtContent>
        </w:sdt>
      </w:sdtContent>
    </w:sdt>
    <w:sdt>
      <w:sdtPr>
        <w:rPr>
          <w:rFonts w:ascii="宋体" w:hAnsi="宋体" w:cs="宋体" w:hint="eastAsia"/>
          <w:b w:val="0"/>
          <w:bCs w:val="0"/>
          <w:kern w:val="0"/>
          <w:szCs w:val="21"/>
        </w:rPr>
        <w:tag w:val="_GBC_51bb194586fc45ea844a984a6da9228c"/>
        <w:id w:val="24725806"/>
        <w:lock w:val="sdtLocked"/>
        <w:placeholder>
          <w:docPart w:val="GBC22222222222222222222222222222"/>
        </w:placeholder>
      </w:sdtPr>
      <w:sdtContent>
        <w:p w:rsidR="00DE031E" w:rsidRDefault="001C1A59" w:rsidP="009950AC">
          <w:pPr>
            <w:pStyle w:val="3"/>
            <w:numPr>
              <w:ilvl w:val="0"/>
              <w:numId w:val="41"/>
            </w:numPr>
            <w:tabs>
              <w:tab w:val="left" w:pos="504"/>
            </w:tabs>
            <w:spacing w:line="360" w:lineRule="auto"/>
            <w:rPr>
              <w:szCs w:val="21"/>
            </w:rPr>
          </w:pPr>
          <w:r>
            <w:rPr>
              <w:shd w:val="clear" w:color="auto" w:fill="FFFFFF"/>
            </w:rPr>
            <w:t>营业</w:t>
          </w:r>
          <w:r>
            <w:rPr>
              <w:szCs w:val="21"/>
            </w:rPr>
            <w:t>税金及附加</w:t>
          </w:r>
        </w:p>
        <w:p w:rsidR="00DE031E" w:rsidRDefault="001C1A59">
          <w:pPr>
            <w:jc w:val="right"/>
          </w:pPr>
          <w:r>
            <w:rPr>
              <w:rFonts w:hint="eastAsia"/>
            </w:rPr>
            <w:t>单位：</w:t>
          </w:r>
          <w:sdt>
            <w:sdtPr>
              <w:rPr>
                <w:rFonts w:hint="eastAsia"/>
              </w:rPr>
              <w:alias w:val="单位：财务附注：营业税金及附加"/>
              <w:tag w:val="_GBC_6702fa400ded44aba76c49803b2e87e0"/>
              <w:id w:val="247257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税金及附加"/>
              <w:tag w:val="_GBC_8cb15e4c097a4f419dfede44ff4203e5"/>
              <w:id w:val="247257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shd w:val="clear" w:color="auto" w:fill="FFFFFF"/>
            <w:tblLook w:val="0000"/>
          </w:tblPr>
          <w:tblGrid>
            <w:gridCol w:w="2263"/>
            <w:gridCol w:w="2262"/>
            <w:gridCol w:w="2262"/>
            <w:gridCol w:w="2262"/>
          </w:tblGrid>
          <w:tr w:rsidR="00DE031E" w:rsidTr="00DD2B7A">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center"/>
                  <w:rPr>
                    <w:szCs w:val="21"/>
                    <w:shd w:val="clear" w:color="auto" w:fill="FFFFFF"/>
                  </w:rPr>
                </w:pPr>
                <w:r>
                  <w:rPr>
                    <w:rFonts w:hint="eastAsia"/>
                    <w:szCs w:val="21"/>
                    <w:shd w:val="clear" w:color="auto" w:fill="FFFFFF"/>
                  </w:rPr>
                  <w:t>项目</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center"/>
                  <w:rPr>
                    <w:szCs w:val="21"/>
                    <w:shd w:val="clear" w:color="auto" w:fill="FFFFFF"/>
                  </w:rPr>
                </w:pPr>
                <w:r>
                  <w:rPr>
                    <w:rFonts w:hint="eastAsia"/>
                    <w:szCs w:val="21"/>
                    <w:shd w:val="clear" w:color="auto" w:fill="FFFFFF"/>
                  </w:rPr>
                  <w:t>本期发生额</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center"/>
                  <w:rPr>
                    <w:szCs w:val="21"/>
                    <w:shd w:val="clear" w:color="auto" w:fill="FFFFFF"/>
                  </w:rPr>
                </w:pPr>
                <w:r>
                  <w:rPr>
                    <w:rFonts w:hint="eastAsia"/>
                    <w:szCs w:val="21"/>
                    <w:shd w:val="clear" w:color="auto" w:fill="FFFFFF"/>
                  </w:rPr>
                  <w:t>上期发生额</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center"/>
                  <w:rPr>
                    <w:szCs w:val="21"/>
                    <w:shd w:val="clear" w:color="auto" w:fill="FFFFFF"/>
                  </w:rPr>
                </w:pPr>
                <w:r>
                  <w:rPr>
                    <w:rFonts w:hint="eastAsia"/>
                    <w:szCs w:val="21"/>
                    <w:shd w:val="clear" w:color="auto" w:fill="FFFFFF"/>
                  </w:rPr>
                  <w:t>计缴标准</w:t>
                </w:r>
              </w:p>
            </w:tc>
          </w:tr>
          <w:tr w:rsidR="00DE031E" w:rsidTr="00DD2B7A">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rPr>
                    <w:szCs w:val="21"/>
                    <w:shd w:val="clear" w:color="auto" w:fill="FFFFFF"/>
                  </w:rPr>
                </w:pPr>
                <w:r>
                  <w:rPr>
                    <w:rFonts w:hint="eastAsia"/>
                    <w:szCs w:val="21"/>
                    <w:shd w:val="clear" w:color="auto" w:fill="FFFFFF"/>
                  </w:rPr>
                  <w:t>营业税</w:t>
                </w:r>
              </w:p>
            </w:tc>
            <w:sdt>
              <w:sdtPr>
                <w:rPr>
                  <w:szCs w:val="21"/>
                  <w:shd w:val="clear" w:color="auto" w:fill="FFFFFF"/>
                </w:rPr>
                <w:alias w:val="主营业务税金及附加中的营业税"/>
                <w:tag w:val="_GBC_c3e9c12743da440b89b2c5e8a224bd3a"/>
                <w:id w:val="24725789"/>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852,272,452.89</w:t>
                    </w:r>
                  </w:p>
                </w:tc>
              </w:sdtContent>
            </w:sdt>
            <w:sdt>
              <w:sdtPr>
                <w:rPr>
                  <w:szCs w:val="21"/>
                  <w:shd w:val="clear" w:color="auto" w:fill="FFFFFF"/>
                </w:rPr>
                <w:alias w:val="主营业务税金及附加中的营业税"/>
                <w:tag w:val="_GBC_efca16b4434e46c1a227473f5960f3de"/>
                <w:id w:val="24725790"/>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185,325,268.76</w:t>
                    </w:r>
                  </w:p>
                </w:tc>
              </w:sdtContent>
            </w:sdt>
            <w:sdt>
              <w:sdtPr>
                <w:rPr>
                  <w:szCs w:val="21"/>
                  <w:shd w:val="clear" w:color="auto" w:fill="FFFFFF"/>
                </w:rPr>
                <w:alias w:val="营业税的计缴标准"/>
                <w:tag w:val="_GBC_ba48173a47ef4eb0808a20d29b4fe17d"/>
                <w:id w:val="24725791"/>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rFonts w:hint="eastAsia"/>
                        <w:szCs w:val="21"/>
                        <w:shd w:val="clear" w:color="auto" w:fill="FFFFFF"/>
                      </w:rPr>
                      <w:t>应纳营业税额</w:t>
                    </w:r>
                  </w:p>
                </w:tc>
              </w:sdtContent>
            </w:sdt>
          </w:tr>
          <w:tr w:rsidR="00DE031E" w:rsidTr="00DD2B7A">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rPr>
                    <w:szCs w:val="21"/>
                    <w:shd w:val="clear" w:color="auto" w:fill="FFFFFF"/>
                  </w:rPr>
                </w:pPr>
                <w:r>
                  <w:rPr>
                    <w:rFonts w:hint="eastAsia"/>
                    <w:szCs w:val="21"/>
                    <w:shd w:val="clear" w:color="auto" w:fill="FFFFFF"/>
                  </w:rPr>
                  <w:t>城市维护建设税</w:t>
                </w:r>
              </w:p>
            </w:tc>
            <w:sdt>
              <w:sdtPr>
                <w:rPr>
                  <w:szCs w:val="21"/>
                  <w:shd w:val="clear" w:color="auto" w:fill="FFFFFF"/>
                </w:rPr>
                <w:alias w:val="主营业务税金及附加中的城建税"/>
                <w:tag w:val="_GBC_43a201e01b8b43d88bb682a2b6634ede"/>
                <w:id w:val="24725792"/>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59,634,595.20</w:t>
                    </w:r>
                  </w:p>
                </w:tc>
              </w:sdtContent>
            </w:sdt>
            <w:sdt>
              <w:sdtPr>
                <w:rPr>
                  <w:szCs w:val="21"/>
                  <w:shd w:val="clear" w:color="auto" w:fill="FFFFFF"/>
                </w:rPr>
                <w:alias w:val="主营业务税金及附加中的城建税"/>
                <w:tag w:val="_GBC_f2d84c75cc1a47a8b4e8d1237647b6ff"/>
                <w:id w:val="24725793"/>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12,972,943.71</w:t>
                    </w:r>
                  </w:p>
                </w:tc>
              </w:sdtContent>
            </w:sdt>
            <w:sdt>
              <w:sdtPr>
                <w:rPr>
                  <w:szCs w:val="21"/>
                  <w:shd w:val="clear" w:color="auto" w:fill="FFFFFF"/>
                </w:rPr>
                <w:alias w:val="城建税的计缴标准"/>
                <w:tag w:val="_GBC_6034579ff26c4ad88ed937d6e9f0723f"/>
                <w:id w:val="24725794"/>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rFonts w:hint="eastAsia"/>
                        <w:szCs w:val="21"/>
                        <w:shd w:val="clear" w:color="auto" w:fill="FFFFFF"/>
                      </w:rPr>
                      <w:t>应缴流转税额</w:t>
                    </w:r>
                  </w:p>
                </w:tc>
              </w:sdtContent>
            </w:sdt>
          </w:tr>
          <w:tr w:rsidR="00DE031E" w:rsidTr="00DD2B7A">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rPr>
                    <w:szCs w:val="21"/>
                    <w:shd w:val="clear" w:color="auto" w:fill="FFFFFF"/>
                  </w:rPr>
                </w:pPr>
                <w:r>
                  <w:rPr>
                    <w:rFonts w:hint="eastAsia"/>
                    <w:szCs w:val="21"/>
                    <w:shd w:val="clear" w:color="auto" w:fill="FFFFFF"/>
                  </w:rPr>
                  <w:t>教育费附加</w:t>
                </w:r>
              </w:p>
            </w:tc>
            <w:sdt>
              <w:sdtPr>
                <w:rPr>
                  <w:szCs w:val="21"/>
                  <w:shd w:val="clear" w:color="auto" w:fill="FFFFFF"/>
                </w:rPr>
                <w:alias w:val="主营业务税金及附加中的教育费附加"/>
                <w:tag w:val="_GBC_ab1533b273734540b5c9bf06dc64f8a6"/>
                <w:id w:val="24725795"/>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42,613,611.48</w:t>
                    </w:r>
                  </w:p>
                </w:tc>
              </w:sdtContent>
            </w:sdt>
            <w:sdt>
              <w:sdtPr>
                <w:rPr>
                  <w:szCs w:val="21"/>
                  <w:shd w:val="clear" w:color="auto" w:fill="FFFFFF"/>
                </w:rPr>
                <w:alias w:val="主营业务税金及附加中的教育费附加"/>
                <w:tag w:val="_GBC_f9a7bd821eed4e6f86f0f9c09258f3e7"/>
                <w:id w:val="24725796"/>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9,193,505.35</w:t>
                    </w:r>
                  </w:p>
                </w:tc>
              </w:sdtContent>
            </w:sdt>
            <w:sdt>
              <w:sdtPr>
                <w:rPr>
                  <w:szCs w:val="21"/>
                  <w:shd w:val="clear" w:color="auto" w:fill="FFFFFF"/>
                </w:rPr>
                <w:alias w:val="教育费附加计缴标准"/>
                <w:tag w:val="_GBC_5eed53fc08964b0096d4f5a1f30f113a"/>
                <w:id w:val="24725797"/>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rsidP="00DE031E">
                    <w:pPr>
                      <w:jc w:val="right"/>
                      <w:rPr>
                        <w:szCs w:val="21"/>
                        <w:shd w:val="clear" w:color="auto" w:fill="FFFFFF"/>
                      </w:rPr>
                    </w:pPr>
                    <w:r>
                      <w:rPr>
                        <w:rFonts w:hint="eastAsia"/>
                        <w:szCs w:val="21"/>
                        <w:shd w:val="clear" w:color="auto" w:fill="FFFFFF"/>
                      </w:rPr>
                      <w:t>应缴流转税额</w:t>
                    </w:r>
                  </w:p>
                </w:tc>
              </w:sdtContent>
            </w:sdt>
          </w:tr>
          <w:sdt>
            <w:sdtPr>
              <w:rPr>
                <w:szCs w:val="21"/>
                <w:shd w:val="clear" w:color="auto" w:fill="FFFFFF"/>
              </w:rPr>
              <w:alias w:val="主营业务税金及附加明细"/>
              <w:tag w:val="_GBC_cf7cca826eb14584a92449e6216150f3"/>
              <w:id w:val="24725802"/>
              <w:lock w:val="sdtLocked"/>
            </w:sdtPr>
            <w:sdtContent>
              <w:tr w:rsidR="00DE031E" w:rsidTr="00DD2B7A">
                <w:sdt>
                  <w:sdtPr>
                    <w:rPr>
                      <w:szCs w:val="21"/>
                      <w:shd w:val="clear" w:color="auto" w:fill="FFFFFF"/>
                    </w:rPr>
                    <w:alias w:val="主营业务税金及附加项目"/>
                    <w:tag w:val="_GBC_739a5c0b06f1421ea738ebcb47bc81a1"/>
                    <w:id w:val="24725798"/>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rPr>
                            <w:szCs w:val="21"/>
                            <w:shd w:val="clear" w:color="auto" w:fill="FFFFFF"/>
                          </w:rPr>
                        </w:pPr>
                        <w:r>
                          <w:rPr>
                            <w:rFonts w:hint="eastAsia"/>
                            <w:szCs w:val="21"/>
                            <w:shd w:val="clear" w:color="auto" w:fill="FFFFFF"/>
                          </w:rPr>
                          <w:t>其他</w:t>
                        </w:r>
                      </w:p>
                    </w:tc>
                  </w:sdtContent>
                </w:sdt>
                <w:sdt>
                  <w:sdtPr>
                    <w:rPr>
                      <w:szCs w:val="21"/>
                      <w:shd w:val="clear" w:color="auto" w:fill="FFFFFF"/>
                    </w:rPr>
                    <w:alias w:val="主营业务税金及附加金额"/>
                    <w:tag w:val="_GBC_55968b7767064c29b156753c3427d939"/>
                    <w:id w:val="24725799"/>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2,776,980.28</w:t>
                        </w:r>
                      </w:p>
                    </w:tc>
                  </w:sdtContent>
                </w:sdt>
                <w:sdt>
                  <w:sdtPr>
                    <w:rPr>
                      <w:szCs w:val="21"/>
                      <w:shd w:val="clear" w:color="auto" w:fill="FFFFFF"/>
                    </w:rPr>
                    <w:alias w:val="主营业务税金及附加金额"/>
                    <w:tag w:val="_GBC_2ebce972aea24a1ea0485f14c16ca42e"/>
                    <w:id w:val="24725800"/>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1,007,082.16</w:t>
                        </w:r>
                      </w:p>
                    </w:tc>
                  </w:sdtContent>
                </w:sdt>
                <w:sdt>
                  <w:sdtPr>
                    <w:rPr>
                      <w:szCs w:val="21"/>
                      <w:shd w:val="clear" w:color="auto" w:fill="FFFFFF"/>
                    </w:rPr>
                    <w:alias w:val="主营业务税金及附加计缴标准"/>
                    <w:tag w:val="_GBC_166049412dfc49798a961b6d56808193"/>
                    <w:id w:val="24725801"/>
                    <w:lock w:val="sdtLocked"/>
                    <w:showingPlcHdr/>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rPr>
                            <w:szCs w:val="21"/>
                            <w:shd w:val="clear" w:color="auto" w:fill="FFFFFF"/>
                          </w:rPr>
                        </w:pPr>
                        <w:r>
                          <w:rPr>
                            <w:rFonts w:hint="eastAsia"/>
                            <w:color w:val="333399"/>
                          </w:rPr>
                          <w:t xml:space="preserve">　</w:t>
                        </w:r>
                      </w:p>
                    </w:tc>
                  </w:sdtContent>
                </w:sdt>
              </w:tr>
            </w:sdtContent>
          </w:sdt>
          <w:tr w:rsidR="00DE031E" w:rsidTr="00DD2B7A">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center"/>
                  <w:rPr>
                    <w:szCs w:val="21"/>
                    <w:shd w:val="clear" w:color="auto" w:fill="FFFFFF"/>
                  </w:rPr>
                </w:pPr>
                <w:r>
                  <w:rPr>
                    <w:rFonts w:hint="eastAsia"/>
                    <w:szCs w:val="21"/>
                    <w:shd w:val="clear" w:color="auto" w:fill="FFFFFF"/>
                  </w:rPr>
                  <w:t>合计</w:t>
                </w:r>
              </w:p>
            </w:tc>
            <w:sdt>
              <w:sdtPr>
                <w:rPr>
                  <w:szCs w:val="21"/>
                  <w:shd w:val="clear" w:color="auto" w:fill="FFFFFF"/>
                </w:rPr>
                <w:alias w:val="营业税金及附加"/>
                <w:tag w:val="_GBC_a27a0017849c43e3a777c0f07f60831a"/>
                <w:id w:val="24725803"/>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957,297,639.85</w:t>
                    </w:r>
                  </w:p>
                </w:tc>
              </w:sdtContent>
            </w:sdt>
            <w:sdt>
              <w:sdtPr>
                <w:rPr>
                  <w:szCs w:val="21"/>
                  <w:shd w:val="clear" w:color="auto" w:fill="FFFFFF"/>
                </w:rPr>
                <w:alias w:val="营业税金及附加"/>
                <w:tag w:val="_GBC_ece447b7b05542aca726c3267e9f948a"/>
                <w:id w:val="24725804"/>
                <w:lock w:val="sdtLocked"/>
              </w:sdtPr>
              <w:sdtConten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right"/>
                      <w:rPr>
                        <w:szCs w:val="21"/>
                        <w:shd w:val="clear" w:color="auto" w:fill="FFFFFF"/>
                      </w:rPr>
                    </w:pPr>
                    <w:r>
                      <w:rPr>
                        <w:szCs w:val="21"/>
                        <w:shd w:val="clear" w:color="auto" w:fill="FFFFFF"/>
                      </w:rPr>
                      <w:t>208,498,799.98</w:t>
                    </w:r>
                  </w:p>
                </w:tc>
              </w:sdtContent>
            </w:sdt>
            <w:tc>
              <w:tcPr>
                <w:tcW w:w="1250" w:type="pct"/>
                <w:tcBorders>
                  <w:top w:val="outset" w:sz="6" w:space="0" w:color="auto"/>
                  <w:left w:val="outset" w:sz="6" w:space="0" w:color="auto"/>
                  <w:bottom w:val="outset" w:sz="6" w:space="0" w:color="auto"/>
                  <w:right w:val="outset" w:sz="6" w:space="0" w:color="auto"/>
                </w:tcBorders>
                <w:shd w:val="clear" w:color="auto" w:fill="FFFFFF"/>
                <w:vAlign w:val="center"/>
              </w:tcPr>
              <w:p w:rsidR="00DE031E" w:rsidRDefault="001C1A59">
                <w:pPr>
                  <w:jc w:val="center"/>
                  <w:rPr>
                    <w:szCs w:val="21"/>
                    <w:shd w:val="clear" w:color="auto" w:fill="FFFFFF"/>
                  </w:rPr>
                </w:pPr>
                <w:r>
                  <w:rPr>
                    <w:rFonts w:hint="eastAsia"/>
                    <w:szCs w:val="21"/>
                    <w:shd w:val="clear" w:color="auto" w:fill="FFFFFF"/>
                  </w:rPr>
                  <w:t>/</w:t>
                </w:r>
              </w:p>
            </w:tc>
          </w:tr>
        </w:tbl>
        <w:sdt>
          <w:sdtPr>
            <w:rPr>
              <w:rFonts w:hint="eastAsia"/>
              <w:szCs w:val="21"/>
            </w:rPr>
            <w:alias w:val="主营业务税金及附加说明"/>
            <w:tag w:val="_GBC_abfe141292364b82aefe3571587d4171"/>
            <w:id w:val="24725805"/>
            <w:lock w:val="sdtLocked"/>
            <w:placeholder>
              <w:docPart w:val="GBC22222222222222222222222222222"/>
            </w:placeholder>
          </w:sdtPr>
          <w:sdtContent>
            <w:p w:rsidR="00DE031E" w:rsidRPr="006C677A" w:rsidRDefault="001C1A59" w:rsidP="003A0284">
              <w:pPr>
                <w:widowControl w:val="0"/>
                <w:autoSpaceDE w:val="0"/>
                <w:autoSpaceDN w:val="0"/>
                <w:adjustRightInd w:val="0"/>
                <w:spacing w:beforeLines="50" w:line="360" w:lineRule="auto"/>
                <w:ind w:firstLineChars="200" w:firstLine="420"/>
                <w:rPr>
                  <w:szCs w:val="21"/>
                </w:rPr>
              </w:pPr>
              <w:r w:rsidRPr="00211955">
                <w:rPr>
                  <w:rFonts w:asciiTheme="minorEastAsia" w:eastAsiaTheme="minorEastAsia" w:hAnsiTheme="minorEastAsia" w:hint="eastAsia"/>
                  <w:szCs w:val="21"/>
                </w:rPr>
                <w:t>本期营业税金及附加较上年同期增加</w:t>
              </w:r>
              <w:r w:rsidRPr="00211955">
                <w:rPr>
                  <w:rFonts w:asciiTheme="minorEastAsia" w:eastAsiaTheme="minorEastAsia" w:hAnsiTheme="minorEastAsia" w:cs="Arial" w:hint="eastAsia"/>
                  <w:szCs w:val="21"/>
                </w:rPr>
                <w:t>748</w:t>
              </w:r>
              <w:r w:rsidRPr="00211955">
                <w:rPr>
                  <w:rFonts w:asciiTheme="minorEastAsia" w:eastAsiaTheme="minorEastAsia" w:hAnsiTheme="minorEastAsia" w:cs="Arial"/>
                  <w:szCs w:val="21"/>
                </w:rPr>
                <w:t>,</w:t>
              </w:r>
              <w:r w:rsidRPr="00211955">
                <w:rPr>
                  <w:rFonts w:asciiTheme="minorEastAsia" w:eastAsiaTheme="minorEastAsia" w:hAnsiTheme="minorEastAsia" w:cs="Arial" w:hint="eastAsia"/>
                  <w:szCs w:val="21"/>
                </w:rPr>
                <w:t>798</w:t>
              </w:r>
              <w:r w:rsidRPr="00211955">
                <w:rPr>
                  <w:rFonts w:asciiTheme="minorEastAsia" w:eastAsiaTheme="minorEastAsia" w:hAnsiTheme="minorEastAsia" w:cs="Arial"/>
                  <w:szCs w:val="21"/>
                </w:rPr>
                <w:t>,</w:t>
              </w:r>
              <w:r w:rsidRPr="00211955">
                <w:rPr>
                  <w:rFonts w:asciiTheme="minorEastAsia" w:eastAsiaTheme="minorEastAsia" w:hAnsiTheme="minorEastAsia" w:cs="Arial" w:hint="eastAsia"/>
                  <w:szCs w:val="21"/>
                </w:rPr>
                <w:t>839</w:t>
              </w:r>
              <w:r w:rsidRPr="00211955">
                <w:rPr>
                  <w:rFonts w:asciiTheme="minorEastAsia" w:eastAsiaTheme="minorEastAsia" w:hAnsiTheme="minorEastAsia" w:cs="Arial"/>
                  <w:szCs w:val="21"/>
                </w:rPr>
                <w:t>.</w:t>
              </w:r>
              <w:r w:rsidRPr="00211955">
                <w:rPr>
                  <w:rFonts w:asciiTheme="minorEastAsia" w:eastAsiaTheme="minorEastAsia" w:hAnsiTheme="minorEastAsia" w:cs="Arial" w:hint="eastAsia"/>
                  <w:szCs w:val="21"/>
                </w:rPr>
                <w:t>87</w:t>
              </w:r>
              <w:r w:rsidRPr="00211955">
                <w:rPr>
                  <w:rFonts w:asciiTheme="minorEastAsia" w:eastAsiaTheme="minorEastAsia" w:hAnsiTheme="minorEastAsia" w:hint="eastAsia"/>
                  <w:szCs w:val="21"/>
                </w:rPr>
                <w:t>元，增幅</w:t>
              </w:r>
              <w:r w:rsidRPr="00211955">
                <w:rPr>
                  <w:rFonts w:asciiTheme="minorEastAsia" w:eastAsiaTheme="minorEastAsia" w:hAnsiTheme="minorEastAsia" w:cs="Arial" w:hint="eastAsia"/>
                  <w:szCs w:val="21"/>
                </w:rPr>
                <w:t>359.14</w:t>
              </w:r>
              <w:r w:rsidRPr="00211955">
                <w:rPr>
                  <w:rFonts w:asciiTheme="minorEastAsia" w:eastAsiaTheme="minorEastAsia" w:hAnsiTheme="minorEastAsia" w:cs="Arial"/>
                  <w:szCs w:val="21"/>
                </w:rPr>
                <w:t>%</w:t>
              </w:r>
              <w:r w:rsidRPr="00211955">
                <w:rPr>
                  <w:rFonts w:asciiTheme="minorEastAsia" w:eastAsiaTheme="minorEastAsia" w:hAnsiTheme="minorEastAsia" w:hint="eastAsia"/>
                  <w:szCs w:val="21"/>
                </w:rPr>
                <w:t>，主要是由于应纳营业税额增加所致。</w:t>
              </w:r>
            </w:p>
          </w:sdtContent>
        </w:sdt>
      </w:sdtContent>
    </w:sdt>
    <w:sdt>
      <w:sdtPr>
        <w:rPr>
          <w:rFonts w:ascii="宋体" w:hAnsi="宋体" w:cs="宋体" w:hint="eastAsia"/>
          <w:b w:val="0"/>
          <w:bCs w:val="0"/>
          <w:kern w:val="0"/>
          <w:szCs w:val="21"/>
        </w:rPr>
        <w:tag w:val="_GBC_5ab8d8aca93a4e6b99c52a8408ced8b7"/>
        <w:id w:val="24725852"/>
        <w:lock w:val="sdtLocked"/>
        <w:placeholder>
          <w:docPart w:val="GBC22222222222222222222222222222"/>
        </w:placeholder>
      </w:sdtPr>
      <w:sdtContent>
        <w:p w:rsidR="00DE031E" w:rsidRDefault="001C1A59" w:rsidP="009950AC">
          <w:pPr>
            <w:pStyle w:val="3"/>
            <w:numPr>
              <w:ilvl w:val="0"/>
              <w:numId w:val="41"/>
            </w:numPr>
            <w:tabs>
              <w:tab w:val="left" w:pos="504"/>
            </w:tabs>
            <w:spacing w:line="360" w:lineRule="auto"/>
          </w:pPr>
          <w:r>
            <w:t>业务及管理费</w:t>
          </w:r>
        </w:p>
        <w:p w:rsidR="00DE031E" w:rsidRDefault="001C1A59">
          <w:pPr>
            <w:jc w:val="right"/>
          </w:pPr>
          <w:r>
            <w:t>单位：</w:t>
          </w:r>
          <w:sdt>
            <w:sdtPr>
              <w:alias w:val="单位：财务附注：业务及管理费"/>
              <w:tag w:val="_GBC_d06d52d93a8d4792b9b0db86e330e0fe"/>
              <w:id w:val="247258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sdt>
            <w:sdtPr>
              <w:alias w:val="币种：财务附注：业务及管理费"/>
              <w:tag w:val="_GBC_6ce80aa212fd469e82fb1b5458b7770c"/>
              <w:id w:val="24725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23" w:type="pct"/>
            <w:jc w:val="center"/>
            <w:tblInd w:w="-3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60"/>
            <w:gridCol w:w="2965"/>
            <w:gridCol w:w="2965"/>
          </w:tblGrid>
          <w:tr w:rsidR="00DE031E" w:rsidTr="00DE031E">
            <w:trPr>
              <w:jc w:val="center"/>
            </w:trPr>
            <w:tc>
              <w:tcPr>
                <w:tcW w:w="180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snapToGrid w:val="0"/>
                  <w:spacing w:line="240" w:lineRule="atLeast"/>
                  <w:jc w:val="center"/>
                </w:pPr>
                <w:r>
                  <w:t>项目</w:t>
                </w:r>
              </w:p>
            </w:tc>
            <w:tc>
              <w:tcPr>
                <w:tcW w:w="159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center"/>
                </w:pPr>
                <w:r>
                  <w:t>本期发生额</w:t>
                </w:r>
              </w:p>
            </w:tc>
            <w:tc>
              <w:tcPr>
                <w:tcW w:w="159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center"/>
                </w:pPr>
                <w:r>
                  <w:t>上期发生额</w:t>
                </w:r>
              </w:p>
            </w:tc>
          </w:tr>
          <w:sdt>
            <w:sdtPr>
              <w:rPr>
                <w:szCs w:val="21"/>
              </w:rPr>
              <w:alias w:val="业务及管理费明细"/>
              <w:tag w:val="_GBC_a6f34f5a1337428a8ecb21f361878963"/>
              <w:id w:val="24725812"/>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09"/>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职工工资 </w:t>
                        </w:r>
                      </w:p>
                    </w:tc>
                  </w:sdtContent>
                </w:sdt>
                <w:sdt>
                  <w:sdtPr>
                    <w:alias w:val="业务及管理费明细－金额"/>
                    <w:tag w:val="_GBC_cbc2284798b2431d82cee990092d1764"/>
                    <w:id w:val="24725810"/>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4,667,284,833.44</w:t>
                        </w:r>
                      </w:p>
                    </w:tc>
                  </w:sdtContent>
                </w:sdt>
                <w:sdt>
                  <w:sdtPr>
                    <w:alias w:val="业务及管理费明细－金额"/>
                    <w:tag w:val="_GBC_cda97a47347b4f4cab0fa75ef227811f"/>
                    <w:id w:val="24725811"/>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1,121,553,354.58</w:t>
                        </w:r>
                      </w:p>
                    </w:tc>
                  </w:sdtContent>
                </w:sdt>
              </w:tr>
            </w:sdtContent>
          </w:sdt>
          <w:sdt>
            <w:sdtPr>
              <w:rPr>
                <w:szCs w:val="21"/>
              </w:rPr>
              <w:alias w:val="业务及管理费明细"/>
              <w:tag w:val="_GBC_a6f34f5a1337428a8ecb21f361878963"/>
              <w:id w:val="24725816"/>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13"/>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劳动保险费 </w:t>
                        </w:r>
                      </w:p>
                    </w:tc>
                  </w:sdtContent>
                </w:sdt>
                <w:sdt>
                  <w:sdtPr>
                    <w:alias w:val="业务及管理费明细－金额"/>
                    <w:tag w:val="_GBC_cbc2284798b2431d82cee990092d1764"/>
                    <w:id w:val="24725814"/>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141,661,115.94</w:t>
                        </w:r>
                      </w:p>
                    </w:tc>
                  </w:sdtContent>
                </w:sdt>
                <w:sdt>
                  <w:sdtPr>
                    <w:alias w:val="业务及管理费明细－金额"/>
                    <w:tag w:val="_GBC_cda97a47347b4f4cab0fa75ef227811f"/>
                    <w:id w:val="24725815"/>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83,108,900.81</w:t>
                        </w:r>
                      </w:p>
                    </w:tc>
                  </w:sdtContent>
                </w:sdt>
              </w:tr>
            </w:sdtContent>
          </w:sdt>
          <w:sdt>
            <w:sdtPr>
              <w:rPr>
                <w:szCs w:val="21"/>
              </w:rPr>
              <w:alias w:val="业务及管理费明细"/>
              <w:tag w:val="_GBC_a6f34f5a1337428a8ecb21f361878963"/>
              <w:id w:val="24725820"/>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17"/>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租赁费 </w:t>
                        </w:r>
                      </w:p>
                    </w:tc>
                  </w:sdtContent>
                </w:sdt>
                <w:sdt>
                  <w:sdtPr>
                    <w:alias w:val="业务及管理费明细－金额"/>
                    <w:tag w:val="_GBC_cbc2284798b2431d82cee990092d1764"/>
                    <w:id w:val="24725818"/>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130,700,216.14</w:t>
                        </w:r>
                      </w:p>
                    </w:tc>
                  </w:sdtContent>
                </w:sdt>
                <w:sdt>
                  <w:sdtPr>
                    <w:alias w:val="业务及管理费明细－金额"/>
                    <w:tag w:val="_GBC_cda97a47347b4f4cab0fa75ef227811f"/>
                    <w:id w:val="24725819"/>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109,750,858.19</w:t>
                        </w:r>
                      </w:p>
                    </w:tc>
                  </w:sdtContent>
                </w:sdt>
              </w:tr>
            </w:sdtContent>
          </w:sdt>
          <w:sdt>
            <w:sdtPr>
              <w:rPr>
                <w:szCs w:val="21"/>
              </w:rPr>
              <w:alias w:val="业务及管理费明细"/>
              <w:tag w:val="_GBC_a6f34f5a1337428a8ecb21f361878963"/>
              <w:id w:val="24725824"/>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21"/>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证券及期货投资者保护基金 </w:t>
                        </w:r>
                      </w:p>
                    </w:tc>
                  </w:sdtContent>
                </w:sdt>
                <w:sdt>
                  <w:sdtPr>
                    <w:alias w:val="业务及管理费明细－金额"/>
                    <w:tag w:val="_GBC_cbc2284798b2431d82cee990092d1764"/>
                    <w:id w:val="24725822"/>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85,314,383.18</w:t>
                        </w:r>
                      </w:p>
                    </w:tc>
                  </w:sdtContent>
                </w:sdt>
                <w:sdt>
                  <w:sdtPr>
                    <w:alias w:val="业务及管理费明细－金额"/>
                    <w:tag w:val="_GBC_cda97a47347b4f4cab0fa75ef227811f"/>
                    <w:id w:val="24725823"/>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18,029,792.04</w:t>
                        </w:r>
                      </w:p>
                    </w:tc>
                  </w:sdtContent>
                </w:sdt>
              </w:tr>
            </w:sdtContent>
          </w:sdt>
          <w:sdt>
            <w:sdtPr>
              <w:rPr>
                <w:szCs w:val="21"/>
              </w:rPr>
              <w:alias w:val="业务及管理费明细"/>
              <w:tag w:val="_GBC_a6f34f5a1337428a8ecb21f361878963"/>
              <w:id w:val="24725828"/>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25"/>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业务及推广费 </w:t>
                        </w:r>
                      </w:p>
                    </w:tc>
                  </w:sdtContent>
                </w:sdt>
                <w:sdt>
                  <w:sdtPr>
                    <w:alias w:val="业务及管理费明细－金额"/>
                    <w:tag w:val="_GBC_cbc2284798b2431d82cee990092d1764"/>
                    <w:id w:val="24725826"/>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71,122,311.03</w:t>
                        </w:r>
                      </w:p>
                    </w:tc>
                  </w:sdtContent>
                </w:sdt>
                <w:sdt>
                  <w:sdtPr>
                    <w:alias w:val="业务及管理费明细－金额"/>
                    <w:tag w:val="_GBC_cda97a47347b4f4cab0fa75ef227811f"/>
                    <w:id w:val="24725827"/>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34,112,687.29</w:t>
                        </w:r>
                      </w:p>
                    </w:tc>
                  </w:sdtContent>
                </w:sdt>
              </w:tr>
            </w:sdtContent>
          </w:sdt>
          <w:sdt>
            <w:sdtPr>
              <w:rPr>
                <w:szCs w:val="21"/>
              </w:rPr>
              <w:alias w:val="业务及管理费明细"/>
              <w:tag w:val="_GBC_a6f34f5a1337428a8ecb21f361878963"/>
              <w:id w:val="24725832"/>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29"/>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办公运营费 </w:t>
                        </w:r>
                      </w:p>
                    </w:tc>
                  </w:sdtContent>
                </w:sdt>
                <w:sdt>
                  <w:sdtPr>
                    <w:alias w:val="业务及管理费明细－金额"/>
                    <w:tag w:val="_GBC_cbc2284798b2431d82cee990092d1764"/>
                    <w:id w:val="24725830"/>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69,774,130.81</w:t>
                        </w:r>
                      </w:p>
                    </w:tc>
                  </w:sdtContent>
                </w:sdt>
                <w:sdt>
                  <w:sdtPr>
                    <w:alias w:val="业务及管理费明细－金额"/>
                    <w:tag w:val="_GBC_cda97a47347b4f4cab0fa75ef227811f"/>
                    <w:id w:val="24725831"/>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40,005,588.54</w:t>
                        </w:r>
                      </w:p>
                    </w:tc>
                  </w:sdtContent>
                </w:sdt>
              </w:tr>
            </w:sdtContent>
          </w:sdt>
          <w:sdt>
            <w:sdtPr>
              <w:rPr>
                <w:szCs w:val="21"/>
              </w:rPr>
              <w:alias w:val="业务及管理费明细"/>
              <w:tag w:val="_GBC_a6f34f5a1337428a8ecb21f361878963"/>
              <w:id w:val="24725836"/>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33"/>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会员年费 </w:t>
                        </w:r>
                      </w:p>
                    </w:tc>
                  </w:sdtContent>
                </w:sdt>
                <w:sdt>
                  <w:sdtPr>
                    <w:alias w:val="业务及管理费明细－金额"/>
                    <w:tag w:val="_GBC_cbc2284798b2431d82cee990092d1764"/>
                    <w:id w:val="24725834"/>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49,716,639.12</w:t>
                        </w:r>
                      </w:p>
                    </w:tc>
                  </w:sdtContent>
                </w:sdt>
                <w:sdt>
                  <w:sdtPr>
                    <w:alias w:val="业务及管理费明细－金额"/>
                    <w:tag w:val="_GBC_cda97a47347b4f4cab0fa75ef227811f"/>
                    <w:id w:val="24725835"/>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19,634,413.58</w:t>
                        </w:r>
                      </w:p>
                    </w:tc>
                  </w:sdtContent>
                </w:sdt>
              </w:tr>
            </w:sdtContent>
          </w:sdt>
          <w:sdt>
            <w:sdtPr>
              <w:rPr>
                <w:szCs w:val="21"/>
              </w:rPr>
              <w:alias w:val="业务及管理费明细"/>
              <w:tag w:val="_GBC_a6f34f5a1337428a8ecb21f361878963"/>
              <w:id w:val="24725840"/>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37"/>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邮电通讯费 </w:t>
                        </w:r>
                      </w:p>
                    </w:tc>
                  </w:sdtContent>
                </w:sdt>
                <w:sdt>
                  <w:sdtPr>
                    <w:alias w:val="业务及管理费明细－金额"/>
                    <w:tag w:val="_GBC_cbc2284798b2431d82cee990092d1764"/>
                    <w:id w:val="24725838"/>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48,829,843.49</w:t>
                        </w:r>
                      </w:p>
                    </w:tc>
                  </w:sdtContent>
                </w:sdt>
                <w:sdt>
                  <w:sdtPr>
                    <w:alias w:val="业务及管理费明细－金额"/>
                    <w:tag w:val="_GBC_cda97a47347b4f4cab0fa75ef227811f"/>
                    <w:id w:val="24725839"/>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48,556,837.58</w:t>
                        </w:r>
                      </w:p>
                    </w:tc>
                  </w:sdtContent>
                </w:sdt>
              </w:tr>
            </w:sdtContent>
          </w:sdt>
          <w:tr w:rsidR="00DE031E" w:rsidTr="00DE031E">
            <w:trPr>
              <w:jc w:val="center"/>
            </w:trPr>
            <w:tc>
              <w:tcPr>
                <w:tcW w:w="180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snapToGrid w:val="0"/>
                  <w:spacing w:line="240" w:lineRule="atLeast"/>
                  <w:jc w:val="both"/>
                </w:pPr>
                <w:r>
                  <w:t>电子设备运转费</w:t>
                </w:r>
              </w:p>
            </w:tc>
            <w:sdt>
              <w:sdtPr>
                <w:alias w:val="电子设备运转费"/>
                <w:tag w:val="_GBC_43ac4c01c63f409b86b2ba877f914e8c"/>
                <w:id w:val="24725841"/>
                <w:lock w:val="sdtLocked"/>
              </w:sdtPr>
              <w:sdtContent>
                <w:tc>
                  <w:tcPr>
                    <w:tcW w:w="1596" w:type="pct"/>
                    <w:tcBorders>
                      <w:top w:val="single" w:sz="4" w:space="0" w:color="auto"/>
                      <w:left w:val="single" w:sz="4"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47,662,038.03</w:t>
                    </w:r>
                  </w:p>
                </w:tc>
              </w:sdtContent>
            </w:sdt>
            <w:sdt>
              <w:sdtPr>
                <w:alias w:val="电子设备运转费"/>
                <w:tag w:val="_GBC_09a5c96a2b324404963fbe1172e375ec"/>
                <w:id w:val="24725842"/>
                <w:lock w:val="sdtLocked"/>
              </w:sdtPr>
              <w:sdtContent>
                <w:tc>
                  <w:tcPr>
                    <w:tcW w:w="1596" w:type="pct"/>
                    <w:tcBorders>
                      <w:top w:val="single" w:sz="4"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35,895,141.71</w:t>
                    </w:r>
                  </w:p>
                </w:tc>
              </w:sdtContent>
            </w:sdt>
          </w:tr>
          <w:sdt>
            <w:sdtPr>
              <w:rPr>
                <w:szCs w:val="21"/>
              </w:rPr>
              <w:alias w:val="业务及管理费明细"/>
              <w:tag w:val="_GBC_a6f34f5a1337428a8ecb21f361878963"/>
              <w:id w:val="24725846"/>
              <w:lock w:val="sdtLocked"/>
            </w:sdtPr>
            <w:sdtEndPr>
              <w:rPr>
                <w:color w:val="000000" w:themeColor="text1"/>
              </w:rPr>
            </w:sdtEndPr>
            <w:sdtContent>
              <w:tr w:rsidR="00DE031E" w:rsidTr="00DE031E">
                <w:trPr>
                  <w:jc w:val="center"/>
                </w:trPr>
                <w:sdt>
                  <w:sdtPr>
                    <w:rPr>
                      <w:szCs w:val="21"/>
                    </w:rPr>
                    <w:alias w:val="业务及管理费明细－项目"/>
                    <w:tag w:val="_GBC_b284a335366b46e0be31be74e41a3c6b"/>
                    <w:id w:val="24725843"/>
                    <w:lock w:val="sdtLocked"/>
                  </w:sdtPr>
                  <w:sdtEndPr>
                    <w:rPr>
                      <w:szCs w:val="24"/>
                    </w:rPr>
                  </w:sdtEndPr>
                  <w:sdtContent>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pPr>
                        <w:r>
                          <w:rPr>
                            <w:rFonts w:hint="eastAsia"/>
                            <w:szCs w:val="21"/>
                          </w:rPr>
                          <w:t>差旅费 </w:t>
                        </w:r>
                      </w:p>
                    </w:tc>
                  </w:sdtContent>
                </w:sdt>
                <w:sdt>
                  <w:sdtPr>
                    <w:alias w:val="业务及管理费明细－金额"/>
                    <w:tag w:val="_GBC_cbc2284798b2431d82cee990092d1764"/>
                    <w:id w:val="24725844"/>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43,955,420.03</w:t>
                        </w:r>
                      </w:p>
                    </w:tc>
                  </w:sdtContent>
                </w:sdt>
                <w:sdt>
                  <w:sdtPr>
                    <w:alias w:val="业务及管理费明细－金额"/>
                    <w:tag w:val="_GBC_cda97a47347b4f4cab0fa75ef227811f"/>
                    <w:id w:val="24725845"/>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22,063,051.24</w:t>
                        </w:r>
                      </w:p>
                    </w:tc>
                  </w:sdtContent>
                </w:sdt>
              </w:tr>
            </w:sdtContent>
          </w:sdt>
          <w:tr w:rsidR="00DE031E" w:rsidTr="00DE031E">
            <w:trPr>
              <w:jc w:val="center"/>
            </w:trPr>
            <w:tc>
              <w:tcPr>
                <w:tcW w:w="1808" w:type="pct"/>
                <w:tcBorders>
                  <w:top w:val="single" w:sz="4" w:space="0" w:color="auto"/>
                  <w:left w:val="single" w:sz="6" w:space="0" w:color="auto"/>
                  <w:bottom w:val="single" w:sz="6" w:space="0" w:color="auto"/>
                  <w:right w:val="single" w:sz="6" w:space="0" w:color="auto"/>
                </w:tcBorders>
                <w:vAlign w:val="center"/>
              </w:tcPr>
              <w:p w:rsidR="00DE031E" w:rsidRDefault="001C1A59" w:rsidP="00DE031E">
                <w:pPr>
                  <w:jc w:val="both"/>
                  <w:rPr>
                    <w:color w:val="0000FF"/>
                  </w:rPr>
                </w:pPr>
                <w:r>
                  <w:t>其他</w:t>
                </w:r>
              </w:p>
            </w:tc>
            <w:sdt>
              <w:sdtPr>
                <w:alias w:val="其他业务及管理费"/>
                <w:tag w:val="_GBC_81463e9a126743c1bd61ef3314b1bf96"/>
                <w:id w:val="24725847"/>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246,706,791.89</w:t>
                    </w:r>
                  </w:p>
                </w:tc>
              </w:sdtContent>
            </w:sdt>
            <w:sdt>
              <w:sdtPr>
                <w:alias w:val="其他业务及管理费"/>
                <w:tag w:val="_GBC_0e40ee108de344d0ab41a24e54b8dce4"/>
                <w:id w:val="24725848"/>
                <w:lock w:val="sdtLocked"/>
              </w:sdtPr>
              <w:sdtContent>
                <w:tc>
                  <w:tcPr>
                    <w:tcW w:w="159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176,455,564.65</w:t>
                    </w:r>
                  </w:p>
                </w:tc>
              </w:sdtContent>
            </w:sdt>
          </w:tr>
          <w:tr w:rsidR="00DE031E" w:rsidTr="00DE031E">
            <w:trPr>
              <w:jc w:val="center"/>
            </w:trPr>
            <w:tc>
              <w:tcPr>
                <w:tcW w:w="180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snapToGrid w:val="0"/>
                  <w:spacing w:line="240" w:lineRule="atLeast"/>
                  <w:jc w:val="center"/>
                </w:pPr>
                <w:r>
                  <w:t>合计</w:t>
                </w:r>
              </w:p>
            </w:tc>
            <w:sdt>
              <w:sdtPr>
                <w:alias w:val="业务及管理费"/>
                <w:tag w:val="_GBC_60a038faa425451fbeda15a26e37db99"/>
                <w:id w:val="24725849"/>
                <w:lock w:val="sdtLocked"/>
              </w:sdtPr>
              <w:sdtContent>
                <w:tc>
                  <w:tcPr>
                    <w:tcW w:w="1596" w:type="pct"/>
                    <w:tcBorders>
                      <w:top w:val="single" w:sz="6" w:space="0" w:color="auto"/>
                      <w:left w:val="single" w:sz="4"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right"/>
                    </w:pPr>
                    <w:r>
                      <w:t>5,602,727,723.10</w:t>
                    </w:r>
                  </w:p>
                </w:tc>
              </w:sdtContent>
            </w:sdt>
            <w:sdt>
              <w:sdtPr>
                <w:alias w:val="业务及管理费"/>
                <w:tag w:val="_GBC_d92d0ea097304f43a7d4843559f8f6f1"/>
                <w:id w:val="24725850"/>
                <w:lock w:val="sdtLocked"/>
              </w:sdtPr>
              <w:sdtContent>
                <w:tc>
                  <w:tcPr>
                    <w:tcW w:w="1596" w:type="pct"/>
                    <w:tcBorders>
                      <w:top w:val="single" w:sz="6" w:space="0" w:color="auto"/>
                      <w:left w:val="single" w:sz="6" w:space="0" w:color="auto"/>
                      <w:bottom w:val="single" w:sz="6" w:space="0" w:color="auto"/>
                      <w:right w:val="single" w:sz="4" w:space="0" w:color="auto"/>
                    </w:tcBorders>
                  </w:tcPr>
                  <w:p w:rsidR="00DE031E" w:rsidRDefault="001C1A59" w:rsidP="00DE031E">
                    <w:pPr>
                      <w:autoSpaceDE w:val="0"/>
                      <w:autoSpaceDN w:val="0"/>
                      <w:adjustRightInd w:val="0"/>
                      <w:snapToGrid w:val="0"/>
                      <w:spacing w:line="240" w:lineRule="atLeast"/>
                      <w:jc w:val="right"/>
                    </w:pPr>
                    <w:r>
                      <w:t>1,709,166,190.21</w:t>
                    </w:r>
                  </w:p>
                </w:tc>
              </w:sdtContent>
            </w:sdt>
          </w:tr>
        </w:tbl>
        <w:sdt>
          <w:sdtPr>
            <w:rPr>
              <w:rFonts w:hint="eastAsia"/>
              <w:color w:val="000000" w:themeColor="text1"/>
            </w:rPr>
            <w:alias w:val="业务及管理费的说明"/>
            <w:tag w:val="_GBC_1329f53648944967bf759abab0e1877b"/>
            <w:id w:val="24725851"/>
            <w:lock w:val="sdtLocked"/>
            <w:placeholder>
              <w:docPart w:val="GBC22222222222222222222222222222"/>
            </w:placeholder>
          </w:sdtPr>
          <w:sdtContent>
            <w:p w:rsidR="00DE031E" w:rsidRPr="006C677A" w:rsidRDefault="001C1A59" w:rsidP="003A0284">
              <w:pPr>
                <w:widowControl w:val="0"/>
                <w:autoSpaceDE w:val="0"/>
                <w:autoSpaceDN w:val="0"/>
                <w:adjustRightInd w:val="0"/>
                <w:spacing w:beforeLines="50" w:line="360" w:lineRule="auto"/>
                <w:ind w:firstLineChars="200" w:firstLine="420"/>
                <w:rPr>
                  <w:color w:val="000000" w:themeColor="text1"/>
                </w:rPr>
              </w:pPr>
              <w:r w:rsidRPr="00211955">
                <w:rPr>
                  <w:rFonts w:asciiTheme="minorEastAsia" w:eastAsiaTheme="minorEastAsia" w:hAnsiTheme="minorEastAsia" w:hint="eastAsia"/>
                  <w:szCs w:val="21"/>
                </w:rPr>
                <w:t>本期业务及管理费较上年同期增加</w:t>
              </w:r>
              <w:r w:rsidRPr="00211955">
                <w:rPr>
                  <w:rFonts w:asciiTheme="minorEastAsia" w:eastAsiaTheme="minorEastAsia" w:hAnsiTheme="minorEastAsia" w:cs="Arial" w:hint="eastAsia"/>
                  <w:szCs w:val="21"/>
                </w:rPr>
                <w:t>3</w:t>
              </w:r>
              <w:r w:rsidRPr="00211955">
                <w:rPr>
                  <w:rFonts w:asciiTheme="minorEastAsia" w:eastAsiaTheme="minorEastAsia" w:hAnsiTheme="minorEastAsia" w:cs="Arial"/>
                  <w:szCs w:val="21"/>
                </w:rPr>
                <w:t>,</w:t>
              </w:r>
              <w:r w:rsidRPr="00211955">
                <w:rPr>
                  <w:rFonts w:asciiTheme="minorEastAsia" w:eastAsiaTheme="minorEastAsia" w:hAnsiTheme="minorEastAsia" w:cs="Arial" w:hint="eastAsia"/>
                  <w:szCs w:val="21"/>
                </w:rPr>
                <w:t>893</w:t>
              </w:r>
              <w:r w:rsidRPr="00211955">
                <w:rPr>
                  <w:rFonts w:asciiTheme="minorEastAsia" w:eastAsiaTheme="minorEastAsia" w:hAnsiTheme="minorEastAsia" w:cs="Arial"/>
                  <w:szCs w:val="21"/>
                </w:rPr>
                <w:t>,</w:t>
              </w:r>
              <w:r w:rsidRPr="00211955">
                <w:rPr>
                  <w:rFonts w:asciiTheme="minorEastAsia" w:eastAsiaTheme="minorEastAsia" w:hAnsiTheme="minorEastAsia" w:cs="Arial" w:hint="eastAsia"/>
                  <w:szCs w:val="21"/>
                </w:rPr>
                <w:t>561</w:t>
              </w:r>
              <w:r w:rsidRPr="00211955">
                <w:rPr>
                  <w:rFonts w:asciiTheme="minorEastAsia" w:eastAsiaTheme="minorEastAsia" w:hAnsiTheme="minorEastAsia" w:cs="Arial"/>
                  <w:szCs w:val="21"/>
                </w:rPr>
                <w:t>,</w:t>
              </w:r>
              <w:r w:rsidRPr="00211955">
                <w:rPr>
                  <w:rFonts w:asciiTheme="minorEastAsia" w:eastAsiaTheme="minorEastAsia" w:hAnsiTheme="minorEastAsia" w:cs="Arial" w:hint="eastAsia"/>
                  <w:szCs w:val="21"/>
                </w:rPr>
                <w:t>532</w:t>
              </w:r>
              <w:r w:rsidRPr="00211955">
                <w:rPr>
                  <w:rFonts w:asciiTheme="minorEastAsia" w:eastAsiaTheme="minorEastAsia" w:hAnsiTheme="minorEastAsia" w:cs="Arial"/>
                  <w:szCs w:val="21"/>
                </w:rPr>
                <w:t>.</w:t>
              </w:r>
              <w:r w:rsidRPr="00211955">
                <w:rPr>
                  <w:rFonts w:asciiTheme="minorEastAsia" w:eastAsiaTheme="minorEastAsia" w:hAnsiTheme="minorEastAsia" w:cs="Arial" w:hint="eastAsia"/>
                  <w:szCs w:val="21"/>
                </w:rPr>
                <w:t>89</w:t>
              </w:r>
              <w:r w:rsidRPr="00211955">
                <w:rPr>
                  <w:rFonts w:asciiTheme="minorEastAsia" w:eastAsiaTheme="minorEastAsia" w:hAnsiTheme="minorEastAsia" w:hint="eastAsia"/>
                  <w:szCs w:val="21"/>
                </w:rPr>
                <w:t>元，增幅</w:t>
              </w:r>
              <w:r w:rsidRPr="00211955">
                <w:rPr>
                  <w:rFonts w:asciiTheme="minorEastAsia" w:eastAsiaTheme="minorEastAsia" w:hAnsiTheme="minorEastAsia" w:cs="Arial" w:hint="eastAsia"/>
                  <w:szCs w:val="21"/>
                </w:rPr>
                <w:t>227.80</w:t>
              </w:r>
              <w:r w:rsidRPr="00211955">
                <w:rPr>
                  <w:rFonts w:asciiTheme="minorEastAsia" w:eastAsiaTheme="minorEastAsia" w:hAnsiTheme="minorEastAsia" w:cs="Arial"/>
                  <w:szCs w:val="21"/>
                </w:rPr>
                <w:t>%</w:t>
              </w:r>
              <w:r w:rsidRPr="00211955">
                <w:rPr>
                  <w:rFonts w:asciiTheme="minorEastAsia" w:eastAsiaTheme="minorEastAsia" w:hAnsiTheme="minorEastAsia" w:hint="eastAsia"/>
                  <w:szCs w:val="21"/>
                </w:rPr>
                <w:t>，主要系收入增长带动相关变动成本增加及公司业务规模增长导致的运营类成本增加。</w:t>
              </w:r>
            </w:p>
          </w:sdtContent>
        </w:sdt>
      </w:sdtContent>
    </w:sdt>
    <w:sdt>
      <w:sdtPr>
        <w:rPr>
          <w:rFonts w:ascii="宋体" w:hAnsi="宋体" w:cs="宋体" w:hint="eastAsia"/>
          <w:b w:val="0"/>
          <w:bCs w:val="0"/>
          <w:kern w:val="0"/>
          <w:szCs w:val="21"/>
        </w:rPr>
        <w:tag w:val="_GBC_e0187e33fb024605af673daabe2f7861"/>
        <w:id w:val="24725886"/>
        <w:lock w:val="sdtLocked"/>
        <w:placeholder>
          <w:docPart w:val="GBC22222222222222222222222222222"/>
        </w:placeholder>
      </w:sdtPr>
      <w:sdtEndPr>
        <w:rPr>
          <w:rFonts w:asciiTheme="minorHAnsi" w:eastAsiaTheme="minorEastAsia" w:hAnsiTheme="minorHAnsi" w:hint="default"/>
          <w:szCs w:val="22"/>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
            <w:tag w:val="_GBC_5a88934e13c24acd85ca5f944b5df14c"/>
            <w:id w:val="24725853"/>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szCs w:val="21"/>
            </w:rPr>
          </w:pPr>
          <w:r>
            <w:rPr>
              <w:rFonts w:hint="eastAsia"/>
              <w:szCs w:val="21"/>
            </w:rPr>
            <w:t>单位：</w:t>
          </w:r>
          <w:sdt>
            <w:sdtPr>
              <w:rPr>
                <w:rFonts w:hint="eastAsia"/>
                <w:szCs w:val="21"/>
              </w:rPr>
              <w:alias w:val="单位：财务附注：资产减值损失"/>
              <w:tag w:val="_GBC_40ad6c56ceff460ca35db2135628d01d"/>
              <w:id w:val="24725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24725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DE031E" w:rsidTr="00DE031E">
            <w:trPr>
              <w:tblHeader/>
            </w:trPr>
            <w:tc>
              <w:tcPr>
                <w:tcW w:w="187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上期发生额</w:t>
                </w:r>
              </w:p>
            </w:tc>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坏账损失"/>
                    <w:tag w:val="_GBC_2d48969c295643a8a551a249370bcc2b"/>
                    <w:id w:val="24725856"/>
                    <w:lock w:val="sdtLocked"/>
                  </w:sdtPr>
                  <w:sdtContent>
                    <w:r w:rsidR="001C1A59">
                      <w:rPr>
                        <w:rFonts w:hint="eastAsia"/>
                        <w:szCs w:val="21"/>
                      </w:rPr>
                      <w:t>-4,409,462.97</w:t>
                    </w:r>
                  </w:sdtContent>
                </w:sdt>
              </w:p>
            </w:tc>
            <w:sdt>
              <w:sdtPr>
                <w:rPr>
                  <w:szCs w:val="21"/>
                </w:rPr>
                <w:alias w:val="坏账损失"/>
                <w:tag w:val="_GBC_2a2764d0c39e44aabf1a173cd7705299"/>
                <w:id w:val="24725857"/>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2,341,463.79</w:t>
                    </w: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24725858"/>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存货跌价损失"/>
                <w:tag w:val="_GBC_5870e358b7804aa8b8cc20490238108a"/>
                <w:id w:val="2472585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E031E" w:rsidRDefault="00F04144" w:rsidP="00DE031E">
                    <w:pPr>
                      <w:jc w:val="right"/>
                      <w:rPr>
                        <w:szCs w:val="21"/>
                      </w:rPr>
                    </w:pPr>
                    <w:r>
                      <w:rPr>
                        <w:szCs w:val="21"/>
                      </w:rPr>
                      <w:t xml:space="preserve">     </w:t>
                    </w: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24725860"/>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可供出售金融资产减值损失"/>
                <w:tag w:val="_GBC_bb861d73d63e4abcadbb6352cc0705f8"/>
                <w:id w:val="24725861"/>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24725862"/>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持有至到期投资减值损失"/>
                <w:tag w:val="_GBC_6b2fb184d4964e06a40c39772f08adef"/>
                <w:id w:val="24725863"/>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24725864"/>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长期股权投资减值损失"/>
                <w:tag w:val="_GBC_effda3c9a9344deab324c5013e2293a5"/>
                <w:id w:val="24725865"/>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24725866"/>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投资性房地产减值损失"/>
                <w:tag w:val="_GBC_afe67d5612d3494baa8bf551db38a261"/>
                <w:id w:val="24725867"/>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24725868"/>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固定资产减值损失"/>
                <w:tag w:val="_GBC_8cb9e5eeda084f4e8a9ebdb03a4897d4"/>
                <w:id w:val="24725869"/>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24725870"/>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工程物资减值损失"/>
                <w:tag w:val="_GBC_5e060628a54a482e9498887e7ffcb50f"/>
                <w:id w:val="24725871"/>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24725872"/>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在建工程减值损失"/>
                <w:tag w:val="_GBC_0b583c7e2ff048cb8efab04e9e4cbbb8"/>
                <w:id w:val="24725873"/>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24725874"/>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生产性生物资产减值损失"/>
                <w:tag w:val="_GBC_bc930096dc394b83bb75a5f4c570ad77"/>
                <w:id w:val="24725875"/>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24725876"/>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油气资产减值损失"/>
                <w:tag w:val="_GBC_3ac35e631228449dac4ff82acdaff330"/>
                <w:id w:val="24725877"/>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lastRenderedPageBreak/>
                  <w:t>十二、无形资产减值损失</w:t>
                </w:r>
              </w:p>
            </w:tc>
            <w:sdt>
              <w:sdtPr>
                <w:rPr>
                  <w:szCs w:val="21"/>
                </w:rPr>
                <w:alias w:val="无形资产减值损失"/>
                <w:tag w:val="_GBC_164795ebb9994bf7bc2e711b0bae6485"/>
                <w:id w:val="24725878"/>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无形资产减值损失"/>
                <w:tag w:val="_GBC_e4390cb78e9846acba7e835ee163c6b2"/>
                <w:id w:val="2472587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E031E" w:rsidRDefault="00DB67EE" w:rsidP="00DE031E">
                    <w:pPr>
                      <w:jc w:val="right"/>
                      <w:rPr>
                        <w:szCs w:val="21"/>
                      </w:rPr>
                    </w:pPr>
                    <w:r>
                      <w:rPr>
                        <w:szCs w:val="21"/>
                      </w:rPr>
                      <w:t xml:space="preserve">     </w:t>
                    </w: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24725880"/>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商誉减值损失"/>
                <w:tag w:val="_GBC_b161b8b935384eed9db12d71337c9912"/>
                <w:id w:val="24725881"/>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24725882"/>
                <w:lock w:val="sdtLocked"/>
              </w:sdtPr>
              <w:sdtContent>
                <w:tc>
                  <w:tcPr>
                    <w:tcW w:w="1422"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其他资产减值损失"/>
                <w:tag w:val="_GBC_ff5310829aaf4351b5d34c214de7317c"/>
                <w:id w:val="24725883"/>
                <w:lock w:val="sdtLocked"/>
              </w:sdtPr>
              <w:sdtContent>
                <w:tc>
                  <w:tcPr>
                    <w:tcW w:w="170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tr>
          <w:tr w:rsidR="00DE031E" w:rsidTr="00DE031E">
            <w:tc>
              <w:tcPr>
                <w:tcW w:w="1878"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资产减值损失"/>
                    <w:tag w:val="_GBC_97a75e917a4c4d889721f6d11b5b0eb0"/>
                    <w:id w:val="24725884"/>
                    <w:lock w:val="sdtLocked"/>
                  </w:sdtPr>
                  <w:sdtContent>
                    <w:r w:rsidR="001C1A59">
                      <w:rPr>
                        <w:rFonts w:hint="eastAsia"/>
                        <w:szCs w:val="21"/>
                      </w:rPr>
                      <w:t>-4,409,462.97</w:t>
                    </w:r>
                  </w:sdtContent>
                </w:sdt>
              </w:p>
            </w:tc>
            <w:tc>
              <w:tcPr>
                <w:tcW w:w="1700"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资产减值损失"/>
                    <w:tag w:val="_GBC_0f6a9e39916e48f4936db4cbd8d8bdb0"/>
                    <w:id w:val="24725885"/>
                    <w:lock w:val="sdtLocked"/>
                  </w:sdtPr>
                  <w:sdtContent>
                    <w:r w:rsidR="001C1A59">
                      <w:rPr>
                        <w:rFonts w:hint="eastAsia"/>
                        <w:szCs w:val="21"/>
                      </w:rPr>
                      <w:t>2,341,463.79</w:t>
                    </w:r>
                  </w:sdtContent>
                </w:sdt>
              </w:p>
            </w:tc>
          </w:tr>
        </w:tbl>
        <w:p w:rsidR="00DE031E" w:rsidRDefault="00422DCA"/>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tag w:val="_GBC_b3aa85ef8a734fe8abf3dc4d81ddc34c"/>
        <w:id w:val="24725911"/>
        <w:lock w:val="sdtLocked"/>
        <w:placeholder>
          <w:docPart w:val="GBC22222222222222222222222222222"/>
        </w:placeholder>
      </w:sdtPr>
      <w:sdtEndPr>
        <w:rPr>
          <w:rFonts w:ascii="宋体" w:eastAsia="宋体" w:hAnsi="宋体" w:cs="宋体"/>
          <w:b w:val="0"/>
          <w:bCs w:val="0"/>
          <w:szCs w:val="24"/>
        </w:rPr>
      </w:sdtEndPr>
      <w:sdtContent>
        <w:p w:rsidR="00DE031E" w:rsidRDefault="001C1A59">
          <w:pPr>
            <w:jc w:val="right"/>
          </w:pPr>
          <w:r>
            <w:rPr>
              <w:rFonts w:hint="eastAsia"/>
            </w:rPr>
            <w:t>单位：</w:t>
          </w:r>
          <w:sdt>
            <w:sdtPr>
              <w:rPr>
                <w:rFonts w:hint="eastAsia"/>
              </w:rPr>
              <w:alias w:val="单位：财务附注：营业外收入"/>
              <w:tag w:val="_GBC_dd93a692e0c045038f9ddf46f86e7289"/>
              <w:id w:val="247258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24725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899"/>
            <w:gridCol w:w="2315"/>
            <w:gridCol w:w="2317"/>
          </w:tblGrid>
          <w:tr w:rsidR="00DE031E" w:rsidTr="00DE031E">
            <w:trPr>
              <w:jc w:val="center"/>
            </w:trPr>
            <w:tc>
              <w:tcPr>
                <w:tcW w:w="1460"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项目</w:t>
                </w:r>
              </w:p>
            </w:tc>
            <w:tc>
              <w:tcPr>
                <w:tcW w:w="1029"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本期发生额</w:t>
                </w:r>
              </w:p>
            </w:tc>
            <w:tc>
              <w:tcPr>
                <w:tcW w:w="1255"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上期发生额</w:t>
                </w:r>
              </w:p>
            </w:tc>
            <w:tc>
              <w:tcPr>
                <w:tcW w:w="1256"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color w:val="FF0000"/>
                    <w:szCs w:val="21"/>
                  </w:rPr>
                </w:pPr>
                <w:r>
                  <w:rPr>
                    <w:rFonts w:hint="eastAsia"/>
                    <w:szCs w:val="21"/>
                  </w:rPr>
                  <w:t>计入当期非经常性损益的金额</w:t>
                </w:r>
              </w:p>
            </w:tc>
          </w:tr>
          <w:tr w:rsidR="00DE031E" w:rsidTr="00DE031E">
            <w:trPr>
              <w:jc w:val="center"/>
            </w:trPr>
            <w:tc>
              <w:tcPr>
                <w:tcW w:w="1460"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非流动资产处置利得合计</w:t>
                </w:r>
              </w:p>
            </w:tc>
            <w:tc>
              <w:tcPr>
                <w:tcW w:w="1029"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非流动资产处置利得合计"/>
                    <w:tag w:val="_GBC_f3176b2bf10b428290a0a24b479a97d2"/>
                    <w:id w:val="24725889"/>
                    <w:lock w:val="sdtLocked"/>
                  </w:sdtPr>
                  <w:sdtContent>
                    <w:r w:rsidR="001C1A59">
                      <w:rPr>
                        <w:rFonts w:hint="eastAsia"/>
                        <w:szCs w:val="21"/>
                      </w:rPr>
                      <w:t>219,568.49</w:t>
                    </w:r>
                  </w:sdtContent>
                </w:sdt>
              </w:p>
            </w:tc>
            <w:sdt>
              <w:sdtPr>
                <w:rPr>
                  <w:szCs w:val="21"/>
                </w:rPr>
                <w:alias w:val="非流动资产处置利得合计"/>
                <w:tag w:val="_GBC_13751e0d0cf74655a932a129dcb09b89"/>
                <w:id w:val="24725890"/>
                <w:lock w:val="sdtLocked"/>
              </w:sdtPr>
              <w:sdtContent>
                <w:tc>
                  <w:tcPr>
                    <w:tcW w:w="1255"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85,460.38</w:t>
                    </w:r>
                  </w:p>
                </w:tc>
              </w:sdtContent>
            </w:sdt>
            <w:sdt>
              <w:sdtPr>
                <w:rPr>
                  <w:szCs w:val="21"/>
                </w:rPr>
                <w:alias w:val="非流动资产处置利得合计计入当期非经常性损益的金额"/>
                <w:tag w:val="_GBC_18f48df7ef094d47b4ec84ff0b2ff107"/>
                <w:id w:val="24725891"/>
                <w:lock w:val="sdtLocked"/>
              </w:sdtPr>
              <w:sdtContent>
                <w:tc>
                  <w:tcPr>
                    <w:tcW w:w="125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219,568.49</w:t>
                    </w:r>
                  </w:p>
                </w:tc>
              </w:sdtContent>
            </w:sdt>
          </w:tr>
          <w:tr w:rsidR="00DE031E" w:rsidTr="00DE031E">
            <w:trPr>
              <w:jc w:val="center"/>
            </w:trPr>
            <w:tc>
              <w:tcPr>
                <w:tcW w:w="1460"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24725892"/>
                <w:lock w:val="sdtLocked"/>
              </w:sdtPr>
              <w:sdtContent>
                <w:tc>
                  <w:tcPr>
                    <w:tcW w:w="1029"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219,568.49</w:t>
                    </w:r>
                  </w:p>
                </w:tc>
              </w:sdtContent>
            </w:sdt>
            <w:sdt>
              <w:sdtPr>
                <w:rPr>
                  <w:szCs w:val="21"/>
                </w:rPr>
                <w:alias w:val="固定资产处置利得"/>
                <w:tag w:val="_GBC_dfc58119dafd4450a4856bca1dda45a6"/>
                <w:id w:val="24725893"/>
                <w:lock w:val="sdtLocked"/>
              </w:sdtPr>
              <w:sdtContent>
                <w:tc>
                  <w:tcPr>
                    <w:tcW w:w="1255"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85,460.38</w:t>
                    </w:r>
                  </w:p>
                </w:tc>
              </w:sdtContent>
            </w:sdt>
            <w:tc>
              <w:tcPr>
                <w:tcW w:w="1256" w:type="pct"/>
                <w:tcBorders>
                  <w:top w:val="single" w:sz="4" w:space="0" w:color="auto"/>
                  <w:left w:val="single" w:sz="4" w:space="0" w:color="auto"/>
                  <w:bottom w:val="single" w:sz="4" w:space="0" w:color="auto"/>
                  <w:right w:val="single" w:sz="4" w:space="0" w:color="auto"/>
                </w:tcBorders>
              </w:tcPr>
              <w:p w:rsidR="00DE031E" w:rsidRDefault="00422DCA" w:rsidP="00DE031E">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24725894"/>
                    <w:lock w:val="sdtLocked"/>
                  </w:sdtPr>
                  <w:sdtContent>
                    <w:r w:rsidR="001C1A59">
                      <w:rPr>
                        <w:rFonts w:hint="eastAsia"/>
                        <w:szCs w:val="21"/>
                      </w:rPr>
                      <w:t>219,568.49</w:t>
                    </w:r>
                  </w:sdtContent>
                </w:sdt>
              </w:p>
            </w:tc>
          </w:tr>
          <w:sdt>
            <w:sdtPr>
              <w:rPr>
                <w:rFonts w:hint="eastAsia"/>
                <w:szCs w:val="21"/>
              </w:rPr>
              <w:alias w:val="营业外收入明细"/>
              <w:tag w:val="_GBC_fd02acc867064481b957560afa744c85"/>
              <w:id w:val="24725899"/>
              <w:lock w:val="sdtLocked"/>
            </w:sdtPr>
            <w:sdtContent>
              <w:tr w:rsidR="00DE031E" w:rsidTr="00DE031E">
                <w:trPr>
                  <w:jc w:val="center"/>
                </w:trPr>
                <w:sdt>
                  <w:sdtPr>
                    <w:rPr>
                      <w:rFonts w:hint="eastAsia"/>
                      <w:szCs w:val="21"/>
                    </w:rPr>
                    <w:alias w:val="营业外收入项目"/>
                    <w:tag w:val="_GBC_0722783346e64733b889d400c5359b83"/>
                    <w:id w:val="24725895"/>
                    <w:lock w:val="sdtLocked"/>
                  </w:sdtPr>
                  <w:sdtContent>
                    <w:tc>
                      <w:tcPr>
                        <w:tcW w:w="1460"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无法支付的应付款</w:t>
                        </w:r>
                      </w:p>
                    </w:tc>
                  </w:sdtContent>
                </w:sdt>
                <w:sdt>
                  <w:sdtPr>
                    <w:rPr>
                      <w:szCs w:val="21"/>
                    </w:rPr>
                    <w:alias w:val="营业外收入金额"/>
                    <w:tag w:val="_GBC_3101d54a60a24215b544aeea9b39db09"/>
                    <w:id w:val="24725896"/>
                    <w:lock w:val="sdtLocked"/>
                  </w:sdtPr>
                  <w:sdtContent>
                    <w:tc>
                      <w:tcPr>
                        <w:tcW w:w="1029"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34,752.98</w:t>
                        </w:r>
                      </w:p>
                    </w:tc>
                  </w:sdtContent>
                </w:sdt>
                <w:sdt>
                  <w:sdtPr>
                    <w:rPr>
                      <w:szCs w:val="21"/>
                    </w:rPr>
                    <w:alias w:val="营业外收入金额"/>
                    <w:tag w:val="_GBC_e9ae46edac3941c589ce62d2ed02eeed"/>
                    <w:id w:val="24725897"/>
                    <w:lock w:val="sdtLocked"/>
                    <w:showingPlcHdr/>
                  </w:sdtPr>
                  <w:sdtContent>
                    <w:tc>
                      <w:tcPr>
                        <w:tcW w:w="1255"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营业外收入金额计入当期非经常性损益的金额"/>
                    <w:tag w:val="_GBC_a89289989344493a98dcbade4c2948a3"/>
                    <w:id w:val="24725898"/>
                    <w:lock w:val="sdtLocked"/>
                  </w:sdtPr>
                  <w:sdtContent>
                    <w:tc>
                      <w:tcPr>
                        <w:tcW w:w="1256"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34,752.98</w:t>
                        </w:r>
                      </w:p>
                    </w:tc>
                  </w:sdtContent>
                </w:sdt>
              </w:tr>
            </w:sdtContent>
          </w:sdt>
          <w:tr w:rsidR="00DE031E" w:rsidTr="00DE031E">
            <w:trPr>
              <w:jc w:val="center"/>
            </w:trPr>
            <w:tc>
              <w:tcPr>
                <w:tcW w:w="1460" w:type="pct"/>
                <w:tcBorders>
                  <w:top w:val="single" w:sz="4" w:space="0" w:color="auto"/>
                  <w:left w:val="single" w:sz="4" w:space="0" w:color="auto"/>
                  <w:bottom w:val="single" w:sz="4" w:space="0" w:color="auto"/>
                  <w:right w:val="single" w:sz="4" w:space="0" w:color="auto"/>
                </w:tcBorders>
              </w:tcPr>
              <w:p w:rsidR="00DE031E" w:rsidRDefault="001C1A59" w:rsidP="00DE031E">
                <w:pPr>
                  <w:ind w:right="6"/>
                  <w:rPr>
                    <w:bCs/>
                    <w:szCs w:val="21"/>
                  </w:rPr>
                </w:pPr>
                <w:r>
                  <w:rPr>
                    <w:rFonts w:hint="eastAsia"/>
                    <w:bCs/>
                    <w:szCs w:val="21"/>
                  </w:rPr>
                  <w:t>政府补助</w:t>
                </w:r>
              </w:p>
            </w:tc>
            <w:tc>
              <w:tcPr>
                <w:tcW w:w="1029"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补贴收入"/>
                    <w:tag w:val="_GBC_71f31ea0cbee4c9caeb9190787aff53c"/>
                    <w:id w:val="24725900"/>
                    <w:lock w:val="sdtLocked"/>
                  </w:sdtPr>
                  <w:sdtContent>
                    <w:r w:rsidR="001C1A59">
                      <w:rPr>
                        <w:rFonts w:hint="eastAsia"/>
                        <w:szCs w:val="21"/>
                      </w:rPr>
                      <w:t>3,690,691.92</w:t>
                    </w:r>
                  </w:sdtContent>
                </w:sdt>
              </w:p>
            </w:tc>
            <w:sdt>
              <w:sdtPr>
                <w:rPr>
                  <w:szCs w:val="21"/>
                </w:rPr>
                <w:alias w:val="补贴收入"/>
                <w:tag w:val="_GBC_da75a27492574b9899e34369b97ea38b"/>
                <w:id w:val="24725901"/>
                <w:lock w:val="sdtLocked"/>
              </w:sdtPr>
              <w:sdtContent>
                <w:tc>
                  <w:tcPr>
                    <w:tcW w:w="1255"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3,113,700.00</w:t>
                    </w:r>
                  </w:p>
                </w:tc>
              </w:sdtContent>
            </w:sdt>
            <w:tc>
              <w:tcPr>
                <w:tcW w:w="1256" w:type="pct"/>
                <w:tcBorders>
                  <w:top w:val="single" w:sz="4" w:space="0" w:color="auto"/>
                  <w:left w:val="single" w:sz="4" w:space="0" w:color="auto"/>
                  <w:bottom w:val="single" w:sz="4" w:space="0" w:color="auto"/>
                  <w:right w:val="single" w:sz="4" w:space="0" w:color="auto"/>
                </w:tcBorders>
              </w:tcPr>
              <w:p w:rsidR="00DE031E" w:rsidRDefault="00422DCA" w:rsidP="00DE031E">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24725902"/>
                    <w:lock w:val="sdtLocked"/>
                  </w:sdtPr>
                  <w:sdtContent>
                    <w:r w:rsidR="001C1A59">
                      <w:rPr>
                        <w:rFonts w:hint="eastAsia"/>
                        <w:szCs w:val="21"/>
                      </w:rPr>
                      <w:t>3,690,691.92</w:t>
                    </w:r>
                  </w:sdtContent>
                </w:sdt>
              </w:p>
            </w:tc>
          </w:tr>
          <w:sdt>
            <w:sdtPr>
              <w:rPr>
                <w:rFonts w:hint="eastAsia"/>
                <w:szCs w:val="21"/>
              </w:rPr>
              <w:alias w:val="营业外收入明细"/>
              <w:tag w:val="_GBC_fd02acc867064481b957560afa744c85"/>
              <w:id w:val="24725907"/>
              <w:lock w:val="sdtLocked"/>
            </w:sdtPr>
            <w:sdtContent>
              <w:tr w:rsidR="00DE031E" w:rsidTr="00DE031E">
                <w:trPr>
                  <w:jc w:val="center"/>
                </w:trPr>
                <w:sdt>
                  <w:sdtPr>
                    <w:rPr>
                      <w:rFonts w:hint="eastAsia"/>
                      <w:szCs w:val="21"/>
                    </w:rPr>
                    <w:alias w:val="营业外收入项目"/>
                    <w:tag w:val="_GBC_0722783346e64733b889d400c5359b83"/>
                    <w:id w:val="24725903"/>
                    <w:lock w:val="sdtLocked"/>
                  </w:sdtPr>
                  <w:sdtContent>
                    <w:tc>
                      <w:tcPr>
                        <w:tcW w:w="1460"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其他</w:t>
                        </w:r>
                      </w:p>
                    </w:tc>
                  </w:sdtContent>
                </w:sdt>
                <w:sdt>
                  <w:sdtPr>
                    <w:rPr>
                      <w:szCs w:val="21"/>
                    </w:rPr>
                    <w:alias w:val="营业外收入金额"/>
                    <w:tag w:val="_GBC_3101d54a60a24215b544aeea9b39db09"/>
                    <w:id w:val="24725904"/>
                    <w:lock w:val="sdtLocked"/>
                  </w:sdtPr>
                  <w:sdtContent>
                    <w:tc>
                      <w:tcPr>
                        <w:tcW w:w="1029"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23,553,280.7</w:t>
                        </w:r>
                        <w:r>
                          <w:rPr>
                            <w:rFonts w:hint="eastAsia"/>
                            <w:szCs w:val="21"/>
                          </w:rPr>
                          <w:t>6</w:t>
                        </w:r>
                      </w:p>
                    </w:tc>
                  </w:sdtContent>
                </w:sdt>
                <w:sdt>
                  <w:sdtPr>
                    <w:rPr>
                      <w:szCs w:val="21"/>
                    </w:rPr>
                    <w:alias w:val="营业外收入金额"/>
                    <w:tag w:val="_GBC_e9ae46edac3941c589ce62d2ed02eeed"/>
                    <w:id w:val="24725905"/>
                    <w:lock w:val="sdtLocked"/>
                  </w:sdtPr>
                  <w:sdtContent>
                    <w:tc>
                      <w:tcPr>
                        <w:tcW w:w="1255"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877,109.00</w:t>
                        </w:r>
                      </w:p>
                    </w:tc>
                  </w:sdtContent>
                </w:sdt>
                <w:sdt>
                  <w:sdtPr>
                    <w:rPr>
                      <w:szCs w:val="21"/>
                    </w:rPr>
                    <w:alias w:val="营业外收入金额计入当期非经常性损益的金额"/>
                    <w:tag w:val="_GBC_a89289989344493a98dcbade4c2948a3"/>
                    <w:id w:val="24725906"/>
                    <w:lock w:val="sdtLocked"/>
                  </w:sdtPr>
                  <w:sdtContent>
                    <w:tc>
                      <w:tcPr>
                        <w:tcW w:w="1256"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23,553,280.7</w:t>
                        </w:r>
                        <w:r>
                          <w:rPr>
                            <w:rFonts w:hint="eastAsia"/>
                            <w:szCs w:val="21"/>
                          </w:rPr>
                          <w:t>6</w:t>
                        </w:r>
                      </w:p>
                    </w:tc>
                  </w:sdtContent>
                </w:sdt>
              </w:tr>
            </w:sdtContent>
          </w:sdt>
          <w:tr w:rsidR="00DE031E" w:rsidRPr="00E87BEC" w:rsidTr="00DE031E">
            <w:trPr>
              <w:jc w:val="center"/>
            </w:trPr>
            <w:tc>
              <w:tcPr>
                <w:tcW w:w="1460"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rFonts w:hint="eastAsia"/>
                    <w:szCs w:val="21"/>
                  </w:rPr>
                  <w:t>合计</w:t>
                </w:r>
              </w:p>
            </w:tc>
            <w:tc>
              <w:tcPr>
                <w:tcW w:w="1029"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营业外收入"/>
                    <w:tag w:val="_GBC_f862f9e2b0ac45afac769a2d8f7d1d95"/>
                    <w:id w:val="24725908"/>
                    <w:lock w:val="sdtLocked"/>
                  </w:sdtPr>
                  <w:sdtContent>
                    <w:r w:rsidR="001C1A59">
                      <w:rPr>
                        <w:rFonts w:hint="eastAsia"/>
                        <w:szCs w:val="21"/>
                      </w:rPr>
                      <w:t>27,498,294.15</w:t>
                    </w:r>
                  </w:sdtContent>
                </w:sdt>
              </w:p>
            </w:tc>
            <w:tc>
              <w:tcPr>
                <w:tcW w:w="1255"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营业外收入"/>
                    <w:tag w:val="_GBC_bfd10b1f3c7d4101bc21fc0f9fbc1617"/>
                    <w:id w:val="24725909"/>
                    <w:lock w:val="sdtLocked"/>
                  </w:sdtPr>
                  <w:sdtContent>
                    <w:r w:rsidR="001C1A59">
                      <w:rPr>
                        <w:rFonts w:hint="eastAsia"/>
                        <w:szCs w:val="21"/>
                      </w:rPr>
                      <w:t>4,076,269.38</w:t>
                    </w:r>
                  </w:sdtContent>
                </w:sdt>
              </w:p>
            </w:tc>
            <w:tc>
              <w:tcPr>
                <w:tcW w:w="1256" w:type="pct"/>
                <w:tcBorders>
                  <w:top w:val="single" w:sz="4" w:space="0" w:color="auto"/>
                  <w:left w:val="single" w:sz="4" w:space="0" w:color="auto"/>
                  <w:bottom w:val="single" w:sz="4" w:space="0" w:color="auto"/>
                  <w:right w:val="single" w:sz="4" w:space="0" w:color="auto"/>
                </w:tcBorders>
              </w:tcPr>
              <w:p w:rsidR="00DE031E" w:rsidRDefault="00422DCA" w:rsidP="00DE031E">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24725910"/>
                    <w:lock w:val="sdtLocked"/>
                  </w:sdtPr>
                  <w:sdtContent>
                    <w:r w:rsidR="001C1A59">
                      <w:rPr>
                        <w:rFonts w:hint="eastAsia"/>
                        <w:szCs w:val="21"/>
                      </w:rPr>
                      <w:t>27,498,294.15</w:t>
                    </w:r>
                  </w:sdtContent>
                </w:sdt>
              </w:p>
            </w:tc>
          </w:tr>
        </w:tbl>
        <w:p w:rsidR="00DE031E" w:rsidRPr="00E87BEC" w:rsidRDefault="00422DCA" w:rsidP="00DE031E"/>
      </w:sdtContent>
    </w:sdt>
    <w:sdt>
      <w:sdtPr>
        <w:rPr>
          <w:rFonts w:hint="eastAsia"/>
          <w:b/>
        </w:rPr>
        <w:tag w:val="_GBC_941e4c9023f94b758b05afb87d550363"/>
        <w:id w:val="24725942"/>
        <w:lock w:val="sdtLocked"/>
        <w:placeholder>
          <w:docPart w:val="GBC22222222222222222222222222222"/>
        </w:placeholder>
      </w:sdtPr>
      <w:sdtEndPr>
        <w:rPr>
          <w:b w:val="0"/>
        </w:rPr>
      </w:sdtEndPr>
      <w:sdtContent>
        <w:p w:rsidR="00DE031E" w:rsidRDefault="001C1A59" w:rsidP="00DE031E">
          <w:pPr>
            <w:spacing w:line="360" w:lineRule="auto"/>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
            <w:tag w:val="_GBC_30dd46a5805a450eb5e1a3a4a0c0f17e"/>
            <w:id w:val="24725912"/>
            <w:lock w:val="sdtContentLocked"/>
            <w:placeholder>
              <w:docPart w:val="GBC22222222222222222222222222222"/>
            </w:placeholder>
          </w:sdtPr>
          <w:sdtContent>
            <w:p w:rsidR="00DE031E" w:rsidRDefault="00422DCA">
              <w:pPr>
                <w:rPr>
                  <w:rStyle w:val="4Char"/>
                  <w:rFonts w:ascii="宋体" w:hAnsi="宋体"/>
                  <w:b w:val="0"/>
                  <w:szCs w:val="21"/>
                </w:rPr>
              </w:pPr>
              <w:r>
                <w:rPr>
                  <w:rStyle w:val="4Char"/>
                  <w:rFonts w:ascii="宋体" w:hAnsi="宋体"/>
                  <w:b w:val="0"/>
                  <w:szCs w:val="21"/>
                </w:rPr>
                <w:fldChar w:fldCharType="begin"/>
              </w:r>
              <w:r w:rsidR="001C1A59">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1C1A59">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DE031E" w:rsidRDefault="001C1A59">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24725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24725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DE031E" w:rsidTr="00DE031E">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szCs w:val="21"/>
                  </w:rPr>
                  <w:t>与资产相关/与收益相关</w:t>
                </w:r>
              </w:p>
            </w:tc>
          </w:tr>
          <w:sdt>
            <w:sdtPr>
              <w:rPr>
                <w:szCs w:val="21"/>
              </w:rPr>
              <w:alias w:val="计入当期损益的政府补助明细"/>
              <w:tag w:val="_GBC_8d8ea3026a664e94a38609c0bcec2101"/>
              <w:id w:val="24725919"/>
              <w:lock w:val="sdtLocked"/>
            </w:sdtPr>
            <w:sdtContent>
              <w:tr w:rsidR="00DE031E" w:rsidTr="00DE031E">
                <w:trPr>
                  <w:jc w:val="center"/>
                </w:trPr>
                <w:sdt>
                  <w:sdtPr>
                    <w:rPr>
                      <w:szCs w:val="21"/>
                    </w:rPr>
                    <w:alias w:val="计入当期损益的政府补助项目名称"/>
                    <w:tag w:val="_GBC_e5afa976691d4951955d16fae878bcdd"/>
                    <w:id w:val="2472591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szCs w:val="21"/>
                          </w:rPr>
                        </w:pPr>
                        <w:r>
                          <w:rPr>
                            <w:szCs w:val="21"/>
                          </w:rPr>
                          <w:t>金融创新奖</w:t>
                        </w:r>
                      </w:p>
                    </w:tc>
                  </w:sdtContent>
                </w:sdt>
                <w:sdt>
                  <w:sdtPr>
                    <w:rPr>
                      <w:szCs w:val="21"/>
                    </w:rPr>
                    <w:alias w:val="计入当期损益的政府补助"/>
                    <w:tag w:val="_GBC_5cf65321d9a9496787f54550eeb22a26"/>
                    <w:id w:val="24725916"/>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300,000.00</w:t>
                        </w:r>
                      </w:p>
                    </w:tc>
                  </w:sdtContent>
                </w:sdt>
                <w:sdt>
                  <w:sdtPr>
                    <w:rPr>
                      <w:szCs w:val="21"/>
                    </w:rPr>
                    <w:alias w:val="计入当期损益的政府补助"/>
                    <w:tag w:val="_GBC_f808d18e2e2c402a9e2ea1d2724afc4e"/>
                    <w:id w:val="2472591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计入当期损益的政府补助与资产相关/与收益相关"/>
                    <w:tag w:val="_GBC_55504ca2f77b48949ec5116d8e120fd2"/>
                    <w:id w:val="24725918"/>
                    <w:lock w:val="sdtLocked"/>
                  </w:sdtPr>
                  <w:sdtContent>
                    <w:tc>
                      <w:tcPr>
                        <w:tcW w:w="1282"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24725924"/>
              <w:lock w:val="sdtLocked"/>
            </w:sdtPr>
            <w:sdtContent>
              <w:tr w:rsidR="00DE031E" w:rsidTr="00DE031E">
                <w:trPr>
                  <w:jc w:val="center"/>
                </w:trPr>
                <w:sdt>
                  <w:sdtPr>
                    <w:rPr>
                      <w:szCs w:val="21"/>
                    </w:rPr>
                    <w:alias w:val="计入当期损益的政府补助项目名称"/>
                    <w:tag w:val="_GBC_e5afa976691d4951955d16fae878bcdd"/>
                    <w:id w:val="24725920"/>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szCs w:val="21"/>
                          </w:rPr>
                        </w:pPr>
                        <w:r>
                          <w:rPr>
                            <w:szCs w:val="21"/>
                          </w:rPr>
                          <w:t>扶持企业发展资金</w:t>
                        </w:r>
                      </w:p>
                    </w:tc>
                  </w:sdtContent>
                </w:sdt>
                <w:sdt>
                  <w:sdtPr>
                    <w:rPr>
                      <w:szCs w:val="21"/>
                    </w:rPr>
                    <w:alias w:val="计入当期损益的政府补助"/>
                    <w:tag w:val="_GBC_5cf65321d9a9496787f54550eeb22a26"/>
                    <w:id w:val="24725921"/>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1,460,000.00</w:t>
                        </w:r>
                      </w:p>
                    </w:tc>
                  </w:sdtContent>
                </w:sdt>
                <w:sdt>
                  <w:sdtPr>
                    <w:rPr>
                      <w:szCs w:val="21"/>
                    </w:rPr>
                    <w:alias w:val="计入当期损益的政府补助"/>
                    <w:tag w:val="_GBC_f808d18e2e2c402a9e2ea1d2724afc4e"/>
                    <w:id w:val="24725922"/>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计入当期损益的政府补助与资产相关/与收益相关"/>
                    <w:tag w:val="_GBC_55504ca2f77b48949ec5116d8e120fd2"/>
                    <w:id w:val="24725923"/>
                    <w:lock w:val="sdtLocked"/>
                  </w:sdtPr>
                  <w:sdtContent>
                    <w:tc>
                      <w:tcPr>
                        <w:tcW w:w="1282"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24725929"/>
              <w:lock w:val="sdtLocked"/>
            </w:sdtPr>
            <w:sdtContent>
              <w:tr w:rsidR="00DE031E" w:rsidTr="00DE031E">
                <w:trPr>
                  <w:jc w:val="center"/>
                </w:trPr>
                <w:sdt>
                  <w:sdtPr>
                    <w:rPr>
                      <w:szCs w:val="21"/>
                    </w:rPr>
                    <w:alias w:val="计入当期损益的政府补助项目名称"/>
                    <w:tag w:val="_GBC_e5afa976691d4951955d16fae878bcdd"/>
                    <w:id w:val="2472592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szCs w:val="21"/>
                          </w:rPr>
                        </w:pPr>
                        <w:r>
                          <w:rPr>
                            <w:szCs w:val="21"/>
                          </w:rPr>
                          <w:t>金融企业补助资金</w:t>
                        </w:r>
                      </w:p>
                    </w:tc>
                  </w:sdtContent>
                </w:sdt>
                <w:sdt>
                  <w:sdtPr>
                    <w:rPr>
                      <w:szCs w:val="21"/>
                    </w:rPr>
                    <w:alias w:val="计入当期损益的政府补助"/>
                    <w:tag w:val="_GBC_5cf65321d9a9496787f54550eeb22a26"/>
                    <w:id w:val="24725926"/>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400,000.00</w:t>
                        </w:r>
                      </w:p>
                    </w:tc>
                  </w:sdtContent>
                </w:sdt>
                <w:sdt>
                  <w:sdtPr>
                    <w:rPr>
                      <w:szCs w:val="21"/>
                    </w:rPr>
                    <w:alias w:val="计入当期损益的政府补助"/>
                    <w:tag w:val="_GBC_f808d18e2e2c402a9e2ea1d2724afc4e"/>
                    <w:id w:val="24725927"/>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计入当期损益的政府补助与资产相关/与收益相关"/>
                    <w:tag w:val="_GBC_55504ca2f77b48949ec5116d8e120fd2"/>
                    <w:id w:val="24725928"/>
                    <w:lock w:val="sdtLocked"/>
                  </w:sdtPr>
                  <w:sdtContent>
                    <w:tc>
                      <w:tcPr>
                        <w:tcW w:w="1282"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24725934"/>
              <w:lock w:val="sdtLocked"/>
            </w:sdtPr>
            <w:sdtContent>
              <w:tr w:rsidR="00DE031E" w:rsidTr="00DE031E">
                <w:trPr>
                  <w:jc w:val="center"/>
                </w:trPr>
                <w:sdt>
                  <w:sdtPr>
                    <w:rPr>
                      <w:szCs w:val="21"/>
                    </w:rPr>
                    <w:alias w:val="计入当期损益的政府补助项目名称"/>
                    <w:tag w:val="_GBC_e5afa976691d4951955d16fae878bcdd"/>
                    <w:id w:val="24725930"/>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szCs w:val="21"/>
                          </w:rPr>
                        </w:pPr>
                        <w:r>
                          <w:rPr>
                            <w:szCs w:val="21"/>
                          </w:rPr>
                          <w:t>收到的其他政府补助</w:t>
                        </w:r>
                      </w:p>
                    </w:tc>
                  </w:sdtContent>
                </w:sdt>
                <w:sdt>
                  <w:sdtPr>
                    <w:rPr>
                      <w:szCs w:val="21"/>
                    </w:rPr>
                    <w:alias w:val="计入当期损益的政府补助"/>
                    <w:tag w:val="_GBC_5cf65321d9a9496787f54550eeb22a26"/>
                    <w:id w:val="24725931"/>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1,530,691.92</w:t>
                        </w:r>
                      </w:p>
                    </w:tc>
                  </w:sdtContent>
                </w:sdt>
                <w:sdt>
                  <w:sdtPr>
                    <w:rPr>
                      <w:szCs w:val="21"/>
                    </w:rPr>
                    <w:alias w:val="计入当期损益的政府补助"/>
                    <w:tag w:val="_GBC_f808d18e2e2c402a9e2ea1d2724afc4e"/>
                    <w:id w:val="24725932"/>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1,113,700.00</w:t>
                        </w:r>
                      </w:p>
                    </w:tc>
                  </w:sdtContent>
                </w:sdt>
                <w:sdt>
                  <w:sdtPr>
                    <w:rPr>
                      <w:szCs w:val="21"/>
                    </w:rPr>
                    <w:alias w:val="计入当期损益的政府补助与资产相关/与收益相关"/>
                    <w:tag w:val="_GBC_55504ca2f77b48949ec5116d8e120fd2"/>
                    <w:id w:val="24725933"/>
                    <w:lock w:val="sdtLocked"/>
                  </w:sdtPr>
                  <w:sdtContent>
                    <w:tc>
                      <w:tcPr>
                        <w:tcW w:w="1282"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24725939"/>
              <w:lock w:val="sdtLocked"/>
            </w:sdtPr>
            <w:sdtContent>
              <w:tr w:rsidR="00DE031E" w:rsidTr="00DE031E">
                <w:trPr>
                  <w:jc w:val="center"/>
                </w:trPr>
                <w:sdt>
                  <w:sdtPr>
                    <w:rPr>
                      <w:szCs w:val="21"/>
                    </w:rPr>
                    <w:alias w:val="计入当期损益的政府补助项目名称"/>
                    <w:tag w:val="_GBC_e5afa976691d4951955d16fae878bcdd"/>
                    <w:id w:val="2472593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szCs w:val="21"/>
                          </w:rPr>
                        </w:pPr>
                        <w:r>
                          <w:rPr>
                            <w:szCs w:val="21"/>
                          </w:rPr>
                          <w:t>地区总部奖励</w:t>
                        </w:r>
                      </w:p>
                    </w:tc>
                  </w:sdtContent>
                </w:sdt>
                <w:sdt>
                  <w:sdtPr>
                    <w:rPr>
                      <w:szCs w:val="21"/>
                    </w:rPr>
                    <w:alias w:val="计入当期损益的政府补助"/>
                    <w:tag w:val="_GBC_5cf65321d9a9496787f54550eeb22a26"/>
                    <w:id w:val="24725936"/>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计入当期损益的政府补助"/>
                    <w:tag w:val="_GBC_f808d18e2e2c402a9e2ea1d2724afc4e"/>
                    <w:id w:val="24725937"/>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2,000,000.00</w:t>
                        </w:r>
                      </w:p>
                    </w:tc>
                  </w:sdtContent>
                </w:sdt>
                <w:sdt>
                  <w:sdtPr>
                    <w:rPr>
                      <w:szCs w:val="21"/>
                    </w:rPr>
                    <w:alias w:val="计入当期损益的政府补助与资产相关/与收益相关"/>
                    <w:tag w:val="_GBC_55504ca2f77b48949ec5116d8e120fd2"/>
                    <w:id w:val="24725938"/>
                    <w:lock w:val="sdtLocked"/>
                  </w:sdtPr>
                  <w:sdtContent>
                    <w:tc>
                      <w:tcPr>
                        <w:tcW w:w="1282"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与收益相关</w:t>
                        </w:r>
                      </w:p>
                    </w:tc>
                  </w:sdtContent>
                </w:sdt>
              </w:tr>
            </w:sdtContent>
          </w:sdt>
          <w:tr w:rsidR="00DE031E" w:rsidRPr="00D76E5D" w:rsidTr="00DE031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计入当期损益的政府补助合计"/>
                    <w:tag w:val="_GBC_86ea5e3cb7df4b30a9a5605953fa6a58"/>
                    <w:id w:val="24725940"/>
                    <w:lock w:val="sdtLocked"/>
                  </w:sdtPr>
                  <w:sdtContent>
                    <w:r w:rsidR="001C1A59">
                      <w:rPr>
                        <w:szCs w:val="21"/>
                      </w:rPr>
                      <w:t>3,690,691.92</w:t>
                    </w:r>
                  </w:sdtContent>
                </w:sdt>
              </w:p>
            </w:tc>
            <w:tc>
              <w:tcPr>
                <w:tcW w:w="1280"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计入当期损益的政府补助合计"/>
                    <w:tag w:val="_GBC_91a34582f72b41e194b7e3c4d6ca7b38"/>
                    <w:id w:val="24725941"/>
                    <w:lock w:val="sdtLocked"/>
                  </w:sdtPr>
                  <w:sdtContent>
                    <w:r w:rsidR="001C1A59">
                      <w:rPr>
                        <w:szCs w:val="21"/>
                      </w:rPr>
                      <w:t>3,113,700.00</w:t>
                    </w:r>
                  </w:sdtContent>
                </w:sdt>
              </w:p>
            </w:tc>
            <w:tc>
              <w:tcPr>
                <w:tcW w:w="1282" w:type="pct"/>
                <w:tcBorders>
                  <w:top w:val="single" w:sz="4" w:space="0" w:color="auto"/>
                  <w:left w:val="single" w:sz="4" w:space="0" w:color="auto"/>
                  <w:bottom w:val="single" w:sz="4" w:space="0" w:color="auto"/>
                  <w:right w:val="single" w:sz="4" w:space="0" w:color="auto"/>
                </w:tcBorders>
              </w:tcPr>
              <w:p w:rsidR="00DE031E" w:rsidRDefault="001C1A59" w:rsidP="00DE031E">
                <w:pPr>
                  <w:jc w:val="center"/>
                  <w:rPr>
                    <w:szCs w:val="21"/>
                  </w:rPr>
                </w:pPr>
                <w:r>
                  <w:rPr>
                    <w:rFonts w:hint="eastAsia"/>
                    <w:szCs w:val="21"/>
                  </w:rPr>
                  <w:t>/</w:t>
                </w:r>
              </w:p>
            </w:tc>
          </w:tr>
        </w:tbl>
        <w:p w:rsidR="00DE031E" w:rsidRPr="00D76E5D" w:rsidRDefault="00422DCA" w:rsidP="00DE031E"/>
      </w:sdtContent>
    </w:sdt>
    <w:sdt>
      <w:sdtPr>
        <w:rPr>
          <w:rFonts w:ascii="宋体" w:hAnsi="宋体" w:cs="宋体" w:hint="eastAsia"/>
          <w:b w:val="0"/>
          <w:bCs w:val="0"/>
          <w:kern w:val="0"/>
          <w:szCs w:val="21"/>
        </w:rPr>
        <w:tag w:val="_GBC_7c51aa70be1f405d954dc316ed26b5b4"/>
        <w:id w:val="24725972"/>
        <w:lock w:val="sdtLocked"/>
        <w:placeholder>
          <w:docPart w:val="GBC22222222222222222222222222222"/>
        </w:placeholder>
      </w:sdtPr>
      <w:sdtEndPr>
        <w:rPr>
          <w:rFonts w:asciiTheme="minorHAnsi" w:hAnsiTheme="minorHAnsi" w:cstheme="minorBidi"/>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营业外支出</w:t>
          </w:r>
        </w:p>
        <w:p w:rsidR="00DE031E" w:rsidRDefault="001C1A59">
          <w:pPr>
            <w:jc w:val="right"/>
            <w:rPr>
              <w:szCs w:val="21"/>
            </w:rPr>
          </w:pPr>
          <w:r>
            <w:rPr>
              <w:rFonts w:hint="eastAsia"/>
              <w:szCs w:val="21"/>
            </w:rPr>
            <w:t>单位：</w:t>
          </w:r>
          <w:sdt>
            <w:sdtPr>
              <w:rPr>
                <w:rFonts w:hint="eastAsia"/>
                <w:szCs w:val="21"/>
              </w:rPr>
              <w:alias w:val="单位：财务附注：营业外支出"/>
              <w:tag w:val="_GBC_f8678a9a1bbf4b0697744c5d21146839"/>
              <w:id w:val="24725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247259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4"/>
            <w:gridCol w:w="1842"/>
            <w:gridCol w:w="1946"/>
            <w:gridCol w:w="2317"/>
          </w:tblGrid>
          <w:tr w:rsidR="00DE031E" w:rsidTr="00DE031E">
            <w:trPr>
              <w:jc w:val="center"/>
            </w:trPr>
            <w:tc>
              <w:tcPr>
                <w:tcW w:w="1626"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项目</w:t>
                </w:r>
              </w:p>
            </w:tc>
            <w:tc>
              <w:tcPr>
                <w:tcW w:w="101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本期发生额</w:t>
                </w:r>
              </w:p>
            </w:tc>
            <w:tc>
              <w:tcPr>
                <w:tcW w:w="1075"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jc w:val="center"/>
                  <w:rPr>
                    <w:szCs w:val="21"/>
                  </w:rPr>
                </w:pPr>
                <w:r>
                  <w:rPr>
                    <w:rFonts w:hint="eastAsia"/>
                    <w:szCs w:val="21"/>
                  </w:rPr>
                  <w:t>计入当期非经常性损益的金额</w:t>
                </w:r>
              </w:p>
            </w:tc>
          </w:tr>
          <w:tr w:rsidR="00DE031E" w:rsidTr="00DE031E">
            <w:trPr>
              <w:jc w:val="center"/>
            </w:trPr>
            <w:tc>
              <w:tcPr>
                <w:tcW w:w="162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非流动资产处置损失合计</w:t>
                </w:r>
              </w:p>
            </w:tc>
            <w:tc>
              <w:tcPr>
                <w:tcW w:w="1018"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非流动资产处置损失合计"/>
                    <w:tag w:val="_GBC_dabf7ca7269842f1953d9732212712e2"/>
                    <w:id w:val="24725945"/>
                    <w:lock w:val="sdtLocked"/>
                  </w:sdtPr>
                  <w:sdtContent>
                    <w:r w:rsidR="001C1A59">
                      <w:rPr>
                        <w:rFonts w:hint="eastAsia"/>
                        <w:szCs w:val="21"/>
                      </w:rPr>
                      <w:t>22,797.96</w:t>
                    </w:r>
                  </w:sdtContent>
                </w:sdt>
              </w:p>
            </w:tc>
            <w:tc>
              <w:tcPr>
                <w:tcW w:w="1075"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非流动资产处置损失合计"/>
                    <w:tag w:val="_GBC_2edda4d1d9664143becdcda5082fe831"/>
                    <w:id w:val="24725946"/>
                    <w:lock w:val="sdtLocked"/>
                  </w:sdtPr>
                  <w:sdtContent>
                    <w:r w:rsidR="001C1A59">
                      <w:rPr>
                        <w:rFonts w:hint="eastAsia"/>
                        <w:szCs w:val="21"/>
                      </w:rPr>
                      <w:t>12,084.35</w:t>
                    </w:r>
                  </w:sdtContent>
                </w:sdt>
              </w:p>
            </w:tc>
            <w:sdt>
              <w:sdtPr>
                <w:rPr>
                  <w:szCs w:val="21"/>
                </w:rPr>
                <w:alias w:val="非流动资产处置损失合计计入当期非经常性损益的金额"/>
                <w:tag w:val="_GBC_24d81b4712894a06816b35b647be98ee"/>
                <w:id w:val="24725947"/>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22,797.96</w:t>
                    </w:r>
                  </w:p>
                </w:tc>
              </w:sdtContent>
            </w:sdt>
          </w:tr>
          <w:tr w:rsidR="00DE031E" w:rsidTr="00DE031E">
            <w:trPr>
              <w:jc w:val="center"/>
            </w:trPr>
            <w:tc>
              <w:tcPr>
                <w:tcW w:w="162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其中：固定资产处置损失</w:t>
                </w:r>
              </w:p>
            </w:tc>
            <w:tc>
              <w:tcPr>
                <w:tcW w:w="1018"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固定资产处置损失"/>
                    <w:tag w:val="_GBC_cf7dc96c3556429eaa996371723434a1"/>
                    <w:id w:val="24725948"/>
                    <w:lock w:val="sdtLocked"/>
                  </w:sdtPr>
                  <w:sdtContent>
                    <w:r w:rsidR="001C1A59">
                      <w:rPr>
                        <w:rFonts w:hint="eastAsia"/>
                        <w:szCs w:val="21"/>
                      </w:rPr>
                      <w:t>22,797.96</w:t>
                    </w:r>
                  </w:sdtContent>
                </w:sdt>
              </w:p>
            </w:tc>
            <w:tc>
              <w:tcPr>
                <w:tcW w:w="1075"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固定资产处置损失"/>
                    <w:tag w:val="_GBC_c8f8595037164ced93d92db26dbee67a"/>
                    <w:id w:val="24725949"/>
                    <w:lock w:val="sdtLocked"/>
                  </w:sdtPr>
                  <w:sdtContent>
                    <w:r w:rsidR="001C1A59">
                      <w:rPr>
                        <w:rFonts w:hint="eastAsia"/>
                        <w:szCs w:val="21"/>
                      </w:rPr>
                      <w:t>12,084.35</w:t>
                    </w:r>
                  </w:sdtContent>
                </w:sdt>
              </w:p>
            </w:tc>
            <w:sdt>
              <w:sdtPr>
                <w:rPr>
                  <w:szCs w:val="21"/>
                </w:rPr>
                <w:alias w:val="固定资产处置损失计入当期非经常性损益的金额"/>
                <w:tag w:val="_GBC_9848d84cb7b34dbd8909c7262ae652d4"/>
                <w:id w:val="24725950"/>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22,797.96</w:t>
                    </w:r>
                  </w:p>
                </w:tc>
              </w:sdtContent>
            </w:sdt>
          </w:tr>
          <w:tr w:rsidR="00DE031E" w:rsidTr="00DE031E">
            <w:trPr>
              <w:jc w:val="center"/>
            </w:trPr>
            <w:tc>
              <w:tcPr>
                <w:tcW w:w="162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rFonts w:hint="eastAsia"/>
                    <w:szCs w:val="21"/>
                  </w:rPr>
                  <w:t>对外捐赠</w:t>
                </w:r>
              </w:p>
            </w:tc>
            <w:tc>
              <w:tcPr>
                <w:tcW w:w="1018"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对外捐赠"/>
                    <w:tag w:val="_GBC_ce5ccaea1a0242c4980ea7b78085978b"/>
                    <w:id w:val="24725951"/>
                    <w:lock w:val="sdtLocked"/>
                  </w:sdtPr>
                  <w:sdtContent>
                    <w:r w:rsidR="001C1A59">
                      <w:rPr>
                        <w:rFonts w:hint="eastAsia"/>
                        <w:szCs w:val="21"/>
                      </w:rPr>
                      <w:t>8,000.00</w:t>
                    </w:r>
                  </w:sdtContent>
                </w:sdt>
              </w:p>
            </w:tc>
            <w:tc>
              <w:tcPr>
                <w:tcW w:w="1075"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对外捐赠"/>
                    <w:tag w:val="_GBC_b80bb04db6854fa2bdfea80cc07ad30c"/>
                    <w:id w:val="24725952"/>
                    <w:lock w:val="sdtLocked"/>
                  </w:sdtPr>
                  <w:sdtContent>
                    <w:r w:rsidR="001C1A59">
                      <w:rPr>
                        <w:rFonts w:hint="eastAsia"/>
                        <w:szCs w:val="21"/>
                      </w:rPr>
                      <w:t>4,000.00</w:t>
                    </w:r>
                  </w:sdtContent>
                </w:sdt>
              </w:p>
            </w:tc>
            <w:sdt>
              <w:sdtPr>
                <w:rPr>
                  <w:szCs w:val="21"/>
                </w:rPr>
                <w:alias w:val="对外捐赠计入当期非经常性损益的金额"/>
                <w:tag w:val="_GBC_815e5113b6d245f7aab9bd24ed9a94bf"/>
                <w:id w:val="24725953"/>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8,000.00</w:t>
                    </w:r>
                  </w:p>
                </w:tc>
              </w:sdtContent>
            </w:sdt>
          </w:tr>
          <w:sdt>
            <w:sdtPr>
              <w:rPr>
                <w:rFonts w:hint="eastAsia"/>
                <w:szCs w:val="21"/>
              </w:rPr>
              <w:alias w:val="营业外支出明细"/>
              <w:tag w:val="_GBC_c06dc14b0dc24288b23791a15f7df1db"/>
              <w:id w:val="24725958"/>
              <w:lock w:val="sdtLocked"/>
            </w:sdtPr>
            <w:sdtContent>
              <w:tr w:rsidR="00DE031E" w:rsidTr="00DE031E">
                <w:trPr>
                  <w:jc w:val="center"/>
                </w:trPr>
                <w:sdt>
                  <w:sdtPr>
                    <w:rPr>
                      <w:rFonts w:hint="eastAsia"/>
                      <w:szCs w:val="21"/>
                    </w:rPr>
                    <w:alias w:val="营业外支出项目"/>
                    <w:tag w:val="_GBC_d6fc041ff92b4f2b95ebb86f2f0373c1"/>
                    <w:id w:val="24725954"/>
                    <w:lock w:val="sdtLocked"/>
                  </w:sdtPr>
                  <w:sdtContent>
                    <w:tc>
                      <w:tcPr>
                        <w:tcW w:w="1626"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证券交易差错损失</w:t>
                        </w:r>
                      </w:p>
                    </w:tc>
                  </w:sdtContent>
                </w:sdt>
                <w:sdt>
                  <w:sdtPr>
                    <w:rPr>
                      <w:szCs w:val="21"/>
                    </w:rPr>
                    <w:alias w:val="营业外支出金额"/>
                    <w:tag w:val="_GBC_350e8a8271a34ece88eacf7c433beea9"/>
                    <w:id w:val="24725955"/>
                    <w:lock w:val="sdtLocked"/>
                  </w:sdtPr>
                  <w:sdtContent>
                    <w:tc>
                      <w:tcPr>
                        <w:tcW w:w="1018"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285,591.06</w:t>
                        </w:r>
                      </w:p>
                    </w:tc>
                  </w:sdtContent>
                </w:sdt>
                <w:sdt>
                  <w:sdtPr>
                    <w:rPr>
                      <w:szCs w:val="21"/>
                    </w:rPr>
                    <w:alias w:val="营业外支出金额"/>
                    <w:tag w:val="_GBC_e6518bc703214cce9092607eb74b3b0f"/>
                    <w:id w:val="24725956"/>
                    <w:lock w:val="sdtLocked"/>
                  </w:sdtPr>
                  <w:sdtContent>
                    <w:tc>
                      <w:tcPr>
                        <w:tcW w:w="1075"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18,200.76</w:t>
                        </w:r>
                      </w:p>
                    </w:tc>
                  </w:sdtContent>
                </w:sdt>
                <w:sdt>
                  <w:sdtPr>
                    <w:rPr>
                      <w:szCs w:val="21"/>
                    </w:rPr>
                    <w:alias w:val="营业外支出金额计入当期非经常性损益的金额"/>
                    <w:tag w:val="_GBC_03e6b87738b94347bf5fcbcdbb218817"/>
                    <w:id w:val="24725957"/>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285,591.06</w:t>
                        </w:r>
                      </w:p>
                    </w:tc>
                  </w:sdtContent>
                </w:sdt>
              </w:tr>
            </w:sdtContent>
          </w:sdt>
          <w:sdt>
            <w:sdtPr>
              <w:rPr>
                <w:rFonts w:hint="eastAsia"/>
                <w:szCs w:val="21"/>
              </w:rPr>
              <w:alias w:val="营业外支出明细"/>
              <w:tag w:val="_GBC_c06dc14b0dc24288b23791a15f7df1db"/>
              <w:id w:val="24725963"/>
              <w:lock w:val="sdtLocked"/>
            </w:sdtPr>
            <w:sdtContent>
              <w:tr w:rsidR="00DE031E" w:rsidTr="00DE031E">
                <w:trPr>
                  <w:jc w:val="center"/>
                </w:trPr>
                <w:sdt>
                  <w:sdtPr>
                    <w:rPr>
                      <w:rFonts w:hint="eastAsia"/>
                      <w:szCs w:val="21"/>
                    </w:rPr>
                    <w:alias w:val="营业外支出项目"/>
                    <w:tag w:val="_GBC_d6fc041ff92b4f2b95ebb86f2f0373c1"/>
                    <w:id w:val="24725959"/>
                    <w:lock w:val="sdtLocked"/>
                  </w:sdtPr>
                  <w:sdtContent>
                    <w:tc>
                      <w:tcPr>
                        <w:tcW w:w="1626"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违约和赔偿损失</w:t>
                        </w:r>
                      </w:p>
                    </w:tc>
                  </w:sdtContent>
                </w:sdt>
                <w:sdt>
                  <w:sdtPr>
                    <w:rPr>
                      <w:szCs w:val="21"/>
                    </w:rPr>
                    <w:alias w:val="营业外支出金额"/>
                    <w:tag w:val="_GBC_350e8a8271a34ece88eacf7c433beea9"/>
                    <w:id w:val="24725960"/>
                    <w:lock w:val="sdtLocked"/>
                  </w:sdtPr>
                  <w:sdtContent>
                    <w:tc>
                      <w:tcPr>
                        <w:tcW w:w="1018"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3,409,310.21</w:t>
                        </w:r>
                      </w:p>
                    </w:tc>
                  </w:sdtContent>
                </w:sdt>
                <w:sdt>
                  <w:sdtPr>
                    <w:rPr>
                      <w:szCs w:val="21"/>
                    </w:rPr>
                    <w:alias w:val="营业外支出金额"/>
                    <w:tag w:val="_GBC_e6518bc703214cce9092607eb74b3b0f"/>
                    <w:id w:val="24725961"/>
                    <w:lock w:val="sdtLocked"/>
                  </w:sdtPr>
                  <w:sdtContent>
                    <w:tc>
                      <w:tcPr>
                        <w:tcW w:w="1075" w:type="pct"/>
                        <w:tcBorders>
                          <w:top w:val="single" w:sz="4" w:space="0" w:color="auto"/>
                          <w:left w:val="single" w:sz="4" w:space="0" w:color="auto"/>
                          <w:bottom w:val="single" w:sz="4" w:space="0" w:color="auto"/>
                          <w:right w:val="single" w:sz="4" w:space="0" w:color="auto"/>
                        </w:tcBorders>
                      </w:tcPr>
                      <w:p w:rsidR="00DE031E" w:rsidRDefault="00DE031E" w:rsidP="00DE031E">
                        <w:pPr>
                          <w:jc w:val="right"/>
                          <w:rPr>
                            <w:szCs w:val="21"/>
                          </w:rPr>
                        </w:pPr>
                      </w:p>
                    </w:tc>
                  </w:sdtContent>
                </w:sdt>
                <w:sdt>
                  <w:sdtPr>
                    <w:rPr>
                      <w:szCs w:val="21"/>
                    </w:rPr>
                    <w:alias w:val="营业外支出金额计入当期非经常性损益的金额"/>
                    <w:tag w:val="_GBC_03e6b87738b94347bf5fcbcdbb218817"/>
                    <w:id w:val="24725962"/>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3,409,310.21</w:t>
                        </w:r>
                      </w:p>
                    </w:tc>
                  </w:sdtContent>
                </w:sdt>
              </w:tr>
            </w:sdtContent>
          </w:sdt>
          <w:sdt>
            <w:sdtPr>
              <w:rPr>
                <w:rFonts w:hint="eastAsia"/>
                <w:szCs w:val="21"/>
              </w:rPr>
              <w:alias w:val="营业外支出明细"/>
              <w:tag w:val="_GBC_c06dc14b0dc24288b23791a15f7df1db"/>
              <w:id w:val="24725968"/>
              <w:lock w:val="sdtLocked"/>
            </w:sdtPr>
            <w:sdtContent>
              <w:tr w:rsidR="00DE031E" w:rsidTr="00DE031E">
                <w:trPr>
                  <w:jc w:val="center"/>
                </w:trPr>
                <w:sdt>
                  <w:sdtPr>
                    <w:rPr>
                      <w:rFonts w:hint="eastAsia"/>
                      <w:szCs w:val="21"/>
                    </w:rPr>
                    <w:alias w:val="营业外支出项目"/>
                    <w:tag w:val="_GBC_d6fc041ff92b4f2b95ebb86f2f0373c1"/>
                    <w:id w:val="24725964"/>
                    <w:lock w:val="sdtLocked"/>
                  </w:sdtPr>
                  <w:sdtContent>
                    <w:tc>
                      <w:tcPr>
                        <w:tcW w:w="1626"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其他</w:t>
                        </w:r>
                      </w:p>
                    </w:tc>
                  </w:sdtContent>
                </w:sdt>
                <w:sdt>
                  <w:sdtPr>
                    <w:rPr>
                      <w:szCs w:val="21"/>
                    </w:rPr>
                    <w:alias w:val="营业外支出金额"/>
                    <w:tag w:val="_GBC_350e8a8271a34ece88eacf7c433beea9"/>
                    <w:id w:val="24725965"/>
                    <w:lock w:val="sdtLocked"/>
                  </w:sdtPr>
                  <w:sdtContent>
                    <w:tc>
                      <w:tcPr>
                        <w:tcW w:w="1018"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19,685.10</w:t>
                        </w:r>
                      </w:p>
                    </w:tc>
                  </w:sdtContent>
                </w:sdt>
                <w:sdt>
                  <w:sdtPr>
                    <w:rPr>
                      <w:szCs w:val="21"/>
                    </w:rPr>
                    <w:alias w:val="营业外支出金额"/>
                    <w:tag w:val="_GBC_e6518bc703214cce9092607eb74b3b0f"/>
                    <w:id w:val="24725966"/>
                    <w:lock w:val="sdtLocked"/>
                  </w:sdtPr>
                  <w:sdtContent>
                    <w:tc>
                      <w:tcPr>
                        <w:tcW w:w="1075"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78,717.47</w:t>
                        </w:r>
                      </w:p>
                    </w:tc>
                  </w:sdtContent>
                </w:sdt>
                <w:sdt>
                  <w:sdtPr>
                    <w:rPr>
                      <w:szCs w:val="21"/>
                    </w:rPr>
                    <w:alias w:val="营业外支出金额计入当期非经常性损益的金额"/>
                    <w:tag w:val="_GBC_03e6b87738b94347bf5fcbcdbb218817"/>
                    <w:id w:val="24725967"/>
                    <w:lock w:val="sdtLocked"/>
                  </w:sdtPr>
                  <w:sdtContent>
                    <w:tc>
                      <w:tcPr>
                        <w:tcW w:w="1280" w:type="pct"/>
                        <w:tcBorders>
                          <w:top w:val="single" w:sz="4" w:space="0" w:color="auto"/>
                          <w:left w:val="single" w:sz="4" w:space="0" w:color="auto"/>
                          <w:bottom w:val="single" w:sz="4" w:space="0" w:color="auto"/>
                          <w:right w:val="single" w:sz="4" w:space="0" w:color="auto"/>
                        </w:tcBorders>
                      </w:tcPr>
                      <w:p w:rsidR="00DE031E" w:rsidRDefault="001C1A59" w:rsidP="00DE031E">
                        <w:pPr>
                          <w:jc w:val="right"/>
                          <w:rPr>
                            <w:szCs w:val="21"/>
                          </w:rPr>
                        </w:pPr>
                        <w:r>
                          <w:rPr>
                            <w:szCs w:val="21"/>
                          </w:rPr>
                          <w:t>19,685.10</w:t>
                        </w:r>
                      </w:p>
                    </w:tc>
                  </w:sdtContent>
                </w:sdt>
              </w:tr>
            </w:sdtContent>
          </w:sdt>
          <w:tr w:rsidR="00DE031E" w:rsidTr="00DE031E">
            <w:trPr>
              <w:jc w:val="center"/>
            </w:trPr>
            <w:tc>
              <w:tcPr>
                <w:tcW w:w="1626" w:type="pct"/>
                <w:tcBorders>
                  <w:top w:val="single" w:sz="4" w:space="0" w:color="auto"/>
                  <w:left w:val="single" w:sz="4" w:space="0" w:color="auto"/>
                  <w:bottom w:val="single" w:sz="4" w:space="0" w:color="auto"/>
                  <w:right w:val="single" w:sz="4" w:space="0" w:color="auto"/>
                </w:tcBorders>
              </w:tcPr>
              <w:p w:rsidR="00DE031E" w:rsidRDefault="001C1A59" w:rsidP="00DE031E">
                <w:pPr>
                  <w:ind w:right="6"/>
                  <w:jc w:val="center"/>
                  <w:rPr>
                    <w:szCs w:val="21"/>
                  </w:rPr>
                </w:pPr>
                <w:r>
                  <w:rPr>
                    <w:rFonts w:hint="eastAsia"/>
                    <w:szCs w:val="21"/>
                  </w:rPr>
                  <w:t>合计</w:t>
                </w:r>
              </w:p>
            </w:tc>
            <w:tc>
              <w:tcPr>
                <w:tcW w:w="1018"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营业外支出"/>
                    <w:tag w:val="_GBC_eb58252e5f4341d590cb44f645d1d051"/>
                    <w:id w:val="24725969"/>
                    <w:lock w:val="sdtLocked"/>
                  </w:sdtPr>
                  <w:sdtContent>
                    <w:r w:rsidR="001C1A59">
                      <w:rPr>
                        <w:rFonts w:hint="eastAsia"/>
                        <w:szCs w:val="21"/>
                      </w:rPr>
                      <w:t>3,745,384.33</w:t>
                    </w:r>
                  </w:sdtContent>
                </w:sdt>
              </w:p>
            </w:tc>
            <w:tc>
              <w:tcPr>
                <w:tcW w:w="1075" w:type="pct"/>
                <w:tcBorders>
                  <w:top w:val="single" w:sz="4" w:space="0" w:color="auto"/>
                  <w:left w:val="single" w:sz="4" w:space="0" w:color="auto"/>
                  <w:bottom w:val="single" w:sz="4" w:space="0" w:color="auto"/>
                  <w:right w:val="single" w:sz="4" w:space="0" w:color="auto"/>
                </w:tcBorders>
              </w:tcPr>
              <w:p w:rsidR="00DE031E" w:rsidRDefault="00422DCA" w:rsidP="00DE031E">
                <w:pPr>
                  <w:jc w:val="right"/>
                  <w:rPr>
                    <w:szCs w:val="21"/>
                  </w:rPr>
                </w:pPr>
                <w:sdt>
                  <w:sdtPr>
                    <w:rPr>
                      <w:rFonts w:hint="eastAsia"/>
                      <w:szCs w:val="21"/>
                    </w:rPr>
                    <w:alias w:val="营业外支出"/>
                    <w:tag w:val="_GBC_c8622a79e200436d8ab4e471c4491655"/>
                    <w:id w:val="24725970"/>
                    <w:lock w:val="sdtLocked"/>
                  </w:sdtPr>
                  <w:sdtContent>
                    <w:r w:rsidR="001C1A59">
                      <w:rPr>
                        <w:rFonts w:hint="eastAsia"/>
                        <w:szCs w:val="21"/>
                      </w:rPr>
                      <w:t>113,002.58</w:t>
                    </w:r>
                  </w:sdtContent>
                </w:sdt>
              </w:p>
            </w:tc>
            <w:tc>
              <w:tcPr>
                <w:tcW w:w="1280" w:type="pct"/>
                <w:tcBorders>
                  <w:top w:val="single" w:sz="4" w:space="0" w:color="auto"/>
                  <w:left w:val="single" w:sz="4" w:space="0" w:color="auto"/>
                  <w:bottom w:val="single" w:sz="4" w:space="0" w:color="auto"/>
                  <w:right w:val="single" w:sz="4" w:space="0" w:color="auto"/>
                </w:tcBorders>
              </w:tcPr>
              <w:p w:rsidR="00DE031E" w:rsidRDefault="00422DCA" w:rsidP="00DE031E">
                <w:pPr>
                  <w:autoSpaceDE w:val="0"/>
                  <w:autoSpaceDN w:val="0"/>
                  <w:adjustRightInd w:val="0"/>
                  <w:jc w:val="right"/>
                  <w:rPr>
                    <w:szCs w:val="21"/>
                  </w:rPr>
                </w:pPr>
                <w:sdt>
                  <w:sdtPr>
                    <w:rPr>
                      <w:rFonts w:hint="eastAsia"/>
                      <w:szCs w:val="21"/>
                    </w:rPr>
                    <w:alias w:val="营业外支出合计计入当期非经常性损益的金额"/>
                    <w:tag w:val="_GBC_0515ebdd886c4a94bf87aa6ed7b0d3f1"/>
                    <w:id w:val="24725971"/>
                    <w:lock w:val="sdtLocked"/>
                  </w:sdtPr>
                  <w:sdtContent>
                    <w:r w:rsidR="001C1A59">
                      <w:rPr>
                        <w:rFonts w:hint="eastAsia"/>
                        <w:szCs w:val="21"/>
                      </w:rPr>
                      <w:t>3,745,384.33</w:t>
                    </w:r>
                  </w:sdtContent>
                </w:sdt>
              </w:p>
            </w:tc>
          </w:tr>
        </w:tbl>
        <w:p w:rsidR="00DE031E" w:rsidRDefault="00DE031E" w:rsidP="00DE031E">
          <w:pPr>
            <w:spacing w:line="360" w:lineRule="auto"/>
            <w:rPr>
              <w:szCs w:val="21"/>
            </w:rPr>
          </w:pPr>
        </w:p>
        <w:p w:rsidR="00DE031E" w:rsidRDefault="00422DCA" w:rsidP="00DE031E">
          <w:pPr>
            <w:spacing w:line="360" w:lineRule="auto"/>
            <w:rPr>
              <w:szCs w:val="21"/>
            </w:rPr>
          </w:pPr>
        </w:p>
      </w:sdtContent>
    </w:sdt>
    <w:sdt>
      <w:sdtPr>
        <w:rPr>
          <w:rFonts w:ascii="宋体" w:hAnsi="宋体" w:cs="宋体" w:hint="eastAsia"/>
          <w:b w:val="0"/>
          <w:bCs w:val="0"/>
          <w:kern w:val="0"/>
          <w:szCs w:val="21"/>
        </w:rPr>
        <w:tag w:val="_GBC_c8eb4731730a4ca395e992a85b3eafe1"/>
        <w:id w:val="24725990"/>
        <w:lock w:val="sdtLocked"/>
        <w:placeholder>
          <w:docPart w:val="GBC22222222222222222222222222222"/>
        </w:placeholder>
      </w:sdtPr>
      <w:sdtEndPr>
        <w:rPr>
          <w:rFonts w:asciiTheme="minorHAnsi" w:hAnsiTheme="minorHAnsi" w:cstheme="minorBidi" w:hint="default"/>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所得税费用</w:t>
          </w:r>
        </w:p>
        <w:p w:rsidR="00DE031E" w:rsidRDefault="001C1A59" w:rsidP="009950AC">
          <w:pPr>
            <w:pStyle w:val="4"/>
            <w:numPr>
              <w:ilvl w:val="0"/>
              <w:numId w:val="58"/>
            </w:numPr>
            <w:spacing w:line="360" w:lineRule="auto"/>
          </w:pPr>
          <w:r>
            <w:rPr>
              <w:rFonts w:hint="eastAsia"/>
            </w:rPr>
            <w:t>所得税费用表</w:t>
          </w:r>
        </w:p>
        <w:p w:rsidR="00DE031E" w:rsidRDefault="001C1A59">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247259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24725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DE031E" w:rsidTr="00DE031E">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DE031E" w:rsidRDefault="001C1A59">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DE031E" w:rsidRDefault="001C1A59">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DE031E" w:rsidRDefault="001C1A59">
                <w:pPr>
                  <w:ind w:right="6"/>
                  <w:jc w:val="center"/>
                  <w:rPr>
                    <w:szCs w:val="21"/>
                  </w:rPr>
                </w:pPr>
                <w:r>
                  <w:rPr>
                    <w:rFonts w:hint="eastAsia"/>
                    <w:szCs w:val="21"/>
                  </w:rPr>
                  <w:t>上期发生额</w:t>
                </w:r>
              </w:p>
            </w:tc>
          </w:tr>
          <w:tr w:rsidR="00DE031E" w:rsidTr="00DE031E">
            <w:tc>
              <w:tcPr>
                <w:tcW w:w="1775" w:type="pct"/>
                <w:tcBorders>
                  <w:top w:val="single" w:sz="6" w:space="0" w:color="auto"/>
                  <w:left w:val="single" w:sz="6" w:space="0" w:color="auto"/>
                  <w:bottom w:val="single" w:sz="6" w:space="0" w:color="auto"/>
                  <w:right w:val="single" w:sz="6" w:space="0" w:color="auto"/>
                </w:tcBorders>
              </w:tcPr>
              <w:p w:rsidR="00DE031E" w:rsidRDefault="001C1A59">
                <w:pPr>
                  <w:ind w:right="6"/>
                  <w:rPr>
                    <w:b/>
                    <w:bCs/>
                    <w:szCs w:val="21"/>
                  </w:rPr>
                </w:pPr>
                <w:r>
                  <w:rPr>
                    <w:rFonts w:hint="eastAsia"/>
                    <w:szCs w:val="21"/>
                  </w:rPr>
                  <w:t>当期所得税费用</w:t>
                </w:r>
              </w:p>
            </w:tc>
            <w:sdt>
              <w:sdtPr>
                <w:rPr>
                  <w:szCs w:val="21"/>
                </w:rPr>
                <w:alias w:val="所得税费用合计"/>
                <w:tag w:val="_GBC_b03d15b67fa440059f0578002cbf319e"/>
                <w:id w:val="24725975"/>
                <w:lock w:val="sdtLocked"/>
              </w:sdtPr>
              <w:sdtContent>
                <w:tc>
                  <w:tcPr>
                    <w:tcW w:w="1617" w:type="pct"/>
                    <w:tcBorders>
                      <w:top w:val="single" w:sz="6" w:space="0" w:color="auto"/>
                      <w:left w:val="single" w:sz="6" w:space="0" w:color="auto"/>
                      <w:bottom w:val="single" w:sz="6" w:space="0" w:color="auto"/>
                      <w:right w:val="single" w:sz="6" w:space="0" w:color="auto"/>
                    </w:tcBorders>
                  </w:tcPr>
                  <w:p w:rsidR="00DE031E" w:rsidRDefault="001C1A59">
                    <w:pPr>
                      <w:jc w:val="right"/>
                      <w:rPr>
                        <w:szCs w:val="21"/>
                      </w:rPr>
                    </w:pPr>
                    <w:r>
                      <w:rPr>
                        <w:szCs w:val="21"/>
                      </w:rPr>
                      <w:t>1,505,836,820.86</w:t>
                    </w:r>
                  </w:p>
                </w:tc>
              </w:sdtContent>
            </w:sdt>
            <w:sdt>
              <w:sdtPr>
                <w:rPr>
                  <w:szCs w:val="21"/>
                </w:rPr>
                <w:alias w:val="所得税费用合计"/>
                <w:tag w:val="_GBC_62a3e70600c64d6a98faccca7a25dc9b"/>
                <w:id w:val="24725976"/>
                <w:lock w:val="sdtLocked"/>
              </w:sdtPr>
              <w:sdtContent>
                <w:tc>
                  <w:tcPr>
                    <w:tcW w:w="1608" w:type="pct"/>
                    <w:tcBorders>
                      <w:top w:val="single" w:sz="6" w:space="0" w:color="auto"/>
                      <w:left w:val="single" w:sz="6" w:space="0" w:color="auto"/>
                      <w:bottom w:val="single" w:sz="6" w:space="0" w:color="auto"/>
                      <w:right w:val="single" w:sz="6" w:space="0" w:color="auto"/>
                    </w:tcBorders>
                  </w:tcPr>
                  <w:p w:rsidR="00DE031E" w:rsidRDefault="001C1A59">
                    <w:pPr>
                      <w:ind w:right="6"/>
                      <w:jc w:val="right"/>
                      <w:rPr>
                        <w:szCs w:val="21"/>
                      </w:rPr>
                    </w:pPr>
                    <w:r>
                      <w:rPr>
                        <w:szCs w:val="21"/>
                      </w:rPr>
                      <w:t>339,908,077.92</w:t>
                    </w:r>
                  </w:p>
                </w:tc>
              </w:sdtContent>
            </w:sdt>
          </w:tr>
          <w:tr w:rsidR="00DE031E" w:rsidTr="00DE031E">
            <w:tc>
              <w:tcPr>
                <w:tcW w:w="1775" w:type="pct"/>
                <w:tcBorders>
                  <w:top w:val="single" w:sz="6" w:space="0" w:color="auto"/>
                  <w:left w:val="single" w:sz="6" w:space="0" w:color="auto"/>
                  <w:bottom w:val="single" w:sz="6" w:space="0" w:color="auto"/>
                  <w:right w:val="single" w:sz="6" w:space="0" w:color="auto"/>
                </w:tcBorders>
              </w:tcPr>
              <w:p w:rsidR="00DE031E" w:rsidRDefault="001C1A59">
                <w:pPr>
                  <w:ind w:right="6"/>
                  <w:rPr>
                    <w:szCs w:val="21"/>
                  </w:rPr>
                </w:pPr>
                <w:r>
                  <w:rPr>
                    <w:rFonts w:hint="eastAsia"/>
                    <w:szCs w:val="21"/>
                  </w:rPr>
                  <w:t>递延所得税费用</w:t>
                </w:r>
              </w:p>
            </w:tc>
            <w:sdt>
              <w:sdtPr>
                <w:rPr>
                  <w:szCs w:val="21"/>
                </w:rPr>
                <w:alias w:val="递延所得税费用"/>
                <w:tag w:val="_GBC_42e37273657d4b47ad3ca4a4c41ae12f"/>
                <w:id w:val="24725977"/>
                <w:lock w:val="sdtLocked"/>
              </w:sdtPr>
              <w:sdtContent>
                <w:tc>
                  <w:tcPr>
                    <w:tcW w:w="1617" w:type="pct"/>
                    <w:tcBorders>
                      <w:top w:val="single" w:sz="6" w:space="0" w:color="auto"/>
                      <w:left w:val="single" w:sz="6" w:space="0" w:color="auto"/>
                      <w:bottom w:val="single" w:sz="6" w:space="0" w:color="auto"/>
                      <w:right w:val="single" w:sz="6" w:space="0" w:color="auto"/>
                    </w:tcBorders>
                  </w:tcPr>
                  <w:p w:rsidR="00DE031E" w:rsidRDefault="001C1A59">
                    <w:pPr>
                      <w:jc w:val="right"/>
                      <w:rPr>
                        <w:szCs w:val="21"/>
                      </w:rPr>
                    </w:pPr>
                    <w:r>
                      <w:rPr>
                        <w:szCs w:val="21"/>
                      </w:rPr>
                      <w:t>490,253,385.48</w:t>
                    </w:r>
                  </w:p>
                </w:tc>
              </w:sdtContent>
            </w:sdt>
            <w:sdt>
              <w:sdtPr>
                <w:rPr>
                  <w:szCs w:val="21"/>
                </w:rPr>
                <w:alias w:val="递延所得税费用"/>
                <w:tag w:val="_GBC_aed55a3da9544323914e68d6c647c49f"/>
                <w:id w:val="24725978"/>
                <w:lock w:val="sdtLocked"/>
              </w:sdtPr>
              <w:sdtContent>
                <w:tc>
                  <w:tcPr>
                    <w:tcW w:w="1608" w:type="pct"/>
                    <w:tcBorders>
                      <w:top w:val="single" w:sz="6" w:space="0" w:color="auto"/>
                      <w:left w:val="single" w:sz="6" w:space="0" w:color="auto"/>
                      <w:bottom w:val="single" w:sz="6" w:space="0" w:color="auto"/>
                      <w:right w:val="single" w:sz="6" w:space="0" w:color="auto"/>
                    </w:tcBorders>
                  </w:tcPr>
                  <w:p w:rsidR="00DE031E" w:rsidRDefault="001C1A59">
                    <w:pPr>
                      <w:ind w:right="6"/>
                      <w:jc w:val="right"/>
                      <w:rPr>
                        <w:szCs w:val="21"/>
                      </w:rPr>
                    </w:pPr>
                    <w:r>
                      <w:rPr>
                        <w:szCs w:val="21"/>
                      </w:rPr>
                      <w:t>-19,726,767.04</w:t>
                    </w:r>
                  </w:p>
                </w:tc>
              </w:sdtContent>
            </w:sdt>
          </w:tr>
          <w:tr w:rsidR="00DE031E" w:rsidTr="00DE031E">
            <w:tc>
              <w:tcPr>
                <w:tcW w:w="1775" w:type="pct"/>
                <w:tcBorders>
                  <w:top w:val="single" w:sz="6" w:space="0" w:color="auto"/>
                  <w:left w:val="single" w:sz="6" w:space="0" w:color="auto"/>
                  <w:bottom w:val="single" w:sz="6" w:space="0" w:color="auto"/>
                  <w:right w:val="single" w:sz="6" w:space="0" w:color="auto"/>
                </w:tcBorders>
              </w:tcPr>
              <w:p w:rsidR="00DE031E" w:rsidRDefault="001C1A59">
                <w:pPr>
                  <w:ind w:right="6"/>
                  <w:jc w:val="center"/>
                  <w:rPr>
                    <w:szCs w:val="21"/>
                  </w:rPr>
                </w:pPr>
                <w:r>
                  <w:rPr>
                    <w:rFonts w:hint="eastAsia"/>
                    <w:szCs w:val="21"/>
                  </w:rPr>
                  <w:t>合计</w:t>
                </w:r>
              </w:p>
            </w:tc>
            <w:sdt>
              <w:sdtPr>
                <w:rPr>
                  <w:szCs w:val="21"/>
                </w:rPr>
                <w:alias w:val="所得税"/>
                <w:tag w:val="_GBC_91ee4b106ed6479b8d14b09554ebf054"/>
                <w:id w:val="24725979"/>
                <w:lock w:val="sdtLocked"/>
              </w:sdtPr>
              <w:sdtContent>
                <w:tc>
                  <w:tcPr>
                    <w:tcW w:w="1617" w:type="pct"/>
                    <w:tcBorders>
                      <w:top w:val="single" w:sz="6" w:space="0" w:color="auto"/>
                      <w:left w:val="single" w:sz="6" w:space="0" w:color="auto"/>
                      <w:bottom w:val="single" w:sz="6" w:space="0" w:color="auto"/>
                      <w:right w:val="single" w:sz="6" w:space="0" w:color="auto"/>
                    </w:tcBorders>
                  </w:tcPr>
                  <w:p w:rsidR="00DE031E" w:rsidRDefault="001C1A59">
                    <w:pPr>
                      <w:ind w:right="6"/>
                      <w:jc w:val="right"/>
                      <w:rPr>
                        <w:szCs w:val="21"/>
                      </w:rPr>
                    </w:pPr>
                    <w:r>
                      <w:rPr>
                        <w:szCs w:val="21"/>
                      </w:rPr>
                      <w:t>1,996,090,206.34</w:t>
                    </w:r>
                  </w:p>
                </w:tc>
              </w:sdtContent>
            </w:sdt>
            <w:sdt>
              <w:sdtPr>
                <w:rPr>
                  <w:szCs w:val="21"/>
                </w:rPr>
                <w:alias w:val="所得税"/>
                <w:tag w:val="_GBC_0d584eb8603b4573bd92a1a8466aeae4"/>
                <w:id w:val="24725980"/>
                <w:lock w:val="sdtLocked"/>
              </w:sdtPr>
              <w:sdtContent>
                <w:tc>
                  <w:tcPr>
                    <w:tcW w:w="1608" w:type="pct"/>
                    <w:tcBorders>
                      <w:top w:val="single" w:sz="6" w:space="0" w:color="auto"/>
                      <w:left w:val="single" w:sz="6" w:space="0" w:color="auto"/>
                      <w:bottom w:val="single" w:sz="6" w:space="0" w:color="auto"/>
                      <w:right w:val="single" w:sz="6" w:space="0" w:color="auto"/>
                    </w:tcBorders>
                  </w:tcPr>
                  <w:p w:rsidR="00DE031E" w:rsidRDefault="001C1A59">
                    <w:pPr>
                      <w:ind w:right="6"/>
                      <w:jc w:val="right"/>
                      <w:rPr>
                        <w:szCs w:val="21"/>
                      </w:rPr>
                    </w:pPr>
                    <w:r>
                      <w:rPr>
                        <w:szCs w:val="21"/>
                      </w:rPr>
                      <w:t>320,181,310.88</w:t>
                    </w:r>
                  </w:p>
                </w:tc>
              </w:sdtContent>
            </w:sdt>
          </w:tr>
        </w:tbl>
        <w:p w:rsidR="00DE031E" w:rsidRPr="002F41D2" w:rsidRDefault="001C1A59" w:rsidP="00DE031E">
          <w:pPr>
            <w:pStyle w:val="4"/>
            <w:spacing w:line="360" w:lineRule="auto"/>
            <w:ind w:firstLineChars="200" w:firstLine="420"/>
            <w:rPr>
              <w:rFonts w:asciiTheme="minorEastAsia" w:eastAsiaTheme="minorEastAsia" w:hAnsiTheme="minorEastAsia"/>
              <w:b w:val="0"/>
              <w:szCs w:val="21"/>
            </w:rPr>
          </w:pPr>
          <w:r w:rsidRPr="002F41D2">
            <w:rPr>
              <w:rFonts w:asciiTheme="minorEastAsia" w:eastAsiaTheme="minorEastAsia" w:hAnsiTheme="minorEastAsia" w:hint="eastAsia"/>
              <w:b w:val="0"/>
              <w:szCs w:val="21"/>
            </w:rPr>
            <w:t>截至2015年6月30日，本期所得税费用较上年同期增加1,675,908,895.46元，增幅523.4</w:t>
          </w:r>
          <w:r w:rsidR="002F41D2" w:rsidRPr="002F41D2">
            <w:rPr>
              <w:rFonts w:asciiTheme="minorEastAsia" w:eastAsiaTheme="minorEastAsia" w:hAnsiTheme="minorEastAsia" w:hint="eastAsia"/>
              <w:b w:val="0"/>
              <w:szCs w:val="21"/>
            </w:rPr>
            <w:t>2</w:t>
          </w:r>
          <w:r w:rsidRPr="002F41D2">
            <w:rPr>
              <w:rFonts w:asciiTheme="minorEastAsia" w:eastAsiaTheme="minorEastAsia" w:hAnsiTheme="minorEastAsia" w:hint="eastAsia"/>
              <w:b w:val="0"/>
              <w:szCs w:val="21"/>
            </w:rPr>
            <w:t>%，主要是由于应纳税所得额增加所致。</w:t>
          </w:r>
        </w:p>
        <w:p w:rsidR="00DE031E" w:rsidRDefault="001C1A59" w:rsidP="009950AC">
          <w:pPr>
            <w:pStyle w:val="4"/>
            <w:numPr>
              <w:ilvl w:val="0"/>
              <w:numId w:val="58"/>
            </w:numPr>
            <w:spacing w:line="360" w:lineRule="auto"/>
            <w:rPr>
              <w:szCs w:val="21"/>
            </w:rPr>
          </w:pPr>
          <w:r>
            <w:rPr>
              <w:rFonts w:hint="eastAsia"/>
              <w:szCs w:val="21"/>
            </w:rPr>
            <w:t>会计利润与</w:t>
          </w:r>
          <w:r>
            <w:rPr>
              <w:rFonts w:hint="eastAsia"/>
            </w:rPr>
            <w:t>所得税</w:t>
          </w:r>
          <w:r>
            <w:rPr>
              <w:rFonts w:hint="eastAsia"/>
              <w:szCs w:val="21"/>
            </w:rPr>
            <w:t>费用调整过程：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6552"/>
            <w:gridCol w:w="2343"/>
          </w:tblGrid>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jc w:val="center"/>
                </w:pPr>
                <w:r>
                  <w:rPr>
                    <w:rFonts w:hint="eastAsia"/>
                  </w:rPr>
                  <w:t>项目</w:t>
                </w:r>
              </w:p>
            </w:tc>
            <w:tc>
              <w:tcPr>
                <w:tcW w:w="1317"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jc w:val="center"/>
                </w:pPr>
                <w:r>
                  <w:rPr>
                    <w:rFonts w:hint="eastAsia"/>
                  </w:rPr>
                  <w:t>本期发生额</w:t>
                </w:r>
              </w:p>
            </w:tc>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rPr>
                    <w:b/>
                    <w:bCs/>
                    <w:szCs w:val="21"/>
                  </w:rPr>
                </w:pPr>
                <w:r>
                  <w:rPr>
                    <w:rFonts w:hint="eastAsia"/>
                    <w:szCs w:val="21"/>
                  </w:rPr>
                  <w:t>利润总额</w:t>
                </w:r>
              </w:p>
            </w:tc>
            <w:sdt>
              <w:sdtPr>
                <w:alias w:val="利润总额"/>
                <w:tag w:val="_GBC_d88a4b81141c4f5c919b30670b11c15b"/>
                <w:id w:val="24725981"/>
                <w:lock w:val="sdtLocked"/>
              </w:sdtPr>
              <w:sdtContent>
                <w:tc>
                  <w:tcPr>
                    <w:tcW w:w="1317" w:type="pct"/>
                    <w:tcBorders>
                      <w:top w:val="single" w:sz="4" w:space="0" w:color="auto"/>
                      <w:left w:val="single" w:sz="4" w:space="0" w:color="auto"/>
                      <w:bottom w:val="single" w:sz="6" w:space="0" w:color="auto"/>
                      <w:right w:val="single" w:sz="6" w:space="0" w:color="auto"/>
                    </w:tcBorders>
                    <w:shd w:val="clear" w:color="auto" w:fill="auto"/>
                  </w:tcPr>
                  <w:p w:rsidR="00DE031E" w:rsidRDefault="001C1A59" w:rsidP="00DE031E">
                    <w:pPr>
                      <w:jc w:val="right"/>
                    </w:pPr>
                    <w:r>
                      <w:t>9,331,218,514.93</w:t>
                    </w:r>
                  </w:p>
                </w:tc>
              </w:sdtContent>
            </w:sdt>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24725982"/>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1C1A59" w:rsidP="00DE031E">
                    <w:pPr>
                      <w:jc w:val="right"/>
                    </w:pPr>
                    <w:r>
                      <w:t>2,332,804,628.74</w:t>
                    </w:r>
                  </w:p>
                </w:tc>
              </w:sdtContent>
            </w:sdt>
          </w:tr>
          <w:tr w:rsidR="00DE031E" w:rsidTr="00DE031E">
            <w:trPr>
              <w:trHeight w:val="139"/>
            </w:trPr>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pPr>
                <w:r>
                  <w:rPr>
                    <w:rFonts w:hint="eastAsia"/>
                  </w:rPr>
                  <w:t>子公司适用不同税率的影响</w:t>
                </w:r>
              </w:p>
            </w:tc>
            <w:sdt>
              <w:sdtPr>
                <w:alias w:val="子公司适用不同税率的影响"/>
                <w:tag w:val="_GBC_bd377be4e62d4327a364073ab5736d62"/>
                <w:id w:val="24725983"/>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1C1A59" w:rsidP="00DE031E">
                    <w:pPr>
                      <w:jc w:val="right"/>
                    </w:pPr>
                    <w:r>
                      <w:t>-13,790,744.58</w:t>
                    </w:r>
                  </w:p>
                </w:tc>
              </w:sdtContent>
            </w:sdt>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pPr>
                <w:r>
                  <w:rPr>
                    <w:rFonts w:hint="eastAsia"/>
                  </w:rPr>
                  <w:t>调整以前期间所得税的影响</w:t>
                </w:r>
              </w:p>
            </w:tc>
            <w:sdt>
              <w:sdtPr>
                <w:alias w:val="调整以前期间所得税的影响"/>
                <w:tag w:val="_GBC_a5f3fb06aacb46f29557bd74e21e5994"/>
                <w:id w:val="24725984"/>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DE031E" w:rsidP="00DE031E">
                    <w:pPr>
                      <w:jc w:val="right"/>
                    </w:pPr>
                  </w:p>
                </w:tc>
              </w:sdtContent>
            </w:sdt>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pPr>
                <w:r>
                  <w:rPr>
                    <w:rFonts w:hint="eastAsia"/>
                  </w:rPr>
                  <w:t>非应税收入的影响</w:t>
                </w:r>
              </w:p>
            </w:tc>
            <w:sdt>
              <w:sdtPr>
                <w:alias w:val="非应税收入的影响"/>
                <w:tag w:val="_GBC_5b629954b60145cebb272dcd75719140"/>
                <w:id w:val="24725985"/>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1C1A59" w:rsidP="00DE031E">
                    <w:pPr>
                      <w:jc w:val="right"/>
                    </w:pPr>
                    <w:r>
                      <w:t>-322,923,677.82</w:t>
                    </w:r>
                  </w:p>
                </w:tc>
              </w:sdtContent>
            </w:sdt>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pPr>
                <w:r>
                  <w:rPr>
                    <w:rFonts w:hint="eastAsia"/>
                  </w:rPr>
                  <w:t>不可抵扣的成本、费用和损失的影响</w:t>
                </w:r>
              </w:p>
            </w:tc>
            <w:sdt>
              <w:sdtPr>
                <w:alias w:val="不可抵扣的成本、费用和损失的影响"/>
                <w:tag w:val="_GBC_d4611f12fa144d3ab7f01b27be0c2dbc"/>
                <w:id w:val="24725986"/>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DE031E" w:rsidP="00DE031E">
                    <w:pPr>
                      <w:jc w:val="right"/>
                    </w:pPr>
                  </w:p>
                </w:tc>
              </w:sdtContent>
            </w:sdt>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pPr>
                <w:r>
                  <w:rPr>
                    <w:rFonts w:hint="eastAsia"/>
                  </w:rPr>
                  <w:t>使用前期未确认递延所得税资产的可抵扣亏损的影响</w:t>
                </w:r>
              </w:p>
            </w:tc>
            <w:sdt>
              <w:sdtPr>
                <w:alias w:val="使用前期未确认递延所得税资产的可抵扣亏损的影响"/>
                <w:tag w:val="_GBC_749fe7a96afd4f1faef276a87947ff0e"/>
                <w:id w:val="24725987"/>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DE031E" w:rsidP="00DE031E">
                    <w:pPr>
                      <w:jc w:val="right"/>
                    </w:pPr>
                  </w:p>
                </w:tc>
              </w:sdtContent>
            </w:sdt>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67e51bf233ba4e2eaec71a8b8dc082ce"/>
                <w:id w:val="24725988"/>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DE031E" w:rsidP="00DE031E">
                    <w:pPr>
                      <w:jc w:val="right"/>
                    </w:pPr>
                  </w:p>
                </w:tc>
              </w:sdtContent>
            </w:sdt>
          </w:tr>
          <w:tr w:rsidR="00DE031E" w:rsidTr="00DE031E">
            <w:tc>
              <w:tcPr>
                <w:tcW w:w="3683" w:type="pct"/>
                <w:tcBorders>
                  <w:top w:val="single" w:sz="4" w:space="0" w:color="auto"/>
                  <w:left w:val="single" w:sz="4" w:space="0" w:color="auto"/>
                  <w:bottom w:val="single" w:sz="4" w:space="0" w:color="auto"/>
                  <w:right w:val="single" w:sz="4" w:space="0" w:color="auto"/>
                </w:tcBorders>
                <w:shd w:val="clear" w:color="auto" w:fill="auto"/>
                <w:hideMark/>
              </w:tcPr>
              <w:p w:rsidR="00DE031E" w:rsidRDefault="001C1A59" w:rsidP="00DE031E">
                <w:r>
                  <w:rPr>
                    <w:rFonts w:hint="eastAsia"/>
                  </w:rPr>
                  <w:t>所得税费用</w:t>
                </w:r>
              </w:p>
            </w:tc>
            <w:sdt>
              <w:sdtPr>
                <w:alias w:val="按实际税率计算的所得税费用"/>
                <w:tag w:val="_GBC_9b0f279282f24d3f94a9cd24362ffd8f"/>
                <w:id w:val="24725989"/>
                <w:lock w:val="sdtLocked"/>
              </w:sdtPr>
              <w:sdtEndPr>
                <w:rPr>
                  <w:rFonts w:hint="eastAsia"/>
                </w:rPr>
              </w:sdtEndPr>
              <w:sdtContent>
                <w:tc>
                  <w:tcPr>
                    <w:tcW w:w="1317" w:type="pct"/>
                    <w:tcBorders>
                      <w:top w:val="single" w:sz="6" w:space="0" w:color="auto"/>
                      <w:left w:val="single" w:sz="4" w:space="0" w:color="auto"/>
                      <w:bottom w:val="single" w:sz="6" w:space="0" w:color="auto"/>
                      <w:right w:val="single" w:sz="6" w:space="0" w:color="auto"/>
                    </w:tcBorders>
                    <w:shd w:val="clear" w:color="auto" w:fill="auto"/>
                  </w:tcPr>
                  <w:p w:rsidR="00DE031E" w:rsidRDefault="001C1A59" w:rsidP="00DE031E">
                    <w:pPr>
                      <w:jc w:val="right"/>
                    </w:pPr>
                    <w:r>
                      <w:t>1,996,090,206.34</w:t>
                    </w:r>
                  </w:p>
                </w:tc>
              </w:sdtContent>
            </w:sdt>
          </w:tr>
        </w:tbl>
      </w:sdtContent>
    </w:sdt>
    <w:sdt>
      <w:sdtPr>
        <w:rPr>
          <w:rFonts w:ascii="宋体" w:hAnsi="宋体" w:cs="宋体" w:hint="eastAsia"/>
          <w:b w:val="0"/>
          <w:bCs w:val="0"/>
          <w:kern w:val="0"/>
          <w:szCs w:val="21"/>
        </w:rPr>
        <w:tag w:val="_GBC_a490950b62a146d9901e0aeb01787f97"/>
        <w:id w:val="24725992"/>
        <w:lock w:val="sdtLocked"/>
        <w:placeholder>
          <w:docPart w:val="GBC22222222222222222222222222222"/>
        </w:placeholder>
      </w:sdtPr>
      <w:sdtEndPr>
        <w:rPr>
          <w:rFonts w:asciiTheme="minorHAnsi" w:eastAsiaTheme="minorEastAsia" w:hAnsiTheme="minorHAnsi"/>
        </w:rPr>
      </w:sdtEndPr>
      <w:sdtConten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其他综合收益</w:t>
          </w:r>
        </w:p>
        <w:sdt>
          <w:sdtPr>
            <w:rPr>
              <w:rFonts w:hint="eastAsia"/>
              <w:szCs w:val="21"/>
            </w:rPr>
            <w:alias w:val="其他综合收益详见附注"/>
            <w:tag w:val="_GBC_6f59ae7e2b78472ea4fa736cbb8f062d"/>
            <w:id w:val="24725991"/>
            <w:lock w:val="sdtLocked"/>
            <w:placeholder>
              <w:docPart w:val="GBC22222222222222222222222222222"/>
            </w:placeholder>
          </w:sdtPr>
          <w:sdtContent>
            <w:p w:rsidR="00DE031E" w:rsidRDefault="00A15A30" w:rsidP="00A15A30">
              <w:pPr>
                <w:jc w:val="right"/>
                <w:rPr>
                  <w:szCs w:val="21"/>
                </w:rPr>
              </w:pPr>
              <w:r>
                <w:rPr>
                  <w:rFonts w:hint="eastAsia"/>
                </w:rPr>
                <w:t>单位：元  币种：人民币</w:t>
              </w:r>
            </w:p>
            <w:tbl>
              <w:tblPr>
                <w:tblW w:w="9794" w:type="dxa"/>
                <w:jc w:val="center"/>
                <w:tblInd w:w="1344" w:type="dxa"/>
                <w:tblLook w:val="04A0"/>
              </w:tblPr>
              <w:tblGrid>
                <w:gridCol w:w="6151"/>
                <w:gridCol w:w="1843"/>
                <w:gridCol w:w="1800"/>
              </w:tblGrid>
              <w:tr w:rsidR="00DE031E" w:rsidRPr="00C511F2" w:rsidTr="00DE031E">
                <w:trPr>
                  <w:trHeight w:val="285"/>
                  <w:tblHeader/>
                  <w:jc w:val="center"/>
                </w:trPr>
                <w:tc>
                  <w:tcPr>
                    <w:tcW w:w="61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jc w:val="center"/>
                      <w:rPr>
                        <w:color w:val="000000"/>
                        <w:szCs w:val="21"/>
                      </w:rPr>
                    </w:pPr>
                    <w:r w:rsidRPr="00C511F2">
                      <w:rPr>
                        <w:rFonts w:hint="eastAsia"/>
                        <w:color w:val="000000"/>
                        <w:szCs w:val="21"/>
                      </w:rPr>
                      <w:t>项目</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E031E" w:rsidRPr="00C511F2" w:rsidRDefault="001C1A59" w:rsidP="00DE031E">
                    <w:pPr>
                      <w:jc w:val="center"/>
                      <w:rPr>
                        <w:color w:val="000000"/>
                        <w:szCs w:val="21"/>
                      </w:rPr>
                    </w:pPr>
                    <w:r w:rsidRPr="00C511F2">
                      <w:rPr>
                        <w:rFonts w:hint="eastAsia"/>
                        <w:color w:val="000000"/>
                        <w:szCs w:val="21"/>
                      </w:rPr>
                      <w:t>本期金额</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DE031E" w:rsidRPr="00C511F2" w:rsidRDefault="001C1A59" w:rsidP="00DE031E">
                    <w:pPr>
                      <w:jc w:val="center"/>
                      <w:rPr>
                        <w:color w:val="000000"/>
                        <w:szCs w:val="21"/>
                      </w:rPr>
                    </w:pPr>
                    <w:r w:rsidRPr="00C511F2">
                      <w:rPr>
                        <w:rFonts w:hint="eastAsia"/>
                        <w:color w:val="000000"/>
                        <w:szCs w:val="21"/>
                      </w:rPr>
                      <w:t>上期金额</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1．可供出售金融资产产生的利得（损失）金额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612,297,049.12</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299,869,221.44</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减：可供出售金融资产产生的所得税影响</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154,041,278.77</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74,988,344.69</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ind w:firstLineChars="200" w:firstLine="420"/>
                      <w:rPr>
                        <w:color w:val="000000"/>
                        <w:szCs w:val="21"/>
                      </w:rPr>
                    </w:pPr>
                    <w:r w:rsidRPr="00C511F2">
                      <w:rPr>
                        <w:rFonts w:hint="eastAsia"/>
                        <w:color w:val="000000"/>
                        <w:szCs w:val="21"/>
                      </w:rPr>
                      <w:t>前期计入其他综合收益当期转入损益的净额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2,943,932.81</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-20,912,163.74</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小计</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455,311,837.54</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245,793,040.49</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2.按照权益法核算的在被投资单位其他综合收益中所享有的份额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3,666,226.88</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1,190,192.07</w:t>
                    </w:r>
                  </w:p>
                </w:tc>
              </w:tr>
              <w:tr w:rsidR="00DE031E" w:rsidRPr="00C511F2" w:rsidTr="00DE031E">
                <w:trPr>
                  <w:trHeight w:val="52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减：按照权益法核算的在被投资单位其他综合收益中所享有的份额产生的所得税影响</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ind w:firstLineChars="200" w:firstLine="420"/>
                      <w:rPr>
                        <w:color w:val="000000"/>
                        <w:szCs w:val="21"/>
                      </w:rPr>
                    </w:pPr>
                    <w:r w:rsidRPr="00C511F2">
                      <w:rPr>
                        <w:rFonts w:hint="eastAsia"/>
                        <w:color w:val="000000"/>
                        <w:szCs w:val="21"/>
                      </w:rPr>
                      <w:t>前期计入其他综合收益当期转入损益的净额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小计</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3,666,226.88</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1,190,192.07</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3．现金流量套期工具产生的利得（或损失）金额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减：现金流量套期工具产生的所得税影响</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ind w:firstLineChars="200" w:firstLine="420"/>
                      <w:rPr>
                        <w:color w:val="000000"/>
                        <w:szCs w:val="21"/>
                      </w:rPr>
                    </w:pPr>
                    <w:r w:rsidRPr="00C511F2">
                      <w:rPr>
                        <w:rFonts w:hint="eastAsia"/>
                        <w:color w:val="000000"/>
                        <w:szCs w:val="21"/>
                      </w:rPr>
                      <w:t>前期计入其他综合收益当期转入损益的净额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ind w:firstLineChars="200" w:firstLine="420"/>
                      <w:rPr>
                        <w:color w:val="000000"/>
                        <w:szCs w:val="21"/>
                      </w:rPr>
                    </w:pPr>
                    <w:r w:rsidRPr="00C511F2">
                      <w:rPr>
                        <w:rFonts w:hint="eastAsia"/>
                        <w:color w:val="000000"/>
                        <w:szCs w:val="21"/>
                      </w:rPr>
                      <w:t>转为被套期项目初始确认金额的调整额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小计</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4．外币财务报表折算差额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-613,858.40</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18,285,463.63</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减：处置境外经营当期转入损益的净额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小计</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-613,858.40</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18,285,463.63</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5.其他</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t>减：由其他计入其他综合收益产生的所得税影响</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ind w:firstLineChars="200" w:firstLine="420"/>
                      <w:rPr>
                        <w:color w:val="000000"/>
                        <w:szCs w:val="21"/>
                      </w:rPr>
                    </w:pPr>
                    <w:r w:rsidRPr="00C511F2">
                      <w:rPr>
                        <w:rFonts w:hint="eastAsia"/>
                        <w:color w:val="000000"/>
                        <w:szCs w:val="21"/>
                      </w:rPr>
                      <w:t>前期其他计入其他综合收益当期转入损益的净额</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333399"/>
                        <w:szCs w:val="21"/>
                      </w:rPr>
                    </w:pPr>
                    <w:r w:rsidRPr="00C511F2">
                      <w:rPr>
                        <w:rFonts w:hint="eastAsia"/>
                        <w:color w:val="333399"/>
                        <w:szCs w:val="21"/>
                      </w:rPr>
                      <w:t xml:space="preserve">　</w:t>
                    </w: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rPr>
                        <w:color w:val="000000"/>
                        <w:szCs w:val="21"/>
                      </w:rPr>
                    </w:pPr>
                    <w:r w:rsidRPr="00C511F2">
                      <w:rPr>
                        <w:rFonts w:hint="eastAsia"/>
                        <w:color w:val="000000"/>
                        <w:szCs w:val="21"/>
                      </w:rPr>
                      <w:lastRenderedPageBreak/>
                      <w:t>小计</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DE031E" w:rsidP="00DE031E">
                    <w:pPr>
                      <w:jc w:val="right"/>
                      <w:rPr>
                        <w:color w:val="000000"/>
                        <w:szCs w:val="21"/>
                      </w:rPr>
                    </w:pPr>
                  </w:p>
                </w:tc>
              </w:tr>
              <w:tr w:rsidR="00DE031E" w:rsidRPr="00C511F2" w:rsidTr="00DE031E">
                <w:trPr>
                  <w:trHeight w:val="285"/>
                  <w:jc w:val="center"/>
                </w:trPr>
                <w:tc>
                  <w:tcPr>
                    <w:tcW w:w="6151" w:type="dxa"/>
                    <w:tcBorders>
                      <w:top w:val="nil"/>
                      <w:left w:val="single" w:sz="8" w:space="0" w:color="auto"/>
                      <w:bottom w:val="single" w:sz="8" w:space="0" w:color="auto"/>
                      <w:right w:val="single" w:sz="8" w:space="0" w:color="auto"/>
                    </w:tcBorders>
                    <w:shd w:val="clear" w:color="auto" w:fill="auto"/>
                    <w:vAlign w:val="center"/>
                    <w:hideMark/>
                  </w:tcPr>
                  <w:p w:rsidR="00DE031E" w:rsidRPr="00C511F2" w:rsidRDefault="001C1A59" w:rsidP="00DE031E">
                    <w:pPr>
                      <w:jc w:val="center"/>
                      <w:rPr>
                        <w:color w:val="000000"/>
                        <w:szCs w:val="21"/>
                      </w:rPr>
                    </w:pPr>
                    <w:r w:rsidRPr="00C511F2">
                      <w:rPr>
                        <w:rFonts w:hint="eastAsia"/>
                        <w:color w:val="000000"/>
                        <w:szCs w:val="21"/>
                      </w:rPr>
                      <w:t>合计</w:t>
                    </w:r>
                  </w:p>
                </w:tc>
                <w:tc>
                  <w:tcPr>
                    <w:tcW w:w="1843"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458,364,206.02</w:t>
                    </w:r>
                  </w:p>
                </w:tc>
                <w:tc>
                  <w:tcPr>
                    <w:tcW w:w="1800" w:type="dxa"/>
                    <w:tcBorders>
                      <w:top w:val="nil"/>
                      <w:left w:val="nil"/>
                      <w:bottom w:val="single" w:sz="8" w:space="0" w:color="auto"/>
                      <w:right w:val="single" w:sz="8" w:space="0" w:color="auto"/>
                    </w:tcBorders>
                    <w:shd w:val="clear" w:color="auto" w:fill="auto"/>
                    <w:vAlign w:val="center"/>
                    <w:hideMark/>
                  </w:tcPr>
                  <w:p w:rsidR="00DE031E" w:rsidRPr="00C511F2" w:rsidRDefault="001C1A59" w:rsidP="00DE031E">
                    <w:pPr>
                      <w:jc w:val="right"/>
                      <w:rPr>
                        <w:color w:val="000000"/>
                        <w:szCs w:val="21"/>
                      </w:rPr>
                    </w:pPr>
                    <w:r w:rsidRPr="00C511F2">
                      <w:rPr>
                        <w:rFonts w:hint="eastAsia"/>
                        <w:color w:val="000000"/>
                        <w:szCs w:val="21"/>
                      </w:rPr>
                      <w:t>265,268,696.19</w:t>
                    </w:r>
                  </w:p>
                </w:tc>
              </w:tr>
            </w:tbl>
          </w:sdtContent>
        </w:sdt>
      </w:sdtContent>
    </w:sdt>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每股收益</w:t>
      </w:r>
    </w:p>
    <w:p w:rsidR="00A15A30" w:rsidRPr="00A15A30" w:rsidRDefault="00A15A30" w:rsidP="00A15A30">
      <w:pPr>
        <w:jc w:val="right"/>
      </w:pPr>
      <w:r>
        <w:rPr>
          <w:rFonts w:hint="eastAsia"/>
        </w:rPr>
        <w:t>单位：元  币种：人民币</w:t>
      </w:r>
    </w:p>
    <w:tbl>
      <w:tblPr>
        <w:tblW w:w="5000" w:type="pct"/>
        <w:tblLook w:val="04A0"/>
      </w:tblPr>
      <w:tblGrid>
        <w:gridCol w:w="5006"/>
        <w:gridCol w:w="532"/>
        <w:gridCol w:w="968"/>
        <w:gridCol w:w="308"/>
        <w:gridCol w:w="2235"/>
      </w:tblGrid>
      <w:tr w:rsidR="00DE031E" w:rsidRPr="00D73AB7" w:rsidTr="00DE031E">
        <w:trPr>
          <w:trHeight w:val="312"/>
          <w:tblHeader/>
        </w:trPr>
        <w:tc>
          <w:tcPr>
            <w:tcW w:w="2766"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rPr>
                <w:rFonts w:asciiTheme="minorEastAsia" w:eastAsiaTheme="minorEastAsia" w:hAnsiTheme="minorEastAsia" w:cs="Arial"/>
                <w:b/>
                <w:bCs/>
                <w:spacing w:val="-6"/>
                <w:szCs w:val="21"/>
              </w:rPr>
            </w:pPr>
            <w:r w:rsidRPr="00D73AB7">
              <w:rPr>
                <w:rFonts w:asciiTheme="minorEastAsia" w:eastAsiaTheme="minorEastAsia" w:hAnsiTheme="minorEastAsia" w:cs="Arial"/>
                <w:b/>
                <w:bCs/>
                <w:spacing w:val="-6"/>
                <w:szCs w:val="21"/>
              </w:rPr>
              <w:t>项目</w:t>
            </w:r>
          </w:p>
        </w:tc>
        <w:tc>
          <w:tcPr>
            <w:tcW w:w="294"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rPr>
                <w:rFonts w:asciiTheme="minorEastAsia" w:eastAsiaTheme="minorEastAsia" w:hAnsiTheme="minorEastAsia" w:cs="Arial"/>
                <w:b/>
                <w:bCs/>
                <w:spacing w:val="-6"/>
                <w:szCs w:val="21"/>
              </w:rPr>
            </w:pPr>
          </w:p>
        </w:tc>
        <w:tc>
          <w:tcPr>
            <w:tcW w:w="535"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jc w:val="right"/>
              <w:rPr>
                <w:rFonts w:asciiTheme="minorEastAsia" w:eastAsiaTheme="minorEastAsia" w:hAnsiTheme="minorEastAsia" w:cs="Arial"/>
                <w:b/>
                <w:bCs/>
                <w:spacing w:val="-6"/>
                <w:szCs w:val="21"/>
              </w:rPr>
            </w:pPr>
            <w:r w:rsidRPr="00D73AB7">
              <w:rPr>
                <w:rFonts w:asciiTheme="minorEastAsia" w:eastAsiaTheme="minorEastAsia" w:hAnsiTheme="minorEastAsia" w:cs="Arial"/>
                <w:b/>
                <w:bCs/>
                <w:spacing w:val="-6"/>
                <w:szCs w:val="21"/>
              </w:rPr>
              <w:t>序号</w:t>
            </w:r>
          </w:p>
        </w:tc>
        <w:tc>
          <w:tcPr>
            <w:tcW w:w="170"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jc w:val="right"/>
              <w:rPr>
                <w:rFonts w:asciiTheme="minorEastAsia" w:eastAsiaTheme="minorEastAsia" w:hAnsiTheme="minorEastAsia" w:cs="Arial"/>
                <w:b/>
                <w:bCs/>
                <w:spacing w:val="-6"/>
                <w:szCs w:val="21"/>
              </w:rPr>
            </w:pPr>
          </w:p>
        </w:tc>
        <w:tc>
          <w:tcPr>
            <w:tcW w:w="1235"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jc w:val="right"/>
              <w:rPr>
                <w:rFonts w:asciiTheme="minorEastAsia" w:eastAsiaTheme="minorEastAsia" w:hAnsiTheme="minorEastAsia" w:cs="Arial"/>
                <w:b/>
                <w:bCs/>
                <w:spacing w:val="-6"/>
                <w:szCs w:val="21"/>
              </w:rPr>
            </w:pPr>
            <w:r w:rsidRPr="00D73AB7">
              <w:rPr>
                <w:rFonts w:asciiTheme="minorEastAsia" w:eastAsiaTheme="minorEastAsia" w:hAnsiTheme="minorEastAsia" w:cs="Arial" w:hint="eastAsia"/>
                <w:b/>
                <w:bCs/>
                <w:spacing w:val="-6"/>
                <w:szCs w:val="21"/>
              </w:rPr>
              <w:t>2015年1-6月</w:t>
            </w:r>
            <w:r w:rsidRPr="00D73AB7">
              <w:rPr>
                <w:rFonts w:asciiTheme="minorEastAsia" w:eastAsiaTheme="minorEastAsia" w:hAnsiTheme="minorEastAsia" w:cs="Arial"/>
                <w:b/>
                <w:bCs/>
                <w:spacing w:val="-6"/>
                <w:szCs w:val="21"/>
              </w:rPr>
              <w:t>金额</w:t>
            </w:r>
          </w:p>
        </w:tc>
      </w:tr>
      <w:tr w:rsidR="00DE031E" w:rsidRPr="00D73AB7" w:rsidTr="00DE031E">
        <w:trPr>
          <w:trHeight w:val="312"/>
        </w:trPr>
        <w:tc>
          <w:tcPr>
            <w:tcW w:w="2766"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rPr>
                <w:rFonts w:asciiTheme="minorEastAsia" w:eastAsiaTheme="minorEastAsia" w:hAnsiTheme="minorEastAsia" w:cs="Arial"/>
                <w:spacing w:val="-4"/>
                <w:szCs w:val="21"/>
              </w:rPr>
            </w:pPr>
            <w:r w:rsidRPr="00D73AB7">
              <w:rPr>
                <w:rFonts w:asciiTheme="minorEastAsia" w:eastAsiaTheme="minorEastAsia" w:hAnsiTheme="minorEastAsia" w:cs="Arial"/>
                <w:spacing w:val="-4"/>
                <w:szCs w:val="21"/>
              </w:rPr>
              <w:t>归属于母公司股东的净利润</w:t>
            </w:r>
          </w:p>
        </w:tc>
        <w:tc>
          <w:tcPr>
            <w:tcW w:w="294"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rPr>
                <w:rFonts w:asciiTheme="minorEastAsia" w:eastAsiaTheme="minorEastAsia" w:hAnsiTheme="minorEastAsia" w:cs="Arial"/>
                <w:spacing w:val="-6"/>
                <w:szCs w:val="21"/>
              </w:rPr>
            </w:pPr>
          </w:p>
        </w:tc>
        <w:tc>
          <w:tcPr>
            <w:tcW w:w="535" w:type="pct"/>
            <w:tcBorders>
              <w:top w:val="nil"/>
              <w:left w:val="nil"/>
              <w:bottom w:val="nil"/>
              <w:right w:val="nil"/>
            </w:tcBorders>
            <w:shd w:val="clear" w:color="auto" w:fill="auto"/>
            <w:noWrap/>
            <w:vAlign w:val="center"/>
            <w:hideMark/>
          </w:tcPr>
          <w:p w:rsidR="00DE031E" w:rsidRPr="00D73AB7" w:rsidRDefault="001C1A59" w:rsidP="00DE031E">
            <w:pPr>
              <w:spacing w:line="200" w:lineRule="exact"/>
              <w:ind w:leftChars="-20" w:left="-42" w:rightChars="-20" w:right="-42"/>
              <w:jc w:val="right"/>
              <w:rPr>
                <w:rFonts w:asciiTheme="minorEastAsia" w:eastAsiaTheme="minorEastAsia" w:hAnsiTheme="minorEastAsia" w:cs="Arial"/>
                <w:b/>
                <w:bCs/>
                <w:spacing w:val="-6"/>
                <w:szCs w:val="21"/>
              </w:rPr>
            </w:pPr>
            <w:r w:rsidRPr="00D73AB7">
              <w:rPr>
                <w:rFonts w:asciiTheme="minorEastAsia" w:eastAsiaTheme="minorEastAsia" w:hAnsiTheme="minorEastAsia" w:cs="Arial"/>
                <w:spacing w:val="-6"/>
                <w:szCs w:val="21"/>
              </w:rPr>
              <w:t>1</w:t>
            </w:r>
          </w:p>
        </w:tc>
        <w:tc>
          <w:tcPr>
            <w:tcW w:w="170"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jc w:val="right"/>
              <w:rPr>
                <w:rFonts w:asciiTheme="minorEastAsia" w:eastAsiaTheme="minorEastAsia" w:hAnsiTheme="minorEastAsia" w:cs="Arial"/>
                <w:spacing w:val="-6"/>
                <w:szCs w:val="21"/>
              </w:rPr>
            </w:pPr>
          </w:p>
        </w:tc>
        <w:tc>
          <w:tcPr>
            <w:tcW w:w="1235" w:type="pct"/>
            <w:tcBorders>
              <w:top w:val="nil"/>
              <w:left w:val="nil"/>
              <w:bottom w:val="nil"/>
              <w:right w:val="nil"/>
            </w:tcBorders>
            <w:shd w:val="clear" w:color="auto" w:fill="auto"/>
            <w:noWrap/>
            <w:vAlign w:val="center"/>
            <w:hideMark/>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7,314,665,463.76</w:t>
            </w:r>
          </w:p>
        </w:tc>
      </w:tr>
      <w:tr w:rsidR="00DE031E" w:rsidRPr="00D73AB7" w:rsidTr="00DE031E">
        <w:trPr>
          <w:trHeight w:val="312"/>
        </w:trPr>
        <w:tc>
          <w:tcPr>
            <w:tcW w:w="2766"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rPr>
                <w:rFonts w:asciiTheme="minorEastAsia" w:eastAsiaTheme="minorEastAsia" w:hAnsiTheme="minorEastAsia" w:cs="Arial"/>
                <w:spacing w:val="-4"/>
                <w:szCs w:val="21"/>
              </w:rPr>
            </w:pPr>
            <w:r w:rsidRPr="00D73AB7">
              <w:rPr>
                <w:rFonts w:asciiTheme="minorEastAsia" w:eastAsiaTheme="minorEastAsia" w:hAnsiTheme="minorEastAsia" w:cs="Arial"/>
                <w:spacing w:val="-4"/>
                <w:szCs w:val="21"/>
              </w:rPr>
              <w:t>归属于母公司的非经常性损益</w:t>
            </w:r>
          </w:p>
        </w:tc>
        <w:tc>
          <w:tcPr>
            <w:tcW w:w="294"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rPr>
                <w:rFonts w:asciiTheme="minorEastAsia" w:eastAsiaTheme="minorEastAsia" w:hAnsiTheme="minorEastAsia" w:cs="Arial"/>
                <w:spacing w:val="-6"/>
                <w:szCs w:val="21"/>
              </w:rPr>
            </w:pPr>
          </w:p>
        </w:tc>
        <w:tc>
          <w:tcPr>
            <w:tcW w:w="535" w:type="pct"/>
            <w:tcBorders>
              <w:top w:val="nil"/>
              <w:left w:val="nil"/>
              <w:bottom w:val="nil"/>
              <w:right w:val="nil"/>
            </w:tcBorders>
            <w:shd w:val="clear" w:color="auto" w:fill="auto"/>
            <w:noWrap/>
            <w:vAlign w:val="center"/>
            <w:hideMark/>
          </w:tcPr>
          <w:p w:rsidR="00DE031E" w:rsidRPr="00D73AB7" w:rsidRDefault="001C1A59" w:rsidP="00DE031E">
            <w:pPr>
              <w:spacing w:line="200" w:lineRule="exact"/>
              <w:ind w:leftChars="-20" w:left="-42" w:rightChars="-20" w:right="-42"/>
              <w:jc w:val="right"/>
              <w:rPr>
                <w:rFonts w:asciiTheme="minorEastAsia" w:eastAsiaTheme="minorEastAsia" w:hAnsiTheme="minorEastAsia" w:cs="Arial"/>
                <w:b/>
                <w:bCs/>
                <w:spacing w:val="-6"/>
                <w:szCs w:val="21"/>
              </w:rPr>
            </w:pPr>
            <w:r w:rsidRPr="00D73AB7">
              <w:rPr>
                <w:rFonts w:asciiTheme="minorEastAsia" w:eastAsiaTheme="minorEastAsia" w:hAnsiTheme="minorEastAsia" w:cs="Arial"/>
                <w:spacing w:val="-6"/>
                <w:szCs w:val="21"/>
              </w:rPr>
              <w:t>2</w:t>
            </w:r>
          </w:p>
        </w:tc>
        <w:tc>
          <w:tcPr>
            <w:tcW w:w="170"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jc w:val="right"/>
              <w:rPr>
                <w:rFonts w:asciiTheme="minorEastAsia" w:eastAsiaTheme="minorEastAsia" w:hAnsiTheme="minorEastAsia" w:cs="Arial"/>
                <w:spacing w:val="-6"/>
                <w:szCs w:val="21"/>
              </w:rPr>
            </w:pPr>
          </w:p>
        </w:tc>
        <w:tc>
          <w:tcPr>
            <w:tcW w:w="1235" w:type="pct"/>
            <w:tcBorders>
              <w:top w:val="nil"/>
              <w:left w:val="nil"/>
              <w:bottom w:val="nil"/>
              <w:right w:val="nil"/>
            </w:tcBorders>
            <w:shd w:val="clear" w:color="auto" w:fill="auto"/>
            <w:noWrap/>
            <w:vAlign w:val="center"/>
            <w:hideMark/>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17,616,995.80</w:t>
            </w:r>
          </w:p>
        </w:tc>
      </w:tr>
      <w:tr w:rsidR="00DE031E" w:rsidRPr="00D73AB7" w:rsidTr="00DE031E">
        <w:trPr>
          <w:trHeight w:val="312"/>
        </w:trPr>
        <w:tc>
          <w:tcPr>
            <w:tcW w:w="2766"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rPr>
                <w:rFonts w:asciiTheme="minorEastAsia" w:eastAsiaTheme="minorEastAsia" w:hAnsiTheme="minorEastAsia" w:cs="Arial"/>
                <w:spacing w:val="-4"/>
                <w:szCs w:val="21"/>
              </w:rPr>
            </w:pPr>
            <w:r w:rsidRPr="00D73AB7">
              <w:rPr>
                <w:rFonts w:asciiTheme="minorEastAsia" w:eastAsiaTheme="minorEastAsia" w:hAnsiTheme="minorEastAsia" w:cs="Arial"/>
                <w:spacing w:val="-4"/>
                <w:szCs w:val="21"/>
              </w:rPr>
              <w:t>归属于母公司股东、扣除非经常性损益后的净利润</w:t>
            </w:r>
          </w:p>
        </w:tc>
        <w:tc>
          <w:tcPr>
            <w:tcW w:w="294"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rPr>
                <w:rFonts w:asciiTheme="minorEastAsia" w:eastAsiaTheme="minorEastAsia" w:hAnsiTheme="minorEastAsia" w:cs="Arial"/>
                <w:spacing w:val="-6"/>
                <w:szCs w:val="21"/>
              </w:rPr>
            </w:pPr>
          </w:p>
        </w:tc>
        <w:tc>
          <w:tcPr>
            <w:tcW w:w="535" w:type="pct"/>
            <w:tcBorders>
              <w:top w:val="nil"/>
              <w:left w:val="nil"/>
              <w:bottom w:val="nil"/>
              <w:right w:val="nil"/>
            </w:tcBorders>
            <w:shd w:val="clear" w:color="auto" w:fill="auto"/>
            <w:noWrap/>
            <w:vAlign w:val="center"/>
            <w:hideMark/>
          </w:tcPr>
          <w:p w:rsidR="00DE031E" w:rsidRPr="00D73AB7" w:rsidRDefault="001C1A59" w:rsidP="00DE031E">
            <w:pPr>
              <w:spacing w:line="200" w:lineRule="exact"/>
              <w:ind w:leftChars="-20" w:left="-42" w:rightChars="-20" w:right="-42"/>
              <w:jc w:val="right"/>
              <w:rPr>
                <w:rFonts w:asciiTheme="minorEastAsia" w:eastAsiaTheme="minorEastAsia" w:hAnsiTheme="minorEastAsia" w:cs="Arial"/>
                <w:b/>
                <w:bCs/>
                <w:spacing w:val="-6"/>
                <w:szCs w:val="21"/>
              </w:rPr>
            </w:pPr>
            <w:r w:rsidRPr="00D73AB7">
              <w:rPr>
                <w:rFonts w:asciiTheme="minorEastAsia" w:eastAsiaTheme="minorEastAsia" w:hAnsiTheme="minorEastAsia" w:cs="Arial"/>
                <w:spacing w:val="-6"/>
                <w:szCs w:val="21"/>
              </w:rPr>
              <w:t>3=1-2</w:t>
            </w:r>
          </w:p>
        </w:tc>
        <w:tc>
          <w:tcPr>
            <w:tcW w:w="170"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jc w:val="right"/>
              <w:rPr>
                <w:rFonts w:asciiTheme="minorEastAsia" w:eastAsiaTheme="minorEastAsia" w:hAnsiTheme="minorEastAsia" w:cs="Arial"/>
                <w:spacing w:val="-6"/>
                <w:szCs w:val="21"/>
              </w:rPr>
            </w:pPr>
          </w:p>
        </w:tc>
        <w:tc>
          <w:tcPr>
            <w:tcW w:w="1235" w:type="pct"/>
            <w:tcBorders>
              <w:top w:val="nil"/>
              <w:left w:val="nil"/>
              <w:bottom w:val="nil"/>
              <w:right w:val="nil"/>
            </w:tcBorders>
            <w:shd w:val="clear" w:color="auto" w:fill="auto"/>
            <w:noWrap/>
            <w:vAlign w:val="center"/>
            <w:hideMark/>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7,297,048,467.96</w:t>
            </w:r>
          </w:p>
        </w:tc>
      </w:tr>
      <w:tr w:rsidR="00DE031E" w:rsidRPr="00D73AB7" w:rsidTr="00DE031E">
        <w:trPr>
          <w:trHeight w:val="312"/>
        </w:trPr>
        <w:tc>
          <w:tcPr>
            <w:tcW w:w="2766"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rPr>
                <w:rFonts w:asciiTheme="minorEastAsia" w:eastAsiaTheme="minorEastAsia" w:hAnsiTheme="minorEastAsia" w:cs="Arial"/>
                <w:spacing w:val="-4"/>
                <w:szCs w:val="21"/>
              </w:rPr>
            </w:pPr>
            <w:r w:rsidRPr="00D73AB7">
              <w:rPr>
                <w:rFonts w:asciiTheme="minorEastAsia" w:eastAsiaTheme="minorEastAsia" w:hAnsiTheme="minorEastAsia" w:cs="Arial"/>
                <w:spacing w:val="-4"/>
                <w:szCs w:val="21"/>
              </w:rPr>
              <w:t>发行在外的普通股加权平均数</w:t>
            </w:r>
          </w:p>
        </w:tc>
        <w:tc>
          <w:tcPr>
            <w:tcW w:w="294"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rPr>
                <w:rFonts w:asciiTheme="minorEastAsia" w:eastAsiaTheme="minorEastAsia" w:hAnsiTheme="minorEastAsia" w:cs="Arial"/>
                <w:spacing w:val="-6"/>
                <w:szCs w:val="21"/>
              </w:rPr>
            </w:pPr>
          </w:p>
        </w:tc>
        <w:tc>
          <w:tcPr>
            <w:tcW w:w="535" w:type="pct"/>
            <w:tcBorders>
              <w:top w:val="nil"/>
              <w:left w:val="nil"/>
              <w:bottom w:val="nil"/>
              <w:right w:val="nil"/>
            </w:tcBorders>
            <w:shd w:val="clear" w:color="auto" w:fill="auto"/>
            <w:noWrap/>
            <w:vAlign w:val="center"/>
            <w:hideMark/>
          </w:tcPr>
          <w:p w:rsidR="00DE031E" w:rsidRPr="00D73AB7" w:rsidRDefault="001C1A59" w:rsidP="00DE031E">
            <w:pPr>
              <w:spacing w:line="200" w:lineRule="exact"/>
              <w:ind w:leftChars="-20" w:left="-42" w:rightChars="-20" w:right="-42"/>
              <w:jc w:val="right"/>
              <w:rPr>
                <w:rFonts w:asciiTheme="minorEastAsia" w:eastAsiaTheme="minorEastAsia" w:hAnsiTheme="minorEastAsia" w:cs="Arial"/>
                <w:b/>
                <w:bCs/>
                <w:spacing w:val="-10"/>
                <w:szCs w:val="21"/>
              </w:rPr>
            </w:pPr>
            <w:r w:rsidRPr="00D73AB7">
              <w:rPr>
                <w:rFonts w:asciiTheme="minorEastAsia" w:eastAsiaTheme="minorEastAsia" w:hAnsiTheme="minorEastAsia" w:cs="Arial"/>
                <w:spacing w:val="-10"/>
                <w:szCs w:val="21"/>
              </w:rPr>
              <w:t>4</w:t>
            </w:r>
          </w:p>
        </w:tc>
        <w:tc>
          <w:tcPr>
            <w:tcW w:w="170"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jc w:val="right"/>
              <w:rPr>
                <w:rFonts w:asciiTheme="minorEastAsia" w:eastAsiaTheme="minorEastAsia" w:hAnsiTheme="minorEastAsia" w:cs="Arial"/>
                <w:spacing w:val="-6"/>
                <w:szCs w:val="21"/>
              </w:rPr>
            </w:pPr>
          </w:p>
        </w:tc>
        <w:tc>
          <w:tcPr>
            <w:tcW w:w="1235" w:type="pct"/>
            <w:tcBorders>
              <w:top w:val="nil"/>
              <w:left w:val="nil"/>
              <w:bottom w:val="nil"/>
              <w:right w:val="nil"/>
            </w:tcBorders>
            <w:shd w:val="clear" w:color="auto" w:fill="auto"/>
            <w:noWrap/>
            <w:vAlign w:val="center"/>
            <w:hideMark/>
          </w:tcPr>
          <w:p w:rsidR="00DE031E" w:rsidRPr="00D73AB7" w:rsidRDefault="001C1A59" w:rsidP="00DE031E">
            <w:pPr>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5,808,135,529.00</w:t>
            </w:r>
          </w:p>
        </w:tc>
      </w:tr>
      <w:tr w:rsidR="00DE031E" w:rsidRPr="00D73AB7" w:rsidTr="00DE031E">
        <w:trPr>
          <w:trHeight w:val="312"/>
        </w:trPr>
        <w:tc>
          <w:tcPr>
            <w:tcW w:w="2766"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rPr>
                <w:rFonts w:asciiTheme="minorEastAsia" w:eastAsiaTheme="minorEastAsia" w:hAnsiTheme="minorEastAsia" w:cs="Arial"/>
                <w:b/>
                <w:spacing w:val="-4"/>
                <w:szCs w:val="21"/>
              </w:rPr>
            </w:pPr>
            <w:r w:rsidRPr="00D73AB7">
              <w:rPr>
                <w:rFonts w:asciiTheme="minorEastAsia" w:eastAsiaTheme="minorEastAsia" w:hAnsiTheme="minorEastAsia" w:cs="Arial"/>
                <w:b/>
                <w:spacing w:val="-4"/>
                <w:szCs w:val="21"/>
              </w:rPr>
              <w:t>基本每股收益</w:t>
            </w:r>
          </w:p>
        </w:tc>
        <w:tc>
          <w:tcPr>
            <w:tcW w:w="294"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rPr>
                <w:rFonts w:asciiTheme="minorEastAsia" w:eastAsiaTheme="minorEastAsia" w:hAnsiTheme="minorEastAsia" w:cs="Arial"/>
                <w:b/>
                <w:spacing w:val="-6"/>
                <w:szCs w:val="21"/>
              </w:rPr>
            </w:pPr>
          </w:p>
        </w:tc>
        <w:tc>
          <w:tcPr>
            <w:tcW w:w="535" w:type="pct"/>
            <w:tcBorders>
              <w:top w:val="nil"/>
              <w:left w:val="nil"/>
              <w:bottom w:val="nil"/>
              <w:right w:val="nil"/>
            </w:tcBorders>
            <w:shd w:val="clear" w:color="auto" w:fill="auto"/>
            <w:noWrap/>
            <w:vAlign w:val="center"/>
            <w:hideMark/>
          </w:tcPr>
          <w:p w:rsidR="00DE031E" w:rsidRPr="00D73AB7" w:rsidRDefault="001C1A59" w:rsidP="00DE031E">
            <w:pPr>
              <w:spacing w:line="200" w:lineRule="exact"/>
              <w:ind w:leftChars="-20" w:left="-42" w:rightChars="-20" w:right="-42"/>
              <w:jc w:val="right"/>
              <w:rPr>
                <w:rFonts w:asciiTheme="minorEastAsia" w:eastAsiaTheme="minorEastAsia" w:hAnsiTheme="minorEastAsia" w:cs="Arial"/>
                <w:b/>
                <w:bCs/>
                <w:spacing w:val="-6"/>
                <w:szCs w:val="21"/>
              </w:rPr>
            </w:pPr>
            <w:r w:rsidRPr="00D73AB7">
              <w:rPr>
                <w:rFonts w:asciiTheme="minorEastAsia" w:eastAsiaTheme="minorEastAsia" w:hAnsiTheme="minorEastAsia" w:cs="Arial"/>
                <w:b/>
                <w:spacing w:val="-6"/>
                <w:szCs w:val="21"/>
              </w:rPr>
              <w:t>5=1÷4</w:t>
            </w:r>
          </w:p>
        </w:tc>
        <w:tc>
          <w:tcPr>
            <w:tcW w:w="170"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jc w:val="right"/>
              <w:rPr>
                <w:rFonts w:asciiTheme="minorEastAsia" w:eastAsiaTheme="minorEastAsia" w:hAnsiTheme="minorEastAsia" w:cs="Arial"/>
                <w:b/>
                <w:spacing w:val="-6"/>
                <w:szCs w:val="21"/>
              </w:rPr>
            </w:pPr>
          </w:p>
        </w:tc>
        <w:tc>
          <w:tcPr>
            <w:tcW w:w="1235" w:type="pct"/>
            <w:tcBorders>
              <w:top w:val="nil"/>
              <w:left w:val="nil"/>
              <w:bottom w:val="nil"/>
              <w:right w:val="nil"/>
            </w:tcBorders>
            <w:shd w:val="clear" w:color="auto" w:fill="auto"/>
            <w:noWrap/>
            <w:vAlign w:val="center"/>
            <w:hideMark/>
          </w:tcPr>
          <w:p w:rsidR="00DE031E" w:rsidRPr="00D73AB7" w:rsidRDefault="001C1A59" w:rsidP="00DE031E">
            <w:pPr>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1.2594</w:t>
            </w:r>
          </w:p>
        </w:tc>
      </w:tr>
      <w:tr w:rsidR="00DE031E" w:rsidRPr="00D73AB7" w:rsidTr="00DE031E">
        <w:trPr>
          <w:trHeight w:val="312"/>
        </w:trPr>
        <w:tc>
          <w:tcPr>
            <w:tcW w:w="2766" w:type="pct"/>
            <w:tcBorders>
              <w:top w:val="nil"/>
              <w:left w:val="nil"/>
              <w:bottom w:val="nil"/>
              <w:right w:val="nil"/>
            </w:tcBorders>
            <w:shd w:val="clear" w:color="auto" w:fill="auto"/>
            <w:noWrap/>
            <w:vAlign w:val="center"/>
            <w:hideMark/>
          </w:tcPr>
          <w:p w:rsidR="00DE031E" w:rsidRPr="00D73AB7" w:rsidRDefault="001C1A59" w:rsidP="00DE031E">
            <w:pPr>
              <w:spacing w:line="280" w:lineRule="exact"/>
              <w:ind w:leftChars="-20" w:left="-42" w:rightChars="-20" w:right="-42"/>
              <w:rPr>
                <w:rFonts w:asciiTheme="minorEastAsia" w:eastAsiaTheme="minorEastAsia" w:hAnsiTheme="minorEastAsia" w:cs="Arial"/>
                <w:b/>
                <w:spacing w:val="-4"/>
                <w:szCs w:val="21"/>
              </w:rPr>
            </w:pPr>
            <w:r w:rsidRPr="00D73AB7">
              <w:rPr>
                <w:rFonts w:asciiTheme="minorEastAsia" w:eastAsiaTheme="minorEastAsia" w:hAnsiTheme="minorEastAsia" w:cs="Arial"/>
                <w:b/>
                <w:spacing w:val="-4"/>
                <w:szCs w:val="21"/>
              </w:rPr>
              <w:t>扣除非经常性损益的基本每股收益</w:t>
            </w:r>
          </w:p>
        </w:tc>
        <w:tc>
          <w:tcPr>
            <w:tcW w:w="294"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rPr>
                <w:rFonts w:asciiTheme="minorEastAsia" w:eastAsiaTheme="minorEastAsia" w:hAnsiTheme="minorEastAsia" w:cs="Arial"/>
                <w:b/>
                <w:spacing w:val="-6"/>
                <w:szCs w:val="21"/>
              </w:rPr>
            </w:pPr>
          </w:p>
        </w:tc>
        <w:tc>
          <w:tcPr>
            <w:tcW w:w="535" w:type="pct"/>
            <w:tcBorders>
              <w:top w:val="nil"/>
              <w:left w:val="nil"/>
              <w:bottom w:val="nil"/>
              <w:right w:val="nil"/>
            </w:tcBorders>
            <w:shd w:val="clear" w:color="auto" w:fill="auto"/>
            <w:noWrap/>
            <w:vAlign w:val="center"/>
            <w:hideMark/>
          </w:tcPr>
          <w:p w:rsidR="00DE031E" w:rsidRPr="00D73AB7" w:rsidRDefault="001C1A59" w:rsidP="00DE031E">
            <w:pPr>
              <w:spacing w:line="200" w:lineRule="exact"/>
              <w:ind w:leftChars="-20" w:left="-42" w:rightChars="-20" w:right="-42"/>
              <w:jc w:val="right"/>
              <w:rPr>
                <w:rFonts w:asciiTheme="minorEastAsia" w:eastAsiaTheme="minorEastAsia" w:hAnsiTheme="minorEastAsia" w:cs="Arial"/>
                <w:b/>
                <w:bCs/>
                <w:spacing w:val="-6"/>
                <w:szCs w:val="21"/>
              </w:rPr>
            </w:pPr>
            <w:r w:rsidRPr="00D73AB7">
              <w:rPr>
                <w:rFonts w:asciiTheme="minorEastAsia" w:eastAsiaTheme="minorEastAsia" w:hAnsiTheme="minorEastAsia" w:cs="Arial"/>
                <w:b/>
                <w:spacing w:val="-6"/>
                <w:szCs w:val="21"/>
              </w:rPr>
              <w:t>6=3÷4</w:t>
            </w:r>
          </w:p>
        </w:tc>
        <w:tc>
          <w:tcPr>
            <w:tcW w:w="170" w:type="pct"/>
            <w:tcBorders>
              <w:top w:val="nil"/>
              <w:left w:val="nil"/>
              <w:bottom w:val="nil"/>
              <w:right w:val="nil"/>
            </w:tcBorders>
            <w:shd w:val="clear" w:color="auto" w:fill="auto"/>
            <w:noWrap/>
            <w:vAlign w:val="center"/>
            <w:hideMark/>
          </w:tcPr>
          <w:p w:rsidR="00DE031E" w:rsidRPr="00D73AB7" w:rsidRDefault="00DE031E" w:rsidP="00DE031E">
            <w:pPr>
              <w:spacing w:line="280" w:lineRule="exact"/>
              <w:ind w:leftChars="-20" w:left="-42" w:rightChars="-20" w:right="-42"/>
              <w:jc w:val="right"/>
              <w:rPr>
                <w:rFonts w:asciiTheme="minorEastAsia" w:eastAsiaTheme="minorEastAsia" w:hAnsiTheme="minorEastAsia" w:cs="Arial"/>
                <w:b/>
                <w:spacing w:val="-6"/>
                <w:szCs w:val="21"/>
              </w:rPr>
            </w:pPr>
          </w:p>
        </w:tc>
        <w:tc>
          <w:tcPr>
            <w:tcW w:w="1235" w:type="pct"/>
            <w:tcBorders>
              <w:top w:val="nil"/>
              <w:left w:val="nil"/>
              <w:bottom w:val="nil"/>
              <w:right w:val="nil"/>
            </w:tcBorders>
            <w:shd w:val="clear" w:color="auto" w:fill="auto"/>
            <w:noWrap/>
            <w:vAlign w:val="center"/>
            <w:hideMark/>
          </w:tcPr>
          <w:p w:rsidR="00DE031E" w:rsidRPr="00D73AB7" w:rsidRDefault="001C1A59" w:rsidP="00DE031E">
            <w:pPr>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1.2563</w:t>
            </w:r>
          </w:p>
        </w:tc>
      </w:tr>
    </w:tbl>
    <w:p w:rsidR="00DE031E" w:rsidRDefault="00DE031E" w:rsidP="00DE031E"/>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tag w:val="_GBC_aebbed0d25f14d50b64339a751dec4bd"/>
        <w:id w:val="24726017"/>
        <w:lock w:val="sdtLocked"/>
        <w:placeholder>
          <w:docPart w:val="GBC22222222222222222222222222222"/>
        </w:placeholder>
      </w:sdtPr>
      <w:sdtEndPr>
        <w:rPr>
          <w:rFonts w:asciiTheme="minorHAnsi" w:hAnsiTheme="minorHAnsi" w:cstheme="minorBidi" w:hint="default"/>
          <w:kern w:val="2"/>
          <w:sz w:val="21"/>
        </w:rPr>
      </w:sdtEndPr>
      <w:sdtContent>
        <w:p w:rsidR="00DE031E" w:rsidRDefault="001C1A59" w:rsidP="009950AC">
          <w:pPr>
            <w:pStyle w:val="4"/>
            <w:numPr>
              <w:ilvl w:val="0"/>
              <w:numId w:val="59"/>
            </w:numPr>
            <w:tabs>
              <w:tab w:val="left" w:pos="700"/>
            </w:tabs>
            <w:spacing w:line="360" w:lineRule="auto"/>
            <w:rPr>
              <w:szCs w:val="21"/>
            </w:rPr>
          </w:pPr>
          <w:r>
            <w:rPr>
              <w:rFonts w:hint="eastAsia"/>
              <w:szCs w:val="21"/>
            </w:rPr>
            <w:t>收到的其他与经营活动有关的现金：</w:t>
          </w:r>
        </w:p>
        <w:p w:rsidR="00DE031E" w:rsidRDefault="001C1A59">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24725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24725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DE031E" w:rsidTr="00DE031E">
            <w:tc>
              <w:tcPr>
                <w:tcW w:w="188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24725998"/>
              <w:lock w:val="sdtLocked"/>
            </w:sdtPr>
            <w:sdtContent>
              <w:tr w:rsidR="00DE031E" w:rsidTr="00DE031E">
                <w:sdt>
                  <w:sdtPr>
                    <w:rPr>
                      <w:rFonts w:hint="eastAsia"/>
                      <w:szCs w:val="21"/>
                    </w:rPr>
                    <w:alias w:val="收到的其他与经营活动有关的现金项目"/>
                    <w:tag w:val="_GBC_b84fa5b87b9b424dae0eeeff46ae13f8"/>
                    <w:id w:val="24725995"/>
                    <w:lock w:val="sdtLocked"/>
                  </w:sdtPr>
                  <w:sdtContent>
                    <w:tc>
                      <w:tcPr>
                        <w:tcW w:w="188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rPr>
                            <w:szCs w:val="21"/>
                          </w:rPr>
                        </w:pPr>
                        <w:r>
                          <w:rPr>
                            <w:rFonts w:hint="eastAsia"/>
                            <w:szCs w:val="21"/>
                          </w:rPr>
                          <w:t>收到的存出保证金</w:t>
                        </w:r>
                      </w:p>
                    </w:tc>
                  </w:sdtContent>
                </w:sdt>
                <w:sdt>
                  <w:sdtPr>
                    <w:rPr>
                      <w:szCs w:val="21"/>
                    </w:rPr>
                    <w:alias w:val="收到的其他与经营活动有关的现金金额"/>
                    <w:tag w:val="_GBC_bb8678f5c017409091d8bfa8cca11173"/>
                    <w:id w:val="24725996"/>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DE031E" w:rsidRDefault="001C1A59" w:rsidP="00DE031E">
                        <w:pPr>
                          <w:jc w:val="right"/>
                          <w:rPr>
                            <w:szCs w:val="21"/>
                          </w:rPr>
                        </w:pPr>
                        <w:r>
                          <w:rPr>
                            <w:szCs w:val="21"/>
                          </w:rPr>
                          <w:t xml:space="preserve">　</w:t>
                        </w:r>
                      </w:p>
                    </w:tc>
                  </w:sdtContent>
                </w:sdt>
                <w:sdt>
                  <w:sdtPr>
                    <w:rPr>
                      <w:szCs w:val="21"/>
                    </w:rPr>
                    <w:alias w:val="收到的其他与经营活动有关的现金金额"/>
                    <w:tag w:val="_GBC_ee0f08e779c048378d4aad4d40e5b1e5"/>
                    <w:id w:val="24725997"/>
                    <w:lock w:val="sdtLocked"/>
                  </w:sdtPr>
                  <w:sdtContent>
                    <w:tc>
                      <w:tcPr>
                        <w:tcW w:w="155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40,293,055.98</w:t>
                        </w:r>
                      </w:p>
                    </w:tc>
                  </w:sdtContent>
                </w:sdt>
              </w:tr>
            </w:sdtContent>
          </w:sdt>
          <w:sdt>
            <w:sdtPr>
              <w:rPr>
                <w:rFonts w:hint="eastAsia"/>
                <w:szCs w:val="21"/>
              </w:rPr>
              <w:alias w:val="收到的其他与经营活动有关的现金明细"/>
              <w:tag w:val="_GBC_339bc885f058400ca0c6b375c3f5b0d5"/>
              <w:id w:val="24726002"/>
              <w:lock w:val="sdtLocked"/>
            </w:sdtPr>
            <w:sdtContent>
              <w:tr w:rsidR="00DE031E" w:rsidTr="00DE031E">
                <w:sdt>
                  <w:sdtPr>
                    <w:rPr>
                      <w:rFonts w:hint="eastAsia"/>
                      <w:szCs w:val="21"/>
                    </w:rPr>
                    <w:alias w:val="收到的其他与经营活动有关的现金项目"/>
                    <w:tag w:val="_GBC_b84fa5b87b9b424dae0eeeff46ae13f8"/>
                    <w:id w:val="24725999"/>
                    <w:lock w:val="sdtLocked"/>
                  </w:sdtPr>
                  <w:sdtContent>
                    <w:tc>
                      <w:tcPr>
                        <w:tcW w:w="188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rPr>
                            <w:szCs w:val="21"/>
                          </w:rPr>
                        </w:pPr>
                        <w:r>
                          <w:rPr>
                            <w:rFonts w:hint="eastAsia"/>
                            <w:szCs w:val="21"/>
                          </w:rPr>
                          <w:t>收到的权益互换客户保证金</w:t>
                        </w:r>
                      </w:p>
                    </w:tc>
                  </w:sdtContent>
                </w:sdt>
                <w:sdt>
                  <w:sdtPr>
                    <w:rPr>
                      <w:szCs w:val="21"/>
                    </w:rPr>
                    <w:alias w:val="收到的其他与经营活动有关的现金金额"/>
                    <w:tag w:val="_GBC_bb8678f5c017409091d8bfa8cca11173"/>
                    <w:id w:val="2472600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E031E" w:rsidRDefault="001C1A59" w:rsidP="00DE031E">
                        <w:pPr>
                          <w:jc w:val="right"/>
                          <w:rPr>
                            <w:szCs w:val="21"/>
                          </w:rPr>
                        </w:pPr>
                        <w:r>
                          <w:rPr>
                            <w:szCs w:val="21"/>
                          </w:rPr>
                          <w:t>2,934,577,312.62</w:t>
                        </w:r>
                      </w:p>
                    </w:tc>
                  </w:sdtContent>
                </w:sdt>
                <w:sdt>
                  <w:sdtPr>
                    <w:rPr>
                      <w:szCs w:val="21"/>
                    </w:rPr>
                    <w:alias w:val="收到的其他与经营活动有关的现金金额"/>
                    <w:tag w:val="_GBC_ee0f08e779c048378d4aad4d40e5b1e5"/>
                    <w:id w:val="24726001"/>
                    <w:lock w:val="sdtLocked"/>
                  </w:sdtPr>
                  <w:sdtContent>
                    <w:tc>
                      <w:tcPr>
                        <w:tcW w:w="155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327,092,487.17</w:t>
                        </w:r>
                      </w:p>
                    </w:tc>
                  </w:sdtContent>
                </w:sdt>
              </w:tr>
            </w:sdtContent>
          </w:sdt>
          <w:sdt>
            <w:sdtPr>
              <w:rPr>
                <w:rFonts w:hint="eastAsia"/>
                <w:szCs w:val="21"/>
              </w:rPr>
              <w:alias w:val="收到的其他与经营活动有关的现金明细"/>
              <w:tag w:val="_GBC_339bc885f058400ca0c6b375c3f5b0d5"/>
              <w:id w:val="24726006"/>
              <w:lock w:val="sdtLocked"/>
            </w:sdtPr>
            <w:sdtContent>
              <w:tr w:rsidR="00DE031E" w:rsidTr="00DE031E">
                <w:sdt>
                  <w:sdtPr>
                    <w:rPr>
                      <w:rFonts w:hint="eastAsia"/>
                      <w:szCs w:val="21"/>
                    </w:rPr>
                    <w:alias w:val="收到的其他与经营活动有关的现金项目"/>
                    <w:tag w:val="_GBC_b84fa5b87b9b424dae0eeeff46ae13f8"/>
                    <w:id w:val="24726003"/>
                    <w:lock w:val="sdtLocked"/>
                  </w:sdtPr>
                  <w:sdtContent>
                    <w:tc>
                      <w:tcPr>
                        <w:tcW w:w="188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rPr>
                            <w:szCs w:val="21"/>
                          </w:rPr>
                        </w:pPr>
                        <w:r>
                          <w:rPr>
                            <w:rFonts w:hint="eastAsia"/>
                            <w:szCs w:val="21"/>
                          </w:rPr>
                          <w:t>收到的证券行家往来款</w:t>
                        </w:r>
                      </w:p>
                    </w:tc>
                  </w:sdtContent>
                </w:sdt>
                <w:sdt>
                  <w:sdtPr>
                    <w:rPr>
                      <w:szCs w:val="21"/>
                    </w:rPr>
                    <w:alias w:val="收到的其他与经营活动有关的现金金额"/>
                    <w:tag w:val="_GBC_bb8678f5c017409091d8bfa8cca11173"/>
                    <w:id w:val="24726004"/>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DE031E" w:rsidRDefault="001C1A59" w:rsidP="00DE031E">
                        <w:pPr>
                          <w:jc w:val="right"/>
                          <w:rPr>
                            <w:szCs w:val="21"/>
                          </w:rPr>
                        </w:pPr>
                        <w:r>
                          <w:rPr>
                            <w:szCs w:val="21"/>
                          </w:rPr>
                          <w:t xml:space="preserve">　</w:t>
                        </w:r>
                      </w:p>
                    </w:tc>
                  </w:sdtContent>
                </w:sdt>
                <w:sdt>
                  <w:sdtPr>
                    <w:rPr>
                      <w:szCs w:val="21"/>
                    </w:rPr>
                    <w:alias w:val="收到的其他与经营活动有关的现金金额"/>
                    <w:tag w:val="_GBC_ee0f08e779c048378d4aad4d40e5b1e5"/>
                    <w:id w:val="24726005"/>
                    <w:lock w:val="sdtLocked"/>
                  </w:sdtPr>
                  <w:sdtContent>
                    <w:tc>
                      <w:tcPr>
                        <w:tcW w:w="155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268,024,569.21</w:t>
                        </w:r>
                      </w:p>
                    </w:tc>
                  </w:sdtContent>
                </w:sdt>
              </w:tr>
            </w:sdtContent>
          </w:sdt>
          <w:sdt>
            <w:sdtPr>
              <w:rPr>
                <w:rFonts w:hint="eastAsia"/>
                <w:szCs w:val="21"/>
              </w:rPr>
              <w:alias w:val="收到的其他与经营活动有关的现金明细"/>
              <w:tag w:val="_GBC_339bc885f058400ca0c6b375c3f5b0d5"/>
              <w:id w:val="24726010"/>
              <w:lock w:val="sdtLocked"/>
            </w:sdtPr>
            <w:sdtContent>
              <w:tr w:rsidR="00DE031E" w:rsidTr="00DE031E">
                <w:sdt>
                  <w:sdtPr>
                    <w:rPr>
                      <w:rFonts w:hint="eastAsia"/>
                      <w:szCs w:val="21"/>
                    </w:rPr>
                    <w:alias w:val="收到的其他与经营活动有关的现金项目"/>
                    <w:tag w:val="_GBC_b84fa5b87b9b424dae0eeeff46ae13f8"/>
                    <w:id w:val="24726007"/>
                    <w:lock w:val="sdtLocked"/>
                  </w:sdtPr>
                  <w:sdtContent>
                    <w:tc>
                      <w:tcPr>
                        <w:tcW w:w="188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rPr>
                            <w:szCs w:val="21"/>
                          </w:rPr>
                        </w:pPr>
                        <w:r>
                          <w:rPr>
                            <w:rFonts w:hint="eastAsia"/>
                            <w:szCs w:val="21"/>
                          </w:rPr>
                          <w:t>收回的客户借款</w:t>
                        </w:r>
                      </w:p>
                    </w:tc>
                  </w:sdtContent>
                </w:sdt>
                <w:sdt>
                  <w:sdtPr>
                    <w:rPr>
                      <w:szCs w:val="21"/>
                    </w:rPr>
                    <w:alias w:val="收到的其他与经营活动有关的现金金额"/>
                    <w:tag w:val="_GBC_bb8678f5c017409091d8bfa8cca11173"/>
                    <w:id w:val="2472600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E031E" w:rsidRDefault="001C1A59" w:rsidP="00DE031E">
                        <w:pPr>
                          <w:jc w:val="right"/>
                          <w:rPr>
                            <w:szCs w:val="21"/>
                          </w:rPr>
                        </w:pPr>
                        <w:r>
                          <w:rPr>
                            <w:szCs w:val="21"/>
                          </w:rPr>
                          <w:t>168,711,695.23</w:t>
                        </w:r>
                      </w:p>
                    </w:tc>
                  </w:sdtContent>
                </w:sdt>
                <w:sdt>
                  <w:sdtPr>
                    <w:rPr>
                      <w:szCs w:val="21"/>
                    </w:rPr>
                    <w:alias w:val="收到的其他与经营活动有关的现金金额"/>
                    <w:tag w:val="_GBC_ee0f08e779c048378d4aad4d40e5b1e5"/>
                    <w:id w:val="24726009"/>
                    <w:lock w:val="sdtLocked"/>
                    <w:showingPlcHdr/>
                  </w:sdtPr>
                  <w:sdtContent>
                    <w:tc>
                      <w:tcPr>
                        <w:tcW w:w="1556" w:type="pct"/>
                        <w:tcBorders>
                          <w:top w:val="single" w:sz="6" w:space="0" w:color="auto"/>
                          <w:left w:val="single" w:sz="6" w:space="0" w:color="auto"/>
                          <w:bottom w:val="single" w:sz="6" w:space="0" w:color="auto"/>
                          <w:right w:val="single" w:sz="6" w:space="0" w:color="auto"/>
                        </w:tcBorders>
                      </w:tcPr>
                      <w:p w:rsidR="00DE031E" w:rsidRDefault="00DE031E" w:rsidP="00DE031E">
                        <w:pPr>
                          <w:jc w:val="right"/>
                          <w:rPr>
                            <w:szCs w:val="21"/>
                          </w:rPr>
                        </w:pPr>
                      </w:p>
                    </w:tc>
                  </w:sdtContent>
                </w:sdt>
              </w:tr>
            </w:sdtContent>
          </w:sdt>
          <w:sdt>
            <w:sdtPr>
              <w:rPr>
                <w:rFonts w:hint="eastAsia"/>
                <w:szCs w:val="21"/>
              </w:rPr>
              <w:alias w:val="收到的其他与经营活动有关的现金明细"/>
              <w:tag w:val="_GBC_339bc885f058400ca0c6b375c3f5b0d5"/>
              <w:id w:val="24726014"/>
              <w:lock w:val="sdtLocked"/>
            </w:sdtPr>
            <w:sdtContent>
              <w:tr w:rsidR="00DE031E" w:rsidTr="00DE031E">
                <w:sdt>
                  <w:sdtPr>
                    <w:rPr>
                      <w:rFonts w:hint="eastAsia"/>
                      <w:szCs w:val="21"/>
                    </w:rPr>
                    <w:alias w:val="收到的其他与经营活动有关的现金项目"/>
                    <w:tag w:val="_GBC_b84fa5b87b9b424dae0eeeff46ae13f8"/>
                    <w:id w:val="24726011"/>
                    <w:lock w:val="sdtLocked"/>
                  </w:sdtPr>
                  <w:sdtContent>
                    <w:tc>
                      <w:tcPr>
                        <w:tcW w:w="188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rPr>
                            <w:szCs w:val="21"/>
                          </w:rPr>
                        </w:pPr>
                        <w:r>
                          <w:rPr>
                            <w:rFonts w:hint="eastAsia"/>
                            <w:szCs w:val="21"/>
                          </w:rPr>
                          <w:t>收到的其他往来款</w:t>
                        </w:r>
                      </w:p>
                    </w:tc>
                  </w:sdtContent>
                </w:sdt>
                <w:sdt>
                  <w:sdtPr>
                    <w:rPr>
                      <w:szCs w:val="21"/>
                    </w:rPr>
                    <w:alias w:val="收到的其他与经营活动有关的现金金额"/>
                    <w:tag w:val="_GBC_bb8678f5c017409091d8bfa8cca11173"/>
                    <w:id w:val="24726012"/>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DE031E" w:rsidRDefault="001C1A59" w:rsidP="00DE031E">
                        <w:pPr>
                          <w:jc w:val="right"/>
                          <w:rPr>
                            <w:szCs w:val="21"/>
                          </w:rPr>
                        </w:pPr>
                        <w:r>
                          <w:rPr>
                            <w:szCs w:val="21"/>
                          </w:rPr>
                          <w:t>315,616,545.47</w:t>
                        </w:r>
                      </w:p>
                    </w:tc>
                  </w:sdtContent>
                </w:sdt>
                <w:sdt>
                  <w:sdtPr>
                    <w:rPr>
                      <w:szCs w:val="21"/>
                    </w:rPr>
                    <w:alias w:val="收到的其他与经营活动有关的现金金额"/>
                    <w:tag w:val="_GBC_ee0f08e779c048378d4aad4d40e5b1e5"/>
                    <w:id w:val="24726013"/>
                    <w:lock w:val="sdtLocked"/>
                  </w:sdtPr>
                  <w:sdtContent>
                    <w:tc>
                      <w:tcPr>
                        <w:tcW w:w="155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606,773,481.82</w:t>
                        </w:r>
                      </w:p>
                    </w:tc>
                  </w:sdtContent>
                </w:sdt>
              </w:tr>
            </w:sdtContent>
          </w:sdt>
          <w:tr w:rsidR="00DE031E" w:rsidTr="00DE031E">
            <w:tc>
              <w:tcPr>
                <w:tcW w:w="1882"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DE031E" w:rsidRDefault="00422DCA" w:rsidP="00DE031E">
                <w:pPr>
                  <w:jc w:val="right"/>
                  <w:rPr>
                    <w:szCs w:val="21"/>
                  </w:rPr>
                </w:pPr>
                <w:sdt>
                  <w:sdtPr>
                    <w:rPr>
                      <w:rFonts w:hint="eastAsia"/>
                      <w:szCs w:val="21"/>
                    </w:rPr>
                    <w:alias w:val="收到的其他与经营活动有关的现金"/>
                    <w:tag w:val="_GBC_490e407e9d6643a6ac8fc5694655ad58"/>
                    <w:id w:val="24726015"/>
                    <w:lock w:val="sdtLocked"/>
                  </w:sdtPr>
                  <w:sdtContent>
                    <w:r w:rsidR="001C1A59">
                      <w:rPr>
                        <w:rFonts w:hint="eastAsia"/>
                        <w:szCs w:val="21"/>
                      </w:rPr>
                      <w:t>3,418,905,553.32</w:t>
                    </w:r>
                  </w:sdtContent>
                </w:sdt>
              </w:p>
            </w:tc>
            <w:sdt>
              <w:sdtPr>
                <w:rPr>
                  <w:rFonts w:hint="eastAsia"/>
                  <w:szCs w:val="21"/>
                </w:rPr>
                <w:alias w:val="收到的其他与经营活动有关的现金"/>
                <w:tag w:val="_GBC_149cbaa792354b53aacf64d69a51aaeb"/>
                <w:id w:val="24726016"/>
                <w:lock w:val="sdtLocked"/>
              </w:sdtPr>
              <w:sdtContent>
                <w:tc>
                  <w:tcPr>
                    <w:tcW w:w="155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sidRPr="002D1173">
                      <w:rPr>
                        <w:rFonts w:hint="eastAsia"/>
                        <w:szCs w:val="21"/>
                      </w:rPr>
                      <w:t>1,242,183,594.18</w:t>
                    </w:r>
                  </w:p>
                </w:tc>
              </w:sdtContent>
            </w:sdt>
          </w:tr>
        </w:tbl>
        <w:p w:rsidR="00DE031E" w:rsidRDefault="00422DCA">
          <w:pPr>
            <w:rPr>
              <w:szCs w:val="21"/>
            </w:rPr>
          </w:pPr>
        </w:p>
      </w:sdtContent>
    </w:sdt>
    <w:sdt>
      <w:sdtPr>
        <w:rPr>
          <w:rFonts w:ascii="宋体" w:eastAsiaTheme="minorEastAsia" w:hAnsi="宋体" w:cs="宋体" w:hint="eastAsia"/>
          <w:b w:val="0"/>
          <w:bCs w:val="0"/>
          <w:kern w:val="0"/>
          <w:sz w:val="24"/>
          <w:szCs w:val="21"/>
        </w:rPr>
        <w:tag w:val="_GBC_3c8453861c4b4e94956633ec6c228388"/>
        <w:id w:val="24726050"/>
        <w:lock w:val="sdtLocked"/>
        <w:placeholder>
          <w:docPart w:val="GBC22222222222222222222222222222"/>
        </w:placeholder>
      </w:sdtPr>
      <w:sdtEndPr>
        <w:rPr>
          <w:rFonts w:asciiTheme="minorHAnsi" w:hAnsiTheme="minorHAnsi" w:cstheme="minorBidi"/>
          <w:kern w:val="2"/>
          <w:sz w:val="21"/>
        </w:rPr>
      </w:sdtEndPr>
      <w:sdtContent>
        <w:p w:rsidR="00DE031E" w:rsidRDefault="001C1A59" w:rsidP="009950AC">
          <w:pPr>
            <w:pStyle w:val="4"/>
            <w:numPr>
              <w:ilvl w:val="0"/>
              <w:numId w:val="59"/>
            </w:numPr>
            <w:tabs>
              <w:tab w:val="left" w:pos="700"/>
            </w:tabs>
            <w:spacing w:line="360" w:lineRule="auto"/>
            <w:rPr>
              <w:szCs w:val="21"/>
            </w:rPr>
          </w:pPr>
          <w:r>
            <w:rPr>
              <w:rFonts w:hint="eastAsia"/>
              <w:szCs w:val="21"/>
            </w:rPr>
            <w:t>支付的其他与经营活动有关的现金：</w:t>
          </w:r>
        </w:p>
        <w:p w:rsidR="00DE031E" w:rsidRDefault="001C1A59">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24726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4726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573"/>
            <w:gridCol w:w="2533"/>
            <w:gridCol w:w="2787"/>
          </w:tblGrid>
          <w:tr w:rsidR="00DE031E" w:rsidTr="00DE031E">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项目</w:t>
                </w:r>
              </w:p>
            </w:tc>
            <w:tc>
              <w:tcPr>
                <w:tcW w:w="1424"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24726023"/>
              <w:lock w:val="sdtLocked"/>
            </w:sdtPr>
            <w:sdtContent>
              <w:tr w:rsidR="00DE031E" w:rsidTr="00DE031E">
                <w:sdt>
                  <w:sdtPr>
                    <w:rPr>
                      <w:rFonts w:hint="eastAsia"/>
                      <w:szCs w:val="21"/>
                    </w:rPr>
                    <w:alias w:val="支付的其他与经营活动有关的现金项目"/>
                    <w:tag w:val="_GBC_af198a7f9e404a7a9ca4111e01159ef1"/>
                    <w:id w:val="24726020"/>
                    <w:lock w:val="sdtLocked"/>
                  </w:sdtPr>
                  <w:sdtContent>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rPr>
                            <w:szCs w:val="21"/>
                          </w:rPr>
                        </w:pPr>
                        <w:r>
                          <w:rPr>
                            <w:rFonts w:hint="eastAsia"/>
                            <w:szCs w:val="21"/>
                          </w:rPr>
                          <w:t>支付股指期货交易无负债结算准备金</w:t>
                        </w:r>
                      </w:p>
                    </w:tc>
                  </w:sdtContent>
                </w:sdt>
                <w:sdt>
                  <w:sdtPr>
                    <w:rPr>
                      <w:szCs w:val="21"/>
                    </w:rPr>
                    <w:alias w:val="支付的其他与经营活动有关的现金金额"/>
                    <w:tag w:val="_GBC_11a2c447ed864bc9a8bd22f55e3c9ea6"/>
                    <w:id w:val="24726021"/>
                    <w:lock w:val="sdtLocked"/>
                    <w:showingPlcHdr/>
                  </w:sdtPr>
                  <w:sdtContent>
                    <w:tc>
                      <w:tcPr>
                        <w:tcW w:w="1424"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 xml:space="preserve">　</w:t>
                        </w:r>
                      </w:p>
                    </w:tc>
                  </w:sdtContent>
                </w:sdt>
                <w:sdt>
                  <w:sdtPr>
                    <w:rPr>
                      <w:szCs w:val="21"/>
                    </w:rPr>
                    <w:alias w:val="支付的其他与经营活动有关的现金金额"/>
                    <w:tag w:val="_GBC_3dd1786623e24d0b86c0704a9b11d743"/>
                    <w:id w:val="24726022"/>
                    <w:lock w:val="sdtLocked"/>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22,597,574.65</w:t>
                        </w:r>
                      </w:p>
                    </w:tc>
                  </w:sdtContent>
                </w:sdt>
              </w:tr>
            </w:sdtContent>
          </w:sdt>
          <w:sdt>
            <w:sdtPr>
              <w:rPr>
                <w:rFonts w:hint="eastAsia"/>
                <w:szCs w:val="21"/>
              </w:rPr>
              <w:alias w:val="支付的其他与经营活动有关的现金明细"/>
              <w:tag w:val="_GBC_9880266c0e6f4e6b92c7692ef64ec140"/>
              <w:id w:val="24726027"/>
              <w:lock w:val="sdtLocked"/>
            </w:sdtPr>
            <w:sdtContent>
              <w:tr w:rsidR="00DE031E" w:rsidTr="00DE031E">
                <w:sdt>
                  <w:sdtPr>
                    <w:rPr>
                      <w:rFonts w:hint="eastAsia"/>
                      <w:szCs w:val="21"/>
                    </w:rPr>
                    <w:alias w:val="支付的其他与经营活动有关的现金项目"/>
                    <w:tag w:val="_GBC_af198a7f9e404a7a9ca4111e01159ef1"/>
                    <w:id w:val="24726024"/>
                    <w:lock w:val="sdtLocked"/>
                  </w:sdtPr>
                  <w:sdtContent>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rPr>
                            <w:szCs w:val="21"/>
                          </w:rPr>
                        </w:pPr>
                        <w:r>
                          <w:rPr>
                            <w:rFonts w:hint="eastAsia"/>
                            <w:szCs w:val="21"/>
                          </w:rPr>
                          <w:t>支付的新股申购款及存出资金</w:t>
                        </w:r>
                      </w:p>
                    </w:tc>
                  </w:sdtContent>
                </w:sdt>
                <w:sdt>
                  <w:sdtPr>
                    <w:rPr>
                      <w:szCs w:val="21"/>
                    </w:rPr>
                    <w:alias w:val="支付的其他与经营活动有关的现金金额"/>
                    <w:tag w:val="_GBC_11a2c447ed864bc9a8bd22f55e3c9ea6"/>
                    <w:id w:val="24726025"/>
                    <w:lock w:val="sdtLocked"/>
                  </w:sdtPr>
                  <w:sdtContent>
                    <w:tc>
                      <w:tcPr>
                        <w:tcW w:w="1424"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1,126,216,684.19</w:t>
                        </w:r>
                      </w:p>
                    </w:tc>
                  </w:sdtContent>
                </w:sdt>
                <w:sdt>
                  <w:sdtPr>
                    <w:rPr>
                      <w:szCs w:val="21"/>
                    </w:rPr>
                    <w:alias w:val="支付的其他与经营活动有关的现金金额"/>
                    <w:tag w:val="_GBC_3dd1786623e24d0b86c0704a9b11d743"/>
                    <w:id w:val="24726026"/>
                    <w:lock w:val="sdtLocked"/>
                    <w:showingPlcHdr/>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DE031E" w:rsidP="00DE031E">
                        <w:pPr>
                          <w:jc w:val="right"/>
                          <w:rPr>
                            <w:szCs w:val="21"/>
                          </w:rPr>
                        </w:pPr>
                      </w:p>
                    </w:tc>
                  </w:sdtContent>
                </w:sdt>
              </w:tr>
            </w:sdtContent>
          </w:sdt>
          <w:sdt>
            <w:sdtPr>
              <w:rPr>
                <w:rFonts w:hint="eastAsia"/>
                <w:szCs w:val="21"/>
              </w:rPr>
              <w:alias w:val="支付的其他与经营活动有关的现金明细"/>
              <w:tag w:val="_GBC_9880266c0e6f4e6b92c7692ef64ec140"/>
              <w:id w:val="24726031"/>
              <w:lock w:val="sdtLocked"/>
            </w:sdtPr>
            <w:sdtContent>
              <w:tr w:rsidR="00DE031E" w:rsidTr="00DE031E">
                <w:sdt>
                  <w:sdtPr>
                    <w:rPr>
                      <w:rFonts w:hint="eastAsia"/>
                      <w:szCs w:val="21"/>
                    </w:rPr>
                    <w:alias w:val="支付的其他与经营活动有关的现金项目"/>
                    <w:tag w:val="_GBC_af198a7f9e404a7a9ca4111e01159ef1"/>
                    <w:id w:val="24726028"/>
                    <w:lock w:val="sdtLocked"/>
                  </w:sdtPr>
                  <w:sdtContent>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rPr>
                            <w:szCs w:val="21"/>
                          </w:rPr>
                        </w:pPr>
                        <w:r>
                          <w:rPr>
                            <w:rFonts w:hint="eastAsia"/>
                            <w:szCs w:val="21"/>
                          </w:rPr>
                          <w:t>支付的存出保证金</w:t>
                        </w:r>
                      </w:p>
                    </w:tc>
                  </w:sdtContent>
                </w:sdt>
                <w:sdt>
                  <w:sdtPr>
                    <w:rPr>
                      <w:szCs w:val="21"/>
                    </w:rPr>
                    <w:alias w:val="支付的其他与经营活动有关的现金金额"/>
                    <w:tag w:val="_GBC_11a2c447ed864bc9a8bd22f55e3c9ea6"/>
                    <w:id w:val="24726029"/>
                    <w:lock w:val="sdtLocked"/>
                  </w:sdtPr>
                  <w:sdtContent>
                    <w:tc>
                      <w:tcPr>
                        <w:tcW w:w="1424"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780,811,915.22</w:t>
                        </w:r>
                      </w:p>
                    </w:tc>
                  </w:sdtContent>
                </w:sdt>
                <w:sdt>
                  <w:sdtPr>
                    <w:rPr>
                      <w:szCs w:val="21"/>
                    </w:rPr>
                    <w:alias w:val="支付的其他与经营活动有关的现金金额"/>
                    <w:tag w:val="_GBC_3dd1786623e24d0b86c0704a9b11d743"/>
                    <w:id w:val="24726030"/>
                    <w:lock w:val="sdtLocked"/>
                    <w:showingPlcHdr/>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DE031E" w:rsidP="00DE031E">
                        <w:pPr>
                          <w:jc w:val="right"/>
                          <w:rPr>
                            <w:szCs w:val="21"/>
                          </w:rPr>
                        </w:pPr>
                      </w:p>
                    </w:tc>
                  </w:sdtContent>
                </w:sdt>
              </w:tr>
            </w:sdtContent>
          </w:sdt>
          <w:sdt>
            <w:sdtPr>
              <w:rPr>
                <w:rFonts w:hint="eastAsia"/>
                <w:szCs w:val="21"/>
              </w:rPr>
              <w:alias w:val="支付的其他与经营活动有关的现金明细"/>
              <w:tag w:val="_GBC_9880266c0e6f4e6b92c7692ef64ec140"/>
              <w:id w:val="24726035"/>
              <w:lock w:val="sdtLocked"/>
            </w:sdtPr>
            <w:sdtContent>
              <w:tr w:rsidR="00DE031E" w:rsidTr="00DE031E">
                <w:sdt>
                  <w:sdtPr>
                    <w:rPr>
                      <w:rFonts w:hint="eastAsia"/>
                      <w:szCs w:val="21"/>
                    </w:rPr>
                    <w:alias w:val="支付的其他与经营活动有关的现金项目"/>
                    <w:tag w:val="_GBC_af198a7f9e404a7a9ca4111e01159ef1"/>
                    <w:id w:val="24726032"/>
                    <w:lock w:val="sdtLocked"/>
                  </w:sdtPr>
                  <w:sdtContent>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rPr>
                            <w:szCs w:val="21"/>
                          </w:rPr>
                        </w:pPr>
                        <w:r>
                          <w:rPr>
                            <w:rFonts w:hint="eastAsia"/>
                            <w:szCs w:val="21"/>
                          </w:rPr>
                          <w:t>以现金支付的业务及管理费</w:t>
                        </w:r>
                      </w:p>
                    </w:tc>
                  </w:sdtContent>
                </w:sdt>
                <w:sdt>
                  <w:sdtPr>
                    <w:rPr>
                      <w:szCs w:val="21"/>
                    </w:rPr>
                    <w:alias w:val="支付的其他与经营活动有关的现金金额"/>
                    <w:tag w:val="_GBC_11a2c447ed864bc9a8bd22f55e3c9ea6"/>
                    <w:id w:val="24726033"/>
                    <w:lock w:val="sdtLocked"/>
                  </w:sdtPr>
                  <w:sdtContent>
                    <w:tc>
                      <w:tcPr>
                        <w:tcW w:w="1424"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511,729,849.42</w:t>
                        </w:r>
                      </w:p>
                    </w:tc>
                  </w:sdtContent>
                </w:sdt>
                <w:sdt>
                  <w:sdtPr>
                    <w:rPr>
                      <w:szCs w:val="21"/>
                    </w:rPr>
                    <w:alias w:val="支付的其他与经营活动有关的现金金额"/>
                    <w:tag w:val="_GBC_3dd1786623e24d0b86c0704a9b11d743"/>
                    <w:id w:val="24726034"/>
                    <w:lock w:val="sdtLocked"/>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374,812,179.20</w:t>
                        </w:r>
                      </w:p>
                    </w:tc>
                  </w:sdtContent>
                </w:sdt>
              </w:tr>
            </w:sdtContent>
          </w:sdt>
          <w:sdt>
            <w:sdtPr>
              <w:rPr>
                <w:rFonts w:hint="eastAsia"/>
                <w:szCs w:val="21"/>
              </w:rPr>
              <w:alias w:val="支付的其他与经营活动有关的现金明细"/>
              <w:tag w:val="_GBC_9880266c0e6f4e6b92c7692ef64ec140"/>
              <w:id w:val="24726039"/>
              <w:lock w:val="sdtLocked"/>
            </w:sdtPr>
            <w:sdtContent>
              <w:tr w:rsidR="00DE031E" w:rsidTr="00DE031E">
                <w:sdt>
                  <w:sdtPr>
                    <w:rPr>
                      <w:rFonts w:hint="eastAsia"/>
                      <w:szCs w:val="21"/>
                    </w:rPr>
                    <w:alias w:val="支付的其他与经营活动有关的现金项目"/>
                    <w:tag w:val="_GBC_af198a7f9e404a7a9ca4111e01159ef1"/>
                    <w:id w:val="24726036"/>
                    <w:lock w:val="sdtLocked"/>
                  </w:sdtPr>
                  <w:sdtContent>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rPr>
                            <w:szCs w:val="21"/>
                          </w:rPr>
                        </w:pPr>
                        <w:r>
                          <w:rPr>
                            <w:rFonts w:hint="eastAsia"/>
                            <w:szCs w:val="21"/>
                          </w:rPr>
                          <w:t>支付的客户借款</w:t>
                        </w:r>
                      </w:p>
                    </w:tc>
                  </w:sdtContent>
                </w:sdt>
                <w:sdt>
                  <w:sdtPr>
                    <w:rPr>
                      <w:szCs w:val="21"/>
                    </w:rPr>
                    <w:alias w:val="支付的其他与经营活动有关的现金金额"/>
                    <w:tag w:val="_GBC_11a2c447ed864bc9a8bd22f55e3c9ea6"/>
                    <w:id w:val="24726037"/>
                    <w:lock w:val="sdtLocked"/>
                    <w:showingPlcHdr/>
                  </w:sdtPr>
                  <w:sdtContent>
                    <w:tc>
                      <w:tcPr>
                        <w:tcW w:w="1424" w:type="pct"/>
                        <w:tcBorders>
                          <w:top w:val="single" w:sz="6" w:space="0" w:color="auto"/>
                          <w:left w:val="single" w:sz="6" w:space="0" w:color="auto"/>
                          <w:bottom w:val="single" w:sz="6" w:space="0" w:color="auto"/>
                          <w:right w:val="single" w:sz="6" w:space="0" w:color="auto"/>
                        </w:tcBorders>
                        <w:vAlign w:val="center"/>
                      </w:tcPr>
                      <w:p w:rsidR="00DE031E" w:rsidRDefault="00DE031E" w:rsidP="00DE031E">
                        <w:pPr>
                          <w:jc w:val="right"/>
                          <w:rPr>
                            <w:szCs w:val="21"/>
                          </w:rPr>
                        </w:pPr>
                      </w:p>
                    </w:tc>
                  </w:sdtContent>
                </w:sdt>
                <w:sdt>
                  <w:sdtPr>
                    <w:rPr>
                      <w:szCs w:val="21"/>
                    </w:rPr>
                    <w:alias w:val="支付的其他与经营活动有关的现金金额"/>
                    <w:tag w:val="_GBC_3dd1786623e24d0b86c0704a9b11d743"/>
                    <w:id w:val="24726038"/>
                    <w:lock w:val="sdtLocked"/>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29,754,797.73</w:t>
                        </w:r>
                      </w:p>
                    </w:tc>
                  </w:sdtContent>
                </w:sdt>
              </w:tr>
            </w:sdtContent>
          </w:sdt>
          <w:sdt>
            <w:sdtPr>
              <w:rPr>
                <w:rFonts w:hint="eastAsia"/>
                <w:szCs w:val="21"/>
              </w:rPr>
              <w:alias w:val="支付的其他与经营活动有关的现金明细"/>
              <w:tag w:val="_GBC_9880266c0e6f4e6b92c7692ef64ec140"/>
              <w:id w:val="24726043"/>
              <w:lock w:val="sdtLocked"/>
            </w:sdtPr>
            <w:sdtContent>
              <w:tr w:rsidR="00DE031E" w:rsidTr="00DE031E">
                <w:sdt>
                  <w:sdtPr>
                    <w:rPr>
                      <w:rFonts w:hint="eastAsia"/>
                      <w:szCs w:val="21"/>
                    </w:rPr>
                    <w:alias w:val="支付的其他与经营活动有关的现金项目"/>
                    <w:tag w:val="_GBC_af198a7f9e404a7a9ca4111e01159ef1"/>
                    <w:id w:val="24726040"/>
                    <w:lock w:val="sdtLocked"/>
                  </w:sdtPr>
                  <w:sdtContent>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rPr>
                            <w:szCs w:val="21"/>
                          </w:rPr>
                        </w:pPr>
                        <w:r>
                          <w:rPr>
                            <w:rFonts w:hint="eastAsia"/>
                            <w:szCs w:val="21"/>
                          </w:rPr>
                          <w:t>支付投资者保护基金</w:t>
                        </w:r>
                      </w:p>
                    </w:tc>
                  </w:sdtContent>
                </w:sdt>
                <w:sdt>
                  <w:sdtPr>
                    <w:rPr>
                      <w:szCs w:val="21"/>
                    </w:rPr>
                    <w:alias w:val="支付的其他与经营活动有关的现金金额"/>
                    <w:tag w:val="_GBC_11a2c447ed864bc9a8bd22f55e3c9ea6"/>
                    <w:id w:val="24726041"/>
                    <w:lock w:val="sdtLocked"/>
                  </w:sdtPr>
                  <w:sdtContent>
                    <w:tc>
                      <w:tcPr>
                        <w:tcW w:w="1424"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33,523,729.35</w:t>
                        </w:r>
                      </w:p>
                    </w:tc>
                  </w:sdtContent>
                </w:sdt>
                <w:sdt>
                  <w:sdtPr>
                    <w:rPr>
                      <w:szCs w:val="21"/>
                    </w:rPr>
                    <w:alias w:val="支付的其他与经营活动有关的现金金额"/>
                    <w:tag w:val="_GBC_3dd1786623e24d0b86c0704a9b11d743"/>
                    <w:id w:val="24726042"/>
                    <w:lock w:val="sdtLocked"/>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13,662,451.79</w:t>
                        </w:r>
                      </w:p>
                    </w:tc>
                  </w:sdtContent>
                </w:sdt>
              </w:tr>
            </w:sdtContent>
          </w:sdt>
          <w:sdt>
            <w:sdtPr>
              <w:rPr>
                <w:rFonts w:hint="eastAsia"/>
                <w:szCs w:val="21"/>
              </w:rPr>
              <w:alias w:val="支付的其他与经营活动有关的现金明细"/>
              <w:tag w:val="_GBC_9880266c0e6f4e6b92c7692ef64ec140"/>
              <w:id w:val="24726047"/>
              <w:lock w:val="sdtLocked"/>
            </w:sdtPr>
            <w:sdtContent>
              <w:tr w:rsidR="00DE031E" w:rsidTr="00DE031E">
                <w:sdt>
                  <w:sdtPr>
                    <w:rPr>
                      <w:rFonts w:hint="eastAsia"/>
                      <w:szCs w:val="21"/>
                    </w:rPr>
                    <w:alias w:val="支付的其他与经营活动有关的现金项目"/>
                    <w:tag w:val="_GBC_af198a7f9e404a7a9ca4111e01159ef1"/>
                    <w:id w:val="24726044"/>
                    <w:lock w:val="sdtLocked"/>
                  </w:sdtPr>
                  <w:sdtContent>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rPr>
                            <w:szCs w:val="21"/>
                          </w:rPr>
                        </w:pPr>
                        <w:r>
                          <w:rPr>
                            <w:rFonts w:hint="eastAsia"/>
                            <w:szCs w:val="21"/>
                          </w:rPr>
                          <w:t>支付的其他往来款</w:t>
                        </w:r>
                      </w:p>
                    </w:tc>
                  </w:sdtContent>
                </w:sdt>
                <w:sdt>
                  <w:sdtPr>
                    <w:rPr>
                      <w:szCs w:val="21"/>
                    </w:rPr>
                    <w:alias w:val="支付的其他与经营活动有关的现金金额"/>
                    <w:tag w:val="_GBC_11a2c447ed864bc9a8bd22f55e3c9ea6"/>
                    <w:id w:val="24726045"/>
                    <w:lock w:val="sdtLocked"/>
                  </w:sdtPr>
                  <w:sdtContent>
                    <w:tc>
                      <w:tcPr>
                        <w:tcW w:w="1424"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295,116,872.42</w:t>
                        </w:r>
                      </w:p>
                    </w:tc>
                  </w:sdtContent>
                </w:sdt>
                <w:sdt>
                  <w:sdtPr>
                    <w:rPr>
                      <w:szCs w:val="21"/>
                    </w:rPr>
                    <w:alias w:val="支付的其他与经营活动有关的现金金额"/>
                    <w:tag w:val="_GBC_3dd1786623e24d0b86c0704a9b11d743"/>
                    <w:id w:val="24726046"/>
                    <w:lock w:val="sdtLocked"/>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Pr>
                            <w:szCs w:val="21"/>
                          </w:rPr>
                          <w:t>78,801,286.19</w:t>
                        </w:r>
                      </w:p>
                    </w:tc>
                  </w:sdtContent>
                </w:sdt>
              </w:tr>
            </w:sdtContent>
          </w:sdt>
          <w:tr w:rsidR="00DE031E" w:rsidTr="00DE031E">
            <w:tc>
              <w:tcPr>
                <w:tcW w:w="2009" w:type="pct"/>
                <w:tcBorders>
                  <w:top w:val="single" w:sz="6" w:space="0" w:color="auto"/>
                  <w:left w:val="single" w:sz="6" w:space="0" w:color="auto"/>
                  <w:bottom w:val="single" w:sz="6" w:space="0" w:color="auto"/>
                  <w:right w:val="single" w:sz="6" w:space="0" w:color="auto"/>
                </w:tcBorders>
              </w:tcPr>
              <w:p w:rsidR="00DE031E" w:rsidRDefault="001C1A59" w:rsidP="00DE031E">
                <w:pPr>
                  <w:autoSpaceDE w:val="0"/>
                  <w:autoSpaceDN w:val="0"/>
                  <w:adjustRightInd w:val="0"/>
                  <w:snapToGrid w:val="0"/>
                  <w:jc w:val="center"/>
                  <w:rPr>
                    <w:szCs w:val="21"/>
                  </w:rPr>
                </w:pPr>
                <w:r>
                  <w:rPr>
                    <w:rFonts w:hint="eastAsia"/>
                    <w:szCs w:val="21"/>
                  </w:rPr>
                  <w:t>合计</w:t>
                </w:r>
              </w:p>
            </w:tc>
            <w:tc>
              <w:tcPr>
                <w:tcW w:w="1424" w:type="pct"/>
                <w:tcBorders>
                  <w:top w:val="single" w:sz="6" w:space="0" w:color="auto"/>
                  <w:left w:val="single" w:sz="6" w:space="0" w:color="auto"/>
                  <w:bottom w:val="single" w:sz="6" w:space="0" w:color="auto"/>
                  <w:right w:val="single" w:sz="6" w:space="0" w:color="auto"/>
                </w:tcBorders>
                <w:vAlign w:val="center"/>
              </w:tcPr>
              <w:p w:rsidR="00DE031E" w:rsidRDefault="00422DCA" w:rsidP="00DE031E">
                <w:pPr>
                  <w:jc w:val="right"/>
                  <w:rPr>
                    <w:szCs w:val="21"/>
                  </w:rPr>
                </w:pPr>
                <w:sdt>
                  <w:sdtPr>
                    <w:rPr>
                      <w:rFonts w:hint="eastAsia"/>
                      <w:szCs w:val="21"/>
                    </w:rPr>
                    <w:alias w:val="支付的其他与经营活动有关的现金"/>
                    <w:tag w:val="_GBC_f47f73900ce94eb29c10ba090c34f24e"/>
                    <w:id w:val="24726048"/>
                    <w:lock w:val="sdtLocked"/>
                  </w:sdtPr>
                  <w:sdtContent>
                    <w:r w:rsidR="001C1A59">
                      <w:rPr>
                        <w:rFonts w:hint="eastAsia"/>
                        <w:szCs w:val="21"/>
                      </w:rPr>
                      <w:t>2,747,399,050.60</w:t>
                    </w:r>
                  </w:sdtContent>
                </w:sdt>
              </w:p>
            </w:tc>
            <w:sdt>
              <w:sdtPr>
                <w:rPr>
                  <w:rFonts w:hint="eastAsia"/>
                  <w:szCs w:val="21"/>
                </w:rPr>
                <w:alias w:val="支付的其他与经营活动有关的现金"/>
                <w:tag w:val="_GBC_ad3a5ba3e77c4ed4aeb154f9fed2d831"/>
                <w:id w:val="24726049"/>
                <w:lock w:val="sdtLocked"/>
              </w:sdtPr>
              <w:sdtContent>
                <w:tc>
                  <w:tcPr>
                    <w:tcW w:w="1567" w:type="pct"/>
                    <w:tcBorders>
                      <w:top w:val="single" w:sz="6" w:space="0" w:color="auto"/>
                      <w:left w:val="single" w:sz="6" w:space="0" w:color="auto"/>
                      <w:bottom w:val="single" w:sz="6" w:space="0" w:color="auto"/>
                      <w:right w:val="single" w:sz="6" w:space="0" w:color="auto"/>
                    </w:tcBorders>
                    <w:vAlign w:val="center"/>
                  </w:tcPr>
                  <w:p w:rsidR="00DE031E" w:rsidRDefault="001C1A59" w:rsidP="00DE031E">
                    <w:pPr>
                      <w:jc w:val="right"/>
                      <w:rPr>
                        <w:szCs w:val="21"/>
                      </w:rPr>
                    </w:pPr>
                    <w:r w:rsidRPr="002D1173">
                      <w:rPr>
                        <w:rFonts w:hint="eastAsia"/>
                        <w:szCs w:val="21"/>
                      </w:rPr>
                      <w:t>519,628,289.56</w:t>
                    </w:r>
                  </w:p>
                </w:tc>
              </w:sdtContent>
            </w:sdt>
          </w:tr>
        </w:tbl>
        <w:p w:rsidR="00DE031E" w:rsidRDefault="00422DCA">
          <w:pPr>
            <w:ind w:right="5"/>
            <w:rPr>
              <w:szCs w:val="21"/>
            </w:rPr>
          </w:pPr>
        </w:p>
      </w:sdtContent>
    </w:sdt>
    <w:sdt>
      <w:sdtPr>
        <w:rPr>
          <w:rFonts w:ascii="宋体" w:eastAsiaTheme="minorEastAsia" w:hAnsi="宋体" w:cs="宋体" w:hint="eastAsia"/>
          <w:b w:val="0"/>
          <w:bCs w:val="0"/>
          <w:kern w:val="0"/>
          <w:sz w:val="24"/>
          <w:szCs w:val="21"/>
        </w:rPr>
        <w:tag w:val="_GBC_7d29c8348da547cab82786074f1b3249"/>
        <w:id w:val="24726059"/>
        <w:lock w:val="sdtLocked"/>
        <w:placeholder>
          <w:docPart w:val="GBC22222222222222222222222222222"/>
        </w:placeholder>
      </w:sdtPr>
      <w:sdtEndPr>
        <w:rPr>
          <w:rFonts w:asciiTheme="minorHAnsi" w:hAnsiTheme="minorHAnsi" w:cstheme="minorBidi" w:hint="default"/>
          <w:kern w:val="2"/>
          <w:sz w:val="21"/>
        </w:rPr>
      </w:sdtEndPr>
      <w:sdtContent>
        <w:p w:rsidR="00DE031E" w:rsidRDefault="001C1A59" w:rsidP="009950AC">
          <w:pPr>
            <w:pStyle w:val="4"/>
            <w:numPr>
              <w:ilvl w:val="0"/>
              <w:numId w:val="59"/>
            </w:numPr>
            <w:tabs>
              <w:tab w:val="left" w:pos="728"/>
            </w:tabs>
            <w:spacing w:line="360" w:lineRule="auto"/>
            <w:rPr>
              <w:rFonts w:ascii="宋体" w:hAnsi="宋体"/>
              <w:szCs w:val="21"/>
            </w:rPr>
          </w:pPr>
          <w:r>
            <w:rPr>
              <w:rFonts w:ascii="宋体" w:hAnsi="宋体" w:hint="eastAsia"/>
              <w:szCs w:val="21"/>
            </w:rPr>
            <w:t>收到的其他与投资活动有关的现金</w:t>
          </w:r>
        </w:p>
        <w:p w:rsidR="00DE031E" w:rsidRDefault="001C1A59">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247260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24726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858"/>
            <w:gridCol w:w="2351"/>
            <w:gridCol w:w="2684"/>
          </w:tblGrid>
          <w:tr w:rsidR="00DE031E" w:rsidTr="00DE031E">
            <w:tc>
              <w:tcPr>
                <w:tcW w:w="2169"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spacing w:line="240" w:lineRule="atLeast"/>
                  <w:jc w:val="center"/>
                  <w:rPr>
                    <w:szCs w:val="21"/>
                  </w:rPr>
                </w:pPr>
                <w:r>
                  <w:rPr>
                    <w:rFonts w:hint="eastAsia"/>
                    <w:szCs w:val="21"/>
                  </w:rPr>
                  <w:t>项目</w:t>
                </w:r>
              </w:p>
            </w:tc>
            <w:tc>
              <w:tcPr>
                <w:tcW w:w="1322"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24726056"/>
              <w:lock w:val="sdtLocked"/>
            </w:sdtPr>
            <w:sdtContent>
              <w:tr w:rsidR="00DE031E" w:rsidTr="00DE031E">
                <w:tc>
                  <w:tcPr>
                    <w:tcW w:w="2169" w:type="pct"/>
                    <w:tcBorders>
                      <w:top w:val="single" w:sz="6" w:space="0" w:color="auto"/>
                      <w:left w:val="single" w:sz="6" w:space="0" w:color="auto"/>
                      <w:bottom w:val="single" w:sz="6" w:space="0" w:color="auto"/>
                      <w:right w:val="single" w:sz="6" w:space="0" w:color="auto"/>
                    </w:tcBorders>
                  </w:tcPr>
                  <w:p w:rsidR="00DE031E" w:rsidRDefault="00422DC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24726053"/>
                        <w:lock w:val="sdtLocked"/>
                      </w:sdtPr>
                      <w:sdtContent>
                        <w:r w:rsidR="001C1A59" w:rsidRPr="000D56C4">
                          <w:rPr>
                            <w:rFonts w:hint="eastAsia"/>
                            <w:color w:val="000000"/>
                            <w:szCs w:val="21"/>
                          </w:rPr>
                          <w:t>处置固定资产等长期资产收到的现金</w:t>
                        </w:r>
                      </w:sdtContent>
                    </w:sdt>
                  </w:p>
                </w:tc>
                <w:tc>
                  <w:tcPr>
                    <w:tcW w:w="1322" w:type="pct"/>
                    <w:tcBorders>
                      <w:top w:val="single" w:sz="6" w:space="0" w:color="auto"/>
                      <w:left w:val="single" w:sz="6" w:space="0" w:color="auto"/>
                      <w:bottom w:val="single" w:sz="6" w:space="0" w:color="auto"/>
                      <w:right w:val="single" w:sz="6" w:space="0" w:color="auto"/>
                    </w:tcBorders>
                    <w:vAlign w:val="bottom"/>
                  </w:tcPr>
                  <w:p w:rsidR="00DE031E" w:rsidRDefault="00422DCA">
                    <w:pPr>
                      <w:jc w:val="right"/>
                      <w:rPr>
                        <w:szCs w:val="21"/>
                      </w:rPr>
                    </w:pPr>
                    <w:sdt>
                      <w:sdtPr>
                        <w:rPr>
                          <w:rFonts w:hint="eastAsia"/>
                          <w:szCs w:val="21"/>
                        </w:rPr>
                        <w:alias w:val="收到的其他与投资活动有关的现金金额"/>
                        <w:tag w:val="_GBC_8e2c2ec41fe6477ca2d5efa7e98d1146"/>
                        <w:id w:val="24726054"/>
                        <w:lock w:val="sdtLocked"/>
                      </w:sdtPr>
                      <w:sdtContent>
                        <w:r w:rsidR="001C1A59">
                          <w:rPr>
                            <w:szCs w:val="21"/>
                          </w:rPr>
                          <w:t>366,623.17</w:t>
                        </w:r>
                      </w:sdtContent>
                    </w:sdt>
                  </w:p>
                </w:tc>
                <w:sdt>
                  <w:sdtPr>
                    <w:rPr>
                      <w:rFonts w:hint="eastAsia"/>
                      <w:szCs w:val="21"/>
                    </w:rPr>
                    <w:alias w:val="收到的其他与投资活动有关的现金金额"/>
                    <w:tag w:val="_GBC_aed0e0d97e55414792279c110badf116"/>
                    <w:id w:val="24726055"/>
                    <w:lock w:val="sdtLocked"/>
                  </w:sdtPr>
                  <w:sdtContent>
                    <w:tc>
                      <w:tcPr>
                        <w:tcW w:w="1509" w:type="pct"/>
                        <w:tcBorders>
                          <w:top w:val="single" w:sz="6" w:space="0" w:color="auto"/>
                          <w:left w:val="single" w:sz="6" w:space="0" w:color="auto"/>
                          <w:bottom w:val="single" w:sz="6" w:space="0" w:color="auto"/>
                          <w:right w:val="single" w:sz="6" w:space="0" w:color="auto"/>
                        </w:tcBorders>
                      </w:tcPr>
                      <w:p w:rsidR="00DE031E" w:rsidRDefault="001C1A59">
                        <w:pPr>
                          <w:jc w:val="right"/>
                          <w:rPr>
                            <w:szCs w:val="21"/>
                          </w:rPr>
                        </w:pPr>
                        <w:r>
                          <w:rPr>
                            <w:szCs w:val="21"/>
                          </w:rPr>
                          <w:t>127,856.47</w:t>
                        </w:r>
                      </w:p>
                    </w:tc>
                  </w:sdtContent>
                </w:sdt>
              </w:tr>
            </w:sdtContent>
          </w:sdt>
          <w:tr w:rsidR="00DE031E" w:rsidTr="00DE031E">
            <w:tc>
              <w:tcPr>
                <w:tcW w:w="2169"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spacing w:line="240" w:lineRule="atLeast"/>
                  <w:jc w:val="center"/>
                  <w:rPr>
                    <w:szCs w:val="21"/>
                  </w:rPr>
                </w:pPr>
                <w:r>
                  <w:rPr>
                    <w:rFonts w:hint="eastAsia"/>
                    <w:szCs w:val="21"/>
                  </w:rPr>
                  <w:t>合计</w:t>
                </w:r>
              </w:p>
            </w:tc>
            <w:tc>
              <w:tcPr>
                <w:tcW w:w="1322" w:type="pct"/>
                <w:tcBorders>
                  <w:top w:val="single" w:sz="6" w:space="0" w:color="auto"/>
                  <w:left w:val="single" w:sz="6" w:space="0" w:color="auto"/>
                  <w:bottom w:val="single" w:sz="6" w:space="0" w:color="auto"/>
                  <w:right w:val="single" w:sz="6" w:space="0" w:color="auto"/>
                </w:tcBorders>
                <w:vAlign w:val="bottom"/>
              </w:tcPr>
              <w:p w:rsidR="00DE031E" w:rsidRDefault="00422DCA">
                <w:pPr>
                  <w:jc w:val="right"/>
                  <w:rPr>
                    <w:szCs w:val="21"/>
                  </w:rPr>
                </w:pPr>
                <w:sdt>
                  <w:sdtPr>
                    <w:rPr>
                      <w:rFonts w:hint="eastAsia"/>
                      <w:szCs w:val="21"/>
                    </w:rPr>
                    <w:alias w:val="收到的其他与投资活动有关的现金"/>
                    <w:tag w:val="_GBC_4715425c89ac46069f7acc83fbdd655f"/>
                    <w:id w:val="24726057"/>
                    <w:lock w:val="sdtLocked"/>
                  </w:sdtPr>
                  <w:sdtContent>
                    <w:r w:rsidR="001C1A59">
                      <w:rPr>
                        <w:szCs w:val="21"/>
                      </w:rPr>
                      <w:t>366,623.17</w:t>
                    </w:r>
                  </w:sdtContent>
                </w:sdt>
              </w:p>
            </w:tc>
            <w:sdt>
              <w:sdtPr>
                <w:rPr>
                  <w:rFonts w:hint="eastAsia"/>
                  <w:szCs w:val="21"/>
                </w:rPr>
                <w:alias w:val="收到的其他与投资活动有关的现金"/>
                <w:tag w:val="_GBC_1d25e868d5df4197af0b17550f5b4ebd"/>
                <w:id w:val="24726058"/>
                <w:lock w:val="sdtLocked"/>
              </w:sdtPr>
              <w:sdtContent>
                <w:tc>
                  <w:tcPr>
                    <w:tcW w:w="1509" w:type="pct"/>
                    <w:tcBorders>
                      <w:top w:val="single" w:sz="6" w:space="0" w:color="auto"/>
                      <w:left w:val="single" w:sz="6" w:space="0" w:color="auto"/>
                      <w:bottom w:val="single" w:sz="6" w:space="0" w:color="auto"/>
                      <w:right w:val="single" w:sz="6" w:space="0" w:color="auto"/>
                    </w:tcBorders>
                  </w:tcPr>
                  <w:p w:rsidR="00DE031E" w:rsidRDefault="001C1A59">
                    <w:pPr>
                      <w:jc w:val="right"/>
                      <w:rPr>
                        <w:szCs w:val="21"/>
                      </w:rPr>
                    </w:pPr>
                    <w:r>
                      <w:rPr>
                        <w:szCs w:val="21"/>
                      </w:rPr>
                      <w:t>127,856.47</w:t>
                    </w:r>
                  </w:p>
                </w:tc>
              </w:sdtContent>
            </w:sdt>
          </w:tr>
        </w:tbl>
        <w:p w:rsidR="00DE031E" w:rsidRDefault="00422DCA">
          <w:pPr>
            <w:snapToGrid w:val="0"/>
            <w:spacing w:line="240" w:lineRule="atLeast"/>
            <w:rPr>
              <w:szCs w:val="21"/>
            </w:rPr>
          </w:pPr>
        </w:p>
      </w:sdtContent>
    </w:sdt>
    <w:sdt>
      <w:sdtPr>
        <w:rPr>
          <w:rFonts w:ascii="宋体" w:eastAsiaTheme="minorEastAsia" w:hAnsi="宋体" w:cs="宋体" w:hint="eastAsia"/>
          <w:b w:val="0"/>
          <w:bCs w:val="0"/>
          <w:kern w:val="0"/>
          <w:sz w:val="24"/>
          <w:szCs w:val="22"/>
        </w:rPr>
        <w:tag w:val="_GBC_96162aa406234e2485524876a03968e7"/>
        <w:id w:val="24726068"/>
        <w:lock w:val="sdtLocked"/>
        <w:placeholder>
          <w:docPart w:val="GBC22222222222222222222222222222"/>
        </w:placeholder>
      </w:sdtPr>
      <w:sdtEndPr>
        <w:rPr>
          <w:rFonts w:asciiTheme="minorHAnsi" w:hAnsiTheme="minorHAnsi" w:cstheme="minorBidi"/>
          <w:kern w:val="2"/>
          <w:sz w:val="21"/>
        </w:rPr>
      </w:sdtEndPr>
      <w:sdtContent>
        <w:p w:rsidR="00DE031E" w:rsidRDefault="001C1A59" w:rsidP="009950AC">
          <w:pPr>
            <w:pStyle w:val="4"/>
            <w:numPr>
              <w:ilvl w:val="0"/>
              <w:numId w:val="59"/>
            </w:numPr>
            <w:spacing w:line="360" w:lineRule="auto"/>
            <w:rPr>
              <w:rFonts w:ascii="宋体" w:hAnsi="宋体"/>
            </w:rPr>
          </w:pPr>
          <w:r>
            <w:rPr>
              <w:rFonts w:ascii="宋体" w:hAnsi="宋体" w:hint="eastAsia"/>
              <w:szCs w:val="21"/>
            </w:rPr>
            <w:t>支付的其他与筹资活动有关的现金</w:t>
          </w:r>
        </w:p>
        <w:p w:rsidR="00DE031E" w:rsidRDefault="001C1A59">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24726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24726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DE031E" w:rsidTr="00D84D13">
            <w:tc>
              <w:tcPr>
                <w:tcW w:w="1882"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24726065"/>
              <w:lock w:val="sdtLocked"/>
            </w:sdtPr>
            <w:sdtContent>
              <w:tr w:rsidR="00DE031E" w:rsidTr="00D84D13">
                <w:tc>
                  <w:tcPr>
                    <w:tcW w:w="1882" w:type="pct"/>
                    <w:tcBorders>
                      <w:top w:val="single" w:sz="6" w:space="0" w:color="auto"/>
                      <w:left w:val="single" w:sz="6" w:space="0" w:color="auto"/>
                      <w:bottom w:val="single" w:sz="6" w:space="0" w:color="auto"/>
                      <w:right w:val="single" w:sz="6" w:space="0" w:color="auto"/>
                    </w:tcBorders>
                  </w:tcPr>
                  <w:p w:rsidR="00DE031E" w:rsidRDefault="00422DCA">
                    <w:pPr>
                      <w:autoSpaceDE w:val="0"/>
                      <w:autoSpaceDN w:val="0"/>
                      <w:adjustRightInd w:val="0"/>
                      <w:snapToGrid w:val="0"/>
                    </w:pPr>
                    <w:sdt>
                      <w:sdtPr>
                        <w:rPr>
                          <w:rFonts w:hint="eastAsia"/>
                        </w:rPr>
                        <w:alias w:val="支付的其他与筹资活动有关的现金项目"/>
                        <w:tag w:val="_GBC_5ec95a8ad3af47bca79d590691ad8f34"/>
                        <w:id w:val="24726062"/>
                        <w:lock w:val="sdtLocked"/>
                      </w:sdtPr>
                      <w:sdtContent>
                        <w:r w:rsidR="001C1A59" w:rsidRPr="00C716BD">
                          <w:rPr>
                            <w:rFonts w:hint="eastAsia"/>
                          </w:rPr>
                          <w:t>非公开发行股票支付的相关费用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E031E" w:rsidRDefault="00422DCA">
                    <w:pPr>
                      <w:jc w:val="right"/>
                    </w:pPr>
                    <w:sdt>
                      <w:sdtPr>
                        <w:rPr>
                          <w:rFonts w:hint="eastAsia"/>
                        </w:rPr>
                        <w:alias w:val="支付的其他与筹资活动有关的现金金额"/>
                        <w:tag w:val="_GBC_832d95f732f84417afff23c05d4bb487"/>
                        <w:id w:val="24726063"/>
                        <w:lock w:val="sdtLocked"/>
                        <w:showingPlcHdr/>
                      </w:sdtPr>
                      <w:sdtContent>
                        <w:r w:rsidR="001C1A59">
                          <w:rPr>
                            <w:rFonts w:hint="eastAsia"/>
                            <w:color w:val="0000FF"/>
                            <w:szCs w:val="21"/>
                          </w:rPr>
                          <w:t xml:space="preserve">　</w:t>
                        </w:r>
                      </w:sdtContent>
                    </w:sdt>
                  </w:p>
                </w:tc>
                <w:sdt>
                  <w:sdtPr>
                    <w:rPr>
                      <w:rFonts w:hint="eastAsia"/>
                    </w:rPr>
                    <w:alias w:val="支付的其他与筹资活动有关的现金金额"/>
                    <w:tag w:val="_GBC_a5da9807fe004dd1b234bd2f9152108b"/>
                    <w:id w:val="24726064"/>
                    <w:lock w:val="sdtLocked"/>
                  </w:sdtPr>
                  <w:sdtContent>
                    <w:tc>
                      <w:tcPr>
                        <w:tcW w:w="1508" w:type="pct"/>
                        <w:tcBorders>
                          <w:top w:val="single" w:sz="6" w:space="0" w:color="auto"/>
                          <w:left w:val="single" w:sz="6" w:space="0" w:color="auto"/>
                          <w:bottom w:val="single" w:sz="6" w:space="0" w:color="auto"/>
                          <w:right w:val="single" w:sz="6" w:space="0" w:color="auto"/>
                        </w:tcBorders>
                      </w:tcPr>
                      <w:p w:rsidR="00DE031E" w:rsidRDefault="001C1A59">
                        <w:pPr>
                          <w:jc w:val="right"/>
                        </w:pPr>
                        <w:r>
                          <w:t>47,450,868.07</w:t>
                        </w:r>
                      </w:p>
                    </w:tc>
                  </w:sdtContent>
                </w:sdt>
              </w:tr>
            </w:sdtContent>
          </w:sdt>
          <w:tr w:rsidR="00DE031E" w:rsidTr="00D84D13">
            <w:tc>
              <w:tcPr>
                <w:tcW w:w="1882" w:type="pct"/>
                <w:tcBorders>
                  <w:top w:val="single" w:sz="6" w:space="0" w:color="auto"/>
                  <w:left w:val="single" w:sz="6" w:space="0" w:color="auto"/>
                  <w:bottom w:val="single" w:sz="6" w:space="0" w:color="auto"/>
                  <w:right w:val="single" w:sz="6" w:space="0" w:color="auto"/>
                </w:tcBorders>
              </w:tcPr>
              <w:p w:rsidR="00DE031E" w:rsidRDefault="001C1A59">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DE031E" w:rsidRDefault="00422DCA">
                <w:pPr>
                  <w:jc w:val="right"/>
                </w:pPr>
                <w:sdt>
                  <w:sdtPr>
                    <w:rPr>
                      <w:rFonts w:hint="eastAsia"/>
                    </w:rPr>
                    <w:alias w:val="支付的其他与筹资活动有关的现金"/>
                    <w:tag w:val="_GBC_0dedc3d9b0cd4188ae5a0c5faf1c3861"/>
                    <w:id w:val="24726066"/>
                    <w:lock w:val="sdtLocked"/>
                    <w:showingPlcHdr/>
                  </w:sdtPr>
                  <w:sdtContent>
                    <w:r w:rsidR="001C1A59">
                      <w:rPr>
                        <w:rFonts w:hint="eastAsia"/>
                        <w:color w:val="0000FF"/>
                        <w:szCs w:val="21"/>
                      </w:rPr>
                      <w:t xml:space="preserve">　</w:t>
                    </w:r>
                  </w:sdtContent>
                </w:sdt>
              </w:p>
            </w:tc>
            <w:sdt>
              <w:sdtPr>
                <w:rPr>
                  <w:rFonts w:hint="eastAsia"/>
                </w:rPr>
                <w:alias w:val="支付的其他与筹资活动有关的现金"/>
                <w:tag w:val="_GBC_838fe3f3dcd94199b1701cdf0a830683"/>
                <w:id w:val="24726067"/>
                <w:lock w:val="sdtLocked"/>
              </w:sdtPr>
              <w:sdtContent>
                <w:tc>
                  <w:tcPr>
                    <w:tcW w:w="1508" w:type="pct"/>
                    <w:tcBorders>
                      <w:top w:val="single" w:sz="6" w:space="0" w:color="auto"/>
                      <w:left w:val="single" w:sz="6" w:space="0" w:color="auto"/>
                      <w:bottom w:val="single" w:sz="6" w:space="0" w:color="auto"/>
                      <w:right w:val="single" w:sz="6" w:space="0" w:color="auto"/>
                    </w:tcBorders>
                  </w:tcPr>
                  <w:p w:rsidR="00DE031E" w:rsidRDefault="001C1A59">
                    <w:pPr>
                      <w:jc w:val="right"/>
                    </w:pPr>
                    <w:r>
                      <w:t>47,450,868.07</w:t>
                    </w:r>
                  </w:p>
                </w:tc>
              </w:sdtContent>
            </w:sdt>
          </w:tr>
        </w:tbl>
        <w:p w:rsidR="00DE031E" w:rsidRDefault="00422DCA">
          <w:pPr>
            <w:ind w:right="5"/>
          </w:pPr>
        </w:p>
      </w:sdtContent>
    </w:sdt>
    <w:p w:rsidR="00DE031E" w:rsidRDefault="001C1A59" w:rsidP="009950AC">
      <w:pPr>
        <w:pStyle w:val="3"/>
        <w:numPr>
          <w:ilvl w:val="0"/>
          <w:numId w:val="41"/>
        </w:numPr>
        <w:tabs>
          <w:tab w:val="left" w:pos="504"/>
        </w:tabs>
        <w:spacing w:line="360" w:lineRule="auto"/>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现金流量表补充资料"/>
        <w:tag w:val="_GBC_7c9a174810ac4558be4e54f8019d5a1a"/>
        <w:id w:val="24726113"/>
        <w:lock w:val="sdtLocked"/>
        <w:placeholder>
          <w:docPart w:val="GBC22222222222222222222222222222"/>
        </w:placeholder>
      </w:sdtPr>
      <w:sdtContent>
        <w:p w:rsidR="00DE031E" w:rsidRDefault="001C1A59" w:rsidP="009950AC">
          <w:pPr>
            <w:pStyle w:val="4"/>
            <w:numPr>
              <w:ilvl w:val="0"/>
              <w:numId w:val="60"/>
            </w:numPr>
            <w:spacing w:line="360" w:lineRule="auto"/>
          </w:pPr>
          <w:r>
            <w:rPr>
              <w:rFonts w:hint="eastAsia"/>
            </w:rPr>
            <w:t>现金流量表补充资料</w:t>
          </w:r>
        </w:p>
        <w:p w:rsidR="00DE031E" w:rsidRDefault="001C1A59">
          <w:pPr>
            <w:jc w:val="right"/>
          </w:pPr>
          <w:r>
            <w:rPr>
              <w:rFonts w:hint="eastAsia"/>
            </w:rPr>
            <w:t>单位：</w:t>
          </w:r>
          <w:sdt>
            <w:sdtPr>
              <w:rPr>
                <w:rFonts w:hint="eastAsia"/>
              </w:rPr>
              <w:alias w:val="单位：财务附注：现金流量表补充资料"/>
              <w:tag w:val="_GBC_ba7cd13a54fa44929e0fd4c276876d0e"/>
              <w:id w:val="2472606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47260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176" w:type="pct"/>
            <w:jc w:val="center"/>
            <w:tblInd w:w="-318" w:type="dxa"/>
            <w:tblBorders>
              <w:top w:val="single" w:sz="4" w:space="0" w:color="auto"/>
              <w:left w:val="single" w:sz="4" w:space="0" w:color="auto"/>
              <w:bottom w:val="single" w:sz="4" w:space="0" w:color="auto"/>
              <w:right w:val="single" w:sz="4" w:space="0" w:color="auto"/>
            </w:tblBorders>
            <w:tblLook w:val="0000"/>
          </w:tblPr>
          <w:tblGrid>
            <w:gridCol w:w="5089"/>
            <w:gridCol w:w="2173"/>
            <w:gridCol w:w="2106"/>
          </w:tblGrid>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bCs/>
                  </w:rPr>
                </w:pPr>
                <w:r>
                  <w:rPr>
                    <w:rFonts w:hint="eastAsia"/>
                    <w:bCs/>
                  </w:rPr>
                  <w:t>补充资料</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pPr>
                <w:r>
                  <w:rPr>
                    <w:rFonts w:hint="eastAsia"/>
                  </w:rPr>
                  <w:t>本期金额</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pPr>
                <w:r>
                  <w:rPr>
                    <w:rFonts w:hint="eastAsia"/>
                  </w:rPr>
                  <w:t>上期金额</w:t>
                </w:r>
              </w:p>
            </w:tc>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b/>
                    <w:bCs/>
                  </w:rPr>
                </w:pPr>
                <w:r>
                  <w:rPr>
                    <w:b/>
                    <w:bCs/>
                  </w:rPr>
                  <w:t>1</w:t>
                </w:r>
                <w:r>
                  <w:rPr>
                    <w:rFonts w:hint="eastAsia"/>
                    <w:b/>
                    <w:bCs/>
                  </w:rPr>
                  <w:t>．将净利润调节为经营活动现金流量：</w:t>
                </w:r>
              </w:p>
            </w:tc>
            <w:tc>
              <w:tcPr>
                <w:tcW w:w="1160" w:type="pct"/>
                <w:tcBorders>
                  <w:top w:val="single" w:sz="4" w:space="0" w:color="auto"/>
                  <w:left w:val="single" w:sz="4" w:space="0" w:color="auto"/>
                  <w:bottom w:val="outset" w:sz="6" w:space="0" w:color="auto"/>
                  <w:right w:val="outset" w:sz="6" w:space="0" w:color="auto"/>
                </w:tcBorders>
                <w:shd w:val="clear" w:color="auto" w:fill="auto"/>
              </w:tcPr>
              <w:p w:rsidR="00DE031E" w:rsidRDefault="00DE031E" w:rsidP="00DE031E"/>
            </w:tc>
            <w:tc>
              <w:tcPr>
                <w:tcW w:w="1124" w:type="pct"/>
                <w:tcBorders>
                  <w:top w:val="single" w:sz="4" w:space="0" w:color="auto"/>
                  <w:left w:val="outset" w:sz="6" w:space="0" w:color="auto"/>
                  <w:bottom w:val="outset" w:sz="6" w:space="0" w:color="auto"/>
                  <w:right w:val="outset" w:sz="6" w:space="0" w:color="auto"/>
                </w:tcBorders>
                <w:shd w:val="clear" w:color="auto" w:fill="auto"/>
              </w:tcPr>
              <w:p w:rsidR="00DE031E" w:rsidRDefault="00DE031E" w:rsidP="00DE031E">
                <w:pPr>
                  <w:rPr>
                    <w:b/>
                  </w:rPr>
                </w:pPr>
              </w:p>
            </w:tc>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净利润</w:t>
                </w:r>
              </w:p>
            </w:tc>
            <w:sdt>
              <w:sdtPr>
                <w:alias w:val="净利润"/>
                <w:tag w:val="_GBC_48559d235b874ba29b686404006a4731"/>
                <w:id w:val="24726071"/>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7,335,128,308.59</w:t>
                    </w:r>
                  </w:p>
                </w:tc>
              </w:sdtContent>
            </w:sdt>
            <w:sdt>
              <w:sdtPr>
                <w:alias w:val="净利润"/>
                <w:tag w:val="_GBC_a282b6b10ac04f198ee9f8f0ead8a7f5"/>
                <w:id w:val="24726072"/>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1,366,758,238.96</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加：资产减值准备</w:t>
                </w:r>
              </w:p>
            </w:tc>
            <w:sdt>
              <w:sdtPr>
                <w:alias w:val="计提的资产减值准备"/>
                <w:tag w:val="_GBC_6503c95f75b544f1a3438e781e23b1cf"/>
                <w:id w:val="24726073"/>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-4,409,462.97</w:t>
                    </w:r>
                  </w:p>
                </w:tc>
              </w:sdtContent>
            </w:sdt>
            <w:sdt>
              <w:sdtPr>
                <w:alias w:val="计提的资产减值准备"/>
                <w:tag w:val="_GBC_d2c706668df94b0191baeeb9babb5e68"/>
                <w:id w:val="24726074"/>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2,341,463.79</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固定资产折旧、油气资产折耗、生产性生物资产折旧</w:t>
                </w:r>
              </w:p>
            </w:tc>
            <w:sdt>
              <w:sdtPr>
                <w:alias w:val="固定资产折旧、油气资产折耗、生产性生物资产折旧"/>
                <w:tag w:val="_GBC_e2d0bb314cb345cb8d76b380c8820b3c"/>
                <w:id w:val="24726075"/>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40,900,362.33</w:t>
                    </w:r>
                  </w:p>
                </w:tc>
              </w:sdtContent>
            </w:sdt>
            <w:sdt>
              <w:sdtPr>
                <w:alias w:val="固定资产折旧、油气资产折耗、生产性生物资产折旧"/>
                <w:tag w:val="_GBC_5774d349dbe949d08f6f03f0c0de8781"/>
                <w:id w:val="24726076"/>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38,443,771.72</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无形资产摊销</w:t>
                </w:r>
              </w:p>
            </w:tc>
            <w:sdt>
              <w:sdtPr>
                <w:alias w:val="无形资产摊销"/>
                <w:tag w:val="_GBC_4a54b2b716c54c0480e61b53aa1d7b1b"/>
                <w:id w:val="24726077"/>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1,274,533.60</w:t>
                    </w:r>
                  </w:p>
                </w:tc>
              </w:sdtContent>
            </w:sdt>
            <w:sdt>
              <w:sdtPr>
                <w:alias w:val="无形资产摊销"/>
                <w:tag w:val="_GBC_ad0469f340934f0e938fc48f00fe787a"/>
                <w:id w:val="24726078"/>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1,394,113.44</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长期待摊费用摊销</w:t>
                </w:r>
              </w:p>
            </w:tc>
            <w:sdt>
              <w:sdtPr>
                <w:alias w:val="长期待摊费用摊销"/>
                <w:tag w:val="_GBC_924591c319b645e29c50ecff9296bc61"/>
                <w:id w:val="24726079"/>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31,812,504.76</w:t>
                    </w:r>
                  </w:p>
                </w:tc>
              </w:sdtContent>
            </w:sdt>
            <w:sdt>
              <w:sdtPr>
                <w:alias w:val="长期待摊费用摊销"/>
                <w:tag w:val="_GBC_07e77007dace4f5cb6275eccbef3c6f7"/>
                <w:id w:val="24726080"/>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28,786,723.37</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24726081"/>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-196,770.53</w:t>
                    </w:r>
                  </w:p>
                </w:tc>
              </w:sdtContent>
            </w:sdt>
            <w:sdt>
              <w:sdtPr>
                <w:alias w:val="处置固定资产、无形资产和其他长期资产的损失"/>
                <w:tag w:val="_GBC_4b982ee3777544db836fb3eca59755d8"/>
                <w:id w:val="24726082"/>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-73,376.03</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24726083"/>
                <w:lock w:val="sdtLocked"/>
                <w:showingPlcHdr/>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DE031E" w:rsidP="00DE031E">
                    <w:pPr>
                      <w:jc w:val="right"/>
                    </w:pPr>
                  </w:p>
                </w:tc>
              </w:sdtContent>
            </w:sdt>
            <w:sdt>
              <w:sdtPr>
                <w:alias w:val="固定资产报废损失"/>
                <w:tag w:val="_GBC_725616d675194c9e9675e34fb7952975"/>
                <w:id w:val="24726084"/>
                <w:lock w:val="sdtLocked"/>
                <w:showingPlcHdr/>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DE031E" w:rsidP="00DE031E">
                    <w:pPr>
                      <w:jc w:val="right"/>
                    </w:pP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24726085"/>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-2,605,096,467.83</w:t>
                    </w:r>
                  </w:p>
                </w:tc>
              </w:sdtContent>
            </w:sdt>
            <w:sdt>
              <w:sdtPr>
                <w:alias w:val="公允价值变动损失"/>
                <w:tag w:val="_GBC_4748c00181b441a19b89eca08e0dca28"/>
                <w:id w:val="24726086"/>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54,725,216.11</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利息支出</w:t>
                </w:r>
              </w:p>
            </w:tc>
            <w:sdt>
              <w:sdtPr>
                <w:alias w:val="将净利润调节为经营活动现金流量_其他"/>
                <w:tag w:val="_GBC_5458298255214b1ca3d6c5422619e3df"/>
                <w:id w:val="24726087"/>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1,594,396,059.08</w:t>
                    </w:r>
                  </w:p>
                </w:tc>
              </w:sdtContent>
            </w:sdt>
            <w:sdt>
              <w:sdtPr>
                <w:alias w:val="将净利润调节为经营活动现金流量_其他"/>
                <w:tag w:val="_GBC_97da05976a5a4371aa2ac5bc0deefd9d"/>
                <w:id w:val="24726088"/>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486,634,560.18</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24726089"/>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-1,023,986,692.23</w:t>
                    </w:r>
                  </w:p>
                </w:tc>
              </w:sdtContent>
            </w:sdt>
            <w:sdt>
              <w:sdtPr>
                <w:alias w:val="投资损失"/>
                <w:tag w:val="_GBC_164660309a3b4439b38d10d2b0a7ae17"/>
                <w:id w:val="24726090"/>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-300,629,217.48</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24726091"/>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-111,447,737.18</w:t>
                    </w:r>
                  </w:p>
                </w:tc>
              </w:sdtContent>
            </w:sdt>
            <w:sdt>
              <w:sdtPr>
                <w:alias w:val="递延所得税资产减少"/>
                <w:tag w:val="_GBC_2f49e1be5bfa408daf1bf03eead12c01"/>
                <w:id w:val="24726092"/>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-8,957,080.60</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24726093"/>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600,801,382.86</w:t>
                    </w:r>
                  </w:p>
                </w:tc>
              </w:sdtContent>
            </w:sdt>
            <w:sdt>
              <w:sdtPr>
                <w:alias w:val="递延所得税负债增加"/>
                <w:tag w:val="_GBC_8641ecd095b14aea942e118d992a281b"/>
                <w:id w:val="24726094"/>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-11,687,775.10</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24726095"/>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-82,880,643,826.95</w:t>
                    </w:r>
                  </w:p>
                </w:tc>
              </w:sdtContent>
            </w:sdt>
            <w:sdt>
              <w:sdtPr>
                <w:alias w:val="经营性应收项目的减少"/>
                <w:tag w:val="_GBC_f965947c6ab54dd0982da8e89710e489"/>
                <w:id w:val="24726096"/>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rPr>
                        <w:b/>
                      </w:rPr>
                    </w:pPr>
                    <w:r>
                      <w:t>-15,277,590,591.42</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24726097"/>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90,991,106,618.66</w:t>
                    </w:r>
                  </w:p>
                </w:tc>
              </w:sdtContent>
            </w:sdt>
            <w:sdt>
              <w:sdtPr>
                <w:alias w:val="经营性应付项目的增加"/>
                <w:tag w:val="_GBC_1b69bb6490f742b9bb12be70d6cc4844"/>
                <w:id w:val="24726098"/>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rPr>
                        <w:b/>
                      </w:rPr>
                    </w:pPr>
                    <w:r>
                      <w:t>12,338,540,299.56</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经营活动产生的现金流量净额</w:t>
                </w:r>
              </w:p>
            </w:tc>
            <w:sdt>
              <w:sdtPr>
                <w:alias w:val="经营活动现金流量净额"/>
                <w:tag w:val="_GBC_8f9c4c2596474630b67da929780f418d"/>
                <w:id w:val="24726101"/>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rsidRPr="005F385E">
                      <w:t>13,969,638,812.19</w:t>
                    </w:r>
                  </w:p>
                </w:tc>
              </w:sdtContent>
            </w:sdt>
            <w:sdt>
              <w:sdtPr>
                <w:alias w:val="经营活动现金流量净额"/>
                <w:tag w:val="_GBC_237e3001d33745f3a53729a987e23860"/>
                <w:id w:val="24726102"/>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rsidRPr="005F385E">
                      <w:t>-1,281,313,653.50</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b/>
                    <w:bCs/>
                  </w:rPr>
                </w:pPr>
                <w:r>
                  <w:rPr>
                    <w:b/>
                    <w:bCs/>
                  </w:rPr>
                  <w:t>2</w:t>
                </w:r>
                <w:r>
                  <w:rPr>
                    <w:rFonts w:hint="eastAsia"/>
                    <w:b/>
                    <w:bCs/>
                  </w:rPr>
                  <w:t>．不涉及现金收支的重大投资和筹资活动：</w:t>
                </w:r>
              </w:p>
            </w:tc>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DE031E" w:rsidP="00DE031E">
                <w:pPr>
                  <w:jc w:val="right"/>
                </w:pPr>
              </w:p>
            </w:tc>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DE031E" w:rsidP="00DE031E">
                <w:pPr>
                  <w:jc w:val="right"/>
                </w:pPr>
              </w:p>
            </w:tc>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b/>
                    <w:bCs/>
                  </w:rPr>
                </w:pPr>
                <w:r>
                  <w:rPr>
                    <w:b/>
                    <w:bCs/>
                  </w:rPr>
                  <w:t>3</w:t>
                </w:r>
                <w:r>
                  <w:rPr>
                    <w:rFonts w:hint="eastAsia"/>
                    <w:b/>
                    <w:bCs/>
                  </w:rPr>
                  <w:t>．现金及现金等价物净变动情况：</w:t>
                </w:r>
              </w:p>
            </w:tc>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DE031E" w:rsidP="00DE031E">
                <w:pPr>
                  <w:jc w:val="right"/>
                </w:pPr>
              </w:p>
            </w:tc>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DE031E" w:rsidP="00DE031E">
                <w:pPr>
                  <w:jc w:val="right"/>
                </w:pPr>
              </w:p>
            </w:tc>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现金的期末余额</w:t>
                </w:r>
              </w:p>
            </w:tc>
            <w:sdt>
              <w:sdtPr>
                <w:alias w:val="现金余额"/>
                <w:tag w:val="_GBC_0ac37f35d5d740999f02430fe2e7eead"/>
                <w:id w:val="24726103"/>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152,873,481,726.77</w:t>
                    </w:r>
                  </w:p>
                </w:tc>
              </w:sdtContent>
            </w:sdt>
            <w:sdt>
              <w:sdtPr>
                <w:alias w:val="现金余额"/>
                <w:tag w:val="_GBC_c36975add92f4d22a616f643d7da22e8"/>
                <w:id w:val="24726104"/>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pPr>
                    <w:r>
                      <w:t>39,106,671,578.57</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减：现金的期初余额</w:t>
                </w:r>
              </w:p>
            </w:tc>
            <w:sdt>
              <w:sdtPr>
                <w:rPr>
                  <w:bCs/>
                </w:rPr>
                <w:alias w:val="现金余额"/>
                <w:tag w:val="_GBC_5e4f43a9d90248969d770e32e3828a68"/>
                <w:id w:val="24726105"/>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rPr>
                        <w:bCs/>
                      </w:rPr>
                    </w:pPr>
                    <w:r>
                      <w:rPr>
                        <w:bCs/>
                      </w:rPr>
                      <w:t>67,058,694,376.52</w:t>
                    </w:r>
                  </w:p>
                </w:tc>
              </w:sdtContent>
            </w:sdt>
            <w:sdt>
              <w:sdtPr>
                <w:rPr>
                  <w:bCs/>
                </w:rPr>
                <w:alias w:val="现金余额"/>
                <w:tag w:val="_GBC_4007e431d5d247a5a907b6a46eda2052"/>
                <w:id w:val="24726106"/>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rPr>
                        <w:bCs/>
                      </w:rPr>
                    </w:pPr>
                    <w:r>
                      <w:rPr>
                        <w:bCs/>
                      </w:rPr>
                      <w:t>30,330,166,701.93</w:t>
                    </w: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加：现金等价物的期末余额</w:t>
                </w:r>
              </w:p>
            </w:tc>
            <w:sdt>
              <w:sdtPr>
                <w:alias w:val="现金等价物余额"/>
                <w:tag w:val="_GBC_aa1299ba6c3d40d48f0fc575bdcef532"/>
                <w:id w:val="24726107"/>
                <w:lock w:val="sdtLocked"/>
                <w:showingPlcHdr/>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DE031E" w:rsidP="00DE031E">
                    <w:pPr>
                      <w:jc w:val="right"/>
                    </w:pPr>
                  </w:p>
                </w:tc>
              </w:sdtContent>
            </w:sdt>
            <w:sdt>
              <w:sdtPr>
                <w:alias w:val="现金等价物余额"/>
                <w:tag w:val="_GBC_b1020554c85f4e299d8c1b9abf87a6a2"/>
                <w:id w:val="24726108"/>
                <w:lock w:val="sdtLocked"/>
                <w:showingPlcHdr/>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DE031E" w:rsidP="00DE031E">
                    <w:pPr>
                      <w:jc w:val="right"/>
                    </w:pPr>
                  </w:p>
                </w:tc>
              </w:sdtContent>
            </w:sdt>
          </w:tr>
          <w:tr w:rsidR="00DE031E"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减：现金等价物的期初余额</w:t>
                </w:r>
              </w:p>
            </w:tc>
            <w:sdt>
              <w:sdtPr>
                <w:rPr>
                  <w:bCs/>
                </w:rPr>
                <w:alias w:val="现金等价物余额"/>
                <w:tag w:val="_GBC_37ad1c4d7ec8453a9e821c3419feb678"/>
                <w:id w:val="24726109"/>
                <w:lock w:val="sdtLocked"/>
                <w:showingPlcHdr/>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DE031E" w:rsidP="00DE031E">
                    <w:pPr>
                      <w:jc w:val="right"/>
                      <w:rPr>
                        <w:bCs/>
                      </w:rPr>
                    </w:pPr>
                  </w:p>
                </w:tc>
              </w:sdtContent>
            </w:sdt>
            <w:sdt>
              <w:sdtPr>
                <w:rPr>
                  <w:bCs/>
                </w:rPr>
                <w:alias w:val="现金等价物余额"/>
                <w:tag w:val="_GBC_1e98ffacfe694f189955d8a387cb6ce0"/>
                <w:id w:val="24726110"/>
                <w:lock w:val="sdtLocked"/>
                <w:showingPlcHdr/>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DE031E" w:rsidP="00DE031E">
                    <w:pPr>
                      <w:jc w:val="right"/>
                      <w:rPr>
                        <w:bCs/>
                      </w:rPr>
                    </w:pPr>
                  </w:p>
                </w:tc>
              </w:sdtContent>
            </w:sdt>
          </w:tr>
          <w:tr w:rsidR="00DE031E" w:rsidRPr="00E207BB" w:rsidTr="00DE031E">
            <w:trPr>
              <w:jc w:val="center"/>
            </w:trPr>
            <w:tc>
              <w:tcPr>
                <w:tcW w:w="271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r>
                  <w:rPr>
                    <w:rFonts w:hint="eastAsia"/>
                  </w:rPr>
                  <w:t>现金及现金等价物净增加额</w:t>
                </w:r>
              </w:p>
            </w:tc>
            <w:sdt>
              <w:sdtPr>
                <w:alias w:val="现金及现金等价物净增加额"/>
                <w:tag w:val="_GBC_95fada8cc41f4a49964aacebd36485cb"/>
                <w:id w:val="24726111"/>
                <w:lock w:val="sdtLocked"/>
              </w:sdtPr>
              <w:sdtContent>
                <w:tc>
                  <w:tcPr>
                    <w:tcW w:w="1160" w:type="pct"/>
                    <w:tcBorders>
                      <w:top w:val="outset" w:sz="6" w:space="0" w:color="auto"/>
                      <w:left w:val="single" w:sz="4" w:space="0" w:color="auto"/>
                      <w:bottom w:val="outset" w:sz="6" w:space="0" w:color="auto"/>
                      <w:right w:val="outset" w:sz="6" w:space="0" w:color="auto"/>
                    </w:tcBorders>
                    <w:shd w:val="clear" w:color="auto" w:fill="auto"/>
                    <w:vAlign w:val="center"/>
                  </w:tcPr>
                  <w:p w:rsidR="00DE031E" w:rsidRDefault="001C1A59" w:rsidP="00DE031E">
                    <w:pPr>
                      <w:jc w:val="right"/>
                    </w:pPr>
                    <w:r>
                      <w:t>85,814,787,350.25</w:t>
                    </w:r>
                  </w:p>
                </w:tc>
              </w:sdtContent>
            </w:sdt>
            <w:sdt>
              <w:sdtPr>
                <w:rPr>
                  <w:bCs/>
                </w:rPr>
                <w:alias w:val="现金及现金等价物净增加额"/>
                <w:tag w:val="_GBC_e67248b0c6db4e138883c8745d199477"/>
                <w:id w:val="24726112"/>
                <w:lock w:val="sdtLocked"/>
              </w:sdtPr>
              <w:sdtContent>
                <w:tc>
                  <w:tcPr>
                    <w:tcW w:w="1124" w:type="pct"/>
                    <w:tcBorders>
                      <w:top w:val="outset" w:sz="6" w:space="0" w:color="auto"/>
                      <w:left w:val="outset" w:sz="6" w:space="0" w:color="auto"/>
                      <w:bottom w:val="outset" w:sz="6" w:space="0" w:color="auto"/>
                      <w:right w:val="outset" w:sz="6" w:space="0" w:color="auto"/>
                    </w:tcBorders>
                    <w:shd w:val="clear" w:color="auto" w:fill="auto"/>
                    <w:vAlign w:val="center"/>
                  </w:tcPr>
                  <w:p w:rsidR="00DE031E" w:rsidRDefault="001C1A59" w:rsidP="00DE031E">
                    <w:pPr>
                      <w:jc w:val="right"/>
                      <w:rPr>
                        <w:bCs/>
                      </w:rPr>
                    </w:pPr>
                    <w:r>
                      <w:rPr>
                        <w:bCs/>
                      </w:rPr>
                      <w:t>8,776,504,876.64</w:t>
                    </w:r>
                  </w:p>
                </w:tc>
              </w:sdtContent>
            </w:sdt>
          </w:tr>
        </w:tbl>
        <w:p w:rsidR="00DE031E" w:rsidRPr="00E207BB" w:rsidRDefault="00422DCA" w:rsidP="00DE031E"/>
      </w:sdtContent>
    </w:sdt>
    <w:sdt>
      <w:sdtPr>
        <w:rPr>
          <w:rFonts w:ascii="宋体" w:hAnsi="宋体" w:cs="宋体" w:hint="eastAsia"/>
          <w:b w:val="0"/>
          <w:bCs w:val="0"/>
          <w:kern w:val="0"/>
          <w:szCs w:val="21"/>
        </w:rPr>
        <w:tag w:val="_GBC_b19766ead83d4bb4825af61147af6138"/>
        <w:id w:val="24726134"/>
        <w:lock w:val="sdtLocked"/>
        <w:placeholder>
          <w:docPart w:val="GBC22222222222222222222222222222"/>
        </w:placeholder>
      </w:sdtPr>
      <w:sdtEndPr>
        <w:rPr>
          <w:rFonts w:hint="default"/>
          <w:szCs w:val="22"/>
        </w:rPr>
      </w:sdtEndPr>
      <w:sdtContent>
        <w:p w:rsidR="00DE031E" w:rsidRDefault="001C1A59" w:rsidP="009950AC">
          <w:pPr>
            <w:pStyle w:val="4"/>
            <w:numPr>
              <w:ilvl w:val="0"/>
              <w:numId w:val="60"/>
            </w:numPr>
            <w:spacing w:line="360" w:lineRule="auto"/>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DE031E" w:rsidRDefault="001C1A59">
          <w:pPr>
            <w:jc w:val="right"/>
            <w:rPr>
              <w:b/>
              <w:szCs w:val="21"/>
            </w:rPr>
          </w:pPr>
          <w:r>
            <w:rPr>
              <w:rFonts w:hint="eastAsia"/>
            </w:rPr>
            <w:t>单位：</w:t>
          </w:r>
          <w:sdt>
            <w:sdtPr>
              <w:rPr>
                <w:rFonts w:hint="eastAsia"/>
              </w:rPr>
              <w:alias w:val="单位：财务附注：现金和现金等价物的构成"/>
              <w:tag w:val="_GBC_b65333ba6aec402382c4acbbb6696560"/>
              <w:id w:val="247261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24726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2520"/>
            <w:gridCol w:w="2735"/>
          </w:tblGrid>
          <w:tr w:rsidR="008E589E" w:rsidTr="00074DB6">
            <w:trPr>
              <w:trHeight w:val="285"/>
              <w:tblHeader/>
              <w:jc w:val="center"/>
            </w:trPr>
            <w:tc>
              <w:tcPr>
                <w:tcW w:w="2096" w:type="pct"/>
                <w:tcBorders>
                  <w:bottom w:val="single" w:sz="4" w:space="0" w:color="auto"/>
                </w:tcBorders>
                <w:shd w:val="clear" w:color="auto" w:fill="auto"/>
                <w:vAlign w:val="center"/>
              </w:tcPr>
              <w:p w:rsidR="008E589E" w:rsidRDefault="008E589E" w:rsidP="00074DB6">
                <w:pPr>
                  <w:ind w:leftChars="-51" w:left="-107"/>
                  <w:jc w:val="center"/>
                  <w:rPr>
                    <w:szCs w:val="21"/>
                  </w:rPr>
                </w:pPr>
                <w:r>
                  <w:rPr>
                    <w:rFonts w:hint="eastAsia"/>
                    <w:szCs w:val="21"/>
                  </w:rPr>
                  <w:t>项目</w:t>
                </w:r>
              </w:p>
            </w:tc>
            <w:tc>
              <w:tcPr>
                <w:tcW w:w="1392" w:type="pct"/>
                <w:shd w:val="clear" w:color="auto" w:fill="auto"/>
                <w:vAlign w:val="center"/>
              </w:tcPr>
              <w:p w:rsidR="008E589E" w:rsidRDefault="008E589E" w:rsidP="00074DB6">
                <w:pPr>
                  <w:jc w:val="center"/>
                  <w:rPr>
                    <w:szCs w:val="21"/>
                  </w:rPr>
                </w:pPr>
                <w:r>
                  <w:rPr>
                    <w:rFonts w:hint="eastAsia"/>
                    <w:szCs w:val="21"/>
                  </w:rPr>
                  <w:t>期末余额</w:t>
                </w:r>
              </w:p>
            </w:tc>
            <w:tc>
              <w:tcPr>
                <w:tcW w:w="1511" w:type="pct"/>
                <w:shd w:val="clear" w:color="auto" w:fill="auto"/>
              </w:tcPr>
              <w:p w:rsidR="008E589E" w:rsidRDefault="008E589E" w:rsidP="00074DB6">
                <w:pPr>
                  <w:jc w:val="center"/>
                  <w:rPr>
                    <w:szCs w:val="21"/>
                  </w:rPr>
                </w:pPr>
                <w:r>
                  <w:rPr>
                    <w:rFonts w:hint="eastAsia"/>
                    <w:szCs w:val="21"/>
                  </w:rPr>
                  <w:t>期初余额</w:t>
                </w:r>
              </w:p>
            </w:tc>
          </w:tr>
          <w:tr w:rsidR="008E589E" w:rsidTr="00074DB6">
            <w:trPr>
              <w:trHeight w:val="285"/>
              <w:jc w:val="center"/>
            </w:trPr>
            <w:tc>
              <w:tcPr>
                <w:tcW w:w="2096" w:type="pct"/>
                <w:shd w:val="clear" w:color="auto" w:fill="auto"/>
                <w:vAlign w:val="center"/>
              </w:tcPr>
              <w:p w:rsidR="008E589E" w:rsidRDefault="008E589E" w:rsidP="00074DB6">
                <w:pPr>
                  <w:rPr>
                    <w:szCs w:val="21"/>
                  </w:rPr>
                </w:pPr>
                <w:r>
                  <w:rPr>
                    <w:rFonts w:hint="eastAsia"/>
                    <w:szCs w:val="21"/>
                  </w:rPr>
                  <w:t>一、现金</w:t>
                </w:r>
              </w:p>
            </w:tc>
            <w:sdt>
              <w:sdtPr>
                <w:rPr>
                  <w:szCs w:val="21"/>
                </w:rPr>
                <w:alias w:val="现金余额"/>
                <w:tag w:val="_GBC_12bcd5d1472642bb900bce8b4d6476ba"/>
                <w:id w:val="28112993"/>
                <w:lock w:val="sdtLocked"/>
              </w:sdtPr>
              <w:sdtContent>
                <w:tc>
                  <w:tcPr>
                    <w:tcW w:w="1392" w:type="pct"/>
                    <w:shd w:val="clear" w:color="auto" w:fill="auto"/>
                  </w:tcPr>
                  <w:p w:rsidR="008E589E" w:rsidRDefault="008E589E" w:rsidP="00074DB6">
                    <w:pPr>
                      <w:jc w:val="right"/>
                      <w:rPr>
                        <w:szCs w:val="21"/>
                      </w:rPr>
                    </w:pPr>
                    <w:r>
                      <w:rPr>
                        <w:szCs w:val="21"/>
                      </w:rPr>
                      <w:t>152,873,481,726.77</w:t>
                    </w:r>
                  </w:p>
                </w:tc>
              </w:sdtContent>
            </w:sdt>
            <w:sdt>
              <w:sdtPr>
                <w:rPr>
                  <w:szCs w:val="21"/>
                </w:rPr>
                <w:alias w:val="现金余额"/>
                <w:tag w:val="_GBC_5c8c0dbee7524ee5a0670db7cfee724a"/>
                <w:id w:val="28112994"/>
                <w:lock w:val="sdtLocked"/>
              </w:sdtPr>
              <w:sdtContent>
                <w:tc>
                  <w:tcPr>
                    <w:tcW w:w="1511" w:type="pct"/>
                    <w:shd w:val="clear" w:color="auto" w:fill="auto"/>
                  </w:tcPr>
                  <w:p w:rsidR="008E589E" w:rsidRDefault="008E589E" w:rsidP="00074DB6">
                    <w:pPr>
                      <w:jc w:val="right"/>
                      <w:rPr>
                        <w:szCs w:val="21"/>
                      </w:rPr>
                    </w:pPr>
                    <w:r>
                      <w:rPr>
                        <w:szCs w:val="21"/>
                      </w:rPr>
                      <w:t>67,058,694,376.52</w:t>
                    </w:r>
                  </w:p>
                </w:tc>
              </w:sdtContent>
            </w:sdt>
          </w:tr>
          <w:tr w:rsidR="008E589E" w:rsidTr="00074DB6">
            <w:trPr>
              <w:trHeight w:val="285"/>
              <w:jc w:val="center"/>
            </w:trPr>
            <w:tc>
              <w:tcPr>
                <w:tcW w:w="2096" w:type="pct"/>
                <w:shd w:val="clear" w:color="auto" w:fill="auto"/>
                <w:vAlign w:val="center"/>
              </w:tcPr>
              <w:p w:rsidR="008E589E" w:rsidRDefault="008E589E" w:rsidP="00074DB6">
                <w:pPr>
                  <w:rPr>
                    <w:szCs w:val="21"/>
                  </w:rPr>
                </w:pPr>
                <w:r>
                  <w:rPr>
                    <w:rFonts w:hint="eastAsia"/>
                    <w:szCs w:val="21"/>
                  </w:rPr>
                  <w:t>其中：库存现金</w:t>
                </w:r>
              </w:p>
            </w:tc>
            <w:sdt>
              <w:sdtPr>
                <w:rPr>
                  <w:szCs w:val="21"/>
                </w:rPr>
                <w:alias w:val="库存现金"/>
                <w:tag w:val="_GBC_72bd3125a8f6427188e14d93b6c82021"/>
                <w:id w:val="28112995"/>
                <w:lock w:val="sdtLocked"/>
              </w:sdtPr>
              <w:sdtContent>
                <w:tc>
                  <w:tcPr>
                    <w:tcW w:w="1392" w:type="pct"/>
                    <w:shd w:val="clear" w:color="auto" w:fill="auto"/>
                  </w:tcPr>
                  <w:p w:rsidR="008E589E" w:rsidRDefault="008E589E" w:rsidP="00074DB6">
                    <w:pPr>
                      <w:jc w:val="right"/>
                      <w:rPr>
                        <w:szCs w:val="21"/>
                      </w:rPr>
                    </w:pPr>
                    <w:r>
                      <w:rPr>
                        <w:szCs w:val="21"/>
                      </w:rPr>
                      <w:t>23,092.18</w:t>
                    </w:r>
                  </w:p>
                </w:tc>
              </w:sdtContent>
            </w:sdt>
            <w:sdt>
              <w:sdtPr>
                <w:rPr>
                  <w:szCs w:val="21"/>
                </w:rPr>
                <w:alias w:val="库存现金"/>
                <w:tag w:val="_GBC_bbf2e82cafe3421c9024cb43f311bb78"/>
                <w:id w:val="28112996"/>
                <w:lock w:val="sdtLocked"/>
              </w:sdtPr>
              <w:sdtContent>
                <w:tc>
                  <w:tcPr>
                    <w:tcW w:w="1511" w:type="pct"/>
                    <w:shd w:val="clear" w:color="auto" w:fill="auto"/>
                  </w:tcPr>
                  <w:p w:rsidR="008E589E" w:rsidRDefault="008E589E" w:rsidP="00074DB6">
                    <w:pPr>
                      <w:jc w:val="right"/>
                      <w:rPr>
                        <w:szCs w:val="21"/>
                      </w:rPr>
                    </w:pPr>
                    <w:r>
                      <w:rPr>
                        <w:szCs w:val="21"/>
                      </w:rPr>
                      <w:t>27,057.52</w:t>
                    </w:r>
                  </w:p>
                </w:tc>
              </w:sdtContent>
            </w:sdt>
          </w:tr>
          <w:tr w:rsidR="008E589E" w:rsidTr="00074DB6">
            <w:trPr>
              <w:trHeight w:val="285"/>
              <w:jc w:val="center"/>
            </w:trPr>
            <w:tc>
              <w:tcPr>
                <w:tcW w:w="2096" w:type="pct"/>
                <w:shd w:val="clear" w:color="auto" w:fill="auto"/>
                <w:vAlign w:val="center"/>
              </w:tcPr>
              <w:p w:rsidR="008E589E" w:rsidRDefault="008E589E" w:rsidP="00074DB6">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28112997"/>
                <w:lock w:val="sdtLocked"/>
              </w:sdtPr>
              <w:sdtContent>
                <w:tc>
                  <w:tcPr>
                    <w:tcW w:w="1392" w:type="pct"/>
                    <w:shd w:val="clear" w:color="auto" w:fill="auto"/>
                  </w:tcPr>
                  <w:p w:rsidR="008E589E" w:rsidRDefault="008E589E" w:rsidP="00074DB6">
                    <w:pPr>
                      <w:jc w:val="right"/>
                      <w:rPr>
                        <w:szCs w:val="21"/>
                      </w:rPr>
                    </w:pPr>
                    <w:r>
                      <w:rPr>
                        <w:szCs w:val="21"/>
                      </w:rPr>
                      <w:t>128,099,009,793.67</w:t>
                    </w:r>
                  </w:p>
                </w:tc>
              </w:sdtContent>
            </w:sdt>
            <w:sdt>
              <w:sdtPr>
                <w:rPr>
                  <w:szCs w:val="21"/>
                </w:rPr>
                <w:alias w:val="可随时用于支付的银行存款"/>
                <w:tag w:val="_GBC_4397e19c728c4f568a97412d972ad605"/>
                <w:id w:val="28112998"/>
                <w:lock w:val="sdtLocked"/>
              </w:sdtPr>
              <w:sdtContent>
                <w:tc>
                  <w:tcPr>
                    <w:tcW w:w="1511" w:type="pct"/>
                    <w:shd w:val="clear" w:color="auto" w:fill="auto"/>
                  </w:tcPr>
                  <w:p w:rsidR="008E589E" w:rsidRDefault="008E589E" w:rsidP="00074DB6">
                    <w:pPr>
                      <w:jc w:val="right"/>
                      <w:rPr>
                        <w:szCs w:val="21"/>
                      </w:rPr>
                    </w:pPr>
                    <w:r>
                      <w:rPr>
                        <w:szCs w:val="21"/>
                      </w:rPr>
                      <w:t>54,866,866,580.96</w:t>
                    </w:r>
                  </w:p>
                </w:tc>
              </w:sdtContent>
            </w:sdt>
          </w:tr>
          <w:tr w:rsidR="008E589E" w:rsidTr="00074DB6">
            <w:trPr>
              <w:trHeight w:val="285"/>
              <w:jc w:val="center"/>
            </w:trPr>
            <w:tc>
              <w:tcPr>
                <w:tcW w:w="2096" w:type="pct"/>
                <w:shd w:val="clear" w:color="auto" w:fill="auto"/>
                <w:vAlign w:val="center"/>
              </w:tcPr>
              <w:p w:rsidR="008E589E" w:rsidRDefault="008E589E" w:rsidP="00074DB6">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28112999"/>
                <w:lock w:val="sdtLocked"/>
                <w:showingPlcHdr/>
              </w:sdtPr>
              <w:sdtContent>
                <w:tc>
                  <w:tcPr>
                    <w:tcW w:w="1392" w:type="pct"/>
                    <w:shd w:val="clear" w:color="auto" w:fill="auto"/>
                  </w:tcPr>
                  <w:p w:rsidR="008E589E" w:rsidRDefault="008E589E" w:rsidP="00074DB6">
                    <w:pPr>
                      <w:jc w:val="right"/>
                      <w:rPr>
                        <w:szCs w:val="21"/>
                      </w:rPr>
                    </w:pPr>
                    <w:r>
                      <w:rPr>
                        <w:szCs w:val="21"/>
                      </w:rPr>
                      <w:t xml:space="preserve">　</w:t>
                    </w:r>
                  </w:p>
                </w:tc>
              </w:sdtContent>
            </w:sdt>
            <w:sdt>
              <w:sdtPr>
                <w:rPr>
                  <w:szCs w:val="21"/>
                </w:rPr>
                <w:alias w:val="可随时用于支付的其他货币资金"/>
                <w:tag w:val="_GBC_ea5be5a89f1a415ab373a35132ac8173"/>
                <w:id w:val="28113000"/>
                <w:lock w:val="sdtLocked"/>
                <w:showingPlcHdr/>
              </w:sdtPr>
              <w:sdtContent>
                <w:tc>
                  <w:tcPr>
                    <w:tcW w:w="1511" w:type="pct"/>
                    <w:shd w:val="clear" w:color="auto" w:fill="auto"/>
                  </w:tcPr>
                  <w:p w:rsidR="008E589E" w:rsidRDefault="008E589E" w:rsidP="00074DB6">
                    <w:pPr>
                      <w:jc w:val="right"/>
                      <w:rPr>
                        <w:szCs w:val="21"/>
                      </w:rPr>
                    </w:pPr>
                  </w:p>
                </w:tc>
              </w:sdtContent>
            </w:sdt>
          </w:tr>
          <w:sdt>
            <w:sdtPr>
              <w:alias w:val="现金等价物明细"/>
              <w:tag w:val="_GBC_bf462c693b1047ea944cb9d373647912"/>
              <w:id w:val="28113004"/>
            </w:sdtPr>
            <w:sdtContent>
              <w:tr w:rsidR="008E589E" w:rsidTr="00074DB6">
                <w:trPr>
                  <w:trHeight w:val="285"/>
                  <w:jc w:val="center"/>
                </w:trPr>
                <w:sdt>
                  <w:sdtPr>
                    <w:alias w:val="现金等价物明细-项目名称"/>
                    <w:tag w:val="_GBC_93b9259827244abaa01cc66d145a82b6"/>
                    <w:id w:val="28113001"/>
                    <w:lock w:val="sdtLocked"/>
                  </w:sdtPr>
                  <w:sdtContent>
                    <w:tc>
                      <w:tcPr>
                        <w:tcW w:w="2096" w:type="pct"/>
                        <w:shd w:val="clear" w:color="auto" w:fill="auto"/>
                        <w:vAlign w:val="center"/>
                      </w:tcPr>
                      <w:p w:rsidR="008E589E" w:rsidRDefault="008E589E" w:rsidP="008E589E">
                        <w:pPr>
                          <w:ind w:firstLineChars="200" w:firstLine="420"/>
                          <w:rPr>
                            <w:szCs w:val="21"/>
                          </w:rPr>
                        </w:pPr>
                        <w:r>
                          <w:rPr>
                            <w:rFonts w:hint="eastAsia"/>
                          </w:rPr>
                          <w:t>结算备付金</w:t>
                        </w:r>
                      </w:p>
                    </w:tc>
                  </w:sdtContent>
                </w:sdt>
                <w:sdt>
                  <w:sdtPr>
                    <w:rPr>
                      <w:szCs w:val="21"/>
                    </w:rPr>
                    <w:alias w:val="现金等价物明细-金额"/>
                    <w:tag w:val="_GBC_7b574361670640dca59ab5b246caa54b"/>
                    <w:id w:val="28113002"/>
                    <w:lock w:val="sdtLocked"/>
                  </w:sdtPr>
                  <w:sdtContent>
                    <w:tc>
                      <w:tcPr>
                        <w:tcW w:w="1392" w:type="pct"/>
                        <w:shd w:val="clear" w:color="auto" w:fill="auto"/>
                      </w:tcPr>
                      <w:p w:rsidR="008E589E" w:rsidRDefault="008E589E" w:rsidP="00074DB6">
                        <w:pPr>
                          <w:jc w:val="right"/>
                          <w:rPr>
                            <w:szCs w:val="21"/>
                          </w:rPr>
                        </w:pPr>
                        <w:r>
                          <w:rPr>
                            <w:szCs w:val="21"/>
                          </w:rPr>
                          <w:t>24,774,448,840.92</w:t>
                        </w:r>
                      </w:p>
                    </w:tc>
                  </w:sdtContent>
                </w:sdt>
                <w:sdt>
                  <w:sdtPr>
                    <w:rPr>
                      <w:szCs w:val="21"/>
                    </w:rPr>
                    <w:alias w:val="现金等价物明细-金额@本期期初数"/>
                    <w:tag w:val="_GBC_1ad2f7a7b6d84a1bb5639e9fb685a93d"/>
                    <w:id w:val="28113003"/>
                    <w:lock w:val="sdtLocked"/>
                  </w:sdtPr>
                  <w:sdtContent>
                    <w:tc>
                      <w:tcPr>
                        <w:tcW w:w="1511" w:type="pct"/>
                        <w:shd w:val="clear" w:color="auto" w:fill="auto"/>
                      </w:tcPr>
                      <w:p w:rsidR="008E589E" w:rsidRDefault="008E589E" w:rsidP="00074DB6">
                        <w:pPr>
                          <w:jc w:val="right"/>
                          <w:rPr>
                            <w:szCs w:val="21"/>
                          </w:rPr>
                        </w:pPr>
                        <w:r>
                          <w:rPr>
                            <w:szCs w:val="21"/>
                          </w:rPr>
                          <w:t>12,191,800,738.04</w:t>
                        </w:r>
                      </w:p>
                    </w:tc>
                  </w:sdtContent>
                </w:sdt>
              </w:tr>
            </w:sdtContent>
          </w:sdt>
          <w:tr w:rsidR="008E589E" w:rsidTr="00074DB6">
            <w:trPr>
              <w:trHeight w:val="285"/>
              <w:jc w:val="center"/>
            </w:trPr>
            <w:tc>
              <w:tcPr>
                <w:tcW w:w="2096" w:type="pct"/>
                <w:shd w:val="clear" w:color="auto" w:fill="auto"/>
                <w:vAlign w:val="center"/>
              </w:tcPr>
              <w:p w:rsidR="008E589E" w:rsidRDefault="008E589E" w:rsidP="00074DB6">
                <w:pPr>
                  <w:rPr>
                    <w:szCs w:val="21"/>
                  </w:rPr>
                </w:pPr>
                <w:r>
                  <w:rPr>
                    <w:rFonts w:hint="eastAsia"/>
                    <w:szCs w:val="21"/>
                  </w:rPr>
                  <w:t>二、现金等价物</w:t>
                </w:r>
              </w:p>
            </w:tc>
            <w:sdt>
              <w:sdtPr>
                <w:rPr>
                  <w:szCs w:val="21"/>
                </w:rPr>
                <w:alias w:val="现金等价物余额"/>
                <w:tag w:val="_GBC_6e0752d041a4476e9d70d499e381e424"/>
                <w:id w:val="28113007"/>
                <w:lock w:val="sdtLocked"/>
                <w:showingPlcHdr/>
              </w:sdtPr>
              <w:sdtContent>
                <w:tc>
                  <w:tcPr>
                    <w:tcW w:w="1392" w:type="pct"/>
                    <w:shd w:val="clear" w:color="auto" w:fill="auto"/>
                  </w:tcPr>
                  <w:p w:rsidR="008E589E" w:rsidRDefault="008E589E" w:rsidP="00074DB6">
                    <w:pPr>
                      <w:jc w:val="right"/>
                      <w:rPr>
                        <w:szCs w:val="21"/>
                      </w:rPr>
                    </w:pPr>
                  </w:p>
                </w:tc>
              </w:sdtContent>
            </w:sdt>
            <w:sdt>
              <w:sdtPr>
                <w:rPr>
                  <w:szCs w:val="21"/>
                </w:rPr>
                <w:alias w:val="现金等价物余额"/>
                <w:tag w:val="_GBC_c83f0f382fb645a5bb1a1ec405c1db80"/>
                <w:id w:val="28113008"/>
                <w:lock w:val="sdtLocked"/>
                <w:showingPlcHdr/>
              </w:sdtPr>
              <w:sdtContent>
                <w:tc>
                  <w:tcPr>
                    <w:tcW w:w="1511" w:type="pct"/>
                    <w:shd w:val="clear" w:color="auto" w:fill="auto"/>
                  </w:tcPr>
                  <w:p w:rsidR="008E589E" w:rsidRDefault="008E589E" w:rsidP="00074DB6">
                    <w:pPr>
                      <w:jc w:val="right"/>
                      <w:rPr>
                        <w:szCs w:val="21"/>
                      </w:rPr>
                    </w:pPr>
                  </w:p>
                </w:tc>
              </w:sdtContent>
            </w:sdt>
          </w:tr>
          <w:tr w:rsidR="008E589E" w:rsidTr="00074DB6">
            <w:trPr>
              <w:trHeight w:val="285"/>
              <w:jc w:val="center"/>
            </w:trPr>
            <w:tc>
              <w:tcPr>
                <w:tcW w:w="2096" w:type="pct"/>
                <w:tcBorders>
                  <w:bottom w:val="single" w:sz="4" w:space="0" w:color="auto"/>
                </w:tcBorders>
                <w:shd w:val="clear" w:color="auto" w:fill="auto"/>
                <w:vAlign w:val="center"/>
              </w:tcPr>
              <w:p w:rsidR="008E589E" w:rsidRDefault="008E589E" w:rsidP="00074DB6">
                <w:pPr>
                  <w:rPr>
                    <w:szCs w:val="21"/>
                  </w:rPr>
                </w:pPr>
                <w:r>
                  <w:rPr>
                    <w:rFonts w:hint="eastAsia"/>
                    <w:szCs w:val="21"/>
                  </w:rPr>
                  <w:t>其中：三个月内到期的债券投资</w:t>
                </w:r>
              </w:p>
            </w:tc>
            <w:sdt>
              <w:sdtPr>
                <w:rPr>
                  <w:szCs w:val="21"/>
                </w:rPr>
                <w:alias w:val="三个月内到期的债券投资"/>
                <w:tag w:val="_GBC_a062d28b88cc4bb892d470019249a225"/>
                <w:id w:val="28113009"/>
                <w:lock w:val="sdtLocked"/>
                <w:showingPlcHdr/>
              </w:sdtPr>
              <w:sdtContent>
                <w:tc>
                  <w:tcPr>
                    <w:tcW w:w="1392" w:type="pct"/>
                    <w:tcBorders>
                      <w:bottom w:val="single" w:sz="4" w:space="0" w:color="auto"/>
                    </w:tcBorders>
                    <w:shd w:val="clear" w:color="auto" w:fill="auto"/>
                  </w:tcPr>
                  <w:p w:rsidR="008E589E" w:rsidRDefault="008E589E" w:rsidP="00074DB6">
                    <w:pPr>
                      <w:jc w:val="right"/>
                      <w:rPr>
                        <w:szCs w:val="21"/>
                      </w:rPr>
                    </w:pPr>
                  </w:p>
                </w:tc>
              </w:sdtContent>
            </w:sdt>
            <w:sdt>
              <w:sdtPr>
                <w:rPr>
                  <w:szCs w:val="21"/>
                </w:rPr>
                <w:alias w:val="三个月内到期的债券投资"/>
                <w:tag w:val="_GBC_092dc3284c5f4e809c9f8303a8550b46"/>
                <w:id w:val="28113010"/>
                <w:lock w:val="sdtLocked"/>
                <w:showingPlcHdr/>
              </w:sdtPr>
              <w:sdtContent>
                <w:tc>
                  <w:tcPr>
                    <w:tcW w:w="1511" w:type="pct"/>
                    <w:tcBorders>
                      <w:bottom w:val="single" w:sz="4" w:space="0" w:color="auto"/>
                    </w:tcBorders>
                    <w:shd w:val="clear" w:color="auto" w:fill="auto"/>
                  </w:tcPr>
                  <w:p w:rsidR="008E589E" w:rsidRDefault="008E589E" w:rsidP="00074DB6">
                    <w:pPr>
                      <w:jc w:val="right"/>
                      <w:rPr>
                        <w:szCs w:val="21"/>
                      </w:rPr>
                    </w:pPr>
                  </w:p>
                </w:tc>
              </w:sdtContent>
            </w:sdt>
          </w:tr>
          <w:tr w:rsidR="008E589E" w:rsidTr="00074DB6">
            <w:trPr>
              <w:trHeight w:val="285"/>
              <w:jc w:val="center"/>
            </w:trPr>
            <w:tc>
              <w:tcPr>
                <w:tcW w:w="2096" w:type="pct"/>
                <w:shd w:val="clear" w:color="auto" w:fill="auto"/>
                <w:vAlign w:val="center"/>
              </w:tcPr>
              <w:p w:rsidR="008E589E" w:rsidRDefault="008E589E" w:rsidP="00074DB6">
                <w:pPr>
                  <w:rPr>
                    <w:szCs w:val="21"/>
                  </w:rPr>
                </w:pPr>
                <w:r>
                  <w:rPr>
                    <w:rFonts w:hint="eastAsia"/>
                    <w:szCs w:val="21"/>
                  </w:rPr>
                  <w:lastRenderedPageBreak/>
                  <w:t>三、期末现金及现金等价物余额</w:t>
                </w:r>
              </w:p>
            </w:tc>
            <w:sdt>
              <w:sdtPr>
                <w:rPr>
                  <w:szCs w:val="21"/>
                </w:rPr>
                <w:alias w:val="现金及现金等价物余额"/>
                <w:tag w:val="_GBC_994860e7281c46d8a63c4394fbf35a68"/>
                <w:id w:val="28113011"/>
                <w:lock w:val="sdtLocked"/>
              </w:sdtPr>
              <w:sdtContent>
                <w:tc>
                  <w:tcPr>
                    <w:tcW w:w="1392" w:type="pct"/>
                    <w:shd w:val="clear" w:color="auto" w:fill="auto"/>
                  </w:tcPr>
                  <w:p w:rsidR="008E589E" w:rsidRDefault="008E589E" w:rsidP="00074DB6">
                    <w:pPr>
                      <w:jc w:val="right"/>
                      <w:rPr>
                        <w:szCs w:val="21"/>
                      </w:rPr>
                    </w:pPr>
                    <w:r>
                      <w:rPr>
                        <w:szCs w:val="21"/>
                      </w:rPr>
                      <w:t>152,873,481,726.77</w:t>
                    </w:r>
                  </w:p>
                </w:tc>
              </w:sdtContent>
            </w:sdt>
            <w:sdt>
              <w:sdtPr>
                <w:rPr>
                  <w:szCs w:val="21"/>
                </w:rPr>
                <w:alias w:val="现金及现金等价物余额"/>
                <w:tag w:val="_GBC_4842c2062e4d476e8888191dfc8c7baa"/>
                <w:id w:val="28113012"/>
                <w:lock w:val="sdtLocked"/>
              </w:sdtPr>
              <w:sdtContent>
                <w:tc>
                  <w:tcPr>
                    <w:tcW w:w="1511" w:type="pct"/>
                    <w:shd w:val="clear" w:color="auto" w:fill="auto"/>
                  </w:tcPr>
                  <w:p w:rsidR="008E589E" w:rsidRDefault="008E589E" w:rsidP="00074DB6">
                    <w:pPr>
                      <w:jc w:val="right"/>
                      <w:rPr>
                        <w:szCs w:val="21"/>
                      </w:rPr>
                    </w:pPr>
                    <w:r>
                      <w:rPr>
                        <w:szCs w:val="21"/>
                      </w:rPr>
                      <w:t>67,058,694,376.52</w:t>
                    </w:r>
                  </w:p>
                </w:tc>
              </w:sdtContent>
            </w:sdt>
          </w:tr>
          <w:tr w:rsidR="008E589E" w:rsidTr="00074DB6">
            <w:trPr>
              <w:trHeight w:val="285"/>
              <w:jc w:val="center"/>
            </w:trPr>
            <w:tc>
              <w:tcPr>
                <w:tcW w:w="2096" w:type="pct"/>
                <w:shd w:val="clear" w:color="auto" w:fill="auto"/>
                <w:vAlign w:val="center"/>
              </w:tcPr>
              <w:p w:rsidR="008E589E" w:rsidRDefault="008E589E" w:rsidP="00074DB6">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28113013"/>
                <w:lock w:val="sdtLocked"/>
                <w:showingPlcHdr/>
              </w:sdtPr>
              <w:sdtContent>
                <w:tc>
                  <w:tcPr>
                    <w:tcW w:w="1392" w:type="pct"/>
                    <w:shd w:val="clear" w:color="auto" w:fill="auto"/>
                  </w:tcPr>
                  <w:p w:rsidR="008E589E" w:rsidRDefault="008E589E" w:rsidP="00074DB6">
                    <w:pPr>
                      <w:jc w:val="right"/>
                      <w:rPr>
                        <w:szCs w:val="21"/>
                      </w:rPr>
                    </w:pPr>
                  </w:p>
                </w:tc>
              </w:sdtContent>
            </w:sdt>
            <w:sdt>
              <w:sdtPr>
                <w:rPr>
                  <w:szCs w:val="21"/>
                </w:rPr>
                <w:alias w:val="母公司或集团内子公司使用受限制的现金和现金等价物"/>
                <w:tag w:val="_GBC_55fd0ff880e64139bb49cd0325cf9320"/>
                <w:id w:val="28113014"/>
                <w:lock w:val="sdtLocked"/>
                <w:showingPlcHdr/>
              </w:sdtPr>
              <w:sdtContent>
                <w:tc>
                  <w:tcPr>
                    <w:tcW w:w="1511" w:type="pct"/>
                    <w:shd w:val="clear" w:color="auto" w:fill="auto"/>
                  </w:tcPr>
                  <w:p w:rsidR="008E589E" w:rsidRDefault="008E589E" w:rsidP="00074DB6">
                    <w:pPr>
                      <w:jc w:val="right"/>
                      <w:rPr>
                        <w:szCs w:val="21"/>
                      </w:rPr>
                    </w:pPr>
                  </w:p>
                </w:tc>
              </w:sdtContent>
            </w:sdt>
          </w:tr>
        </w:tbl>
        <w:p w:rsidR="00DE031E" w:rsidRDefault="00422DCA"/>
      </w:sdtContent>
    </w:sdt>
    <w:p w:rsidR="00BE29A7" w:rsidRDefault="00BE29A7" w:rsidP="009950AC">
      <w:pPr>
        <w:pStyle w:val="3"/>
        <w:numPr>
          <w:ilvl w:val="0"/>
          <w:numId w:val="41"/>
        </w:numPr>
        <w:tabs>
          <w:tab w:val="left" w:pos="504"/>
        </w:tabs>
        <w:ind w:left="420"/>
        <w:rPr>
          <w:rFonts w:ascii="宋体" w:hAnsi="宋体"/>
          <w:szCs w:val="21"/>
        </w:rPr>
      </w:pPr>
      <w:r>
        <w:rPr>
          <w:rFonts w:ascii="宋体" w:hAnsi="宋体" w:hint="eastAsia"/>
          <w:szCs w:val="21"/>
        </w:rPr>
        <w:t>受托客户资产管理业务</w:t>
      </w:r>
    </w:p>
    <w:p w:rsidR="00A15A30" w:rsidRPr="00A15A30" w:rsidRDefault="00A15A30" w:rsidP="00A15A30">
      <w:pPr>
        <w:jc w:val="right"/>
      </w:pPr>
      <w:r>
        <w:rPr>
          <w:rFonts w:hint="eastAsia"/>
        </w:rPr>
        <w:t>单位：元  币种：人民币</w:t>
      </w:r>
    </w:p>
    <w:tbl>
      <w:tblPr>
        <w:tblW w:w="4994" w:type="pct"/>
        <w:tblLook w:val="04A0"/>
      </w:tblPr>
      <w:tblGrid>
        <w:gridCol w:w="3510"/>
        <w:gridCol w:w="2835"/>
        <w:gridCol w:w="2694"/>
      </w:tblGrid>
      <w:tr w:rsidR="00BE29A7" w:rsidRPr="00C077B2"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b/>
                <w:bCs/>
                <w:sz w:val="18"/>
                <w:szCs w:val="18"/>
              </w:rPr>
            </w:pPr>
            <w:r w:rsidRPr="00C077B2">
              <w:rPr>
                <w:rFonts w:ascii="Arial" w:hAnsi="Arial" w:cs="Arial" w:hint="eastAsia"/>
                <w:b/>
                <w:bCs/>
                <w:sz w:val="18"/>
                <w:szCs w:val="18"/>
              </w:rPr>
              <w:t>项目</w:t>
            </w:r>
          </w:p>
        </w:tc>
        <w:tc>
          <w:tcPr>
            <w:tcW w:w="2835" w:type="dxa"/>
            <w:tcBorders>
              <w:top w:val="nil"/>
              <w:left w:val="nil"/>
              <w:bottom w:val="nil"/>
              <w:right w:val="nil"/>
            </w:tcBorders>
            <w:shd w:val="clear" w:color="auto" w:fill="auto"/>
            <w:noWrap/>
            <w:vAlign w:val="center"/>
            <w:hideMark/>
          </w:tcPr>
          <w:p w:rsidR="00BE29A7" w:rsidRPr="00C077B2" w:rsidRDefault="00BE29A7" w:rsidP="00D45F5F">
            <w:pPr>
              <w:jc w:val="right"/>
              <w:rPr>
                <w:rFonts w:ascii="Arial" w:hAnsi="Arial" w:cs="Arial"/>
                <w:b/>
                <w:bCs/>
                <w:sz w:val="18"/>
                <w:szCs w:val="18"/>
                <w:u w:val="single"/>
              </w:rPr>
            </w:pPr>
            <w:r w:rsidRPr="00C077B2">
              <w:rPr>
                <w:rFonts w:ascii="Arial" w:hAnsi="Arial" w:cs="Arial" w:hint="eastAsia"/>
                <w:b/>
                <w:bCs/>
                <w:sz w:val="18"/>
                <w:szCs w:val="18"/>
                <w:u w:val="single"/>
              </w:rPr>
              <w:t>期末金额</w:t>
            </w:r>
          </w:p>
        </w:tc>
        <w:tc>
          <w:tcPr>
            <w:tcW w:w="2694" w:type="dxa"/>
            <w:tcBorders>
              <w:top w:val="nil"/>
              <w:left w:val="nil"/>
              <w:bottom w:val="nil"/>
              <w:right w:val="nil"/>
            </w:tcBorders>
            <w:shd w:val="clear" w:color="auto" w:fill="auto"/>
            <w:noWrap/>
            <w:vAlign w:val="center"/>
            <w:hideMark/>
          </w:tcPr>
          <w:p w:rsidR="00BE29A7" w:rsidRPr="00C077B2" w:rsidRDefault="00BE29A7" w:rsidP="00D45F5F">
            <w:pPr>
              <w:jc w:val="right"/>
              <w:rPr>
                <w:rFonts w:ascii="Arial" w:hAnsi="Arial" w:cs="Arial"/>
                <w:b/>
                <w:bCs/>
                <w:sz w:val="18"/>
                <w:szCs w:val="18"/>
                <w:u w:val="single"/>
              </w:rPr>
            </w:pPr>
            <w:r w:rsidRPr="00C077B2">
              <w:rPr>
                <w:rFonts w:ascii="Arial" w:hAnsi="Arial" w:cs="Arial" w:hint="eastAsia"/>
                <w:b/>
                <w:bCs/>
                <w:sz w:val="18"/>
                <w:szCs w:val="18"/>
                <w:u w:val="single"/>
              </w:rPr>
              <w:t>年初金额</w:t>
            </w:r>
          </w:p>
        </w:tc>
      </w:tr>
      <w:tr w:rsidR="00BE29A7" w:rsidRPr="00C077B2"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sz w:val="18"/>
                <w:szCs w:val="18"/>
              </w:rPr>
            </w:pPr>
            <w:r w:rsidRPr="00C077B2">
              <w:rPr>
                <w:rFonts w:ascii="Arial" w:hAnsi="Arial" w:cs="Arial" w:hint="eastAsia"/>
                <w:b/>
                <w:bCs/>
                <w:sz w:val="18"/>
                <w:szCs w:val="18"/>
              </w:rPr>
              <w:t>资产项目</w:t>
            </w:r>
          </w:p>
        </w:tc>
        <w:tc>
          <w:tcPr>
            <w:tcW w:w="2835" w:type="dxa"/>
            <w:tcBorders>
              <w:top w:val="nil"/>
              <w:left w:val="nil"/>
              <w:bottom w:val="nil"/>
              <w:right w:val="nil"/>
            </w:tcBorders>
            <w:shd w:val="clear" w:color="auto" w:fill="auto"/>
            <w:noWrap/>
            <w:vAlign w:val="center"/>
            <w:hideMark/>
          </w:tcPr>
          <w:p w:rsidR="00BE29A7" w:rsidRPr="00C077B2" w:rsidRDefault="00BE29A7" w:rsidP="00D45F5F">
            <w:pPr>
              <w:jc w:val="right"/>
              <w:rPr>
                <w:rFonts w:ascii="Arial" w:hAnsi="Arial" w:cs="Arial"/>
                <w:sz w:val="18"/>
                <w:szCs w:val="18"/>
              </w:rPr>
            </w:pPr>
          </w:p>
        </w:tc>
        <w:tc>
          <w:tcPr>
            <w:tcW w:w="2694" w:type="dxa"/>
            <w:tcBorders>
              <w:top w:val="nil"/>
              <w:left w:val="nil"/>
              <w:bottom w:val="nil"/>
              <w:right w:val="nil"/>
            </w:tcBorders>
            <w:shd w:val="clear" w:color="auto" w:fill="auto"/>
            <w:noWrap/>
            <w:vAlign w:val="center"/>
            <w:hideMark/>
          </w:tcPr>
          <w:p w:rsidR="00BE29A7" w:rsidRPr="00C077B2" w:rsidRDefault="00BE29A7" w:rsidP="00D45F5F">
            <w:pPr>
              <w:jc w:val="right"/>
              <w:rPr>
                <w:rFonts w:ascii="Arial" w:hAnsi="Arial" w:cs="Arial"/>
                <w:sz w:val="18"/>
                <w:szCs w:val="18"/>
              </w:rPr>
            </w:pP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sz w:val="18"/>
                <w:szCs w:val="18"/>
              </w:rPr>
            </w:pPr>
            <w:r w:rsidRPr="00C077B2">
              <w:rPr>
                <w:rFonts w:ascii="Arial" w:hAnsi="Arial" w:cs="Arial" w:hint="eastAsia"/>
                <w:sz w:val="18"/>
                <w:szCs w:val="18"/>
              </w:rPr>
              <w:t>存出与托管客户资金</w:t>
            </w:r>
          </w:p>
        </w:tc>
        <w:tc>
          <w:tcPr>
            <w:tcW w:w="2835" w:type="dxa"/>
            <w:tcBorders>
              <w:top w:val="nil"/>
              <w:left w:val="nil"/>
              <w:bottom w:val="nil"/>
              <w:right w:val="nil"/>
            </w:tcBorders>
            <w:shd w:val="clear" w:color="auto" w:fill="auto"/>
            <w:noWrap/>
            <w:vAlign w:val="center"/>
            <w:hideMark/>
          </w:tcPr>
          <w:p w:rsidR="00BE29A7" w:rsidRPr="007B2BC4" w:rsidRDefault="00D7037D" w:rsidP="00D45F5F">
            <w:pPr>
              <w:jc w:val="right"/>
            </w:pPr>
            <w:r w:rsidRPr="00D7037D">
              <w:t>4,866,563,508.54</w:t>
            </w:r>
          </w:p>
        </w:tc>
        <w:tc>
          <w:tcPr>
            <w:tcW w:w="2694" w:type="dxa"/>
            <w:tcBorders>
              <w:top w:val="nil"/>
              <w:left w:val="nil"/>
              <w:bottom w:val="nil"/>
              <w:right w:val="nil"/>
            </w:tcBorders>
            <w:shd w:val="clear" w:color="auto" w:fill="auto"/>
            <w:noWrap/>
            <w:vAlign w:val="center"/>
            <w:hideMark/>
          </w:tcPr>
          <w:p w:rsidR="00BE29A7" w:rsidRPr="00940048" w:rsidRDefault="00BE29A7" w:rsidP="00D45F5F">
            <w:pPr>
              <w:jc w:val="right"/>
            </w:pPr>
            <w:r w:rsidRPr="00940048">
              <w:t>2,987,234,029.58</w:t>
            </w: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sz w:val="18"/>
                <w:szCs w:val="18"/>
              </w:rPr>
            </w:pPr>
            <w:r w:rsidRPr="00C077B2">
              <w:rPr>
                <w:rFonts w:ascii="Arial" w:hAnsi="Arial" w:cs="Arial" w:hint="eastAsia"/>
                <w:sz w:val="18"/>
                <w:szCs w:val="18"/>
              </w:rPr>
              <w:t>应收款项</w:t>
            </w:r>
          </w:p>
        </w:tc>
        <w:tc>
          <w:tcPr>
            <w:tcW w:w="2835" w:type="dxa"/>
            <w:tcBorders>
              <w:top w:val="nil"/>
              <w:left w:val="nil"/>
              <w:bottom w:val="nil"/>
              <w:right w:val="nil"/>
            </w:tcBorders>
            <w:shd w:val="clear" w:color="auto" w:fill="auto"/>
            <w:noWrap/>
            <w:vAlign w:val="center"/>
            <w:hideMark/>
          </w:tcPr>
          <w:p w:rsidR="00BE29A7" w:rsidRPr="007B2BC4" w:rsidRDefault="00D7037D" w:rsidP="00D45F5F">
            <w:pPr>
              <w:jc w:val="right"/>
            </w:pPr>
            <w:r w:rsidRPr="00D7037D">
              <w:t>265,758,584.80</w:t>
            </w:r>
          </w:p>
        </w:tc>
        <w:tc>
          <w:tcPr>
            <w:tcW w:w="2694" w:type="dxa"/>
            <w:tcBorders>
              <w:top w:val="nil"/>
              <w:left w:val="nil"/>
              <w:bottom w:val="nil"/>
              <w:right w:val="nil"/>
            </w:tcBorders>
            <w:shd w:val="clear" w:color="auto" w:fill="auto"/>
            <w:noWrap/>
            <w:vAlign w:val="center"/>
            <w:hideMark/>
          </w:tcPr>
          <w:p w:rsidR="00BE29A7" w:rsidRPr="00940048" w:rsidRDefault="00BE29A7" w:rsidP="00D45F5F">
            <w:pPr>
              <w:jc w:val="right"/>
            </w:pPr>
            <w:r w:rsidRPr="00940048">
              <w:t>159,226,425.80</w:t>
            </w: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sz w:val="18"/>
                <w:szCs w:val="18"/>
              </w:rPr>
            </w:pPr>
            <w:r w:rsidRPr="00C077B2">
              <w:rPr>
                <w:rFonts w:ascii="Arial" w:hAnsi="Arial" w:cs="Arial" w:hint="eastAsia"/>
                <w:sz w:val="18"/>
                <w:szCs w:val="18"/>
              </w:rPr>
              <w:t>受托投资</w:t>
            </w:r>
          </w:p>
        </w:tc>
        <w:tc>
          <w:tcPr>
            <w:tcW w:w="2835" w:type="dxa"/>
            <w:tcBorders>
              <w:top w:val="nil"/>
              <w:left w:val="nil"/>
              <w:bottom w:val="nil"/>
              <w:right w:val="nil"/>
            </w:tcBorders>
            <w:shd w:val="clear" w:color="auto" w:fill="auto"/>
            <w:noWrap/>
            <w:vAlign w:val="center"/>
            <w:hideMark/>
          </w:tcPr>
          <w:p w:rsidR="00BE29A7" w:rsidRPr="007B2BC4" w:rsidRDefault="00D7037D" w:rsidP="00D45F5F">
            <w:pPr>
              <w:jc w:val="right"/>
            </w:pPr>
            <w:r w:rsidRPr="00D7037D">
              <w:t>278,265,099,252.91</w:t>
            </w:r>
          </w:p>
        </w:tc>
        <w:tc>
          <w:tcPr>
            <w:tcW w:w="2694" w:type="dxa"/>
            <w:tcBorders>
              <w:top w:val="nil"/>
              <w:left w:val="nil"/>
              <w:bottom w:val="nil"/>
              <w:right w:val="nil"/>
            </w:tcBorders>
            <w:shd w:val="clear" w:color="auto" w:fill="auto"/>
            <w:noWrap/>
            <w:vAlign w:val="center"/>
            <w:hideMark/>
          </w:tcPr>
          <w:p w:rsidR="00BE29A7" w:rsidRPr="00940048" w:rsidRDefault="00BE29A7" w:rsidP="00D45F5F">
            <w:pPr>
              <w:jc w:val="right"/>
            </w:pPr>
            <w:r w:rsidRPr="00940048">
              <w:t>174,667,916,534.87</w:t>
            </w: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sz w:val="18"/>
                <w:szCs w:val="18"/>
              </w:rPr>
            </w:pPr>
            <w:r w:rsidRPr="00C077B2">
              <w:rPr>
                <w:rFonts w:ascii="Arial" w:hAnsi="Arial" w:cs="Arial" w:hint="eastAsia"/>
                <w:sz w:val="18"/>
                <w:szCs w:val="18"/>
              </w:rPr>
              <w:t>其中：投资成本</w:t>
            </w:r>
          </w:p>
        </w:tc>
        <w:tc>
          <w:tcPr>
            <w:tcW w:w="2835" w:type="dxa"/>
            <w:tcBorders>
              <w:top w:val="nil"/>
              <w:left w:val="nil"/>
              <w:bottom w:val="nil"/>
              <w:right w:val="nil"/>
            </w:tcBorders>
            <w:shd w:val="clear" w:color="auto" w:fill="auto"/>
            <w:noWrap/>
            <w:vAlign w:val="center"/>
            <w:hideMark/>
          </w:tcPr>
          <w:p w:rsidR="00BE29A7" w:rsidRPr="007B2BC4" w:rsidRDefault="00D7037D" w:rsidP="00D45F5F">
            <w:pPr>
              <w:jc w:val="right"/>
            </w:pPr>
            <w:r w:rsidRPr="00D7037D">
              <w:t>285,561,521,533.58</w:t>
            </w:r>
          </w:p>
        </w:tc>
        <w:tc>
          <w:tcPr>
            <w:tcW w:w="2694" w:type="dxa"/>
            <w:tcBorders>
              <w:top w:val="nil"/>
              <w:left w:val="nil"/>
              <w:bottom w:val="nil"/>
              <w:right w:val="nil"/>
            </w:tcBorders>
            <w:shd w:val="clear" w:color="auto" w:fill="auto"/>
            <w:noWrap/>
            <w:vAlign w:val="center"/>
            <w:hideMark/>
          </w:tcPr>
          <w:p w:rsidR="00BE29A7" w:rsidRPr="00940048" w:rsidRDefault="00BE29A7" w:rsidP="00D45F5F">
            <w:pPr>
              <w:jc w:val="right"/>
            </w:pPr>
            <w:r w:rsidRPr="00940048">
              <w:t>181,123,730,025.62</w:t>
            </w: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ind w:firstLineChars="300" w:firstLine="540"/>
              <w:rPr>
                <w:rFonts w:ascii="Arial" w:hAnsi="Arial" w:cs="Arial"/>
                <w:sz w:val="18"/>
                <w:szCs w:val="18"/>
              </w:rPr>
            </w:pPr>
            <w:r w:rsidRPr="00C077B2">
              <w:rPr>
                <w:rFonts w:ascii="Arial" w:hAnsi="Arial" w:cs="Arial" w:hint="eastAsia"/>
                <w:sz w:val="18"/>
                <w:szCs w:val="18"/>
              </w:rPr>
              <w:t>已实现未结算收益</w:t>
            </w:r>
          </w:p>
        </w:tc>
        <w:tc>
          <w:tcPr>
            <w:tcW w:w="2835" w:type="dxa"/>
            <w:tcBorders>
              <w:top w:val="nil"/>
              <w:left w:val="nil"/>
              <w:bottom w:val="nil"/>
              <w:right w:val="nil"/>
            </w:tcBorders>
            <w:shd w:val="clear" w:color="auto" w:fill="auto"/>
            <w:noWrap/>
            <w:vAlign w:val="center"/>
            <w:hideMark/>
          </w:tcPr>
          <w:p w:rsidR="00BE29A7" w:rsidRPr="007B2BC4" w:rsidRDefault="00D7037D" w:rsidP="00D45F5F">
            <w:pPr>
              <w:jc w:val="right"/>
            </w:pPr>
            <w:r w:rsidRPr="00D7037D">
              <w:t>-7,296,422,280.67</w:t>
            </w:r>
          </w:p>
        </w:tc>
        <w:tc>
          <w:tcPr>
            <w:tcW w:w="2694" w:type="dxa"/>
            <w:tcBorders>
              <w:top w:val="nil"/>
              <w:left w:val="nil"/>
              <w:bottom w:val="nil"/>
              <w:right w:val="nil"/>
            </w:tcBorders>
            <w:shd w:val="clear" w:color="auto" w:fill="auto"/>
            <w:noWrap/>
            <w:vAlign w:val="center"/>
            <w:hideMark/>
          </w:tcPr>
          <w:p w:rsidR="00BE29A7" w:rsidRPr="00940048" w:rsidRDefault="00BE29A7" w:rsidP="00D45F5F">
            <w:pPr>
              <w:jc w:val="right"/>
            </w:pPr>
            <w:r w:rsidRPr="00940048">
              <w:t>-6,455,813,490.75</w:t>
            </w: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b/>
                <w:bCs/>
                <w:sz w:val="18"/>
                <w:szCs w:val="18"/>
              </w:rPr>
            </w:pPr>
            <w:r w:rsidRPr="00C077B2">
              <w:rPr>
                <w:rFonts w:ascii="Arial" w:hAnsi="Arial" w:cs="Arial" w:hint="eastAsia"/>
                <w:b/>
                <w:bCs/>
                <w:sz w:val="18"/>
                <w:szCs w:val="18"/>
              </w:rPr>
              <w:t>合计</w:t>
            </w:r>
          </w:p>
        </w:tc>
        <w:tc>
          <w:tcPr>
            <w:tcW w:w="2835" w:type="dxa"/>
            <w:tcBorders>
              <w:top w:val="nil"/>
              <w:left w:val="nil"/>
              <w:bottom w:val="nil"/>
              <w:right w:val="nil"/>
            </w:tcBorders>
            <w:shd w:val="clear" w:color="auto" w:fill="auto"/>
            <w:vAlign w:val="center"/>
            <w:hideMark/>
          </w:tcPr>
          <w:p w:rsidR="00BE29A7" w:rsidRPr="007B2BC4" w:rsidRDefault="00D7037D" w:rsidP="00D45F5F">
            <w:pPr>
              <w:jc w:val="right"/>
            </w:pPr>
            <w:r w:rsidRPr="00D7037D">
              <w:t>283,397,421,346.25</w:t>
            </w:r>
          </w:p>
        </w:tc>
        <w:tc>
          <w:tcPr>
            <w:tcW w:w="2694" w:type="dxa"/>
            <w:tcBorders>
              <w:top w:val="nil"/>
              <w:left w:val="nil"/>
              <w:bottom w:val="nil"/>
              <w:right w:val="nil"/>
            </w:tcBorders>
            <w:shd w:val="clear" w:color="auto" w:fill="auto"/>
            <w:vAlign w:val="center"/>
            <w:hideMark/>
          </w:tcPr>
          <w:p w:rsidR="00BE29A7" w:rsidRPr="00940048" w:rsidRDefault="00BE29A7" w:rsidP="00D45F5F">
            <w:pPr>
              <w:jc w:val="right"/>
            </w:pPr>
            <w:r w:rsidRPr="00940048">
              <w:t>177,814,376,990.25</w:t>
            </w: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b/>
                <w:bCs/>
                <w:sz w:val="18"/>
                <w:szCs w:val="18"/>
              </w:rPr>
            </w:pPr>
            <w:r w:rsidRPr="00C077B2">
              <w:rPr>
                <w:rFonts w:ascii="Arial" w:hAnsi="Arial" w:cs="Arial" w:hint="eastAsia"/>
                <w:b/>
                <w:bCs/>
                <w:sz w:val="18"/>
                <w:szCs w:val="18"/>
              </w:rPr>
              <w:t>负债项目</w:t>
            </w:r>
          </w:p>
        </w:tc>
        <w:tc>
          <w:tcPr>
            <w:tcW w:w="2835" w:type="dxa"/>
            <w:tcBorders>
              <w:top w:val="nil"/>
              <w:left w:val="nil"/>
              <w:bottom w:val="nil"/>
              <w:right w:val="nil"/>
            </w:tcBorders>
            <w:shd w:val="clear" w:color="auto" w:fill="auto"/>
            <w:noWrap/>
            <w:vAlign w:val="center"/>
            <w:hideMark/>
          </w:tcPr>
          <w:p w:rsidR="00BE29A7" w:rsidRPr="007B2BC4" w:rsidRDefault="00D7037D" w:rsidP="00D45F5F">
            <w:pPr>
              <w:jc w:val="right"/>
            </w:pPr>
            <w:r w:rsidRPr="00D7037D">
              <w:t>-</w:t>
            </w:r>
          </w:p>
        </w:tc>
        <w:tc>
          <w:tcPr>
            <w:tcW w:w="2694" w:type="dxa"/>
            <w:tcBorders>
              <w:top w:val="nil"/>
              <w:left w:val="nil"/>
              <w:bottom w:val="nil"/>
              <w:right w:val="nil"/>
            </w:tcBorders>
            <w:shd w:val="clear" w:color="auto" w:fill="auto"/>
            <w:noWrap/>
            <w:vAlign w:val="center"/>
            <w:hideMark/>
          </w:tcPr>
          <w:p w:rsidR="00BE29A7" w:rsidRPr="00940048" w:rsidRDefault="00BE29A7" w:rsidP="00D45F5F">
            <w:pPr>
              <w:jc w:val="right"/>
            </w:pP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sz w:val="18"/>
                <w:szCs w:val="18"/>
              </w:rPr>
            </w:pPr>
            <w:r w:rsidRPr="00C077B2">
              <w:rPr>
                <w:rFonts w:ascii="Arial" w:hAnsi="Arial" w:cs="Arial" w:hint="eastAsia"/>
                <w:sz w:val="18"/>
                <w:szCs w:val="18"/>
              </w:rPr>
              <w:t>受托管理资金</w:t>
            </w:r>
          </w:p>
        </w:tc>
        <w:tc>
          <w:tcPr>
            <w:tcW w:w="2835" w:type="dxa"/>
            <w:tcBorders>
              <w:top w:val="nil"/>
              <w:left w:val="nil"/>
              <w:bottom w:val="nil"/>
              <w:right w:val="nil"/>
            </w:tcBorders>
            <w:shd w:val="clear" w:color="auto" w:fill="auto"/>
            <w:noWrap/>
            <w:vAlign w:val="center"/>
            <w:hideMark/>
          </w:tcPr>
          <w:p w:rsidR="00BE29A7" w:rsidRPr="007B2BC4" w:rsidRDefault="00D7037D" w:rsidP="00D45F5F">
            <w:pPr>
              <w:jc w:val="right"/>
            </w:pPr>
            <w:r w:rsidRPr="00D7037D">
              <w:t>283,271,797,002.60</w:t>
            </w:r>
          </w:p>
        </w:tc>
        <w:tc>
          <w:tcPr>
            <w:tcW w:w="2694" w:type="dxa"/>
            <w:tcBorders>
              <w:top w:val="nil"/>
              <w:left w:val="nil"/>
              <w:bottom w:val="nil"/>
              <w:right w:val="nil"/>
            </w:tcBorders>
            <w:shd w:val="clear" w:color="auto" w:fill="auto"/>
            <w:noWrap/>
            <w:vAlign w:val="center"/>
            <w:hideMark/>
          </w:tcPr>
          <w:p w:rsidR="00BE29A7" w:rsidRPr="00940048" w:rsidRDefault="00BE29A7" w:rsidP="00D45F5F">
            <w:pPr>
              <w:jc w:val="right"/>
            </w:pPr>
            <w:r w:rsidRPr="00940048">
              <w:t>177,727,933,461.45</w:t>
            </w:r>
          </w:p>
        </w:tc>
      </w:tr>
      <w:tr w:rsidR="00BE29A7" w:rsidRPr="00940048"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sz w:val="18"/>
                <w:szCs w:val="18"/>
              </w:rPr>
            </w:pPr>
            <w:r w:rsidRPr="00C077B2">
              <w:rPr>
                <w:rFonts w:ascii="Arial" w:hAnsi="Arial" w:cs="Arial" w:hint="eastAsia"/>
                <w:sz w:val="18"/>
                <w:szCs w:val="18"/>
              </w:rPr>
              <w:t>应付受托业务款</w:t>
            </w:r>
          </w:p>
        </w:tc>
        <w:tc>
          <w:tcPr>
            <w:tcW w:w="2835" w:type="dxa"/>
            <w:tcBorders>
              <w:top w:val="nil"/>
              <w:left w:val="nil"/>
              <w:bottom w:val="nil"/>
              <w:right w:val="nil"/>
            </w:tcBorders>
            <w:shd w:val="clear" w:color="auto" w:fill="auto"/>
            <w:vAlign w:val="center"/>
            <w:hideMark/>
          </w:tcPr>
          <w:p w:rsidR="00BE29A7" w:rsidRPr="007B2BC4" w:rsidRDefault="00D7037D" w:rsidP="00D45F5F">
            <w:pPr>
              <w:jc w:val="right"/>
            </w:pPr>
            <w:r w:rsidRPr="00D7037D">
              <w:t>125,624,343.65</w:t>
            </w:r>
          </w:p>
        </w:tc>
        <w:tc>
          <w:tcPr>
            <w:tcW w:w="2694" w:type="dxa"/>
            <w:tcBorders>
              <w:top w:val="nil"/>
              <w:left w:val="nil"/>
              <w:bottom w:val="nil"/>
              <w:right w:val="nil"/>
            </w:tcBorders>
            <w:shd w:val="clear" w:color="auto" w:fill="auto"/>
            <w:vAlign w:val="center"/>
            <w:hideMark/>
          </w:tcPr>
          <w:p w:rsidR="00BE29A7" w:rsidRPr="00940048" w:rsidRDefault="00BE29A7" w:rsidP="00D45F5F">
            <w:pPr>
              <w:jc w:val="right"/>
            </w:pPr>
            <w:r w:rsidRPr="00940048">
              <w:t>86,443,528.80</w:t>
            </w:r>
          </w:p>
        </w:tc>
      </w:tr>
      <w:tr w:rsidR="00BE29A7" w:rsidTr="00D45F5F">
        <w:trPr>
          <w:trHeight w:val="340"/>
        </w:trPr>
        <w:tc>
          <w:tcPr>
            <w:tcW w:w="3510" w:type="dxa"/>
            <w:tcBorders>
              <w:top w:val="nil"/>
              <w:left w:val="nil"/>
              <w:bottom w:val="nil"/>
              <w:right w:val="nil"/>
            </w:tcBorders>
            <w:shd w:val="clear" w:color="auto" w:fill="auto"/>
            <w:noWrap/>
            <w:vAlign w:val="center"/>
            <w:hideMark/>
          </w:tcPr>
          <w:p w:rsidR="00BE29A7" w:rsidRPr="00C077B2" w:rsidRDefault="00BE29A7" w:rsidP="00D45F5F">
            <w:pPr>
              <w:rPr>
                <w:rFonts w:ascii="Arial" w:hAnsi="Arial" w:cs="Arial"/>
                <w:b/>
                <w:bCs/>
                <w:sz w:val="18"/>
                <w:szCs w:val="18"/>
              </w:rPr>
            </w:pPr>
            <w:r w:rsidRPr="00C077B2">
              <w:rPr>
                <w:rFonts w:ascii="Arial" w:hAnsi="Arial" w:cs="Arial" w:hint="eastAsia"/>
                <w:b/>
                <w:bCs/>
                <w:sz w:val="18"/>
                <w:szCs w:val="18"/>
              </w:rPr>
              <w:t>合计</w:t>
            </w:r>
          </w:p>
        </w:tc>
        <w:tc>
          <w:tcPr>
            <w:tcW w:w="2835" w:type="dxa"/>
            <w:tcBorders>
              <w:top w:val="nil"/>
              <w:left w:val="nil"/>
              <w:bottom w:val="nil"/>
              <w:right w:val="nil"/>
            </w:tcBorders>
            <w:shd w:val="clear" w:color="auto" w:fill="auto"/>
            <w:vAlign w:val="center"/>
            <w:hideMark/>
          </w:tcPr>
          <w:p w:rsidR="00BE29A7" w:rsidRPr="00D7037D" w:rsidRDefault="00D7037D" w:rsidP="00D45F5F">
            <w:pPr>
              <w:jc w:val="right"/>
            </w:pPr>
            <w:r w:rsidRPr="00D7037D">
              <w:t>283,</w:t>
            </w:r>
            <w:r w:rsidRPr="00D7037D">
              <w:rPr>
                <w:rFonts w:hint="eastAsia"/>
              </w:rPr>
              <w:t>397</w:t>
            </w:r>
            <w:r w:rsidRPr="00D7037D">
              <w:t>,</w:t>
            </w:r>
            <w:r w:rsidRPr="00D7037D">
              <w:rPr>
                <w:rFonts w:hint="eastAsia"/>
              </w:rPr>
              <w:t>421</w:t>
            </w:r>
            <w:r w:rsidRPr="00D7037D">
              <w:t>,</w:t>
            </w:r>
            <w:r w:rsidRPr="00D7037D">
              <w:rPr>
                <w:rFonts w:hint="eastAsia"/>
              </w:rPr>
              <w:t>346</w:t>
            </w:r>
            <w:r w:rsidRPr="00D7037D">
              <w:t>.</w:t>
            </w:r>
            <w:r w:rsidRPr="00D7037D">
              <w:rPr>
                <w:rFonts w:hint="eastAsia"/>
              </w:rPr>
              <w:t>25</w:t>
            </w:r>
          </w:p>
        </w:tc>
        <w:tc>
          <w:tcPr>
            <w:tcW w:w="2694" w:type="dxa"/>
            <w:tcBorders>
              <w:top w:val="nil"/>
              <w:left w:val="nil"/>
              <w:bottom w:val="nil"/>
              <w:right w:val="nil"/>
            </w:tcBorders>
            <w:shd w:val="clear" w:color="auto" w:fill="auto"/>
            <w:vAlign w:val="center"/>
            <w:hideMark/>
          </w:tcPr>
          <w:p w:rsidR="00BE29A7" w:rsidRPr="00D7037D" w:rsidRDefault="00BE29A7" w:rsidP="00D45F5F">
            <w:pPr>
              <w:jc w:val="right"/>
            </w:pPr>
            <w:r w:rsidRPr="00D7037D">
              <w:t>177,814,376,990.25</w:t>
            </w:r>
          </w:p>
        </w:tc>
      </w:tr>
    </w:tbl>
    <w:p w:rsidR="00BE29A7" w:rsidRDefault="00BE29A7" w:rsidP="00BE29A7"/>
    <w:p w:rsidR="00DE031E" w:rsidRDefault="001C1A59" w:rsidP="009950AC">
      <w:pPr>
        <w:pStyle w:val="3"/>
        <w:numPr>
          <w:ilvl w:val="0"/>
          <w:numId w:val="41"/>
        </w:numPr>
        <w:tabs>
          <w:tab w:val="left" w:pos="504"/>
        </w:tabs>
        <w:spacing w:line="360" w:lineRule="auto"/>
        <w:rPr>
          <w:rFonts w:ascii="宋体" w:hAnsi="宋体"/>
          <w:szCs w:val="21"/>
        </w:rPr>
      </w:pPr>
      <w:r>
        <w:rPr>
          <w:rFonts w:ascii="宋体" w:hAnsi="宋体" w:hint="eastAsia"/>
          <w:szCs w:val="21"/>
        </w:rPr>
        <w:t>外币货币性项目</w:t>
      </w:r>
    </w:p>
    <w:sdt>
      <w:sdtPr>
        <w:rPr>
          <w:szCs w:val="21"/>
        </w:rPr>
        <w:alias w:val="是否适用：外币货币性项目"/>
        <w:tag w:val="_GBC_861846fc48314b06bc4dd20897de2b88"/>
        <w:id w:val="24726136"/>
        <w:lock w:val="sdtContentLocked"/>
        <w:placeholder>
          <w:docPart w:val="GBC22222222222222222222222222222"/>
        </w:placeholder>
      </w:sdtPr>
      <w:sdtContent>
        <w:p w:rsidR="00DE031E" w:rsidRDefault="00422DCA">
          <w:pPr>
            <w:rPr>
              <w:szCs w:val="21"/>
            </w:rPr>
          </w:pPr>
          <w:r>
            <w:rPr>
              <w:szCs w:val="21"/>
            </w:rPr>
            <w:fldChar w:fldCharType="begin"/>
          </w:r>
          <w:r w:rsidR="001C1A59">
            <w:rPr>
              <w:szCs w:val="21"/>
            </w:rPr>
            <w:instrText xml:space="preserve"> MACROBUTTON  SnrToggleCheckbox √适用 </w:instrText>
          </w:r>
          <w:r>
            <w:rPr>
              <w:szCs w:val="21"/>
            </w:rPr>
            <w:fldChar w:fldCharType="end"/>
          </w:r>
          <w:r>
            <w:rPr>
              <w:szCs w:val="21"/>
            </w:rPr>
            <w:fldChar w:fldCharType="begin"/>
          </w:r>
          <w:r w:rsidR="001C1A59">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1"/>
        </w:rPr>
        <w:tag w:val="_GBC_7a80c9b78caf4e6686905c555fe61f9a"/>
        <w:id w:val="24726272"/>
        <w:lock w:val="sdtLocked"/>
        <w:placeholder>
          <w:docPart w:val="GBC22222222222222222222222222222"/>
        </w:placeholder>
      </w:sdtPr>
      <w:sdtEndPr>
        <w:rPr>
          <w:rFonts w:hint="default"/>
          <w:b w:val="0"/>
          <w:bCs w:val="0"/>
        </w:rPr>
      </w:sdtEndPr>
      <w:sdtContent>
        <w:p w:rsidR="00DE031E" w:rsidRDefault="001C1A59" w:rsidP="009950AC">
          <w:pPr>
            <w:pStyle w:val="a9"/>
            <w:numPr>
              <w:ilvl w:val="0"/>
              <w:numId w:val="61"/>
            </w:numPr>
            <w:tabs>
              <w:tab w:val="left" w:pos="700"/>
            </w:tabs>
            <w:spacing w:before="60" w:after="60" w:line="360" w:lineRule="auto"/>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DE031E" w:rsidRDefault="001C1A5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24726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7"/>
            <w:gridCol w:w="2106"/>
            <w:gridCol w:w="2000"/>
            <w:gridCol w:w="2106"/>
          </w:tblGrid>
          <w:tr w:rsidR="00DE031E" w:rsidRPr="00B9343B" w:rsidTr="00DE031E">
            <w:trPr>
              <w:tblHeader/>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9343B" w:rsidRDefault="001C1A59" w:rsidP="00DE031E">
                <w:pPr>
                  <w:jc w:val="center"/>
                  <w:rPr>
                    <w:rFonts w:asciiTheme="minorEastAsia" w:eastAsiaTheme="minorEastAsia" w:hAnsiTheme="minorEastAsia"/>
                    <w:szCs w:val="21"/>
                  </w:rPr>
                </w:pPr>
                <w:r w:rsidRPr="00B9343B">
                  <w:rPr>
                    <w:rFonts w:asciiTheme="minorEastAsia" w:eastAsiaTheme="minorEastAsia" w:hAnsiTheme="minorEastAsia" w:hint="eastAsia"/>
                    <w:szCs w:val="21"/>
                  </w:rPr>
                  <w:t>项目</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9343B" w:rsidRDefault="001C1A59" w:rsidP="00DE031E">
                <w:pPr>
                  <w:jc w:val="center"/>
                  <w:rPr>
                    <w:rFonts w:asciiTheme="minorEastAsia" w:eastAsiaTheme="minorEastAsia" w:hAnsiTheme="minorEastAsia"/>
                    <w:szCs w:val="21"/>
                  </w:rPr>
                </w:pPr>
                <w:r w:rsidRPr="00B9343B">
                  <w:rPr>
                    <w:rFonts w:asciiTheme="minorEastAsia" w:eastAsiaTheme="minorEastAsia" w:hAnsiTheme="minorEastAsia" w:hint="eastAsia"/>
                    <w:szCs w:val="21"/>
                  </w:rPr>
                  <w:t>期末外币余额</w:t>
                </w:r>
              </w:p>
            </w:tc>
            <w:tc>
              <w:tcPr>
                <w:tcW w:w="1105"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9343B" w:rsidRDefault="001C1A59" w:rsidP="00DE031E">
                <w:pPr>
                  <w:jc w:val="center"/>
                  <w:rPr>
                    <w:rFonts w:asciiTheme="minorEastAsia" w:eastAsiaTheme="minorEastAsia" w:hAnsiTheme="minorEastAsia"/>
                    <w:szCs w:val="21"/>
                  </w:rPr>
                </w:pPr>
                <w:r w:rsidRPr="00B9343B">
                  <w:rPr>
                    <w:rFonts w:asciiTheme="minorEastAsia" w:eastAsiaTheme="minorEastAsia" w:hAnsiTheme="minorEastAsia" w:hint="eastAsia"/>
                    <w:szCs w:val="21"/>
                  </w:rPr>
                  <w:t>折算汇率</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9343B" w:rsidRDefault="001C1A59" w:rsidP="00DE031E">
                <w:pPr>
                  <w:jc w:val="center"/>
                  <w:rPr>
                    <w:rFonts w:asciiTheme="minorEastAsia" w:eastAsiaTheme="minorEastAsia" w:hAnsiTheme="minorEastAsia"/>
                    <w:szCs w:val="21"/>
                  </w:rPr>
                </w:pPr>
                <w:r w:rsidRPr="00B9343B">
                  <w:rPr>
                    <w:rFonts w:asciiTheme="minorEastAsia" w:eastAsiaTheme="minorEastAsia" w:hAnsiTheme="minorEastAsia" w:hint="eastAsia"/>
                    <w:szCs w:val="21"/>
                  </w:rPr>
                  <w:t>期末折算人民币</w:t>
                </w:r>
              </w:p>
              <w:p w:rsidR="00DE031E" w:rsidRPr="00B9343B" w:rsidRDefault="001C1A59" w:rsidP="00DE031E">
                <w:pPr>
                  <w:jc w:val="center"/>
                  <w:rPr>
                    <w:rFonts w:asciiTheme="minorEastAsia" w:eastAsiaTheme="minorEastAsia" w:hAnsiTheme="minorEastAsia"/>
                    <w:szCs w:val="21"/>
                  </w:rPr>
                </w:pPr>
                <w:r w:rsidRPr="00B9343B">
                  <w:rPr>
                    <w:rFonts w:asciiTheme="minorEastAsia" w:eastAsiaTheme="minorEastAsia" w:hAnsiTheme="minorEastAsia" w:hint="eastAsia"/>
                    <w:szCs w:val="21"/>
                  </w:rPr>
                  <w:t>余额</w:t>
                </w:r>
              </w:p>
            </w:tc>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货币资金</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DE031E" w:rsidP="00DE031E">
                <w:pPr>
                  <w:jc w:val="right"/>
                  <w:rPr>
                    <w:rFonts w:asciiTheme="minorEastAsia" w:eastAsiaTheme="minorEastAsia" w:hAnsiTheme="minorEastAsia"/>
                    <w:szCs w:val="21"/>
                  </w:rPr>
                </w:pPr>
              </w:p>
            </w:tc>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DE031E" w:rsidP="00DE031E">
                <w:pPr>
                  <w:jc w:val="right"/>
                  <w:rPr>
                    <w:rFonts w:asciiTheme="minorEastAsia" w:eastAsiaTheme="minorEastAsia" w:hAnsiTheme="minorEastAsia"/>
                    <w:szCs w:val="21"/>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cs="Arial"/>
                    <w:color w:val="000000"/>
                    <w:szCs w:val="21"/>
                  </w:rPr>
                  <w:t>129,225,249,570.01</w:t>
                </w:r>
              </w:p>
            </w:tc>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其中：美元</w:t>
                </w:r>
              </w:p>
            </w:tc>
            <w:sdt>
              <w:sdtPr>
                <w:rPr>
                  <w:rFonts w:asciiTheme="minorEastAsia" w:eastAsiaTheme="minorEastAsia" w:hAnsiTheme="minorEastAsia"/>
                  <w:szCs w:val="21"/>
                </w:rPr>
                <w:alias w:val="以美元核算的货币资金"/>
                <w:tag w:val="_GBC_bd1f5d62ef1d4b8bae655c7ca1a95930"/>
                <w:id w:val="24726138"/>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268,544,983.38</w:t>
                    </w:r>
                  </w:p>
                </w:tc>
              </w:sdtContent>
            </w:sdt>
            <w:sdt>
              <w:sdtPr>
                <w:rPr>
                  <w:rFonts w:asciiTheme="minorEastAsia" w:eastAsiaTheme="minorEastAsia" w:hAnsiTheme="minorEastAsia"/>
                  <w:szCs w:val="21"/>
                </w:rPr>
                <w:alias w:val="以美元核算的货币资金折算率"/>
                <w:tag w:val="_GBC_c17eed385b8048fc817378fa9d2d0f3a"/>
                <w:id w:val="24726139"/>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6.1136</w:t>
                    </w:r>
                  </w:p>
                </w:tc>
              </w:sdtContent>
            </w:sdt>
            <w:sdt>
              <w:sdtPr>
                <w:rPr>
                  <w:rFonts w:asciiTheme="minorEastAsia" w:eastAsiaTheme="minorEastAsia" w:hAnsiTheme="minorEastAsia"/>
                  <w:szCs w:val="21"/>
                </w:rPr>
                <w:alias w:val="以美元核算的货币资金折算成人民币"/>
                <w:tag w:val="_GBC_40b70d817a8645e3b2ecddd50cf985af"/>
                <w:id w:val="24726140"/>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1,641,776,610.39</w:t>
                    </w:r>
                  </w:p>
                </w:tc>
              </w:sdtContent>
            </w:sdt>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欧元</w:t>
                </w:r>
              </w:p>
            </w:tc>
            <w:sdt>
              <w:sdtPr>
                <w:rPr>
                  <w:rFonts w:asciiTheme="minorEastAsia" w:eastAsiaTheme="minorEastAsia" w:hAnsiTheme="minorEastAsia"/>
                  <w:szCs w:val="21"/>
                </w:rPr>
                <w:alias w:val="以欧元核算的货币资金"/>
                <w:tag w:val="_GBC_0b99f5641f734af8a0d60518ddd5f606"/>
                <w:id w:val="24726141"/>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610,146.87</w:t>
                    </w:r>
                  </w:p>
                </w:tc>
              </w:sdtContent>
            </w:sdt>
            <w:sdt>
              <w:sdtPr>
                <w:rPr>
                  <w:rFonts w:asciiTheme="minorEastAsia" w:eastAsiaTheme="minorEastAsia" w:hAnsiTheme="minorEastAsia"/>
                  <w:szCs w:val="21"/>
                </w:rPr>
                <w:alias w:val="以欧元核算的货币资金折算率"/>
                <w:tag w:val="_GBC_baf8242f55e2448d9e541a5cf968eb92"/>
                <w:id w:val="24726142"/>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6.8699</w:t>
                    </w:r>
                  </w:p>
                </w:tc>
              </w:sdtContent>
            </w:sdt>
            <w:sdt>
              <w:sdtPr>
                <w:rPr>
                  <w:rFonts w:asciiTheme="minorEastAsia" w:eastAsiaTheme="minorEastAsia" w:hAnsiTheme="minorEastAsia"/>
                  <w:szCs w:val="21"/>
                </w:rPr>
                <w:alias w:val="以欧元核算的货币资金折算成人民币"/>
                <w:tag w:val="_GBC_1e38961fb1a44ea09ce4c19180246156"/>
                <w:id w:val="2472614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4,191,647.98</w:t>
                    </w:r>
                  </w:p>
                </w:tc>
              </w:sdtContent>
            </w:sdt>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港币</w:t>
                </w:r>
              </w:p>
            </w:tc>
            <w:sdt>
              <w:sdtPr>
                <w:rPr>
                  <w:rFonts w:asciiTheme="minorEastAsia" w:eastAsiaTheme="minorEastAsia" w:hAnsiTheme="minorEastAsia"/>
                  <w:szCs w:val="21"/>
                </w:rPr>
                <w:alias w:val="以港币核算的货币资金"/>
                <w:tag w:val="_GBC_8bab4279cb794da1b0e26e18a2aab432"/>
                <w:id w:val="24726144"/>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6,945,253,475.28</w:t>
                    </w:r>
                  </w:p>
                </w:tc>
              </w:sdtContent>
            </w:sdt>
            <w:sdt>
              <w:sdtPr>
                <w:rPr>
                  <w:rFonts w:asciiTheme="minorEastAsia" w:eastAsiaTheme="minorEastAsia" w:hAnsiTheme="minorEastAsia"/>
                  <w:szCs w:val="21"/>
                </w:rPr>
                <w:alias w:val="以港币核算的货币资金折算率"/>
                <w:tag w:val="_GBC_dcf3df04f5a24bedad5dcfac9debd38c"/>
                <w:id w:val="24726145"/>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0.78861</w:t>
                    </w:r>
                  </w:p>
                </w:tc>
              </w:sdtContent>
            </w:sdt>
            <w:sdt>
              <w:sdtPr>
                <w:rPr>
                  <w:rFonts w:asciiTheme="minorEastAsia" w:eastAsiaTheme="minorEastAsia" w:hAnsiTheme="minorEastAsia"/>
                  <w:szCs w:val="21"/>
                </w:rPr>
                <w:alias w:val="以港币核算的货币资金折算成人民币"/>
                <w:tag w:val="_GBC_c713e9e81bd04547856d405cf4425c6c"/>
                <w:id w:val="24726146"/>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5,477,096,343.14</w:t>
                    </w:r>
                  </w:p>
                </w:tc>
              </w:sdtContent>
            </w:sdt>
          </w:tr>
          <w:sdt>
            <w:sdtPr>
              <w:rPr>
                <w:rFonts w:asciiTheme="minorEastAsia" w:eastAsiaTheme="minorEastAsia" w:hAnsiTheme="minorEastAsia"/>
                <w:szCs w:val="21"/>
              </w:rPr>
              <w:alias w:val="以外币核算的货币资金明细"/>
              <w:tag w:val="_GBC_3ad40d767ac343a89a10b2d364262e51"/>
              <w:id w:val="24726151"/>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货币资金明细-币种"/>
                    <w:tag w:val="_GBC_2b5a3172ce8940569e61aef5d3a82583"/>
                    <w:id w:val="247261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人民币</w:t>
                        </w:r>
                      </w:p>
                    </w:tc>
                  </w:sdtContent>
                </w:sdt>
                <w:sdt>
                  <w:sdtPr>
                    <w:rPr>
                      <w:rFonts w:asciiTheme="minorEastAsia" w:eastAsiaTheme="minorEastAsia" w:hAnsiTheme="minorEastAsia"/>
                      <w:szCs w:val="21"/>
                    </w:rPr>
                    <w:alias w:val="以外币核算的货币资金明细-外币余额"/>
                    <w:tag w:val="_GBC_eed9058997334a5dbb463a5a0dfda1d7"/>
                    <w:id w:val="24726148"/>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cs="Arial"/>
                            <w:color w:val="000000"/>
                            <w:szCs w:val="21"/>
                          </w:rPr>
                          <w:t>122,098,463,670.09</w:t>
                        </w:r>
                      </w:p>
                    </w:tc>
                  </w:sdtContent>
                </w:sdt>
                <w:sdt>
                  <w:sdtPr>
                    <w:rPr>
                      <w:rFonts w:asciiTheme="minorEastAsia" w:eastAsiaTheme="minorEastAsia" w:hAnsiTheme="minorEastAsia"/>
                      <w:szCs w:val="21"/>
                    </w:rPr>
                    <w:alias w:val="以外币核算的货币资金明细-折算汇率"/>
                    <w:tag w:val="_GBC_4cb121e675a74b60bfcfc48e63d99c7b"/>
                    <w:id w:val="24726149"/>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szCs w:val="21"/>
                          </w:rPr>
                          <w:t>1</w:t>
                        </w:r>
                      </w:p>
                    </w:tc>
                  </w:sdtContent>
                </w:sdt>
                <w:sdt>
                  <w:sdtPr>
                    <w:rPr>
                      <w:rFonts w:asciiTheme="minorEastAsia" w:eastAsiaTheme="minorEastAsia" w:hAnsiTheme="minorEastAsia"/>
                      <w:szCs w:val="21"/>
                    </w:rPr>
                    <w:alias w:val="以外币核算的货币资金明细-人民币余额"/>
                    <w:tag w:val="_GBC_98cee848191f4f9798c59d0435e73f4c"/>
                    <w:id w:val="24726150"/>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cs="Arial"/>
                            <w:color w:val="000000"/>
                            <w:szCs w:val="21"/>
                          </w:rPr>
                          <w:t>122,098,463,670.09</w:t>
                        </w:r>
                      </w:p>
                    </w:tc>
                  </w:sdtContent>
                </w:sdt>
              </w:tr>
            </w:sdtContent>
          </w:sdt>
          <w:sdt>
            <w:sdtPr>
              <w:rPr>
                <w:rFonts w:asciiTheme="minorEastAsia" w:eastAsiaTheme="minorEastAsia" w:hAnsiTheme="minorEastAsia"/>
                <w:szCs w:val="21"/>
              </w:rPr>
              <w:alias w:val="以外币核算的货币资金明细"/>
              <w:tag w:val="_GBC_3ad40d767ac343a89a10b2d364262e51"/>
              <w:id w:val="24726156"/>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货币资金明细-币种"/>
                    <w:tag w:val="_GBC_2b5a3172ce8940569e61aef5d3a82583"/>
                    <w:id w:val="247261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英镑</w:t>
                        </w:r>
                      </w:p>
                    </w:tc>
                  </w:sdtContent>
                </w:sdt>
                <w:sdt>
                  <w:sdtPr>
                    <w:rPr>
                      <w:rFonts w:asciiTheme="minorEastAsia" w:eastAsiaTheme="minorEastAsia" w:hAnsiTheme="minorEastAsia"/>
                      <w:szCs w:val="21"/>
                    </w:rPr>
                    <w:alias w:val="以外币核算的货币资金明细-外币余额"/>
                    <w:tag w:val="_GBC_eed9058997334a5dbb463a5a0dfda1d7"/>
                    <w:id w:val="2472615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366,996.71</w:t>
                        </w:r>
                      </w:p>
                    </w:tc>
                  </w:sdtContent>
                </w:sdt>
                <w:sdt>
                  <w:sdtPr>
                    <w:rPr>
                      <w:rFonts w:asciiTheme="minorEastAsia" w:eastAsiaTheme="minorEastAsia" w:hAnsiTheme="minorEastAsia"/>
                      <w:szCs w:val="21"/>
                    </w:rPr>
                    <w:alias w:val="以外币核算的货币资金明细-折算汇率"/>
                    <w:tag w:val="_GBC_4cb121e675a74b60bfcfc48e63d99c7b"/>
                    <w:id w:val="24726154"/>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9.6422</w:t>
                        </w:r>
                      </w:p>
                    </w:tc>
                  </w:sdtContent>
                </w:sdt>
                <w:sdt>
                  <w:sdtPr>
                    <w:rPr>
                      <w:rFonts w:asciiTheme="minorEastAsia" w:eastAsiaTheme="minorEastAsia" w:hAnsiTheme="minorEastAsia"/>
                      <w:szCs w:val="21"/>
                    </w:rPr>
                    <w:alias w:val="以外币核算的货币资金明细-人民币余额"/>
                    <w:tag w:val="_GBC_98cee848191f4f9798c59d0435e73f4c"/>
                    <w:id w:val="24726155"/>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3,538,655.68</w:t>
                        </w:r>
                      </w:p>
                    </w:tc>
                  </w:sdtContent>
                </w:sdt>
              </w:tr>
            </w:sdtContent>
          </w:sdt>
          <w:sdt>
            <w:sdtPr>
              <w:rPr>
                <w:rFonts w:asciiTheme="minorEastAsia" w:eastAsiaTheme="minorEastAsia" w:hAnsiTheme="minorEastAsia"/>
                <w:szCs w:val="21"/>
              </w:rPr>
              <w:alias w:val="以外币核算的货币资金明细"/>
              <w:tag w:val="_GBC_3ad40d767ac343a89a10b2d364262e51"/>
              <w:id w:val="24726161"/>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货币资金明细-币种"/>
                    <w:tag w:val="_GBC_2b5a3172ce8940569e61aef5d3a82583"/>
                    <w:id w:val="247261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澳元</w:t>
                        </w:r>
                      </w:p>
                    </w:tc>
                  </w:sdtContent>
                </w:sdt>
                <w:sdt>
                  <w:sdtPr>
                    <w:rPr>
                      <w:rFonts w:asciiTheme="minorEastAsia" w:eastAsiaTheme="minorEastAsia" w:hAnsiTheme="minorEastAsia"/>
                      <w:szCs w:val="21"/>
                    </w:rPr>
                    <w:alias w:val="以外币核算的货币资金明细-外币余额"/>
                    <w:tag w:val="_GBC_eed9058997334a5dbb463a5a0dfda1d7"/>
                    <w:id w:val="24726158"/>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29,461.39</w:t>
                        </w:r>
                      </w:p>
                    </w:tc>
                  </w:sdtContent>
                </w:sdt>
                <w:sdt>
                  <w:sdtPr>
                    <w:rPr>
                      <w:rFonts w:asciiTheme="minorEastAsia" w:eastAsiaTheme="minorEastAsia" w:hAnsiTheme="minorEastAsia"/>
                      <w:szCs w:val="21"/>
                    </w:rPr>
                    <w:alias w:val="以外币核算的货币资金明细-折算汇率"/>
                    <w:tag w:val="_GBC_4cb121e675a74b60bfcfc48e63d99c7b"/>
                    <w:id w:val="24726159"/>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4.6993</w:t>
                        </w:r>
                      </w:p>
                    </w:tc>
                  </w:sdtContent>
                </w:sdt>
                <w:sdt>
                  <w:sdtPr>
                    <w:rPr>
                      <w:rFonts w:asciiTheme="minorEastAsia" w:eastAsiaTheme="minorEastAsia" w:hAnsiTheme="minorEastAsia"/>
                      <w:szCs w:val="21"/>
                    </w:rPr>
                    <w:alias w:val="以外币核算的货币资金明细-人民币余额"/>
                    <w:tag w:val="_GBC_98cee848191f4f9798c59d0435e73f4c"/>
                    <w:id w:val="24726160"/>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138,447.91</w:t>
                        </w:r>
                      </w:p>
                    </w:tc>
                  </w:sdtContent>
                </w:sdt>
              </w:tr>
            </w:sdtContent>
          </w:sdt>
          <w:sdt>
            <w:sdtPr>
              <w:rPr>
                <w:rFonts w:asciiTheme="minorEastAsia" w:eastAsiaTheme="minorEastAsia" w:hAnsiTheme="minorEastAsia"/>
                <w:szCs w:val="21"/>
              </w:rPr>
              <w:alias w:val="以外币核算的货币资金明细"/>
              <w:tag w:val="_GBC_3ad40d767ac343a89a10b2d364262e51"/>
              <w:id w:val="24726166"/>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货币资金明细-币种"/>
                    <w:tag w:val="_GBC_2b5a3172ce8940569e61aef5d3a82583"/>
                    <w:id w:val="247261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加元</w:t>
                        </w:r>
                      </w:p>
                    </w:tc>
                  </w:sdtContent>
                </w:sdt>
                <w:sdt>
                  <w:sdtPr>
                    <w:rPr>
                      <w:rFonts w:asciiTheme="minorEastAsia" w:eastAsiaTheme="minorEastAsia" w:hAnsiTheme="minorEastAsia"/>
                      <w:szCs w:val="21"/>
                    </w:rPr>
                    <w:alias w:val="以外币核算的货币资金明细-外币余额"/>
                    <w:tag w:val="_GBC_eed9058997334a5dbb463a5a0dfda1d7"/>
                    <w:id w:val="2472616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8,587.34</w:t>
                        </w:r>
                      </w:p>
                    </w:tc>
                  </w:sdtContent>
                </w:sdt>
                <w:sdt>
                  <w:sdtPr>
                    <w:rPr>
                      <w:rFonts w:asciiTheme="minorEastAsia" w:eastAsiaTheme="minorEastAsia" w:hAnsiTheme="minorEastAsia"/>
                      <w:szCs w:val="21"/>
                    </w:rPr>
                    <w:alias w:val="以外币核算的货币资金明细-折算汇率"/>
                    <w:tag w:val="_GBC_4cb121e675a74b60bfcfc48e63d99c7b"/>
                    <w:id w:val="24726164"/>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4.9232</w:t>
                        </w:r>
                      </w:p>
                    </w:tc>
                  </w:sdtContent>
                </w:sdt>
                <w:sdt>
                  <w:sdtPr>
                    <w:rPr>
                      <w:rFonts w:asciiTheme="minorEastAsia" w:eastAsiaTheme="minorEastAsia" w:hAnsiTheme="minorEastAsia"/>
                      <w:szCs w:val="21"/>
                    </w:rPr>
                    <w:alias w:val="以外币核算的货币资金明细-人民币余额"/>
                    <w:tag w:val="_GBC_98cee848191f4f9798c59d0435e73f4c"/>
                    <w:id w:val="24726165"/>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42,277.19</w:t>
                        </w:r>
                      </w:p>
                    </w:tc>
                  </w:sdtContent>
                </w:sdt>
              </w:tr>
            </w:sdtContent>
          </w:sdt>
          <w:sdt>
            <w:sdtPr>
              <w:rPr>
                <w:rFonts w:asciiTheme="minorEastAsia" w:eastAsiaTheme="minorEastAsia" w:hAnsiTheme="minorEastAsia"/>
                <w:szCs w:val="21"/>
              </w:rPr>
              <w:alias w:val="以外币核算的货币资金明细"/>
              <w:tag w:val="_GBC_3ad40d767ac343a89a10b2d364262e51"/>
              <w:id w:val="24726171"/>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货币资金明细-币种"/>
                    <w:tag w:val="_GBC_2b5a3172ce8940569e61aef5d3a82583"/>
                    <w:id w:val="247261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新加坡元</w:t>
                        </w:r>
                      </w:p>
                    </w:tc>
                  </w:sdtContent>
                </w:sdt>
                <w:sdt>
                  <w:sdtPr>
                    <w:rPr>
                      <w:rFonts w:asciiTheme="minorEastAsia" w:eastAsiaTheme="minorEastAsia" w:hAnsiTheme="minorEastAsia"/>
                      <w:szCs w:val="21"/>
                    </w:rPr>
                    <w:alias w:val="以外币核算的货币资金明细-外币余额"/>
                    <w:tag w:val="_GBC_eed9058997334a5dbb463a5a0dfda1d7"/>
                    <w:id w:val="24726168"/>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418.18</w:t>
                        </w:r>
                      </w:p>
                    </w:tc>
                  </w:sdtContent>
                </w:sdt>
                <w:sdt>
                  <w:sdtPr>
                    <w:rPr>
                      <w:rFonts w:asciiTheme="minorEastAsia" w:eastAsiaTheme="minorEastAsia" w:hAnsiTheme="minorEastAsia"/>
                      <w:szCs w:val="21"/>
                    </w:rPr>
                    <w:alias w:val="以外币核算的货币资金明细-折算汇率"/>
                    <w:tag w:val="_GBC_4cb121e675a74b60bfcfc48e63d99c7b"/>
                    <w:id w:val="24726169"/>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4.558</w:t>
                        </w:r>
                      </w:p>
                    </w:tc>
                  </w:sdtContent>
                </w:sdt>
                <w:sdt>
                  <w:sdtPr>
                    <w:rPr>
                      <w:rFonts w:asciiTheme="minorEastAsia" w:eastAsiaTheme="minorEastAsia" w:hAnsiTheme="minorEastAsia"/>
                      <w:szCs w:val="21"/>
                    </w:rPr>
                    <w:alias w:val="以外币核算的货币资金明细-人民币余额"/>
                    <w:tag w:val="_GBC_98cee848191f4f9798c59d0435e73f4c"/>
                    <w:id w:val="24726170"/>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1,906.06</w:t>
                        </w:r>
                      </w:p>
                    </w:tc>
                  </w:sdtContent>
                </w:sdt>
              </w:tr>
            </w:sdtContent>
          </w:sdt>
          <w:sdt>
            <w:sdtPr>
              <w:rPr>
                <w:rFonts w:asciiTheme="minorEastAsia" w:eastAsiaTheme="minorEastAsia" w:hAnsiTheme="minorEastAsia"/>
                <w:szCs w:val="21"/>
              </w:rPr>
              <w:alias w:val="以外币核算的货币资金明细"/>
              <w:tag w:val="_GBC_3ad40d767ac343a89a10b2d364262e51"/>
              <w:id w:val="24726176"/>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货币资金明细-币种"/>
                    <w:tag w:val="_GBC_2b5a3172ce8940569e61aef5d3a82583"/>
                    <w:id w:val="2472617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新西兰元</w:t>
                        </w:r>
                      </w:p>
                    </w:tc>
                  </w:sdtContent>
                </w:sdt>
                <w:sdt>
                  <w:sdtPr>
                    <w:rPr>
                      <w:rFonts w:asciiTheme="minorEastAsia" w:eastAsiaTheme="minorEastAsia" w:hAnsiTheme="minorEastAsia"/>
                      <w:szCs w:val="21"/>
                    </w:rPr>
                    <w:alias w:val="以外币核算的货币资金明细-外币余额"/>
                    <w:tag w:val="_GBC_eed9058997334a5dbb463a5a0dfda1d7"/>
                    <w:id w:val="2472617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2.76</w:t>
                        </w:r>
                      </w:p>
                    </w:tc>
                  </w:sdtContent>
                </w:sdt>
                <w:sdt>
                  <w:sdtPr>
                    <w:rPr>
                      <w:rFonts w:asciiTheme="minorEastAsia" w:eastAsiaTheme="minorEastAsia" w:hAnsiTheme="minorEastAsia"/>
                      <w:szCs w:val="21"/>
                    </w:rPr>
                    <w:alias w:val="以外币核算的货币资金明细-折算汇率"/>
                    <w:tag w:val="_GBC_4cb121e675a74b60bfcfc48e63d99c7b"/>
                    <w:id w:val="24726174"/>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4.1912</w:t>
                        </w:r>
                      </w:p>
                    </w:tc>
                  </w:sdtContent>
                </w:sdt>
                <w:sdt>
                  <w:sdtPr>
                    <w:rPr>
                      <w:rFonts w:asciiTheme="minorEastAsia" w:eastAsiaTheme="minorEastAsia" w:hAnsiTheme="minorEastAsia"/>
                      <w:szCs w:val="21"/>
                    </w:rPr>
                    <w:alias w:val="以外币核算的货币资金明细-人民币余额"/>
                    <w:tag w:val="_GBC_98cee848191f4f9798c59d0435e73f4c"/>
                    <w:id w:val="24726175"/>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11.57</w:t>
                        </w:r>
                      </w:p>
                    </w:tc>
                  </w:sdtContent>
                </w:sdt>
              </w:tr>
            </w:sdtContent>
          </w:sdt>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应收账款</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DE031E" w:rsidP="00DE031E">
                <w:pPr>
                  <w:jc w:val="right"/>
                  <w:rPr>
                    <w:rFonts w:asciiTheme="minorEastAsia" w:eastAsiaTheme="minorEastAsia" w:hAnsiTheme="minorEastAsia"/>
                    <w:szCs w:val="21"/>
                  </w:rPr>
                </w:pPr>
              </w:p>
            </w:tc>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DE031E" w:rsidP="00DE031E">
                <w:pPr>
                  <w:jc w:val="right"/>
                  <w:rPr>
                    <w:rFonts w:asciiTheme="minorEastAsia" w:eastAsiaTheme="minorEastAsia" w:hAnsiTheme="minorEastAsia"/>
                    <w:szCs w:val="21"/>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703EC8">
                  <w:rPr>
                    <w:rFonts w:asciiTheme="minorEastAsia" w:eastAsiaTheme="minorEastAsia" w:hAnsiTheme="minorEastAsia"/>
                    <w:szCs w:val="21"/>
                  </w:rPr>
                  <w:t>3,810,445,922.17</w:t>
                </w:r>
              </w:p>
            </w:tc>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其中：美元</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422DCA" w:rsidP="00DE031E">
                <w:pPr>
                  <w:jc w:val="right"/>
                  <w:rPr>
                    <w:rFonts w:asciiTheme="minorEastAsia" w:eastAsiaTheme="minorEastAsia" w:hAnsiTheme="minorEastAsia"/>
                    <w:szCs w:val="21"/>
                  </w:rPr>
                </w:pPr>
                <w:sdt>
                  <w:sdtPr>
                    <w:rPr>
                      <w:rFonts w:asciiTheme="minorEastAsia" w:eastAsiaTheme="minorEastAsia" w:hAnsiTheme="minorEastAsia"/>
                      <w:szCs w:val="21"/>
                    </w:rPr>
                    <w:alias w:val="以美元核算的应收账款"/>
                    <w:tag w:val="_GBC_932002bc66774a889f84e718cb965fa3"/>
                    <w:id w:val="24726177"/>
                    <w:lock w:val="sdtLocked"/>
                  </w:sdtPr>
                  <w:sdtContent>
                    <w:r w:rsidR="001C1A59" w:rsidRPr="00B9343B">
                      <w:rPr>
                        <w:rFonts w:asciiTheme="minorEastAsia" w:eastAsiaTheme="minorEastAsia" w:hAnsiTheme="minorEastAsia"/>
                        <w:szCs w:val="21"/>
                      </w:rPr>
                      <w:t>175,971,220.16</w:t>
                    </w:r>
                  </w:sdtContent>
                </w:sdt>
              </w:p>
            </w:tc>
            <w:sdt>
              <w:sdtPr>
                <w:rPr>
                  <w:rFonts w:asciiTheme="minorEastAsia" w:eastAsiaTheme="minorEastAsia" w:hAnsiTheme="minorEastAsia"/>
                  <w:szCs w:val="21"/>
                </w:rPr>
                <w:alias w:val="以美元核算的应收账款折算率"/>
                <w:tag w:val="_GBC_bc1936f9f38142819c01610ec5eac949"/>
                <w:id w:val="24726178"/>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6.1136</w:t>
                    </w:r>
                  </w:p>
                </w:tc>
              </w:sdtContent>
            </w:sdt>
            <w:sdt>
              <w:sdtPr>
                <w:rPr>
                  <w:rFonts w:asciiTheme="minorEastAsia" w:eastAsiaTheme="minorEastAsia" w:hAnsiTheme="minorEastAsia"/>
                  <w:szCs w:val="21"/>
                </w:rPr>
                <w:alias w:val="以美元核算的应收账款折算成人民币"/>
                <w:tag w:val="_GBC_c224b4259b4e44678a1f6673c7f8288e"/>
                <w:id w:val="24726179"/>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Pr>
                        <w:rFonts w:asciiTheme="minorEastAsia" w:eastAsiaTheme="minorEastAsia" w:hAnsiTheme="minorEastAsia"/>
                        <w:szCs w:val="21"/>
                      </w:rPr>
                      <w:t>1,075,817,651.57</w:t>
                    </w:r>
                  </w:p>
                </w:tc>
              </w:sdtContent>
            </w:sdt>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欧元</w:t>
                </w:r>
              </w:p>
            </w:tc>
            <w:sdt>
              <w:sdtPr>
                <w:rPr>
                  <w:rFonts w:asciiTheme="minorEastAsia" w:eastAsiaTheme="minorEastAsia" w:hAnsiTheme="minorEastAsia"/>
                  <w:szCs w:val="21"/>
                </w:rPr>
                <w:alias w:val="以欧元核算的应收账款"/>
                <w:tag w:val="_GBC_7e3336f7fb854870923c35916c181359"/>
                <w:id w:val="24726180"/>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1,057,511.01</w:t>
                    </w:r>
                  </w:p>
                </w:tc>
              </w:sdtContent>
            </w:sdt>
            <w:sdt>
              <w:sdtPr>
                <w:rPr>
                  <w:rFonts w:asciiTheme="minorEastAsia" w:eastAsiaTheme="minorEastAsia" w:hAnsiTheme="minorEastAsia"/>
                  <w:szCs w:val="21"/>
                </w:rPr>
                <w:alias w:val="以欧元核算的应收账款折算率"/>
                <w:tag w:val="_GBC_731f280cd64f408d8fcb797d26b5dcf2"/>
                <w:id w:val="24726181"/>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Pr>
                        <w:rFonts w:asciiTheme="minorEastAsia" w:eastAsiaTheme="minorEastAsia" w:hAnsiTheme="minorEastAsia" w:hint="eastAsia"/>
                        <w:szCs w:val="21"/>
                      </w:rPr>
                      <w:t>6.8699</w:t>
                    </w:r>
                  </w:p>
                </w:tc>
              </w:sdtContent>
            </w:sdt>
            <w:sdt>
              <w:sdtPr>
                <w:rPr>
                  <w:rFonts w:asciiTheme="minorEastAsia" w:eastAsiaTheme="minorEastAsia" w:hAnsiTheme="minorEastAsia"/>
                  <w:szCs w:val="21"/>
                </w:rPr>
                <w:alias w:val="以欧元核算的应收账款折算成人民币"/>
                <w:tag w:val="_GBC_039fdaa2f3e54f6d9027d085e7f2c2a2"/>
                <w:id w:val="24726182"/>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Pr>
                        <w:rFonts w:asciiTheme="minorEastAsia" w:eastAsiaTheme="minorEastAsia" w:hAnsiTheme="minorEastAsia"/>
                        <w:szCs w:val="21"/>
                      </w:rPr>
                      <w:t>7,264,994.89</w:t>
                    </w:r>
                  </w:p>
                </w:tc>
              </w:sdtContent>
            </w:sdt>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港币</w:t>
                </w:r>
              </w:p>
            </w:tc>
            <w:sdt>
              <w:sdtPr>
                <w:rPr>
                  <w:rFonts w:asciiTheme="minorEastAsia" w:eastAsiaTheme="minorEastAsia" w:hAnsiTheme="minorEastAsia"/>
                  <w:szCs w:val="21"/>
                </w:rPr>
                <w:alias w:val="以港币核算的应收账款"/>
                <w:tag w:val="_GBC_4f3d5e4dab6e4b9c8cfd19d0767026a7"/>
                <w:id w:val="2472618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Pr>
                        <w:rFonts w:asciiTheme="minorEastAsia" w:eastAsiaTheme="minorEastAsia" w:hAnsiTheme="minorEastAsia"/>
                        <w:szCs w:val="21"/>
                      </w:rPr>
                      <w:t>2,401,627,646.91</w:t>
                    </w:r>
                  </w:p>
                </w:tc>
              </w:sdtContent>
            </w:sdt>
            <w:sdt>
              <w:sdtPr>
                <w:rPr>
                  <w:rFonts w:asciiTheme="minorEastAsia" w:eastAsiaTheme="minorEastAsia" w:hAnsiTheme="minorEastAsia"/>
                  <w:szCs w:val="21"/>
                </w:rPr>
                <w:alias w:val="以港币核算的应收账款折算率"/>
                <w:tag w:val="_GBC_3864410df39f46fb9f50196acd023b6a"/>
                <w:id w:val="24726184"/>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0.78861</w:t>
                    </w:r>
                  </w:p>
                </w:tc>
              </w:sdtContent>
            </w:sdt>
            <w:sdt>
              <w:sdtPr>
                <w:rPr>
                  <w:rFonts w:asciiTheme="minorEastAsia" w:eastAsiaTheme="minorEastAsia" w:hAnsiTheme="minorEastAsia"/>
                  <w:szCs w:val="21"/>
                </w:rPr>
                <w:alias w:val="以港币核算的应收账款折算成人民币"/>
                <w:tag w:val="_GBC_4919b7441a1540d2876d360412369966"/>
                <w:id w:val="24726185"/>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Pr>
                        <w:rFonts w:asciiTheme="minorEastAsia" w:eastAsiaTheme="minorEastAsia" w:hAnsiTheme="minorEastAsia"/>
                        <w:szCs w:val="21"/>
                      </w:rPr>
                      <w:t>1,893,947,578.63</w:t>
                    </w:r>
                  </w:p>
                </w:tc>
              </w:sdtContent>
            </w:sdt>
          </w:tr>
          <w:sdt>
            <w:sdtPr>
              <w:rPr>
                <w:rFonts w:asciiTheme="minorEastAsia" w:eastAsiaTheme="minorEastAsia" w:hAnsiTheme="minorEastAsia"/>
                <w:szCs w:val="21"/>
              </w:rPr>
              <w:alias w:val="以外币核算的应收账款明细"/>
              <w:tag w:val="_GBC_794f4e5fa10748d4ad9f9d4eedd0905f"/>
              <w:id w:val="24726190"/>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1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人民币</w:t>
                        </w:r>
                      </w:p>
                    </w:tc>
                  </w:sdtContent>
                </w:sdt>
                <w:sdt>
                  <w:sdtPr>
                    <w:rPr>
                      <w:rFonts w:asciiTheme="minorEastAsia" w:eastAsiaTheme="minorEastAsia" w:hAnsiTheme="minorEastAsia"/>
                      <w:szCs w:val="21"/>
                    </w:rPr>
                    <w:alias w:val="以外币核算的应收账款明细-外币余额"/>
                    <w:tag w:val="_GBC_8e82a93dbb6a4e80a30fc50e40e85617"/>
                    <w:id w:val="24726187"/>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818,525,259.13</w:t>
                        </w:r>
                      </w:p>
                    </w:tc>
                  </w:sdtContent>
                </w:sdt>
                <w:sdt>
                  <w:sdtPr>
                    <w:rPr>
                      <w:rFonts w:asciiTheme="minorEastAsia" w:eastAsiaTheme="minorEastAsia" w:hAnsiTheme="minorEastAsia"/>
                      <w:szCs w:val="21"/>
                    </w:rPr>
                    <w:alias w:val="以外币核算的应收账款明细-折算汇率"/>
                    <w:tag w:val="_GBC_12ff48382ff3470ea7b639b60a5ee3a1"/>
                    <w:id w:val="24726188"/>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w:t>
                        </w:r>
                      </w:p>
                    </w:tc>
                  </w:sdtContent>
                </w:sdt>
                <w:sdt>
                  <w:sdtPr>
                    <w:rPr>
                      <w:rFonts w:asciiTheme="minorEastAsia" w:eastAsiaTheme="minorEastAsia" w:hAnsiTheme="minorEastAsia"/>
                      <w:szCs w:val="21"/>
                    </w:rPr>
                    <w:alias w:val="以外币核算的应收账款明细-人民币余额"/>
                    <w:tag w:val="_GBC_697d214426004b9ea091dacfcee28e21"/>
                    <w:id w:val="24726189"/>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818,525,259.13</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195"/>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1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英镑</w:t>
                        </w:r>
                      </w:p>
                    </w:tc>
                  </w:sdtContent>
                </w:sdt>
                <w:sdt>
                  <w:sdtPr>
                    <w:rPr>
                      <w:rFonts w:asciiTheme="minorEastAsia" w:eastAsiaTheme="minorEastAsia" w:hAnsiTheme="minorEastAsia"/>
                      <w:szCs w:val="21"/>
                    </w:rPr>
                    <w:alias w:val="以外币核算的应收账款明细-外币余额"/>
                    <w:tag w:val="_GBC_8e82a93dbb6a4e80a30fc50e40e85617"/>
                    <w:id w:val="24726192"/>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99,432.10</w:t>
                        </w:r>
                      </w:p>
                    </w:tc>
                  </w:sdtContent>
                </w:sdt>
                <w:sdt>
                  <w:sdtPr>
                    <w:rPr>
                      <w:rFonts w:asciiTheme="minorEastAsia" w:eastAsiaTheme="minorEastAsia" w:hAnsiTheme="minorEastAsia"/>
                      <w:szCs w:val="21"/>
                    </w:rPr>
                    <w:alias w:val="以外币核算的应收账款明细-折算汇率"/>
                    <w:tag w:val="_GBC_12ff48382ff3470ea7b639b60a5ee3a1"/>
                    <w:id w:val="24726193"/>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9.6422</w:t>
                        </w:r>
                      </w:p>
                    </w:tc>
                  </w:sdtContent>
                </w:sdt>
                <w:sdt>
                  <w:sdtPr>
                    <w:rPr>
                      <w:rFonts w:asciiTheme="minorEastAsia" w:eastAsiaTheme="minorEastAsia" w:hAnsiTheme="minorEastAsia"/>
                      <w:szCs w:val="21"/>
                    </w:rPr>
                    <w:alias w:val="以外币核算的应收账款明细-人民币余额"/>
                    <w:tag w:val="_GBC_697d214426004b9ea091dacfcee28e21"/>
                    <w:id w:val="24726194"/>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958,744.19</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200"/>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1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澳元</w:t>
                        </w:r>
                      </w:p>
                    </w:tc>
                  </w:sdtContent>
                </w:sdt>
                <w:sdt>
                  <w:sdtPr>
                    <w:rPr>
                      <w:rFonts w:asciiTheme="minorEastAsia" w:eastAsiaTheme="minorEastAsia" w:hAnsiTheme="minorEastAsia"/>
                      <w:szCs w:val="21"/>
                    </w:rPr>
                    <w:alias w:val="以外币核算的应收账款明细-外币余额"/>
                    <w:tag w:val="_GBC_8e82a93dbb6a4e80a30fc50e40e85617"/>
                    <w:id w:val="24726197"/>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586,332.08</w:t>
                        </w:r>
                      </w:p>
                    </w:tc>
                  </w:sdtContent>
                </w:sdt>
                <w:sdt>
                  <w:sdtPr>
                    <w:rPr>
                      <w:rFonts w:asciiTheme="minorEastAsia" w:eastAsiaTheme="minorEastAsia" w:hAnsiTheme="minorEastAsia"/>
                      <w:szCs w:val="21"/>
                    </w:rPr>
                    <w:alias w:val="以外币核算的应收账款明细-折算汇率"/>
                    <w:tag w:val="_GBC_12ff48382ff3470ea7b639b60a5ee3a1"/>
                    <w:id w:val="24726198"/>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4.6993</w:t>
                        </w:r>
                      </w:p>
                    </w:tc>
                  </w:sdtContent>
                </w:sdt>
                <w:sdt>
                  <w:sdtPr>
                    <w:rPr>
                      <w:rFonts w:asciiTheme="minorEastAsia" w:eastAsiaTheme="minorEastAsia" w:hAnsiTheme="minorEastAsia"/>
                      <w:szCs w:val="21"/>
                    </w:rPr>
                    <w:alias w:val="以外币核算的应收账款明细-人民币余额"/>
                    <w:tag w:val="_GBC_697d214426004b9ea091dacfcee28e21"/>
                    <w:id w:val="24726199"/>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2,755,350.34</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205"/>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2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szCs w:val="21"/>
                          </w:rPr>
                          <w:t>新加坡元</w:t>
                        </w:r>
                      </w:p>
                    </w:tc>
                  </w:sdtContent>
                </w:sdt>
                <w:sdt>
                  <w:sdtPr>
                    <w:rPr>
                      <w:rFonts w:asciiTheme="minorEastAsia" w:eastAsiaTheme="minorEastAsia" w:hAnsiTheme="minorEastAsia"/>
                      <w:szCs w:val="21"/>
                    </w:rPr>
                    <w:alias w:val="以外币核算的应收账款明细-外币余额"/>
                    <w:tag w:val="_GBC_8e82a93dbb6a4e80a30fc50e40e85617"/>
                    <w:id w:val="24726202"/>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201,599.63</w:t>
                        </w:r>
                      </w:p>
                    </w:tc>
                  </w:sdtContent>
                </w:sdt>
                <w:sdt>
                  <w:sdtPr>
                    <w:rPr>
                      <w:rFonts w:asciiTheme="minorEastAsia" w:eastAsiaTheme="minorEastAsia" w:hAnsiTheme="minorEastAsia"/>
                      <w:szCs w:val="21"/>
                    </w:rPr>
                    <w:alias w:val="以外币核算的应收账款明细-折算汇率"/>
                    <w:tag w:val="_GBC_12ff48382ff3470ea7b639b60a5ee3a1"/>
                    <w:id w:val="24726203"/>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4.558</w:t>
                        </w:r>
                      </w:p>
                    </w:tc>
                  </w:sdtContent>
                </w:sdt>
                <w:sdt>
                  <w:sdtPr>
                    <w:rPr>
                      <w:rFonts w:asciiTheme="minorEastAsia" w:eastAsiaTheme="minorEastAsia" w:hAnsiTheme="minorEastAsia"/>
                      <w:szCs w:val="21"/>
                    </w:rPr>
                    <w:alias w:val="以外币核算的应收账款明细-人民币余额"/>
                    <w:tag w:val="_GBC_697d214426004b9ea091dacfcee28e21"/>
                    <w:id w:val="24726204"/>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918,891.11</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210"/>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2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szCs w:val="21"/>
                          </w:rPr>
                          <w:t>马来西亚元</w:t>
                        </w:r>
                      </w:p>
                    </w:tc>
                  </w:sdtContent>
                </w:sdt>
                <w:sdt>
                  <w:sdtPr>
                    <w:rPr>
                      <w:rFonts w:asciiTheme="minorEastAsia" w:eastAsiaTheme="minorEastAsia" w:hAnsiTheme="minorEastAsia"/>
                      <w:szCs w:val="21"/>
                    </w:rPr>
                    <w:alias w:val="以外币核算的应收账款明细-外币余额"/>
                    <w:tag w:val="_GBC_8e82a93dbb6a4e80a30fc50e40e85617"/>
                    <w:id w:val="24726207"/>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1,204,566.15</w:t>
                        </w:r>
                      </w:p>
                    </w:tc>
                  </w:sdtContent>
                </w:sdt>
                <w:sdt>
                  <w:sdtPr>
                    <w:rPr>
                      <w:rFonts w:asciiTheme="minorEastAsia" w:eastAsiaTheme="minorEastAsia" w:hAnsiTheme="minorEastAsia"/>
                      <w:szCs w:val="21"/>
                    </w:rPr>
                    <w:alias w:val="以外币核算的应收账款明细-折算汇率"/>
                    <w:tag w:val="_GBC_12ff48382ff3470ea7b639b60a5ee3a1"/>
                    <w:id w:val="24726208"/>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1.618</w:t>
                        </w:r>
                      </w:p>
                    </w:tc>
                  </w:sdtContent>
                </w:sdt>
                <w:sdt>
                  <w:sdtPr>
                    <w:rPr>
                      <w:rFonts w:asciiTheme="minorEastAsia" w:eastAsiaTheme="minorEastAsia" w:hAnsiTheme="minorEastAsia"/>
                      <w:szCs w:val="21"/>
                    </w:rPr>
                    <w:alias w:val="以外币核算的应收账款明细-人民币余额"/>
                    <w:tag w:val="_GBC_697d214426004b9ea091dacfcee28e21"/>
                    <w:id w:val="24726209"/>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1,948,988.03</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215"/>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szCs w:val="21"/>
                          </w:rPr>
                          <w:t>日元</w:t>
                        </w:r>
                      </w:p>
                    </w:tc>
                  </w:sdtContent>
                </w:sdt>
                <w:sdt>
                  <w:sdtPr>
                    <w:rPr>
                      <w:rFonts w:asciiTheme="minorEastAsia" w:eastAsiaTheme="minorEastAsia" w:hAnsiTheme="minorEastAsia"/>
                      <w:szCs w:val="21"/>
                    </w:rPr>
                    <w:alias w:val="以外币核算的应收账款明细-外币余额"/>
                    <w:tag w:val="_GBC_8e82a93dbb6a4e80a30fc50e40e85617"/>
                    <w:id w:val="24726212"/>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159,612,301.21</w:t>
                        </w:r>
                      </w:p>
                    </w:tc>
                  </w:sdtContent>
                </w:sdt>
                <w:sdt>
                  <w:sdtPr>
                    <w:rPr>
                      <w:rFonts w:asciiTheme="minorEastAsia" w:eastAsiaTheme="minorEastAsia" w:hAnsiTheme="minorEastAsia"/>
                      <w:szCs w:val="21"/>
                    </w:rPr>
                    <w:alias w:val="以外币核算的应收账款明细-折算汇率"/>
                    <w:tag w:val="_GBC_12ff48382ff3470ea7b639b60a5ee3a1"/>
                    <w:id w:val="24726213"/>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0.0499</w:t>
                        </w:r>
                      </w:p>
                    </w:tc>
                  </w:sdtContent>
                </w:sdt>
                <w:sdt>
                  <w:sdtPr>
                    <w:rPr>
                      <w:rFonts w:asciiTheme="minorEastAsia" w:eastAsiaTheme="minorEastAsia" w:hAnsiTheme="minorEastAsia"/>
                      <w:szCs w:val="21"/>
                    </w:rPr>
                    <w:alias w:val="以外币核算的应收账款明细-人民币余额"/>
                    <w:tag w:val="_GBC_697d214426004b9ea091dacfcee28e21"/>
                    <w:id w:val="24726214"/>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7,964,653.83</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220"/>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2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szCs w:val="21"/>
                          </w:rPr>
                          <w:t>台币</w:t>
                        </w:r>
                      </w:p>
                    </w:tc>
                  </w:sdtContent>
                </w:sdt>
                <w:sdt>
                  <w:sdtPr>
                    <w:rPr>
                      <w:rFonts w:asciiTheme="minorEastAsia" w:eastAsiaTheme="minorEastAsia" w:hAnsiTheme="minorEastAsia"/>
                      <w:szCs w:val="21"/>
                    </w:rPr>
                    <w:alias w:val="以外币核算的应收账款明细-外币余额"/>
                    <w:tag w:val="_GBC_8e82a93dbb6a4e80a30fc50e40e85617"/>
                    <w:id w:val="24726217"/>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166,850.00</w:t>
                        </w:r>
                      </w:p>
                    </w:tc>
                  </w:sdtContent>
                </w:sdt>
                <w:sdt>
                  <w:sdtPr>
                    <w:rPr>
                      <w:rFonts w:asciiTheme="minorEastAsia" w:eastAsiaTheme="minorEastAsia" w:hAnsiTheme="minorEastAsia"/>
                      <w:szCs w:val="21"/>
                    </w:rPr>
                    <w:alias w:val="以外币核算的应收账款明细-折算汇率"/>
                    <w:tag w:val="_GBC_12ff48382ff3470ea7b639b60a5ee3a1"/>
                    <w:id w:val="24726218"/>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0.1981</w:t>
                        </w:r>
                      </w:p>
                    </w:tc>
                  </w:sdtContent>
                </w:sdt>
                <w:sdt>
                  <w:sdtPr>
                    <w:rPr>
                      <w:rFonts w:asciiTheme="minorEastAsia" w:eastAsiaTheme="minorEastAsia" w:hAnsiTheme="minorEastAsia"/>
                      <w:szCs w:val="21"/>
                    </w:rPr>
                    <w:alias w:val="以外币核算的应收账款明细-人民币余额"/>
                    <w:tag w:val="_GBC_697d214426004b9ea091dacfcee28e21"/>
                    <w:id w:val="24726219"/>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33,052.99</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225"/>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22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szCs w:val="21"/>
                          </w:rPr>
                          <w:t>纽西兰元</w:t>
                        </w:r>
                      </w:p>
                    </w:tc>
                  </w:sdtContent>
                </w:sdt>
                <w:sdt>
                  <w:sdtPr>
                    <w:rPr>
                      <w:rFonts w:asciiTheme="minorEastAsia" w:eastAsiaTheme="minorEastAsia" w:hAnsiTheme="minorEastAsia"/>
                      <w:szCs w:val="21"/>
                    </w:rPr>
                    <w:alias w:val="以外币核算的应收账款明细-外币余额"/>
                    <w:tag w:val="_GBC_8e82a93dbb6a4e80a30fc50e40e85617"/>
                    <w:id w:val="24726222"/>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66,802.60</w:t>
                        </w:r>
                      </w:p>
                    </w:tc>
                  </w:sdtContent>
                </w:sdt>
                <w:sdt>
                  <w:sdtPr>
                    <w:rPr>
                      <w:rFonts w:asciiTheme="minorEastAsia" w:eastAsiaTheme="minorEastAsia" w:hAnsiTheme="minorEastAsia"/>
                      <w:szCs w:val="21"/>
                    </w:rPr>
                    <w:alias w:val="以外币核算的应收账款明细-折算汇率"/>
                    <w:tag w:val="_GBC_12ff48382ff3470ea7b639b60a5ee3a1"/>
                    <w:id w:val="24726223"/>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4.1912</w:t>
                        </w:r>
                      </w:p>
                    </w:tc>
                  </w:sdtContent>
                </w:sdt>
                <w:sdt>
                  <w:sdtPr>
                    <w:rPr>
                      <w:rFonts w:asciiTheme="minorEastAsia" w:eastAsiaTheme="minorEastAsia" w:hAnsiTheme="minorEastAsia"/>
                      <w:szCs w:val="21"/>
                    </w:rPr>
                    <w:alias w:val="以外币核算的应收账款明细-人民币余额"/>
                    <w:tag w:val="_GBC_697d214426004b9ea091dacfcee28e21"/>
                    <w:id w:val="24726224"/>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279,983.06</w:t>
                        </w:r>
                      </w:p>
                    </w:tc>
                  </w:sdtContent>
                </w:sdt>
              </w:tr>
            </w:sdtContent>
          </w:sdt>
          <w:sdt>
            <w:sdtPr>
              <w:rPr>
                <w:rFonts w:asciiTheme="minorEastAsia" w:eastAsiaTheme="minorEastAsia" w:hAnsiTheme="minorEastAsia"/>
                <w:szCs w:val="21"/>
              </w:rPr>
              <w:alias w:val="以外币核算的应收账款明细"/>
              <w:tag w:val="_GBC_794f4e5fa10748d4ad9f9d4eedd0905f"/>
              <w:id w:val="24726230"/>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应收账款明细-币种"/>
                    <w:tag w:val="_GBC_ceb4d1567ae443e8b76e6026fe28a2b5"/>
                    <w:id w:val="247262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szCs w:val="21"/>
                          </w:rPr>
                          <w:t>土耳其里拉</w:t>
                        </w:r>
                      </w:p>
                    </w:tc>
                  </w:sdtContent>
                </w:sdt>
                <w:sdt>
                  <w:sdtPr>
                    <w:rPr>
                      <w:rFonts w:asciiTheme="minorEastAsia" w:eastAsiaTheme="minorEastAsia" w:hAnsiTheme="minorEastAsia"/>
                      <w:szCs w:val="21"/>
                    </w:rPr>
                    <w:alias w:val="以外币核算的应收账款明细-外币余额"/>
                    <w:tag w:val="_GBC_8e82a93dbb6a4e80a30fc50e40e85617"/>
                    <w:id w:val="24726227"/>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11,487.70</w:t>
                        </w:r>
                      </w:p>
                    </w:tc>
                  </w:sdtContent>
                </w:sdt>
                <w:sdt>
                  <w:sdtPr>
                    <w:rPr>
                      <w:rFonts w:asciiTheme="minorEastAsia" w:eastAsiaTheme="minorEastAsia" w:hAnsiTheme="minorEastAsia"/>
                      <w:szCs w:val="21"/>
                    </w:rPr>
                    <w:alias w:val="以外币核算的应收账款明细-折算汇率"/>
                    <w:tag w:val="_GBC_12ff48382ff3470ea7b639b60a5ee3a1"/>
                    <w:id w:val="24726228"/>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2.6789</w:t>
                        </w:r>
                      </w:p>
                    </w:tc>
                  </w:sdtContent>
                </w:sdt>
                <w:sdt>
                  <w:sdtPr>
                    <w:rPr>
                      <w:rFonts w:asciiTheme="minorEastAsia" w:eastAsiaTheme="minorEastAsia" w:hAnsiTheme="minorEastAsia"/>
                      <w:szCs w:val="21"/>
                    </w:rPr>
                    <w:alias w:val="以外币核算的应收账款明细-人民币余额"/>
                    <w:tag w:val="_GBC_697d214426004b9ea091dacfcee28e21"/>
                    <w:id w:val="24726229"/>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30,774.40</w:t>
                        </w:r>
                      </w:p>
                    </w:tc>
                  </w:sdtContent>
                </w:sdt>
              </w:tr>
            </w:sdtContent>
          </w:sdt>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长期借款</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DE031E" w:rsidP="00DE031E">
                <w:pPr>
                  <w:jc w:val="right"/>
                  <w:rPr>
                    <w:rFonts w:asciiTheme="minorEastAsia" w:eastAsiaTheme="minorEastAsia" w:hAnsiTheme="minorEastAsia"/>
                    <w:szCs w:val="21"/>
                  </w:rPr>
                </w:pPr>
              </w:p>
            </w:tc>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DE031E" w:rsidP="00DE031E">
                <w:pPr>
                  <w:jc w:val="right"/>
                  <w:rPr>
                    <w:rFonts w:asciiTheme="minorEastAsia" w:eastAsiaTheme="minorEastAsia" w:hAnsiTheme="minorEastAsia"/>
                    <w:szCs w:val="21"/>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78,861,000.00</w:t>
                </w:r>
              </w:p>
            </w:tc>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其中：美元</w:t>
                </w:r>
              </w:p>
            </w:tc>
            <w:sdt>
              <w:sdtPr>
                <w:rPr>
                  <w:rFonts w:asciiTheme="minorEastAsia" w:eastAsiaTheme="minorEastAsia" w:hAnsiTheme="minorEastAsia"/>
                  <w:szCs w:val="21"/>
                </w:rPr>
                <w:alias w:val="以美元核算的长期借款"/>
                <w:tag w:val="_GBC_3b7c8b2806e24b099817482ad3c767f6"/>
                <w:id w:val="24726231"/>
                <w:lock w:val="sdtLocked"/>
                <w:showingPlcHdr/>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美元核算的长期借款折算率"/>
                <w:tag w:val="_GBC_54e25e991a02429ab2c4f223fa4d09e3"/>
                <w:id w:val="24726232"/>
                <w:lock w:val="sdtLocked"/>
                <w:showingPlcHdr/>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美元核算的长期借款折算成人民币"/>
                <w:tag w:val="_GBC_9871902e6a5548f189470c913bb50406"/>
                <w:id w:val="24726233"/>
                <w:lock w:val="sdtLocked"/>
                <w:showingPlcHdr/>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欧元</w:t>
                </w:r>
              </w:p>
            </w:tc>
            <w:sdt>
              <w:sdtPr>
                <w:rPr>
                  <w:rFonts w:asciiTheme="minorEastAsia" w:eastAsiaTheme="minorEastAsia" w:hAnsiTheme="minorEastAsia"/>
                  <w:szCs w:val="21"/>
                </w:rPr>
                <w:alias w:val="以欧元核算的长期借款"/>
                <w:tag w:val="_GBC_77a89c0dcfa84ae7b49bb0cc6144bbb2"/>
                <w:id w:val="24726234"/>
                <w:lock w:val="sdtLocked"/>
                <w:showingPlcHdr/>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欧元核算的长期借款折算率"/>
                <w:tag w:val="_GBC_ce055cd66feb402a8041b1b362bd1d27"/>
                <w:id w:val="24726235"/>
                <w:lock w:val="sdtLocked"/>
                <w:showingPlcHdr/>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欧元核算的长期借款折算成人民币"/>
                <w:tag w:val="_GBC_2e09348e9a9142a5a35b37f0c7d9db52"/>
                <w:id w:val="24726236"/>
                <w:lock w:val="sdtLocked"/>
                <w:showingPlcHdr/>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tr>
          <w:tr w:rsidR="00DE031E" w:rsidRPr="00B9343B" w:rsidTr="00DE031E">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ind w:firstLineChars="300" w:firstLine="630"/>
                  <w:rPr>
                    <w:rFonts w:asciiTheme="minorEastAsia" w:eastAsiaTheme="minorEastAsia" w:hAnsiTheme="minorEastAsia"/>
                    <w:szCs w:val="21"/>
                  </w:rPr>
                </w:pPr>
                <w:r w:rsidRPr="00B9343B">
                  <w:rPr>
                    <w:rFonts w:asciiTheme="minorEastAsia" w:eastAsiaTheme="minorEastAsia" w:hAnsiTheme="minorEastAsia" w:hint="eastAsia"/>
                    <w:szCs w:val="21"/>
                  </w:rPr>
                  <w:t>港币</w:t>
                </w:r>
              </w:p>
            </w:tc>
            <w:sdt>
              <w:sdtPr>
                <w:rPr>
                  <w:rFonts w:asciiTheme="minorEastAsia" w:eastAsiaTheme="minorEastAsia" w:hAnsiTheme="minorEastAsia"/>
                  <w:szCs w:val="21"/>
                </w:rPr>
                <w:alias w:val="以港币核算的长期借款"/>
                <w:tag w:val="_GBC_02f8db2d576046e39f46258d962537c3"/>
                <w:id w:val="24726237"/>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100,000,000.00</w:t>
                    </w:r>
                  </w:p>
                </w:tc>
              </w:sdtContent>
            </w:sdt>
            <w:sdt>
              <w:sdtPr>
                <w:rPr>
                  <w:rFonts w:asciiTheme="minorEastAsia" w:eastAsiaTheme="minorEastAsia" w:hAnsiTheme="minorEastAsia"/>
                  <w:szCs w:val="21"/>
                </w:rPr>
                <w:alias w:val="以港币核算的长期借款折算率"/>
                <w:tag w:val="_GBC_57f19a2dfc35437ebb542ebd944e3ce8"/>
                <w:id w:val="24726238"/>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0.78861</w:t>
                    </w:r>
                  </w:p>
                </w:tc>
              </w:sdtContent>
            </w:sdt>
            <w:sdt>
              <w:sdtPr>
                <w:rPr>
                  <w:rFonts w:asciiTheme="minorEastAsia" w:eastAsiaTheme="minorEastAsia" w:hAnsiTheme="minorEastAsia"/>
                  <w:szCs w:val="21"/>
                </w:rPr>
                <w:alias w:val="以港币核算的长期借款折算成人民币"/>
                <w:tag w:val="_GBC_c72e78ab3b4d43b29ca2f7cae0fcd244"/>
                <w:id w:val="24726239"/>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78,861,000.00</w:t>
                    </w:r>
                  </w:p>
                </w:tc>
              </w:sdtContent>
            </w:sdt>
          </w:tr>
          <w:sdt>
            <w:sdtPr>
              <w:rPr>
                <w:rFonts w:asciiTheme="minorEastAsia" w:eastAsiaTheme="minorEastAsia" w:hAnsiTheme="minorEastAsia"/>
                <w:szCs w:val="21"/>
              </w:rPr>
              <w:alias w:val="以外币核算的项目明细"/>
              <w:tag w:val="_GBC_99d00a99eacb429e9d406a9efe8e35e2"/>
              <w:id w:val="24726244"/>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项目明细-项目名称"/>
                    <w:tag w:val="_GBC_8f1a27e39c8b466da0c7c84a19f56b5a"/>
                    <w:id w:val="24726240"/>
                    <w:lock w:val="sdtLocked"/>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短期借款</w:t>
                        </w:r>
                      </w:p>
                    </w:tc>
                  </w:sdtContent>
                </w:sdt>
                <w:sdt>
                  <w:sdtPr>
                    <w:rPr>
                      <w:rFonts w:asciiTheme="minorEastAsia" w:eastAsiaTheme="minorEastAsia" w:hAnsiTheme="minorEastAsia"/>
                      <w:szCs w:val="21"/>
                    </w:rPr>
                    <w:alias w:val="以外币核算的项目明细-外币余额"/>
                    <w:tag w:val="_GBC_f8eb2c1b5ef34076b1a2ae3d55870cc7"/>
                    <w:id w:val="24726241"/>
                    <w:lock w:val="sdtLocked"/>
                    <w:showingPlcHdr/>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外币核算的项目明细-折算率"/>
                    <w:tag w:val="_GBC_822ecefa67d143c8945701b1f8bb7ea4"/>
                    <w:id w:val="24726242"/>
                    <w:lock w:val="sdtLocked"/>
                    <w:showingPlcHdr/>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外币核算的项目明细-人民币余额"/>
                    <w:tag w:val="_GBC_deca0b6d2a2f4d30904e96ab2f8ac674"/>
                    <w:id w:val="2472624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4,307,204,862.48</w:t>
                        </w:r>
                      </w:p>
                    </w:tc>
                  </w:sdtContent>
                </w:sdt>
              </w:tr>
            </w:sdtContent>
          </w:sdt>
          <w:sdt>
            <w:sdtPr>
              <w:rPr>
                <w:rFonts w:asciiTheme="minorEastAsia" w:eastAsiaTheme="minorEastAsia" w:hAnsiTheme="minorEastAsia"/>
                <w:szCs w:val="21"/>
              </w:rPr>
              <w:alias w:val="以外币核算的项目明细"/>
              <w:tag w:val="_GBC_99d00a99eacb429e9d406a9efe8e35e2"/>
              <w:id w:val="24726249"/>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项目明细-项目名称"/>
                    <w:tag w:val="_GBC_8f1a27e39c8b466da0c7c84a19f56b5a"/>
                    <w:id w:val="24726245"/>
                    <w:lock w:val="sdtLocked"/>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其中：港币</w:t>
                        </w:r>
                      </w:p>
                    </w:tc>
                  </w:sdtContent>
                </w:sdt>
                <w:sdt>
                  <w:sdtPr>
                    <w:rPr>
                      <w:rFonts w:asciiTheme="minorEastAsia" w:eastAsiaTheme="minorEastAsia" w:hAnsiTheme="minorEastAsia"/>
                      <w:szCs w:val="21"/>
                    </w:rPr>
                    <w:alias w:val="以外币核算的项目明细-外币余额"/>
                    <w:tag w:val="_GBC_f8eb2c1b5ef34076b1a2ae3d55870cc7"/>
                    <w:id w:val="24726246"/>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5,461,768,000.00</w:t>
                        </w:r>
                      </w:p>
                    </w:tc>
                  </w:sdtContent>
                </w:sdt>
                <w:sdt>
                  <w:sdtPr>
                    <w:rPr>
                      <w:rFonts w:asciiTheme="minorEastAsia" w:eastAsiaTheme="minorEastAsia" w:hAnsiTheme="minorEastAsia"/>
                      <w:szCs w:val="21"/>
                    </w:rPr>
                    <w:alias w:val="以外币核算的项目明细-折算率"/>
                    <w:tag w:val="_GBC_822ecefa67d143c8945701b1f8bb7ea4"/>
                    <w:id w:val="24726247"/>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0.78861</w:t>
                        </w:r>
                      </w:p>
                    </w:tc>
                  </w:sdtContent>
                </w:sdt>
                <w:sdt>
                  <w:sdtPr>
                    <w:rPr>
                      <w:rFonts w:asciiTheme="minorEastAsia" w:eastAsiaTheme="minorEastAsia" w:hAnsiTheme="minorEastAsia"/>
                      <w:szCs w:val="21"/>
                    </w:rPr>
                    <w:alias w:val="以外币核算的项目明细-人民币余额"/>
                    <w:tag w:val="_GBC_deca0b6d2a2f4d30904e96ab2f8ac674"/>
                    <w:id w:val="24726248"/>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4,307,204,862.48</w:t>
                        </w:r>
                      </w:p>
                    </w:tc>
                  </w:sdtContent>
                </w:sdt>
              </w:tr>
            </w:sdtContent>
          </w:sdt>
          <w:sdt>
            <w:sdtPr>
              <w:rPr>
                <w:rFonts w:asciiTheme="minorEastAsia" w:eastAsiaTheme="minorEastAsia" w:hAnsiTheme="minorEastAsia"/>
                <w:szCs w:val="21"/>
              </w:rPr>
              <w:alias w:val="以外币核算的项目明细"/>
              <w:tag w:val="_GBC_99d00a99eacb429e9d406a9efe8e35e2"/>
              <w:id w:val="24726254"/>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项目明细-项目名称"/>
                    <w:tag w:val="_GBC_8f1a27e39c8b466da0c7c84a19f56b5a"/>
                    <w:id w:val="24726250"/>
                    <w:lock w:val="sdtLocked"/>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hint="eastAsia"/>
                            <w:szCs w:val="21"/>
                          </w:rPr>
                          <w:t>结算备付金</w:t>
                        </w:r>
                      </w:p>
                    </w:tc>
                  </w:sdtContent>
                </w:sdt>
                <w:sdt>
                  <w:sdtPr>
                    <w:rPr>
                      <w:rFonts w:asciiTheme="minorEastAsia" w:eastAsiaTheme="minorEastAsia" w:hAnsiTheme="minorEastAsia"/>
                      <w:szCs w:val="21"/>
                    </w:rPr>
                    <w:alias w:val="以外币核算的项目明细-外币余额"/>
                    <w:tag w:val="_GBC_f8eb2c1b5ef34076b1a2ae3d55870cc7"/>
                    <w:id w:val="24726251"/>
                    <w:lock w:val="sdtLocked"/>
                    <w:showingPlcHdr/>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以外币核算的项目明细-折算率"/>
                    <w:tag w:val="_GBC_822ecefa67d143c8945701b1f8bb7ea4"/>
                    <w:id w:val="24726252"/>
                    <w:lock w:val="sdtLocked"/>
                    <w:showingPlcHdr/>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以外币核算的项目明细-人民币余额"/>
                    <w:tag w:val="_GBC_deca0b6d2a2f4d30904e96ab2f8ac674"/>
                    <w:id w:val="2472625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cs="Arial"/>
                            <w:color w:val="000000"/>
                            <w:szCs w:val="21"/>
                          </w:rPr>
                          <w:t>24,774,448,840.92</w:t>
                        </w:r>
                      </w:p>
                    </w:tc>
                  </w:sdtContent>
                </w:sdt>
              </w:tr>
            </w:sdtContent>
          </w:sdt>
          <w:sdt>
            <w:sdtPr>
              <w:rPr>
                <w:rFonts w:asciiTheme="minorEastAsia" w:eastAsiaTheme="minorEastAsia" w:hAnsiTheme="minorEastAsia"/>
                <w:szCs w:val="21"/>
              </w:rPr>
              <w:alias w:val="以外币核算的项目明细"/>
              <w:tag w:val="_GBC_99d00a99eacb429e9d406a9efe8e35e2"/>
              <w:id w:val="24726259"/>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项目明细-项目名称"/>
                    <w:tag w:val="_GBC_8f1a27e39c8b466da0c7c84a19f56b5a"/>
                    <w:id w:val="24726255"/>
                    <w:lock w:val="sdtLocked"/>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szCs w:val="21"/>
                          </w:rPr>
                          <w:t>其中：人民币</w:t>
                        </w:r>
                      </w:p>
                    </w:tc>
                  </w:sdtContent>
                </w:sdt>
                <w:sdt>
                  <w:sdtPr>
                    <w:rPr>
                      <w:rFonts w:asciiTheme="minorEastAsia" w:eastAsiaTheme="minorEastAsia" w:hAnsiTheme="minorEastAsia"/>
                      <w:szCs w:val="21"/>
                    </w:rPr>
                    <w:alias w:val="以外币核算的项目明细-外币余额"/>
                    <w:tag w:val="_GBC_f8eb2c1b5ef34076b1a2ae3d55870cc7"/>
                    <w:id w:val="24726256"/>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24,495,332,247.85</w:t>
                        </w:r>
                      </w:p>
                    </w:tc>
                  </w:sdtContent>
                </w:sdt>
                <w:sdt>
                  <w:sdtPr>
                    <w:rPr>
                      <w:rFonts w:asciiTheme="minorEastAsia" w:eastAsiaTheme="minorEastAsia" w:hAnsiTheme="minorEastAsia"/>
                      <w:szCs w:val="21"/>
                    </w:rPr>
                    <w:alias w:val="以外币核算的项目明细-折算率"/>
                    <w:tag w:val="_GBC_822ecefa67d143c8945701b1f8bb7ea4"/>
                    <w:id w:val="24726257"/>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w:t>
                        </w:r>
                      </w:p>
                    </w:tc>
                  </w:sdtContent>
                </w:sdt>
                <w:sdt>
                  <w:sdtPr>
                    <w:rPr>
                      <w:rFonts w:asciiTheme="minorEastAsia" w:eastAsiaTheme="minorEastAsia" w:hAnsiTheme="minorEastAsia"/>
                      <w:szCs w:val="21"/>
                    </w:rPr>
                    <w:alias w:val="以外币核算的项目明细-人民币余额"/>
                    <w:tag w:val="_GBC_deca0b6d2a2f4d30904e96ab2f8ac674"/>
                    <w:id w:val="24726258"/>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24,495,332,247.85</w:t>
                        </w:r>
                      </w:p>
                    </w:tc>
                  </w:sdtContent>
                </w:sdt>
              </w:tr>
            </w:sdtContent>
          </w:sdt>
          <w:sdt>
            <w:sdtPr>
              <w:rPr>
                <w:rFonts w:asciiTheme="minorEastAsia" w:eastAsiaTheme="minorEastAsia" w:hAnsiTheme="minorEastAsia"/>
                <w:szCs w:val="21"/>
              </w:rPr>
              <w:alias w:val="以外币核算的项目明细"/>
              <w:tag w:val="_GBC_99d00a99eacb429e9d406a9efe8e35e2"/>
              <w:id w:val="24726264"/>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项目明细-项目名称"/>
                    <w:tag w:val="_GBC_8f1a27e39c8b466da0c7c84a19f56b5a"/>
                    <w:id w:val="24726260"/>
                    <w:lock w:val="sdtLocked"/>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szCs w:val="21"/>
                          </w:rPr>
                          <w:t>港币</w:t>
                        </w:r>
                      </w:p>
                    </w:tc>
                  </w:sdtContent>
                </w:sdt>
                <w:sdt>
                  <w:sdtPr>
                    <w:rPr>
                      <w:rFonts w:asciiTheme="minorEastAsia" w:eastAsiaTheme="minorEastAsia" w:hAnsiTheme="minorEastAsia"/>
                      <w:szCs w:val="21"/>
                    </w:rPr>
                    <w:alias w:val="以外币核算的项目明细-外币余额"/>
                    <w:tag w:val="_GBC_f8eb2c1b5ef34076b1a2ae3d55870cc7"/>
                    <w:id w:val="24726261"/>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242,369,651.79</w:t>
                        </w:r>
                      </w:p>
                    </w:tc>
                  </w:sdtContent>
                </w:sdt>
                <w:sdt>
                  <w:sdtPr>
                    <w:rPr>
                      <w:rFonts w:asciiTheme="minorEastAsia" w:eastAsiaTheme="minorEastAsia" w:hAnsiTheme="minorEastAsia"/>
                      <w:szCs w:val="21"/>
                    </w:rPr>
                    <w:alias w:val="以外币核算的项目明细-折算率"/>
                    <w:tag w:val="_GBC_822ecefa67d143c8945701b1f8bb7ea4"/>
                    <w:id w:val="24726262"/>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0.78861</w:t>
                        </w:r>
                      </w:p>
                    </w:tc>
                  </w:sdtContent>
                </w:sdt>
                <w:sdt>
                  <w:sdtPr>
                    <w:rPr>
                      <w:rFonts w:asciiTheme="minorEastAsia" w:eastAsiaTheme="minorEastAsia" w:hAnsiTheme="minorEastAsia"/>
                      <w:szCs w:val="21"/>
                    </w:rPr>
                    <w:alias w:val="以外币核算的项目明细-人民币余额"/>
                    <w:tag w:val="_GBC_deca0b6d2a2f4d30904e96ab2f8ac674"/>
                    <w:id w:val="24726263"/>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191,135,131.10</w:t>
                        </w:r>
                      </w:p>
                    </w:tc>
                  </w:sdtContent>
                </w:sdt>
              </w:tr>
            </w:sdtContent>
          </w:sdt>
          <w:sdt>
            <w:sdtPr>
              <w:rPr>
                <w:rFonts w:asciiTheme="minorEastAsia" w:eastAsiaTheme="minorEastAsia" w:hAnsiTheme="minorEastAsia"/>
                <w:szCs w:val="21"/>
              </w:rPr>
              <w:alias w:val="以外币核算的项目明细"/>
              <w:tag w:val="_GBC_99d00a99eacb429e9d406a9efe8e35e2"/>
              <w:id w:val="24726269"/>
              <w:lock w:val="sdtLocked"/>
            </w:sdtPr>
            <w:sdtEndPr>
              <w:rPr>
                <w:rFonts w:hint="eastAsia"/>
              </w:rPr>
            </w:sdtEndPr>
            <w:sdtContent>
              <w:tr w:rsidR="00DE031E" w:rsidRPr="00B9343B" w:rsidTr="00DE031E">
                <w:sdt>
                  <w:sdtPr>
                    <w:rPr>
                      <w:rFonts w:asciiTheme="minorEastAsia" w:eastAsiaTheme="minorEastAsia" w:hAnsiTheme="minorEastAsia"/>
                      <w:szCs w:val="21"/>
                    </w:rPr>
                    <w:alias w:val="以外币核算的项目明细-项目名称"/>
                    <w:tag w:val="_GBC_8f1a27e39c8b466da0c7c84a19f56b5a"/>
                    <w:id w:val="24726265"/>
                    <w:lock w:val="sdtLocked"/>
                  </w:sdtPr>
                  <w:sdtContent>
                    <w:tc>
                      <w:tcPr>
                        <w:tcW w:w="1568"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rPr>
                            <w:rFonts w:asciiTheme="minorEastAsia" w:eastAsiaTheme="minorEastAsia" w:hAnsiTheme="minorEastAsia"/>
                            <w:szCs w:val="21"/>
                          </w:rPr>
                        </w:pPr>
                        <w:r w:rsidRPr="00B9343B">
                          <w:rPr>
                            <w:rFonts w:asciiTheme="minorEastAsia" w:eastAsiaTheme="minorEastAsia" w:hAnsiTheme="minorEastAsia"/>
                            <w:szCs w:val="21"/>
                          </w:rPr>
                          <w:t>美元</w:t>
                        </w:r>
                      </w:p>
                    </w:tc>
                  </w:sdtContent>
                </w:sdt>
                <w:sdt>
                  <w:sdtPr>
                    <w:rPr>
                      <w:rFonts w:asciiTheme="minorEastAsia" w:eastAsiaTheme="minorEastAsia" w:hAnsiTheme="minorEastAsia"/>
                      <w:szCs w:val="21"/>
                    </w:rPr>
                    <w:alias w:val="以外币核算的项目明细-外币余额"/>
                    <w:tag w:val="_GBC_f8eb2c1b5ef34076b1a2ae3d55870cc7"/>
                    <w:id w:val="24726266"/>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14,391,105.40</w:t>
                        </w:r>
                      </w:p>
                    </w:tc>
                  </w:sdtContent>
                </w:sdt>
                <w:sdt>
                  <w:sdtPr>
                    <w:rPr>
                      <w:rFonts w:asciiTheme="minorEastAsia" w:eastAsiaTheme="minorEastAsia" w:hAnsiTheme="minorEastAsia"/>
                      <w:szCs w:val="21"/>
                    </w:rPr>
                    <w:alias w:val="以外币核算的项目明细-折算率"/>
                    <w:tag w:val="_GBC_822ecefa67d143c8945701b1f8bb7ea4"/>
                    <w:id w:val="24726267"/>
                    <w:lock w:val="sdtLocked"/>
                  </w:sdt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6.1136</w:t>
                        </w:r>
                      </w:p>
                    </w:tc>
                  </w:sdtContent>
                </w:sdt>
                <w:sdt>
                  <w:sdtPr>
                    <w:rPr>
                      <w:rFonts w:asciiTheme="minorEastAsia" w:eastAsiaTheme="minorEastAsia" w:hAnsiTheme="minorEastAsia"/>
                      <w:szCs w:val="21"/>
                    </w:rPr>
                    <w:alias w:val="以外币核算的项目明细-人民币余额"/>
                    <w:tag w:val="_GBC_deca0b6d2a2f4d30904e96ab2f8ac674"/>
                    <w:id w:val="24726268"/>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tcPr>
                      <w:p w:rsidR="00DE031E" w:rsidRPr="00B9343B" w:rsidRDefault="001C1A59" w:rsidP="00DE031E">
                        <w:pPr>
                          <w:jc w:val="right"/>
                          <w:rPr>
                            <w:rFonts w:asciiTheme="minorEastAsia" w:eastAsiaTheme="minorEastAsia" w:hAnsiTheme="minorEastAsia"/>
                            <w:szCs w:val="21"/>
                          </w:rPr>
                        </w:pPr>
                        <w:r w:rsidRPr="00B9343B">
                          <w:rPr>
                            <w:rFonts w:asciiTheme="minorEastAsia" w:eastAsiaTheme="minorEastAsia" w:hAnsiTheme="minorEastAsia"/>
                            <w:szCs w:val="21"/>
                          </w:rPr>
                          <w:t>87,981,461.97</w:t>
                        </w:r>
                      </w:p>
                    </w:tc>
                  </w:sdtContent>
                </w:sdt>
              </w:tr>
            </w:sdtContent>
          </w:sdt>
        </w:tbl>
        <w:p w:rsidR="00DE031E" w:rsidRDefault="001C1A59" w:rsidP="009950AC">
          <w:pPr>
            <w:pStyle w:val="a9"/>
            <w:numPr>
              <w:ilvl w:val="0"/>
              <w:numId w:val="61"/>
            </w:numPr>
            <w:tabs>
              <w:tab w:val="left" w:pos="700"/>
            </w:tabs>
            <w:spacing w:before="60" w:after="60" w:line="360" w:lineRule="auto"/>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DE031E" w:rsidRDefault="00422DCA">
          <w:pPr>
            <w:rPr>
              <w:szCs w:val="21"/>
            </w:rPr>
          </w:pPr>
          <w:sdt>
            <w:sdtPr>
              <w:rPr>
                <w:szCs w:val="21"/>
              </w:rPr>
              <w:alias w:val="是否适用：境外经营实体主要报表项目的折算汇率"/>
              <w:tag w:val="_GBC_4ad16f5c306d4c6ead144dfd007fb925"/>
              <w:id w:val="24726270"/>
              <w:lock w:val="sdtContentLocked"/>
              <w:placeholder>
                <w:docPart w:val="GBC22222222222222222222222222222"/>
              </w:placeholder>
            </w:sdtPr>
            <w:sdtContent>
              <w:r>
                <w:rPr>
                  <w:szCs w:val="21"/>
                </w:rPr>
                <w:fldChar w:fldCharType="begin"/>
              </w:r>
              <w:r w:rsidR="001C1A59">
                <w:rPr>
                  <w:szCs w:val="21"/>
                </w:rPr>
                <w:instrText xml:space="preserve"> MACROBUTTON  SnrToggleCheckbox √适用 </w:instrText>
              </w:r>
              <w:r>
                <w:rPr>
                  <w:szCs w:val="21"/>
                </w:rPr>
                <w:fldChar w:fldCharType="end"/>
              </w:r>
              <w:r>
                <w:rPr>
                  <w:szCs w:val="21"/>
                </w:rPr>
                <w:fldChar w:fldCharType="begin"/>
              </w:r>
              <w:r w:rsidR="001C1A59">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4148864437ea4c5bb9934a188232a73c"/>
            <w:id w:val="24726271"/>
            <w:lock w:val="sdtLocked"/>
            <w:placeholder>
              <w:docPart w:val="GBC22222222222222222222222222222"/>
            </w:placeholder>
          </w:sdtPr>
          <w:sdtContent>
            <w:p w:rsidR="00DE031E" w:rsidRDefault="00DE031E">
              <w:pPr>
                <w:rPr>
                  <w:szCs w:val="21"/>
                </w:rPr>
              </w:pPr>
            </w:p>
            <w:tbl>
              <w:tblPr>
                <w:tblW w:w="5000" w:type="pct"/>
                <w:tblLook w:val="04A0"/>
              </w:tblPr>
              <w:tblGrid>
                <w:gridCol w:w="4334"/>
                <w:gridCol w:w="1213"/>
                <w:gridCol w:w="1310"/>
                <w:gridCol w:w="2192"/>
              </w:tblGrid>
              <w:tr w:rsidR="00DE031E" w:rsidRPr="00437FB4" w:rsidTr="00DE031E">
                <w:trPr>
                  <w:trHeight w:val="284"/>
                </w:trPr>
                <w:tc>
                  <w:tcPr>
                    <w:tcW w:w="2395"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b/>
                        <w:color w:val="000000"/>
                        <w:sz w:val="18"/>
                        <w:szCs w:val="18"/>
                      </w:rPr>
                    </w:pPr>
                    <w:r w:rsidRPr="00437FB4">
                      <w:rPr>
                        <w:rFonts w:ascii="Arial" w:hAnsi="Arial" w:cs="Arial"/>
                        <w:b/>
                        <w:color w:val="000000"/>
                        <w:sz w:val="18"/>
                        <w:szCs w:val="18"/>
                      </w:rPr>
                      <w:t>单位名称</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right"/>
                      <w:rPr>
                        <w:rFonts w:ascii="Arial" w:hAnsi="Arial" w:cs="Arial"/>
                        <w:b/>
                        <w:color w:val="000000"/>
                        <w:sz w:val="18"/>
                        <w:szCs w:val="18"/>
                        <w:u w:val="single"/>
                      </w:rPr>
                    </w:pPr>
                    <w:r w:rsidRPr="00437FB4">
                      <w:rPr>
                        <w:rFonts w:ascii="Arial" w:hAnsi="Arial" w:cs="Arial"/>
                        <w:b/>
                        <w:color w:val="000000"/>
                        <w:sz w:val="18"/>
                        <w:szCs w:val="18"/>
                        <w:u w:val="single"/>
                      </w:rPr>
                      <w:t>主要经营地</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right"/>
                      <w:rPr>
                        <w:rFonts w:ascii="Arial" w:hAnsi="Arial" w:cs="Arial"/>
                        <w:b/>
                        <w:color w:val="000000"/>
                        <w:sz w:val="18"/>
                        <w:szCs w:val="18"/>
                        <w:u w:val="single"/>
                      </w:rPr>
                    </w:pPr>
                    <w:r w:rsidRPr="00437FB4">
                      <w:rPr>
                        <w:rFonts w:ascii="Arial" w:hAnsi="Arial" w:cs="Arial"/>
                        <w:b/>
                        <w:color w:val="000000"/>
                        <w:sz w:val="18"/>
                        <w:szCs w:val="18"/>
                        <w:u w:val="single"/>
                      </w:rPr>
                      <w:t>记账本位币</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jc w:val="right"/>
                      <w:rPr>
                        <w:rFonts w:ascii="Arial" w:hAnsi="Arial" w:cs="Arial"/>
                        <w:b/>
                        <w:color w:val="000000"/>
                        <w:sz w:val="18"/>
                        <w:szCs w:val="18"/>
                        <w:u w:val="single"/>
                      </w:rPr>
                    </w:pPr>
                    <w:r w:rsidRPr="00437FB4">
                      <w:rPr>
                        <w:rFonts w:ascii="Arial" w:hAnsi="Arial" w:cs="Arial"/>
                        <w:b/>
                        <w:color w:val="000000"/>
                        <w:sz w:val="18"/>
                        <w:szCs w:val="18"/>
                        <w:u w:val="single"/>
                      </w:rPr>
                      <w:t>记账本位币选择依据</w:t>
                    </w:r>
                  </w:p>
                </w:tc>
              </w:tr>
              <w:tr w:rsidR="00DE031E" w:rsidRPr="00437FB4" w:rsidTr="00DE031E">
                <w:trPr>
                  <w:trHeight w:val="284"/>
                </w:trPr>
                <w:tc>
                  <w:tcPr>
                    <w:tcW w:w="2395"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招商证券国际有限公司</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香港</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港币</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记账本位币为当地币种</w:t>
                    </w:r>
                  </w:p>
                </w:tc>
              </w:tr>
              <w:tr w:rsidR="00DE031E" w:rsidRPr="00437FB4" w:rsidTr="00DE031E">
                <w:trPr>
                  <w:trHeight w:val="284"/>
                </w:trPr>
                <w:tc>
                  <w:tcPr>
                    <w:tcW w:w="2395" w:type="pct"/>
                    <w:tcBorders>
                      <w:top w:val="nil"/>
                      <w:left w:val="nil"/>
                      <w:bottom w:val="nil"/>
                      <w:right w:val="nil"/>
                    </w:tcBorders>
                    <w:shd w:val="clear" w:color="auto" w:fill="auto"/>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招商证券（香港）有限公司</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香港</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港币</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记账本位币为当地币种</w:t>
                    </w:r>
                  </w:p>
                </w:tc>
              </w:tr>
              <w:tr w:rsidR="00DE031E" w:rsidRPr="00437FB4" w:rsidTr="00DE031E">
                <w:trPr>
                  <w:trHeight w:val="284"/>
                </w:trPr>
                <w:tc>
                  <w:tcPr>
                    <w:tcW w:w="2395" w:type="pct"/>
                    <w:tcBorders>
                      <w:top w:val="nil"/>
                      <w:left w:val="nil"/>
                      <w:bottom w:val="nil"/>
                      <w:right w:val="nil"/>
                    </w:tcBorders>
                    <w:shd w:val="clear" w:color="auto" w:fill="auto"/>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招商期货（香港）有限公司</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香港</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港币</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记账本位币为当地币种</w:t>
                    </w:r>
                  </w:p>
                </w:tc>
              </w:tr>
              <w:tr w:rsidR="00DE031E" w:rsidRPr="00437FB4" w:rsidTr="00DE031E">
                <w:trPr>
                  <w:trHeight w:val="284"/>
                </w:trPr>
                <w:tc>
                  <w:tcPr>
                    <w:tcW w:w="2395"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招商证券投资管理（香港）有限公司</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香港</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港币</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记账本位币为当地币种</w:t>
                    </w:r>
                  </w:p>
                </w:tc>
              </w:tr>
              <w:tr w:rsidR="00DE031E" w:rsidRPr="00437FB4" w:rsidTr="00DE031E">
                <w:trPr>
                  <w:trHeight w:val="284"/>
                </w:trPr>
                <w:tc>
                  <w:tcPr>
                    <w:tcW w:w="2395" w:type="pct"/>
                    <w:tcBorders>
                      <w:top w:val="nil"/>
                      <w:left w:val="nil"/>
                      <w:bottom w:val="nil"/>
                      <w:right w:val="nil"/>
                    </w:tcBorders>
                    <w:shd w:val="clear" w:color="auto" w:fill="auto"/>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招商资本（香港）有限公司</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香港</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港币</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记账本位币为当地币种</w:t>
                    </w:r>
                  </w:p>
                </w:tc>
              </w:tr>
              <w:tr w:rsidR="00DE031E" w:rsidRPr="00437FB4" w:rsidTr="00DE031E">
                <w:trPr>
                  <w:trHeight w:val="284"/>
                </w:trPr>
                <w:tc>
                  <w:tcPr>
                    <w:tcW w:w="2395" w:type="pct"/>
                    <w:tcBorders>
                      <w:top w:val="nil"/>
                      <w:left w:val="nil"/>
                      <w:bottom w:val="nil"/>
                      <w:right w:val="nil"/>
                    </w:tcBorders>
                    <w:shd w:val="clear" w:color="auto" w:fill="auto"/>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招商证券资产管理（香港）有限公司</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香港</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港币</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记账本位币为当地币种</w:t>
                    </w:r>
                  </w:p>
                </w:tc>
              </w:tr>
              <w:tr w:rsidR="00DE031E" w:rsidRPr="00437FB4" w:rsidTr="00DE031E">
                <w:trPr>
                  <w:trHeight w:val="284"/>
                </w:trPr>
                <w:tc>
                  <w:tcPr>
                    <w:tcW w:w="2395"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China  Merchants  Securities  (UK)  Limited</w:t>
                    </w:r>
                  </w:p>
                </w:tc>
                <w:tc>
                  <w:tcPr>
                    <w:tcW w:w="670"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英国</w:t>
                    </w:r>
                  </w:p>
                </w:tc>
                <w:tc>
                  <w:tcPr>
                    <w:tcW w:w="724" w:type="pct"/>
                    <w:tcBorders>
                      <w:top w:val="nil"/>
                      <w:left w:val="nil"/>
                      <w:bottom w:val="nil"/>
                      <w:right w:val="nil"/>
                    </w:tcBorders>
                    <w:shd w:val="clear" w:color="auto" w:fill="auto"/>
                    <w:noWrap/>
                    <w:vAlign w:val="center"/>
                    <w:hideMark/>
                  </w:tcPr>
                  <w:p w:rsidR="00DE031E" w:rsidRPr="00437FB4" w:rsidRDefault="001C1A59" w:rsidP="00DE031E">
                    <w:pPr>
                      <w:jc w:val="center"/>
                      <w:rPr>
                        <w:rFonts w:ascii="Arial" w:hAnsi="Arial" w:cs="Arial"/>
                        <w:color w:val="000000"/>
                        <w:sz w:val="18"/>
                        <w:szCs w:val="18"/>
                      </w:rPr>
                    </w:pPr>
                    <w:r w:rsidRPr="00437FB4">
                      <w:rPr>
                        <w:rFonts w:ascii="Arial" w:hAnsi="Arial" w:cs="Arial"/>
                        <w:color w:val="000000"/>
                        <w:sz w:val="18"/>
                        <w:szCs w:val="18"/>
                      </w:rPr>
                      <w:t>美元</w:t>
                    </w:r>
                  </w:p>
                </w:tc>
                <w:tc>
                  <w:tcPr>
                    <w:tcW w:w="1211"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color w:val="000000"/>
                        <w:sz w:val="18"/>
                        <w:szCs w:val="18"/>
                      </w:rPr>
                    </w:pPr>
                    <w:r w:rsidRPr="00437FB4">
                      <w:rPr>
                        <w:rFonts w:ascii="Arial" w:hAnsi="Arial" w:cs="Arial"/>
                        <w:color w:val="000000"/>
                        <w:sz w:val="18"/>
                        <w:szCs w:val="18"/>
                      </w:rPr>
                      <w:t>业务交易以美元核算</w:t>
                    </w:r>
                  </w:p>
                </w:tc>
              </w:tr>
            </w:tbl>
            <w:p w:rsidR="00DE031E" w:rsidRDefault="00422DCA">
              <w:pPr>
                <w:rPr>
                  <w:szCs w:val="21"/>
                </w:rPr>
              </w:pPr>
            </w:p>
          </w:sdtContent>
        </w:sdt>
      </w:sdtContent>
    </w:sdt>
    <w:p w:rsidR="00DE031E" w:rsidRPr="00692388" w:rsidRDefault="001C1A59" w:rsidP="009950AC">
      <w:pPr>
        <w:pStyle w:val="2"/>
        <w:numPr>
          <w:ilvl w:val="0"/>
          <w:numId w:val="30"/>
        </w:numPr>
        <w:spacing w:line="360" w:lineRule="auto"/>
      </w:pPr>
      <w:r w:rsidRPr="005417CA">
        <w:rPr>
          <w:rFonts w:eastAsiaTheme="majorEastAsia" w:cs="Arial"/>
          <w:sz w:val="22"/>
          <w:szCs w:val="22"/>
        </w:rPr>
        <w:t>母公司财务报表项目注释</w:t>
      </w:r>
    </w:p>
    <w:p w:rsidR="00DE031E" w:rsidRPr="00437FB4" w:rsidRDefault="001C1A59" w:rsidP="003A0284">
      <w:pPr>
        <w:pStyle w:val="31"/>
        <w:numPr>
          <w:ilvl w:val="3"/>
          <w:numId w:val="31"/>
        </w:numPr>
        <w:spacing w:beforeLines="50" w:afterLines="50"/>
        <w:ind w:firstLineChars="0"/>
        <w:outlineLvl w:val="1"/>
        <w:rPr>
          <w:rFonts w:ascii="Arial" w:hAnsi="Arial" w:cs="Arial"/>
          <w:b/>
          <w:sz w:val="22"/>
          <w:szCs w:val="22"/>
        </w:rPr>
      </w:pPr>
      <w:r w:rsidRPr="00437FB4">
        <w:rPr>
          <w:rFonts w:ascii="Arial" w:hAnsi="Arial" w:cs="Arial"/>
          <w:b/>
          <w:sz w:val="22"/>
          <w:szCs w:val="22"/>
        </w:rPr>
        <w:t>长期股权投资</w:t>
      </w:r>
    </w:p>
    <w:p w:rsidR="00DE031E" w:rsidRDefault="001C1A59" w:rsidP="003A0284">
      <w:pPr>
        <w:pStyle w:val="Default"/>
        <w:numPr>
          <w:ilvl w:val="0"/>
          <w:numId w:val="86"/>
        </w:numPr>
        <w:spacing w:before="120" w:afterLines="50" w:line="360" w:lineRule="auto"/>
        <w:ind w:rightChars="20" w:right="42"/>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按类别列示</w:t>
      </w:r>
    </w:p>
    <w:p w:rsidR="00A80CD6" w:rsidRPr="00A80CD6" w:rsidRDefault="00A80CD6" w:rsidP="00A80CD6">
      <w:pPr>
        <w:pStyle w:val="Default"/>
        <w:spacing w:before="120"/>
        <w:ind w:left="1162" w:rightChars="20" w:right="42"/>
        <w:jc w:val="right"/>
        <w:rPr>
          <w:rFonts w:ascii="Arial" w:eastAsiaTheme="majorEastAsia" w:hAnsi="Arial" w:cs="Arial"/>
          <w:color w:val="auto"/>
          <w:kern w:val="2"/>
          <w:sz w:val="22"/>
          <w:szCs w:val="22"/>
        </w:rPr>
      </w:pPr>
      <w:r w:rsidRPr="00A80CD6">
        <w:rPr>
          <w:rFonts w:hint="eastAsia"/>
        </w:rPr>
        <w:t>单位：元  币种：人民币</w:t>
      </w:r>
    </w:p>
    <w:tbl>
      <w:tblPr>
        <w:tblW w:w="5000" w:type="pct"/>
        <w:tblLook w:val="04A0"/>
      </w:tblPr>
      <w:tblGrid>
        <w:gridCol w:w="3851"/>
        <w:gridCol w:w="2599"/>
        <w:gridCol w:w="2599"/>
      </w:tblGrid>
      <w:tr w:rsidR="00DE031E" w:rsidRPr="00D73AB7" w:rsidTr="00DE031E">
        <w:trPr>
          <w:trHeight w:val="270"/>
        </w:trPr>
        <w:tc>
          <w:tcPr>
            <w:tcW w:w="2128" w:type="pct"/>
            <w:tcBorders>
              <w:top w:val="nil"/>
              <w:left w:val="nil"/>
              <w:bottom w:val="nil"/>
              <w:right w:val="nil"/>
            </w:tcBorders>
            <w:shd w:val="clear" w:color="auto" w:fill="auto"/>
            <w:noWrap/>
            <w:vAlign w:val="center"/>
            <w:hideMark/>
          </w:tcPr>
          <w:p w:rsidR="00DE031E" w:rsidRPr="00D73AB7" w:rsidRDefault="001C1A59" w:rsidP="00DE031E">
            <w:pPr>
              <w:spacing w:line="360" w:lineRule="auto"/>
              <w:rPr>
                <w:rFonts w:asciiTheme="minorEastAsia" w:eastAsiaTheme="minorEastAsia" w:hAnsiTheme="minorEastAsia"/>
                <w:b/>
                <w:bCs/>
                <w:color w:val="000000"/>
                <w:szCs w:val="21"/>
              </w:rPr>
            </w:pPr>
            <w:r w:rsidRPr="00D73AB7">
              <w:rPr>
                <w:rFonts w:asciiTheme="minorEastAsia" w:eastAsiaTheme="minorEastAsia" w:hAnsiTheme="minorEastAsia" w:hint="eastAsia"/>
                <w:b/>
                <w:bCs/>
                <w:color w:val="000000"/>
                <w:szCs w:val="21"/>
              </w:rPr>
              <w:t>项目</w:t>
            </w:r>
          </w:p>
        </w:tc>
        <w:tc>
          <w:tcPr>
            <w:tcW w:w="1436" w:type="pct"/>
            <w:tcBorders>
              <w:top w:val="nil"/>
              <w:left w:val="nil"/>
              <w:bottom w:val="nil"/>
              <w:right w:val="nil"/>
            </w:tcBorders>
            <w:shd w:val="clear" w:color="auto" w:fill="auto"/>
            <w:vAlign w:val="center"/>
            <w:hideMark/>
          </w:tcPr>
          <w:p w:rsidR="00DE031E" w:rsidRPr="00D73AB7" w:rsidRDefault="001C1A59" w:rsidP="00DE031E">
            <w:pPr>
              <w:spacing w:line="360" w:lineRule="auto"/>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2015年6月30日</w:t>
            </w:r>
          </w:p>
        </w:tc>
        <w:tc>
          <w:tcPr>
            <w:tcW w:w="1436" w:type="pct"/>
            <w:tcBorders>
              <w:top w:val="nil"/>
              <w:left w:val="nil"/>
              <w:bottom w:val="nil"/>
              <w:right w:val="nil"/>
            </w:tcBorders>
            <w:shd w:val="clear" w:color="auto" w:fill="auto"/>
            <w:noWrap/>
            <w:vAlign w:val="center"/>
            <w:hideMark/>
          </w:tcPr>
          <w:p w:rsidR="00DE031E" w:rsidRPr="00D73AB7" w:rsidRDefault="001C1A59" w:rsidP="00DE031E">
            <w:pPr>
              <w:spacing w:line="360" w:lineRule="auto"/>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2014年12月31日</w:t>
            </w:r>
          </w:p>
        </w:tc>
      </w:tr>
      <w:tr w:rsidR="00DE031E" w:rsidRPr="00D73AB7" w:rsidTr="00DE031E">
        <w:trPr>
          <w:trHeight w:val="270"/>
        </w:trPr>
        <w:tc>
          <w:tcPr>
            <w:tcW w:w="2128" w:type="pct"/>
            <w:tcBorders>
              <w:top w:val="nil"/>
              <w:left w:val="nil"/>
              <w:bottom w:val="nil"/>
              <w:right w:val="nil"/>
            </w:tcBorders>
            <w:shd w:val="clear" w:color="auto" w:fill="auto"/>
            <w:noWrap/>
            <w:vAlign w:val="center"/>
            <w:hideMark/>
          </w:tcPr>
          <w:p w:rsidR="00DE031E" w:rsidRPr="00D73AB7" w:rsidRDefault="001C1A59" w:rsidP="00DE031E">
            <w:pPr>
              <w:spacing w:line="360" w:lineRule="auto"/>
              <w:rPr>
                <w:rFonts w:asciiTheme="minorEastAsia" w:eastAsiaTheme="minorEastAsia" w:hAnsiTheme="minorEastAsia"/>
                <w:color w:val="000000"/>
                <w:szCs w:val="21"/>
              </w:rPr>
            </w:pPr>
            <w:r w:rsidRPr="00D73AB7">
              <w:rPr>
                <w:rFonts w:asciiTheme="minorEastAsia" w:eastAsiaTheme="minorEastAsia" w:hAnsiTheme="minorEastAsia" w:hint="eastAsia"/>
                <w:color w:val="000000"/>
                <w:szCs w:val="21"/>
              </w:rPr>
              <w:t>对子公司投资</w:t>
            </w:r>
          </w:p>
        </w:tc>
        <w:tc>
          <w:tcPr>
            <w:tcW w:w="1436" w:type="pct"/>
            <w:tcBorders>
              <w:top w:val="nil"/>
              <w:left w:val="nil"/>
              <w:bottom w:val="nil"/>
              <w:right w:val="nil"/>
            </w:tcBorders>
            <w:shd w:val="clear" w:color="auto" w:fill="auto"/>
            <w:vAlign w:val="center"/>
            <w:hideMark/>
          </w:tcPr>
          <w:p w:rsidR="00DE031E" w:rsidRPr="00D73AB7" w:rsidRDefault="001C1A59" w:rsidP="00DE031E">
            <w:pPr>
              <w:spacing w:line="360" w:lineRule="auto"/>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3,858,019,222.62</w:t>
            </w:r>
          </w:p>
        </w:tc>
        <w:tc>
          <w:tcPr>
            <w:tcW w:w="1436" w:type="pct"/>
            <w:tcBorders>
              <w:top w:val="nil"/>
              <w:left w:val="nil"/>
              <w:bottom w:val="nil"/>
              <w:right w:val="nil"/>
            </w:tcBorders>
            <w:shd w:val="clear" w:color="auto" w:fill="auto"/>
            <w:noWrap/>
            <w:vAlign w:val="center"/>
            <w:hideMark/>
          </w:tcPr>
          <w:p w:rsidR="00DE031E" w:rsidRPr="00D73AB7" w:rsidRDefault="001C1A59" w:rsidP="00DE031E">
            <w:pPr>
              <w:spacing w:line="360" w:lineRule="auto"/>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3,558,019,222.62</w:t>
            </w:r>
          </w:p>
        </w:tc>
      </w:tr>
      <w:tr w:rsidR="00DE031E" w:rsidRPr="00D73AB7" w:rsidTr="00DE031E">
        <w:trPr>
          <w:trHeight w:val="270"/>
        </w:trPr>
        <w:tc>
          <w:tcPr>
            <w:tcW w:w="2128" w:type="pct"/>
            <w:tcBorders>
              <w:top w:val="nil"/>
              <w:left w:val="nil"/>
              <w:bottom w:val="nil"/>
              <w:right w:val="nil"/>
            </w:tcBorders>
            <w:shd w:val="clear" w:color="auto" w:fill="auto"/>
            <w:noWrap/>
            <w:vAlign w:val="center"/>
            <w:hideMark/>
          </w:tcPr>
          <w:p w:rsidR="00DE031E" w:rsidRPr="00D73AB7" w:rsidRDefault="001C1A59" w:rsidP="00DE031E">
            <w:pPr>
              <w:spacing w:line="360" w:lineRule="auto"/>
              <w:rPr>
                <w:rFonts w:asciiTheme="minorEastAsia" w:eastAsiaTheme="minorEastAsia" w:hAnsiTheme="minorEastAsia"/>
                <w:color w:val="000000"/>
                <w:szCs w:val="21"/>
              </w:rPr>
            </w:pPr>
            <w:r w:rsidRPr="00D73AB7">
              <w:rPr>
                <w:rFonts w:asciiTheme="minorEastAsia" w:eastAsiaTheme="minorEastAsia" w:hAnsiTheme="minorEastAsia" w:hint="eastAsia"/>
                <w:color w:val="000000"/>
                <w:szCs w:val="21"/>
              </w:rPr>
              <w:t>对联营、合营企业投资</w:t>
            </w:r>
          </w:p>
        </w:tc>
        <w:tc>
          <w:tcPr>
            <w:tcW w:w="1436" w:type="pct"/>
            <w:tcBorders>
              <w:top w:val="nil"/>
              <w:left w:val="nil"/>
              <w:bottom w:val="nil"/>
              <w:right w:val="nil"/>
            </w:tcBorders>
            <w:shd w:val="clear" w:color="auto" w:fill="auto"/>
            <w:vAlign w:val="center"/>
            <w:hideMark/>
          </w:tcPr>
          <w:p w:rsidR="00DE031E" w:rsidRPr="00D73AB7" w:rsidRDefault="001C1A59" w:rsidP="00DE031E">
            <w:pPr>
              <w:spacing w:line="360" w:lineRule="auto"/>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5,288,522,458.15</w:t>
            </w:r>
          </w:p>
        </w:tc>
        <w:tc>
          <w:tcPr>
            <w:tcW w:w="1436" w:type="pct"/>
            <w:tcBorders>
              <w:top w:val="nil"/>
              <w:left w:val="nil"/>
              <w:bottom w:val="nil"/>
              <w:right w:val="nil"/>
            </w:tcBorders>
            <w:shd w:val="clear" w:color="auto" w:fill="auto"/>
            <w:noWrap/>
            <w:vAlign w:val="center"/>
            <w:hideMark/>
          </w:tcPr>
          <w:p w:rsidR="00DE031E" w:rsidRPr="00D73AB7" w:rsidRDefault="001C1A59" w:rsidP="00DE031E">
            <w:pPr>
              <w:spacing w:line="360" w:lineRule="auto"/>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5,092,433,228.55</w:t>
            </w:r>
          </w:p>
        </w:tc>
      </w:tr>
      <w:tr w:rsidR="00DE031E" w:rsidRPr="00D73AB7" w:rsidTr="00DE031E">
        <w:trPr>
          <w:trHeight w:val="270"/>
        </w:trPr>
        <w:tc>
          <w:tcPr>
            <w:tcW w:w="2128" w:type="pct"/>
            <w:tcBorders>
              <w:top w:val="nil"/>
              <w:left w:val="nil"/>
              <w:bottom w:val="nil"/>
              <w:right w:val="nil"/>
            </w:tcBorders>
            <w:shd w:val="clear" w:color="auto" w:fill="auto"/>
            <w:noWrap/>
            <w:vAlign w:val="center"/>
            <w:hideMark/>
          </w:tcPr>
          <w:p w:rsidR="00DE031E" w:rsidRPr="00D73AB7" w:rsidRDefault="001C1A59" w:rsidP="00DE031E">
            <w:pPr>
              <w:spacing w:line="360" w:lineRule="auto"/>
              <w:rPr>
                <w:rFonts w:asciiTheme="minorEastAsia" w:eastAsiaTheme="minorEastAsia" w:hAnsiTheme="minorEastAsia"/>
                <w:b/>
                <w:bCs/>
                <w:color w:val="000000"/>
                <w:szCs w:val="21"/>
              </w:rPr>
            </w:pPr>
            <w:r w:rsidRPr="00D73AB7">
              <w:rPr>
                <w:rFonts w:asciiTheme="minorEastAsia" w:eastAsiaTheme="minorEastAsia" w:hAnsiTheme="minorEastAsia" w:hint="eastAsia"/>
                <w:b/>
                <w:bCs/>
                <w:color w:val="000000"/>
                <w:szCs w:val="21"/>
              </w:rPr>
              <w:t>长期股权投资合计</w:t>
            </w:r>
          </w:p>
        </w:tc>
        <w:tc>
          <w:tcPr>
            <w:tcW w:w="1436" w:type="pct"/>
            <w:tcBorders>
              <w:top w:val="nil"/>
              <w:left w:val="nil"/>
              <w:bottom w:val="nil"/>
              <w:right w:val="nil"/>
            </w:tcBorders>
            <w:shd w:val="clear" w:color="auto" w:fill="auto"/>
            <w:vAlign w:val="center"/>
            <w:hideMark/>
          </w:tcPr>
          <w:p w:rsidR="00DE031E" w:rsidRPr="00D73AB7" w:rsidRDefault="001C1A59" w:rsidP="00DE031E">
            <w:pPr>
              <w:spacing w:line="360" w:lineRule="auto"/>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9,146,541,680.77</w:t>
            </w:r>
          </w:p>
        </w:tc>
        <w:tc>
          <w:tcPr>
            <w:tcW w:w="1436" w:type="pct"/>
            <w:tcBorders>
              <w:top w:val="nil"/>
              <w:left w:val="nil"/>
              <w:bottom w:val="nil"/>
              <w:right w:val="nil"/>
            </w:tcBorders>
            <w:shd w:val="clear" w:color="auto" w:fill="auto"/>
            <w:noWrap/>
            <w:vAlign w:val="center"/>
            <w:hideMark/>
          </w:tcPr>
          <w:p w:rsidR="00DE031E" w:rsidRPr="00D73AB7" w:rsidRDefault="001C1A59" w:rsidP="00DE031E">
            <w:pPr>
              <w:spacing w:line="360" w:lineRule="auto"/>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8,650,452,451.17</w:t>
            </w:r>
          </w:p>
        </w:tc>
      </w:tr>
      <w:tr w:rsidR="00DE031E" w:rsidRPr="00D73AB7" w:rsidTr="00DE031E">
        <w:trPr>
          <w:trHeight w:val="270"/>
        </w:trPr>
        <w:tc>
          <w:tcPr>
            <w:tcW w:w="2128" w:type="pct"/>
            <w:tcBorders>
              <w:top w:val="nil"/>
              <w:left w:val="nil"/>
              <w:bottom w:val="nil"/>
              <w:right w:val="nil"/>
            </w:tcBorders>
            <w:shd w:val="clear" w:color="auto" w:fill="auto"/>
            <w:noWrap/>
            <w:vAlign w:val="center"/>
            <w:hideMark/>
          </w:tcPr>
          <w:p w:rsidR="00DE031E" w:rsidRPr="00D73AB7" w:rsidRDefault="001C1A59" w:rsidP="00DE031E">
            <w:pPr>
              <w:spacing w:line="360" w:lineRule="auto"/>
              <w:rPr>
                <w:rFonts w:asciiTheme="minorEastAsia" w:eastAsiaTheme="minorEastAsia" w:hAnsiTheme="minorEastAsia"/>
                <w:color w:val="000000"/>
                <w:szCs w:val="21"/>
              </w:rPr>
            </w:pPr>
            <w:r w:rsidRPr="00D73AB7">
              <w:rPr>
                <w:rFonts w:asciiTheme="minorEastAsia" w:eastAsiaTheme="minorEastAsia" w:hAnsiTheme="minorEastAsia" w:hint="eastAsia"/>
                <w:color w:val="000000"/>
                <w:szCs w:val="21"/>
              </w:rPr>
              <w:t>减：长期股权投资减值准备</w:t>
            </w:r>
          </w:p>
        </w:tc>
        <w:tc>
          <w:tcPr>
            <w:tcW w:w="1436" w:type="pct"/>
            <w:tcBorders>
              <w:top w:val="nil"/>
              <w:left w:val="nil"/>
              <w:bottom w:val="nil"/>
              <w:right w:val="nil"/>
            </w:tcBorders>
            <w:shd w:val="clear" w:color="auto" w:fill="auto"/>
            <w:vAlign w:val="center"/>
            <w:hideMark/>
          </w:tcPr>
          <w:p w:rsidR="00DE031E" w:rsidRPr="00D73AB7" w:rsidRDefault="001C1A59" w:rsidP="00DE031E">
            <w:pPr>
              <w:spacing w:line="360" w:lineRule="auto"/>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669,149,595.78</w:t>
            </w:r>
          </w:p>
        </w:tc>
        <w:tc>
          <w:tcPr>
            <w:tcW w:w="1436" w:type="pct"/>
            <w:tcBorders>
              <w:top w:val="nil"/>
              <w:left w:val="nil"/>
              <w:bottom w:val="nil"/>
              <w:right w:val="nil"/>
            </w:tcBorders>
            <w:shd w:val="clear" w:color="auto" w:fill="auto"/>
            <w:noWrap/>
            <w:vAlign w:val="center"/>
            <w:hideMark/>
          </w:tcPr>
          <w:p w:rsidR="00DE031E" w:rsidRPr="00D73AB7" w:rsidRDefault="001C1A59" w:rsidP="00DE031E">
            <w:pPr>
              <w:spacing w:line="360" w:lineRule="auto"/>
              <w:jc w:val="right"/>
              <w:rPr>
                <w:rFonts w:asciiTheme="minorEastAsia" w:eastAsiaTheme="minorEastAsia" w:hAnsiTheme="minorEastAsia" w:cs="Arial"/>
                <w:color w:val="000000"/>
                <w:szCs w:val="21"/>
              </w:rPr>
            </w:pPr>
            <w:r w:rsidRPr="00D73AB7">
              <w:rPr>
                <w:rFonts w:asciiTheme="minorEastAsia" w:eastAsiaTheme="minorEastAsia" w:hAnsiTheme="minorEastAsia" w:cs="Arial"/>
                <w:color w:val="000000"/>
                <w:szCs w:val="21"/>
              </w:rPr>
              <w:t>669,149,595.78</w:t>
            </w:r>
          </w:p>
        </w:tc>
      </w:tr>
      <w:tr w:rsidR="00DE031E" w:rsidRPr="00D73AB7" w:rsidTr="00DE031E">
        <w:trPr>
          <w:trHeight w:val="270"/>
        </w:trPr>
        <w:tc>
          <w:tcPr>
            <w:tcW w:w="2128" w:type="pct"/>
            <w:tcBorders>
              <w:top w:val="nil"/>
              <w:left w:val="nil"/>
              <w:bottom w:val="nil"/>
              <w:right w:val="nil"/>
            </w:tcBorders>
            <w:shd w:val="clear" w:color="auto" w:fill="auto"/>
            <w:noWrap/>
            <w:vAlign w:val="center"/>
            <w:hideMark/>
          </w:tcPr>
          <w:p w:rsidR="00DE031E" w:rsidRPr="00D73AB7" w:rsidRDefault="001C1A59" w:rsidP="00DE031E">
            <w:pPr>
              <w:spacing w:line="360" w:lineRule="auto"/>
              <w:rPr>
                <w:rFonts w:asciiTheme="minorEastAsia" w:eastAsiaTheme="minorEastAsia" w:hAnsiTheme="minorEastAsia"/>
                <w:b/>
                <w:bCs/>
                <w:color w:val="000000"/>
                <w:szCs w:val="21"/>
              </w:rPr>
            </w:pPr>
            <w:r w:rsidRPr="00D73AB7">
              <w:rPr>
                <w:rFonts w:asciiTheme="minorEastAsia" w:eastAsiaTheme="minorEastAsia" w:hAnsiTheme="minorEastAsia" w:hint="eastAsia"/>
                <w:b/>
                <w:bCs/>
                <w:color w:val="000000"/>
                <w:szCs w:val="21"/>
              </w:rPr>
              <w:t>长期股权投资账面价值</w:t>
            </w:r>
          </w:p>
        </w:tc>
        <w:tc>
          <w:tcPr>
            <w:tcW w:w="1436" w:type="pct"/>
            <w:tcBorders>
              <w:top w:val="nil"/>
              <w:left w:val="nil"/>
              <w:bottom w:val="nil"/>
              <w:right w:val="nil"/>
            </w:tcBorders>
            <w:shd w:val="clear" w:color="auto" w:fill="auto"/>
            <w:vAlign w:val="center"/>
            <w:hideMark/>
          </w:tcPr>
          <w:p w:rsidR="00DE031E" w:rsidRPr="00D73AB7" w:rsidRDefault="001C1A59" w:rsidP="00DE031E">
            <w:pPr>
              <w:spacing w:line="360" w:lineRule="auto"/>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8,477,392,084.99</w:t>
            </w:r>
          </w:p>
        </w:tc>
        <w:tc>
          <w:tcPr>
            <w:tcW w:w="1436" w:type="pct"/>
            <w:tcBorders>
              <w:top w:val="nil"/>
              <w:left w:val="nil"/>
              <w:bottom w:val="nil"/>
              <w:right w:val="nil"/>
            </w:tcBorders>
            <w:shd w:val="clear" w:color="auto" w:fill="auto"/>
            <w:noWrap/>
            <w:vAlign w:val="center"/>
            <w:hideMark/>
          </w:tcPr>
          <w:p w:rsidR="00DE031E" w:rsidRPr="00D73AB7" w:rsidRDefault="001C1A59" w:rsidP="00DE031E">
            <w:pPr>
              <w:spacing w:line="360" w:lineRule="auto"/>
              <w:jc w:val="right"/>
              <w:rPr>
                <w:rFonts w:asciiTheme="minorEastAsia" w:eastAsiaTheme="minorEastAsia" w:hAnsiTheme="minorEastAsia" w:cs="Arial"/>
                <w:b/>
                <w:bCs/>
                <w:color w:val="000000"/>
                <w:szCs w:val="21"/>
              </w:rPr>
            </w:pPr>
            <w:r w:rsidRPr="00D73AB7">
              <w:rPr>
                <w:rFonts w:asciiTheme="minorEastAsia" w:eastAsiaTheme="minorEastAsia" w:hAnsiTheme="minorEastAsia" w:cs="Arial"/>
                <w:b/>
                <w:bCs/>
                <w:color w:val="000000"/>
                <w:szCs w:val="21"/>
              </w:rPr>
              <w:t>7,981,302,855.39</w:t>
            </w:r>
          </w:p>
        </w:tc>
      </w:tr>
    </w:tbl>
    <w:p w:rsidR="00DE031E" w:rsidRDefault="001C1A59">
      <w:r>
        <w:br w:type="page"/>
      </w:r>
    </w:p>
    <w:p w:rsidR="00DE031E" w:rsidRDefault="00DE031E">
      <w:pPr>
        <w:sectPr w:rsidR="00DE031E" w:rsidSect="00DE031E">
          <w:headerReference w:type="default" r:id="rId25"/>
          <w:pgSz w:w="11906" w:h="16838"/>
          <w:pgMar w:top="1525" w:right="1276" w:bottom="1440" w:left="1797" w:header="856" w:footer="992" w:gutter="0"/>
          <w:cols w:space="425"/>
          <w:docGrid w:linePitch="312"/>
        </w:sectPr>
      </w:pPr>
    </w:p>
    <w:p w:rsidR="00DE031E" w:rsidRPr="005417CA" w:rsidRDefault="001C1A59" w:rsidP="009950AC">
      <w:pPr>
        <w:pStyle w:val="a9"/>
        <w:numPr>
          <w:ilvl w:val="0"/>
          <w:numId w:val="62"/>
        </w:numPr>
        <w:ind w:firstLineChars="0"/>
        <w:rPr>
          <w:rFonts w:ascii="Arial" w:hAnsi="Arial" w:cs="Arial"/>
          <w:sz w:val="22"/>
        </w:rPr>
      </w:pPr>
      <w:r w:rsidRPr="005417CA">
        <w:rPr>
          <w:rFonts w:ascii="Arial" w:hAnsi="Arial" w:cs="Arial"/>
          <w:sz w:val="22"/>
        </w:rPr>
        <w:lastRenderedPageBreak/>
        <w:t>对子公司的投资</w:t>
      </w:r>
    </w:p>
    <w:tbl>
      <w:tblPr>
        <w:tblW w:w="5044" w:type="pct"/>
        <w:jc w:val="center"/>
        <w:tblLook w:val="04A0"/>
      </w:tblPr>
      <w:tblGrid>
        <w:gridCol w:w="2735"/>
        <w:gridCol w:w="1873"/>
        <w:gridCol w:w="1873"/>
        <w:gridCol w:w="1873"/>
        <w:gridCol w:w="1936"/>
        <w:gridCol w:w="1936"/>
        <w:gridCol w:w="1987"/>
      </w:tblGrid>
      <w:tr w:rsidR="00DE031E" w:rsidRPr="00D73AB7" w:rsidTr="00DE031E">
        <w:trPr>
          <w:trHeight w:val="369"/>
          <w:jc w:val="center"/>
        </w:trPr>
        <w:tc>
          <w:tcPr>
            <w:tcW w:w="962" w:type="pct"/>
            <w:tcBorders>
              <w:top w:val="nil"/>
              <w:left w:val="nil"/>
              <w:bottom w:val="nil"/>
              <w:right w:val="nil"/>
            </w:tcBorders>
            <w:shd w:val="clear" w:color="auto" w:fill="auto"/>
            <w:noWrap/>
            <w:vAlign w:val="center"/>
            <w:hideMark/>
          </w:tcPr>
          <w:p w:rsidR="00DE031E" w:rsidRPr="00D73AB7" w:rsidRDefault="001C1A59" w:rsidP="00DE031E">
            <w:pPr>
              <w:rPr>
                <w:rFonts w:ascii="Arial" w:hAnsi="Arial" w:cs="Arial"/>
                <w:b/>
                <w:bCs/>
                <w:color w:val="000000"/>
                <w:sz w:val="18"/>
                <w:szCs w:val="18"/>
              </w:rPr>
            </w:pPr>
            <w:r w:rsidRPr="00D73AB7">
              <w:rPr>
                <w:rFonts w:ascii="Arial" w:hAnsi="Arial" w:cs="Arial"/>
                <w:b/>
                <w:bCs/>
                <w:color w:val="000000"/>
                <w:sz w:val="18"/>
                <w:szCs w:val="18"/>
              </w:rPr>
              <w:t>被投资单位</w:t>
            </w:r>
          </w:p>
        </w:tc>
        <w:tc>
          <w:tcPr>
            <w:tcW w:w="659" w:type="pct"/>
            <w:tcBorders>
              <w:top w:val="nil"/>
              <w:left w:val="nil"/>
              <w:bottom w:val="nil"/>
              <w:right w:val="nil"/>
            </w:tcBorders>
            <w:vAlign w:val="center"/>
          </w:tcPr>
          <w:p w:rsidR="00DE031E" w:rsidRPr="00D73AB7" w:rsidRDefault="001C1A59" w:rsidP="00DE031E">
            <w:pPr>
              <w:jc w:val="right"/>
              <w:rPr>
                <w:rFonts w:ascii="Arial" w:hAnsi="Arial" w:cs="Arial"/>
                <w:b/>
                <w:bCs/>
                <w:color w:val="000000"/>
                <w:sz w:val="18"/>
                <w:szCs w:val="18"/>
              </w:rPr>
            </w:pPr>
            <w:r w:rsidRPr="00D73AB7">
              <w:rPr>
                <w:rFonts w:ascii="Arial" w:hAnsi="Arial" w:cs="Arial" w:hint="eastAsia"/>
                <w:b/>
                <w:bCs/>
                <w:color w:val="000000"/>
                <w:sz w:val="18"/>
                <w:szCs w:val="18"/>
              </w:rPr>
              <w:t>2014</w:t>
            </w:r>
            <w:r w:rsidRPr="00D73AB7">
              <w:rPr>
                <w:rFonts w:ascii="Arial" w:hAnsi="Arial" w:cs="Arial" w:hint="eastAsia"/>
                <w:b/>
                <w:bCs/>
                <w:color w:val="000000"/>
                <w:sz w:val="18"/>
                <w:szCs w:val="18"/>
              </w:rPr>
              <w:t>年</w:t>
            </w:r>
            <w:r w:rsidRPr="00D73AB7">
              <w:rPr>
                <w:rFonts w:ascii="Arial" w:hAnsi="Arial" w:cs="Arial" w:hint="eastAsia"/>
                <w:b/>
                <w:bCs/>
                <w:color w:val="000000"/>
                <w:sz w:val="18"/>
                <w:szCs w:val="18"/>
              </w:rPr>
              <w:t>12</w:t>
            </w:r>
            <w:r w:rsidRPr="00D73AB7">
              <w:rPr>
                <w:rFonts w:ascii="Arial" w:hAnsi="Arial" w:cs="Arial" w:hint="eastAsia"/>
                <w:b/>
                <w:bCs/>
                <w:color w:val="000000"/>
                <w:sz w:val="18"/>
                <w:szCs w:val="18"/>
              </w:rPr>
              <w:t>月</w:t>
            </w:r>
            <w:r w:rsidRPr="00D73AB7">
              <w:rPr>
                <w:rFonts w:ascii="Arial" w:hAnsi="Arial" w:cs="Arial" w:hint="eastAsia"/>
                <w:b/>
                <w:bCs/>
                <w:color w:val="000000"/>
                <w:sz w:val="18"/>
                <w:szCs w:val="18"/>
              </w:rPr>
              <w:t>31</w:t>
            </w:r>
            <w:r w:rsidRPr="00D73AB7">
              <w:rPr>
                <w:rFonts w:ascii="Arial" w:hAnsi="Arial" w:cs="Arial" w:hint="eastAsia"/>
                <w:b/>
                <w:bCs/>
                <w:color w:val="000000"/>
                <w:sz w:val="18"/>
                <w:szCs w:val="18"/>
              </w:rPr>
              <w:t>日</w:t>
            </w:r>
          </w:p>
        </w:tc>
        <w:tc>
          <w:tcPr>
            <w:tcW w:w="659"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本年增加</w:t>
            </w:r>
          </w:p>
        </w:tc>
        <w:tc>
          <w:tcPr>
            <w:tcW w:w="659"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本年减少</w:t>
            </w:r>
          </w:p>
        </w:tc>
        <w:tc>
          <w:tcPr>
            <w:tcW w:w="681"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hint="eastAsia"/>
                <w:b/>
                <w:bCs/>
                <w:color w:val="000000"/>
                <w:sz w:val="18"/>
                <w:szCs w:val="18"/>
              </w:rPr>
              <w:t>2015</w:t>
            </w:r>
            <w:r w:rsidRPr="00D73AB7">
              <w:rPr>
                <w:rFonts w:ascii="Arial" w:hAnsi="Arial" w:cs="Arial" w:hint="eastAsia"/>
                <w:b/>
                <w:bCs/>
                <w:color w:val="000000"/>
                <w:sz w:val="18"/>
                <w:szCs w:val="18"/>
              </w:rPr>
              <w:t>年</w:t>
            </w:r>
            <w:r w:rsidRPr="00D73AB7">
              <w:rPr>
                <w:rFonts w:ascii="Arial" w:hAnsi="Arial" w:cs="Arial" w:hint="eastAsia"/>
                <w:b/>
                <w:bCs/>
                <w:color w:val="000000"/>
                <w:sz w:val="18"/>
                <w:szCs w:val="18"/>
              </w:rPr>
              <w:t>6</w:t>
            </w:r>
            <w:r w:rsidRPr="00D73AB7">
              <w:rPr>
                <w:rFonts w:ascii="Arial" w:hAnsi="Arial" w:cs="Arial" w:hint="eastAsia"/>
                <w:b/>
                <w:bCs/>
                <w:color w:val="000000"/>
                <w:sz w:val="18"/>
                <w:szCs w:val="18"/>
              </w:rPr>
              <w:t>月</w:t>
            </w:r>
            <w:r w:rsidRPr="00D73AB7">
              <w:rPr>
                <w:rFonts w:ascii="Arial" w:hAnsi="Arial" w:cs="Arial" w:hint="eastAsia"/>
                <w:b/>
                <w:bCs/>
                <w:color w:val="000000"/>
                <w:sz w:val="18"/>
                <w:szCs w:val="18"/>
              </w:rPr>
              <w:t>30</w:t>
            </w:r>
            <w:r w:rsidRPr="00D73AB7">
              <w:rPr>
                <w:rFonts w:ascii="Arial" w:hAnsi="Arial" w:cs="Arial" w:hint="eastAsia"/>
                <w:b/>
                <w:bCs/>
                <w:color w:val="000000"/>
                <w:sz w:val="18"/>
                <w:szCs w:val="18"/>
              </w:rPr>
              <w:t>日</w:t>
            </w:r>
          </w:p>
        </w:tc>
        <w:tc>
          <w:tcPr>
            <w:tcW w:w="681"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本年计提减值准备</w:t>
            </w:r>
          </w:p>
        </w:tc>
        <w:tc>
          <w:tcPr>
            <w:tcW w:w="699"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减值准备年末余额</w:t>
            </w:r>
          </w:p>
        </w:tc>
      </w:tr>
      <w:tr w:rsidR="00DE031E" w:rsidRPr="00D73AB7" w:rsidTr="00DE031E">
        <w:trPr>
          <w:trHeight w:val="369"/>
          <w:jc w:val="center"/>
        </w:trPr>
        <w:tc>
          <w:tcPr>
            <w:tcW w:w="962" w:type="pct"/>
            <w:tcBorders>
              <w:top w:val="nil"/>
              <w:left w:val="nil"/>
              <w:bottom w:val="nil"/>
              <w:right w:val="nil"/>
            </w:tcBorders>
            <w:shd w:val="clear" w:color="auto" w:fill="auto"/>
            <w:noWrap/>
            <w:vAlign w:val="center"/>
            <w:hideMark/>
          </w:tcPr>
          <w:p w:rsidR="00DE031E" w:rsidRPr="00D73AB7" w:rsidRDefault="001C1A59" w:rsidP="00DE031E">
            <w:pPr>
              <w:rPr>
                <w:rFonts w:ascii="Arial" w:hAnsi="Arial" w:cs="Arial"/>
                <w:color w:val="000000"/>
                <w:sz w:val="18"/>
                <w:szCs w:val="18"/>
              </w:rPr>
            </w:pPr>
            <w:r w:rsidRPr="00D73AB7">
              <w:rPr>
                <w:rFonts w:ascii="Arial" w:hAnsi="Arial" w:cs="Arial"/>
                <w:color w:val="000000"/>
                <w:sz w:val="18"/>
                <w:szCs w:val="18"/>
              </w:rPr>
              <w:t>招商期货有限公司</w:t>
            </w:r>
          </w:p>
        </w:tc>
        <w:tc>
          <w:tcPr>
            <w:tcW w:w="659" w:type="pct"/>
            <w:tcBorders>
              <w:top w:val="nil"/>
              <w:left w:val="nil"/>
              <w:bottom w:val="nil"/>
              <w:right w:val="nil"/>
            </w:tcBorders>
            <w:vAlign w:val="center"/>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631,959,700.00</w:t>
            </w:r>
          </w:p>
        </w:tc>
        <w:tc>
          <w:tcPr>
            <w:tcW w:w="65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5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81" w:type="pct"/>
            <w:tcBorders>
              <w:top w:val="nil"/>
              <w:left w:val="nil"/>
              <w:bottom w:val="nil"/>
              <w:right w:val="nil"/>
            </w:tcBorders>
            <w:shd w:val="clear" w:color="auto" w:fill="auto"/>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631,959,700.00</w:t>
            </w:r>
          </w:p>
        </w:tc>
        <w:tc>
          <w:tcPr>
            <w:tcW w:w="681"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9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962" w:type="pct"/>
            <w:tcBorders>
              <w:top w:val="nil"/>
              <w:left w:val="nil"/>
              <w:bottom w:val="nil"/>
              <w:right w:val="nil"/>
            </w:tcBorders>
            <w:shd w:val="clear" w:color="auto" w:fill="auto"/>
            <w:noWrap/>
            <w:vAlign w:val="center"/>
            <w:hideMark/>
          </w:tcPr>
          <w:p w:rsidR="00DE031E" w:rsidRPr="00D73AB7" w:rsidRDefault="001C1A59" w:rsidP="00DE031E">
            <w:pPr>
              <w:rPr>
                <w:rFonts w:ascii="Arial" w:hAnsi="Arial" w:cs="Arial"/>
                <w:color w:val="000000"/>
                <w:sz w:val="18"/>
                <w:szCs w:val="18"/>
              </w:rPr>
            </w:pPr>
            <w:r w:rsidRPr="00D73AB7">
              <w:rPr>
                <w:rFonts w:ascii="Arial" w:hAnsi="Arial" w:cs="Arial"/>
                <w:color w:val="000000"/>
                <w:sz w:val="18"/>
                <w:szCs w:val="18"/>
              </w:rPr>
              <w:t>招商致远资本投资有限公司</w:t>
            </w:r>
          </w:p>
        </w:tc>
        <w:tc>
          <w:tcPr>
            <w:tcW w:w="659" w:type="pct"/>
            <w:tcBorders>
              <w:top w:val="nil"/>
              <w:left w:val="nil"/>
              <w:bottom w:val="nil"/>
              <w:right w:val="nil"/>
            </w:tcBorders>
            <w:vAlign w:val="center"/>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1,050,000,000.00</w:t>
            </w:r>
          </w:p>
        </w:tc>
        <w:tc>
          <w:tcPr>
            <w:tcW w:w="65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5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81" w:type="pct"/>
            <w:tcBorders>
              <w:top w:val="nil"/>
              <w:left w:val="nil"/>
              <w:bottom w:val="nil"/>
              <w:right w:val="nil"/>
            </w:tcBorders>
            <w:shd w:val="clear" w:color="auto" w:fill="auto"/>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1,050,000,000.00</w:t>
            </w:r>
          </w:p>
        </w:tc>
        <w:tc>
          <w:tcPr>
            <w:tcW w:w="681"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9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962" w:type="pct"/>
            <w:tcBorders>
              <w:top w:val="nil"/>
              <w:left w:val="nil"/>
              <w:bottom w:val="nil"/>
              <w:right w:val="nil"/>
            </w:tcBorders>
            <w:shd w:val="clear" w:color="auto" w:fill="auto"/>
            <w:vAlign w:val="center"/>
            <w:hideMark/>
          </w:tcPr>
          <w:p w:rsidR="00DE031E" w:rsidRPr="00D73AB7" w:rsidRDefault="001C1A59" w:rsidP="00DE031E">
            <w:pPr>
              <w:rPr>
                <w:rFonts w:ascii="Arial" w:hAnsi="Arial" w:cs="Arial"/>
                <w:color w:val="000000"/>
                <w:sz w:val="18"/>
                <w:szCs w:val="18"/>
              </w:rPr>
            </w:pPr>
            <w:r w:rsidRPr="00D73AB7">
              <w:rPr>
                <w:rFonts w:ascii="Arial" w:hAnsi="Arial" w:cs="Arial"/>
                <w:color w:val="000000"/>
                <w:sz w:val="18"/>
                <w:szCs w:val="18"/>
              </w:rPr>
              <w:t>招商证券国际有限公司</w:t>
            </w:r>
          </w:p>
        </w:tc>
        <w:tc>
          <w:tcPr>
            <w:tcW w:w="659" w:type="pct"/>
            <w:tcBorders>
              <w:top w:val="nil"/>
              <w:left w:val="nil"/>
              <w:bottom w:val="nil"/>
              <w:right w:val="nil"/>
            </w:tcBorders>
            <w:vAlign w:val="center"/>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1,576,059,522.62</w:t>
            </w:r>
          </w:p>
        </w:tc>
        <w:tc>
          <w:tcPr>
            <w:tcW w:w="65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5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81" w:type="pct"/>
            <w:tcBorders>
              <w:top w:val="nil"/>
              <w:left w:val="nil"/>
              <w:bottom w:val="nil"/>
              <w:right w:val="nil"/>
            </w:tcBorders>
            <w:shd w:val="clear" w:color="auto" w:fill="auto"/>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1,576,059,522.62</w:t>
            </w:r>
          </w:p>
        </w:tc>
        <w:tc>
          <w:tcPr>
            <w:tcW w:w="681"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9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962" w:type="pct"/>
            <w:tcBorders>
              <w:top w:val="nil"/>
              <w:left w:val="nil"/>
              <w:bottom w:val="nil"/>
              <w:right w:val="nil"/>
            </w:tcBorders>
            <w:shd w:val="clear" w:color="auto" w:fill="auto"/>
            <w:vAlign w:val="center"/>
            <w:hideMark/>
          </w:tcPr>
          <w:p w:rsidR="00DE031E" w:rsidRPr="00D73AB7" w:rsidRDefault="001C1A59" w:rsidP="00DE031E">
            <w:pPr>
              <w:rPr>
                <w:rFonts w:ascii="Arial" w:hAnsi="Arial" w:cs="Arial"/>
                <w:color w:val="000000"/>
                <w:sz w:val="18"/>
                <w:szCs w:val="18"/>
              </w:rPr>
            </w:pPr>
            <w:r w:rsidRPr="00D73AB7">
              <w:rPr>
                <w:rFonts w:ascii="Arial" w:hAnsi="Arial" w:cs="Arial"/>
                <w:color w:val="000000"/>
                <w:sz w:val="18"/>
                <w:szCs w:val="18"/>
              </w:rPr>
              <w:t>招商证券投资有限公司</w:t>
            </w:r>
          </w:p>
        </w:tc>
        <w:tc>
          <w:tcPr>
            <w:tcW w:w="659" w:type="pct"/>
            <w:tcBorders>
              <w:top w:val="nil"/>
              <w:left w:val="nil"/>
              <w:bottom w:val="nil"/>
              <w:right w:val="nil"/>
            </w:tcBorders>
            <w:vAlign w:val="center"/>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300,000,000.00</w:t>
            </w:r>
          </w:p>
        </w:tc>
        <w:tc>
          <w:tcPr>
            <w:tcW w:w="659" w:type="pct"/>
            <w:tcBorders>
              <w:top w:val="nil"/>
              <w:left w:val="nil"/>
              <w:bottom w:val="nil"/>
              <w:right w:val="nil"/>
            </w:tcBorders>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659" w:type="pct"/>
            <w:tcBorders>
              <w:top w:val="nil"/>
              <w:left w:val="nil"/>
              <w:bottom w:val="nil"/>
              <w:right w:val="nil"/>
            </w:tcBorders>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681"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300,000,000.00</w:t>
            </w:r>
          </w:p>
        </w:tc>
        <w:tc>
          <w:tcPr>
            <w:tcW w:w="681"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9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962" w:type="pct"/>
            <w:tcBorders>
              <w:top w:val="nil"/>
              <w:left w:val="nil"/>
              <w:bottom w:val="nil"/>
              <w:right w:val="nil"/>
            </w:tcBorders>
            <w:shd w:val="clear" w:color="auto" w:fill="auto"/>
            <w:vAlign w:val="center"/>
            <w:hideMark/>
          </w:tcPr>
          <w:p w:rsidR="00DE031E" w:rsidRPr="00D73AB7" w:rsidRDefault="001C1A59" w:rsidP="00DE031E">
            <w:pPr>
              <w:rPr>
                <w:rFonts w:ascii="Arial" w:hAnsi="Arial" w:cs="Arial"/>
                <w:bCs/>
                <w:color w:val="000000"/>
                <w:sz w:val="18"/>
                <w:szCs w:val="18"/>
              </w:rPr>
            </w:pPr>
            <w:r w:rsidRPr="00D73AB7">
              <w:rPr>
                <w:rFonts w:ascii="Arial" w:hAnsi="Arial" w:cs="Arial" w:hint="eastAsia"/>
                <w:bCs/>
                <w:color w:val="000000"/>
                <w:sz w:val="18"/>
                <w:szCs w:val="18"/>
              </w:rPr>
              <w:t>招商证券资产管理有限公司</w:t>
            </w:r>
          </w:p>
        </w:tc>
        <w:tc>
          <w:tcPr>
            <w:tcW w:w="659" w:type="pct"/>
            <w:tcBorders>
              <w:top w:val="nil"/>
              <w:left w:val="nil"/>
              <w:bottom w:val="nil"/>
              <w:right w:val="nil"/>
            </w:tcBorders>
            <w:vAlign w:val="center"/>
          </w:tcPr>
          <w:p w:rsidR="00DE031E" w:rsidRPr="00D73AB7" w:rsidRDefault="00DE031E" w:rsidP="00DE031E">
            <w:pPr>
              <w:jc w:val="right"/>
              <w:rPr>
                <w:rFonts w:ascii="Arial" w:hAnsi="Arial" w:cs="Arial"/>
                <w:color w:val="000000"/>
                <w:sz w:val="18"/>
                <w:szCs w:val="18"/>
              </w:rPr>
            </w:pPr>
          </w:p>
        </w:tc>
        <w:tc>
          <w:tcPr>
            <w:tcW w:w="659"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300,000,000.00</w:t>
            </w:r>
          </w:p>
        </w:tc>
        <w:tc>
          <w:tcPr>
            <w:tcW w:w="659" w:type="pct"/>
            <w:tcBorders>
              <w:top w:val="nil"/>
              <w:left w:val="nil"/>
              <w:bottom w:val="nil"/>
              <w:right w:val="nil"/>
            </w:tcBorders>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681"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300,000,000.00</w:t>
            </w:r>
          </w:p>
        </w:tc>
        <w:tc>
          <w:tcPr>
            <w:tcW w:w="681"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c>
          <w:tcPr>
            <w:tcW w:w="69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962" w:type="pct"/>
            <w:tcBorders>
              <w:top w:val="nil"/>
              <w:left w:val="nil"/>
              <w:bottom w:val="nil"/>
              <w:right w:val="nil"/>
            </w:tcBorders>
            <w:shd w:val="clear" w:color="auto" w:fill="auto"/>
            <w:vAlign w:val="center"/>
            <w:hideMark/>
          </w:tcPr>
          <w:p w:rsidR="00DE031E" w:rsidRPr="00D73AB7" w:rsidRDefault="001C1A59" w:rsidP="00DE031E">
            <w:pPr>
              <w:rPr>
                <w:rFonts w:ascii="Arial" w:hAnsi="Arial" w:cs="Arial"/>
                <w:b/>
                <w:bCs/>
                <w:color w:val="000000"/>
                <w:sz w:val="18"/>
                <w:szCs w:val="18"/>
              </w:rPr>
            </w:pPr>
            <w:r w:rsidRPr="00D73AB7">
              <w:rPr>
                <w:rFonts w:ascii="Arial" w:hAnsi="Arial" w:cs="Arial"/>
                <w:b/>
                <w:bCs/>
                <w:color w:val="000000"/>
                <w:sz w:val="18"/>
                <w:szCs w:val="18"/>
              </w:rPr>
              <w:t>合计</w:t>
            </w:r>
          </w:p>
        </w:tc>
        <w:tc>
          <w:tcPr>
            <w:tcW w:w="659" w:type="pct"/>
            <w:tcBorders>
              <w:top w:val="nil"/>
              <w:left w:val="nil"/>
              <w:bottom w:val="nil"/>
              <w:right w:val="nil"/>
            </w:tcBorders>
            <w:vAlign w:val="center"/>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3,558,019,222.62</w:t>
            </w:r>
          </w:p>
        </w:tc>
        <w:tc>
          <w:tcPr>
            <w:tcW w:w="659"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300,000,000.00</w:t>
            </w:r>
          </w:p>
        </w:tc>
        <w:tc>
          <w:tcPr>
            <w:tcW w:w="659" w:type="pct"/>
            <w:tcBorders>
              <w:top w:val="nil"/>
              <w:left w:val="nil"/>
              <w:bottom w:val="nil"/>
              <w:right w:val="nil"/>
            </w:tcBorders>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681" w:type="pct"/>
            <w:tcBorders>
              <w:top w:val="nil"/>
              <w:left w:val="nil"/>
              <w:bottom w:val="nil"/>
              <w:right w:val="nil"/>
            </w:tcBorders>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3,858,019,222.62</w:t>
            </w:r>
          </w:p>
        </w:tc>
        <w:tc>
          <w:tcPr>
            <w:tcW w:w="681"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b/>
                <w:bCs/>
                <w:color w:val="000000"/>
                <w:sz w:val="18"/>
                <w:szCs w:val="18"/>
              </w:rPr>
            </w:pPr>
          </w:p>
        </w:tc>
        <w:tc>
          <w:tcPr>
            <w:tcW w:w="699" w:type="pct"/>
            <w:tcBorders>
              <w:top w:val="nil"/>
              <w:left w:val="nil"/>
              <w:bottom w:val="nil"/>
              <w:right w:val="nil"/>
            </w:tcBorders>
            <w:shd w:val="clear" w:color="auto" w:fill="auto"/>
            <w:vAlign w:val="center"/>
            <w:hideMark/>
          </w:tcPr>
          <w:p w:rsidR="00DE031E" w:rsidRPr="00D73AB7" w:rsidRDefault="00DE031E" w:rsidP="00DE031E">
            <w:pPr>
              <w:jc w:val="right"/>
              <w:rPr>
                <w:rFonts w:ascii="Arial" w:hAnsi="Arial" w:cs="Arial"/>
                <w:b/>
                <w:bCs/>
                <w:color w:val="000000"/>
                <w:sz w:val="18"/>
                <w:szCs w:val="18"/>
              </w:rPr>
            </w:pPr>
          </w:p>
        </w:tc>
      </w:tr>
    </w:tbl>
    <w:p w:rsidR="00DE031E" w:rsidRDefault="00DE031E" w:rsidP="00DE031E">
      <w:pPr>
        <w:pStyle w:val="a9"/>
        <w:ind w:left="720" w:firstLineChars="0" w:firstLine="0"/>
      </w:pPr>
    </w:p>
    <w:p w:rsidR="00DE031E" w:rsidRPr="00437FB4" w:rsidRDefault="001C1A59" w:rsidP="003A0284">
      <w:pPr>
        <w:pStyle w:val="31"/>
        <w:spacing w:beforeLines="50" w:afterLines="50" w:line="360" w:lineRule="exact"/>
        <w:ind w:firstLineChars="0"/>
        <w:rPr>
          <w:rFonts w:ascii="Arial" w:hAnsi="Arial" w:cs="Arial"/>
          <w:sz w:val="22"/>
          <w:szCs w:val="22"/>
        </w:rPr>
      </w:pPr>
      <w:r w:rsidRPr="00B84D84">
        <w:rPr>
          <w:rFonts w:ascii="Arial" w:hAnsi="Arial" w:cs="Arial"/>
          <w:sz w:val="22"/>
          <w:szCs w:val="22"/>
        </w:rPr>
        <w:t>（</w:t>
      </w:r>
      <w:r w:rsidRPr="00B84D84">
        <w:rPr>
          <w:rFonts w:ascii="Arial" w:hAnsi="Arial" w:cs="Arial"/>
          <w:sz w:val="22"/>
          <w:szCs w:val="22"/>
        </w:rPr>
        <w:t>3</w:t>
      </w:r>
      <w:r w:rsidRPr="00B84D84">
        <w:rPr>
          <w:rFonts w:ascii="Arial" w:hAnsi="Arial" w:cs="Arial"/>
          <w:sz w:val="22"/>
          <w:szCs w:val="22"/>
        </w:rPr>
        <w:t>）对合营企业、联营企业投资</w:t>
      </w:r>
    </w:p>
    <w:tbl>
      <w:tblPr>
        <w:tblW w:w="15044" w:type="dxa"/>
        <w:jc w:val="center"/>
        <w:tblLook w:val="04A0"/>
      </w:tblPr>
      <w:tblGrid>
        <w:gridCol w:w="2293"/>
        <w:gridCol w:w="1426"/>
        <w:gridCol w:w="1212"/>
        <w:gridCol w:w="630"/>
        <w:gridCol w:w="1468"/>
        <w:gridCol w:w="1037"/>
        <w:gridCol w:w="1267"/>
        <w:gridCol w:w="1468"/>
        <w:gridCol w:w="739"/>
        <w:gridCol w:w="418"/>
        <w:gridCol w:w="1618"/>
        <w:gridCol w:w="1468"/>
      </w:tblGrid>
      <w:tr w:rsidR="00DE031E" w:rsidRPr="00D73AB7" w:rsidTr="00DE031E">
        <w:trPr>
          <w:trHeight w:val="369"/>
          <w:jc w:val="center"/>
        </w:trPr>
        <w:tc>
          <w:tcPr>
            <w:tcW w:w="2303" w:type="dxa"/>
            <w:vMerge w:val="restart"/>
            <w:vAlign w:val="center"/>
          </w:tcPr>
          <w:p w:rsidR="00DE031E" w:rsidRPr="00D73AB7" w:rsidRDefault="001C1A59" w:rsidP="00DE031E">
            <w:pPr>
              <w:rPr>
                <w:rFonts w:ascii="Arial" w:hAnsi="Arial" w:cs="Arial"/>
                <w:b/>
                <w:bCs/>
                <w:color w:val="000000"/>
                <w:spacing w:val="-6"/>
                <w:sz w:val="18"/>
                <w:szCs w:val="18"/>
              </w:rPr>
            </w:pPr>
            <w:r w:rsidRPr="00D73AB7">
              <w:rPr>
                <w:rFonts w:ascii="Arial" w:hAnsi="Arial" w:cs="Arial"/>
                <w:b/>
                <w:bCs/>
                <w:color w:val="000000"/>
                <w:spacing w:val="-6"/>
                <w:sz w:val="18"/>
                <w:szCs w:val="18"/>
              </w:rPr>
              <w:t>被投资单位名称</w:t>
            </w:r>
          </w:p>
        </w:tc>
        <w:tc>
          <w:tcPr>
            <w:tcW w:w="1426" w:type="dxa"/>
            <w:vMerge w:val="restart"/>
            <w:vAlign w:val="center"/>
          </w:tcPr>
          <w:p w:rsidR="00DE031E" w:rsidRPr="00D73AB7" w:rsidRDefault="001C1A59" w:rsidP="00DE031E">
            <w:pPr>
              <w:jc w:val="center"/>
              <w:rPr>
                <w:rFonts w:ascii="Arial" w:hAnsi="Arial" w:cs="Arial"/>
                <w:b/>
                <w:bCs/>
                <w:color w:val="000000"/>
                <w:spacing w:val="-20"/>
                <w:sz w:val="18"/>
                <w:szCs w:val="18"/>
              </w:rPr>
            </w:pPr>
            <w:r w:rsidRPr="00D73AB7">
              <w:rPr>
                <w:rFonts w:ascii="Arial" w:hAnsi="Arial" w:cs="Arial" w:hint="eastAsia"/>
                <w:b/>
                <w:bCs/>
                <w:color w:val="000000"/>
                <w:spacing w:val="-20"/>
                <w:sz w:val="18"/>
                <w:szCs w:val="18"/>
              </w:rPr>
              <w:t>2014</w:t>
            </w:r>
            <w:r w:rsidRPr="00D73AB7">
              <w:rPr>
                <w:rFonts w:ascii="Arial" w:hAnsi="Arial" w:cs="Arial" w:hint="eastAsia"/>
                <w:b/>
                <w:bCs/>
                <w:color w:val="000000"/>
                <w:spacing w:val="-20"/>
                <w:sz w:val="18"/>
                <w:szCs w:val="18"/>
              </w:rPr>
              <w:t>年</w:t>
            </w:r>
            <w:r w:rsidRPr="00D73AB7">
              <w:rPr>
                <w:rFonts w:ascii="Arial" w:hAnsi="Arial" w:cs="Arial" w:hint="eastAsia"/>
                <w:b/>
                <w:bCs/>
                <w:color w:val="000000"/>
                <w:spacing w:val="-20"/>
                <w:sz w:val="18"/>
                <w:szCs w:val="18"/>
              </w:rPr>
              <w:t>12</w:t>
            </w:r>
            <w:r w:rsidRPr="00D73AB7">
              <w:rPr>
                <w:rFonts w:ascii="Arial" w:hAnsi="Arial" w:cs="Arial" w:hint="eastAsia"/>
                <w:b/>
                <w:bCs/>
                <w:color w:val="000000"/>
                <w:spacing w:val="-20"/>
                <w:sz w:val="18"/>
                <w:szCs w:val="18"/>
              </w:rPr>
              <w:t>月</w:t>
            </w:r>
            <w:r w:rsidRPr="00D73AB7">
              <w:rPr>
                <w:rFonts w:ascii="Arial" w:hAnsi="Arial" w:cs="Arial" w:hint="eastAsia"/>
                <w:b/>
                <w:bCs/>
                <w:color w:val="000000"/>
                <w:spacing w:val="-20"/>
                <w:sz w:val="18"/>
                <w:szCs w:val="18"/>
              </w:rPr>
              <w:t>31</w:t>
            </w:r>
            <w:r w:rsidRPr="00D73AB7">
              <w:rPr>
                <w:rFonts w:ascii="Arial" w:hAnsi="Arial" w:cs="Arial" w:hint="eastAsia"/>
                <w:b/>
                <w:bCs/>
                <w:color w:val="000000"/>
                <w:spacing w:val="-20"/>
                <w:sz w:val="18"/>
                <w:szCs w:val="18"/>
              </w:rPr>
              <w:t>日</w:t>
            </w:r>
          </w:p>
        </w:tc>
        <w:tc>
          <w:tcPr>
            <w:tcW w:w="8229" w:type="dxa"/>
            <w:gridSpan w:val="8"/>
            <w:shd w:val="clear" w:color="auto" w:fill="auto"/>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本年增减变动</w:t>
            </w:r>
          </w:p>
        </w:tc>
        <w:tc>
          <w:tcPr>
            <w:tcW w:w="1618" w:type="dxa"/>
            <w:vMerge w:val="restart"/>
            <w:shd w:val="clear" w:color="auto" w:fill="auto"/>
            <w:noWrap/>
            <w:vAlign w:val="center"/>
            <w:hideMark/>
          </w:tcPr>
          <w:p w:rsidR="00DE031E" w:rsidRPr="00D73AB7" w:rsidRDefault="001C1A59" w:rsidP="00DE031E">
            <w:pPr>
              <w:jc w:val="center"/>
              <w:rPr>
                <w:rFonts w:ascii="Arial" w:hAnsi="Arial" w:cs="Arial"/>
                <w:b/>
                <w:bCs/>
                <w:color w:val="000000"/>
                <w:spacing w:val="-20"/>
                <w:sz w:val="18"/>
                <w:szCs w:val="18"/>
              </w:rPr>
            </w:pPr>
            <w:r w:rsidRPr="00D73AB7">
              <w:rPr>
                <w:rFonts w:ascii="Arial" w:hAnsi="Arial" w:cs="Arial" w:hint="eastAsia"/>
                <w:b/>
                <w:bCs/>
                <w:color w:val="000000"/>
                <w:spacing w:val="-20"/>
                <w:sz w:val="18"/>
                <w:szCs w:val="18"/>
              </w:rPr>
              <w:t>2015</w:t>
            </w:r>
            <w:r w:rsidRPr="00D73AB7">
              <w:rPr>
                <w:rFonts w:ascii="Arial" w:hAnsi="Arial" w:cs="Arial" w:hint="eastAsia"/>
                <w:b/>
                <w:bCs/>
                <w:color w:val="000000"/>
                <w:spacing w:val="-20"/>
                <w:sz w:val="18"/>
                <w:szCs w:val="18"/>
              </w:rPr>
              <w:t>年</w:t>
            </w:r>
            <w:r w:rsidRPr="00D73AB7">
              <w:rPr>
                <w:rFonts w:ascii="Arial" w:hAnsi="Arial" w:cs="Arial" w:hint="eastAsia"/>
                <w:b/>
                <w:bCs/>
                <w:color w:val="000000"/>
                <w:spacing w:val="-20"/>
                <w:sz w:val="18"/>
                <w:szCs w:val="18"/>
              </w:rPr>
              <w:t>6</w:t>
            </w:r>
            <w:r w:rsidRPr="00D73AB7">
              <w:rPr>
                <w:rFonts w:ascii="Arial" w:hAnsi="Arial" w:cs="Arial" w:hint="eastAsia"/>
                <w:b/>
                <w:bCs/>
                <w:color w:val="000000"/>
                <w:spacing w:val="-20"/>
                <w:sz w:val="18"/>
                <w:szCs w:val="18"/>
              </w:rPr>
              <w:t>月</w:t>
            </w:r>
            <w:r w:rsidRPr="00D73AB7">
              <w:rPr>
                <w:rFonts w:ascii="Arial" w:hAnsi="Arial" w:cs="Arial" w:hint="eastAsia"/>
                <w:b/>
                <w:bCs/>
                <w:color w:val="000000"/>
                <w:spacing w:val="-20"/>
                <w:sz w:val="18"/>
                <w:szCs w:val="18"/>
              </w:rPr>
              <w:t>30</w:t>
            </w:r>
            <w:r w:rsidRPr="00D73AB7">
              <w:rPr>
                <w:rFonts w:ascii="Arial" w:hAnsi="Arial" w:cs="Arial" w:hint="eastAsia"/>
                <w:b/>
                <w:bCs/>
                <w:color w:val="000000"/>
                <w:spacing w:val="-20"/>
                <w:sz w:val="18"/>
                <w:szCs w:val="18"/>
              </w:rPr>
              <w:t>日</w:t>
            </w:r>
          </w:p>
        </w:tc>
        <w:tc>
          <w:tcPr>
            <w:tcW w:w="1468" w:type="dxa"/>
            <w:vMerge w:val="restart"/>
            <w:shd w:val="clear" w:color="auto" w:fill="auto"/>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减值准备</w:t>
            </w:r>
          </w:p>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年末余额</w:t>
            </w:r>
          </w:p>
        </w:tc>
      </w:tr>
      <w:tr w:rsidR="00DE031E" w:rsidRPr="00D73AB7" w:rsidTr="00DE031E">
        <w:trPr>
          <w:trHeight w:val="369"/>
          <w:jc w:val="center"/>
        </w:trPr>
        <w:tc>
          <w:tcPr>
            <w:tcW w:w="2303" w:type="dxa"/>
            <w:vMerge/>
            <w:vAlign w:val="center"/>
          </w:tcPr>
          <w:p w:rsidR="00DE031E" w:rsidRPr="00D73AB7" w:rsidRDefault="00DE031E" w:rsidP="00DE031E">
            <w:pPr>
              <w:rPr>
                <w:rFonts w:ascii="Arial" w:hAnsi="Arial" w:cs="Arial"/>
                <w:b/>
                <w:bCs/>
                <w:color w:val="000000"/>
                <w:spacing w:val="-6"/>
                <w:sz w:val="18"/>
                <w:szCs w:val="18"/>
              </w:rPr>
            </w:pPr>
          </w:p>
        </w:tc>
        <w:tc>
          <w:tcPr>
            <w:tcW w:w="1426" w:type="dxa"/>
            <w:vMerge/>
            <w:vAlign w:val="center"/>
          </w:tcPr>
          <w:p w:rsidR="00DE031E" w:rsidRPr="00D73AB7" w:rsidRDefault="00DE031E" w:rsidP="00DE031E">
            <w:pPr>
              <w:rPr>
                <w:rFonts w:ascii="Arial" w:hAnsi="Arial" w:cs="Arial"/>
                <w:b/>
                <w:bCs/>
                <w:color w:val="000000"/>
                <w:spacing w:val="-6"/>
                <w:sz w:val="18"/>
                <w:szCs w:val="18"/>
              </w:rPr>
            </w:pPr>
          </w:p>
        </w:tc>
        <w:tc>
          <w:tcPr>
            <w:tcW w:w="1212" w:type="dxa"/>
            <w:shd w:val="clear" w:color="auto" w:fill="auto"/>
            <w:noWrap/>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追加</w:t>
            </w:r>
          </w:p>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投资</w:t>
            </w:r>
          </w:p>
        </w:tc>
        <w:tc>
          <w:tcPr>
            <w:tcW w:w="630" w:type="dxa"/>
            <w:shd w:val="clear" w:color="auto" w:fill="auto"/>
            <w:noWrap/>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减少投资</w:t>
            </w:r>
          </w:p>
        </w:tc>
        <w:tc>
          <w:tcPr>
            <w:tcW w:w="1468" w:type="dxa"/>
            <w:shd w:val="clear" w:color="auto" w:fill="auto"/>
            <w:noWrap/>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权益法下确认的投资损益</w:t>
            </w:r>
          </w:p>
        </w:tc>
        <w:tc>
          <w:tcPr>
            <w:tcW w:w="1037" w:type="dxa"/>
            <w:shd w:val="clear" w:color="auto" w:fill="auto"/>
            <w:noWrap/>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其他综合收益调整</w:t>
            </w:r>
          </w:p>
        </w:tc>
        <w:tc>
          <w:tcPr>
            <w:tcW w:w="1267" w:type="dxa"/>
            <w:shd w:val="clear" w:color="auto" w:fill="auto"/>
            <w:noWrap/>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其他权</w:t>
            </w:r>
          </w:p>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益变动</w:t>
            </w:r>
          </w:p>
        </w:tc>
        <w:tc>
          <w:tcPr>
            <w:tcW w:w="1458" w:type="dxa"/>
            <w:shd w:val="clear" w:color="auto" w:fill="auto"/>
            <w:noWrap/>
            <w:vAlign w:val="center"/>
            <w:hideMark/>
          </w:tcPr>
          <w:p w:rsidR="00DE031E" w:rsidRPr="00D73AB7" w:rsidRDefault="001C1A59" w:rsidP="00DE031E">
            <w:pPr>
              <w:ind w:leftChars="-30" w:left="-63" w:rightChars="-20" w:right="-42"/>
              <w:jc w:val="center"/>
              <w:rPr>
                <w:rFonts w:ascii="Arial" w:hAnsi="Arial" w:cs="Arial"/>
                <w:b/>
                <w:bCs/>
                <w:color w:val="000000"/>
                <w:spacing w:val="-6"/>
                <w:sz w:val="18"/>
                <w:szCs w:val="18"/>
              </w:rPr>
            </w:pPr>
            <w:r w:rsidRPr="00D73AB7">
              <w:rPr>
                <w:rFonts w:ascii="Arial" w:hAnsi="Arial" w:cs="Arial"/>
                <w:b/>
                <w:bCs/>
                <w:color w:val="000000"/>
                <w:spacing w:val="-6"/>
                <w:sz w:val="18"/>
                <w:szCs w:val="18"/>
              </w:rPr>
              <w:t>宣告发放现金股利或利润</w:t>
            </w:r>
          </w:p>
        </w:tc>
        <w:tc>
          <w:tcPr>
            <w:tcW w:w="739" w:type="dxa"/>
            <w:shd w:val="clear" w:color="auto" w:fill="auto"/>
            <w:noWrap/>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计提减值准备</w:t>
            </w:r>
          </w:p>
        </w:tc>
        <w:tc>
          <w:tcPr>
            <w:tcW w:w="418" w:type="dxa"/>
            <w:shd w:val="clear" w:color="auto" w:fill="auto"/>
            <w:noWrap/>
            <w:vAlign w:val="center"/>
            <w:hideMark/>
          </w:tcPr>
          <w:p w:rsidR="00DE031E" w:rsidRPr="00D73AB7" w:rsidRDefault="001C1A59" w:rsidP="00DE031E">
            <w:pPr>
              <w:jc w:val="center"/>
              <w:rPr>
                <w:rFonts w:ascii="Arial" w:hAnsi="Arial" w:cs="Arial"/>
                <w:b/>
                <w:bCs/>
                <w:color w:val="000000"/>
                <w:spacing w:val="-6"/>
                <w:sz w:val="18"/>
                <w:szCs w:val="18"/>
              </w:rPr>
            </w:pPr>
            <w:r w:rsidRPr="00D73AB7">
              <w:rPr>
                <w:rFonts w:ascii="Arial" w:hAnsi="Arial" w:cs="Arial"/>
                <w:b/>
                <w:bCs/>
                <w:color w:val="000000"/>
                <w:spacing w:val="-6"/>
                <w:sz w:val="18"/>
                <w:szCs w:val="18"/>
              </w:rPr>
              <w:t>其他</w:t>
            </w:r>
          </w:p>
        </w:tc>
        <w:tc>
          <w:tcPr>
            <w:tcW w:w="1618" w:type="dxa"/>
            <w:vMerge/>
            <w:vAlign w:val="center"/>
            <w:hideMark/>
          </w:tcPr>
          <w:p w:rsidR="00DE031E" w:rsidRPr="00D73AB7" w:rsidRDefault="00DE031E" w:rsidP="00DE031E">
            <w:pPr>
              <w:jc w:val="center"/>
              <w:rPr>
                <w:rFonts w:ascii="Arial" w:hAnsi="Arial" w:cs="Arial"/>
                <w:b/>
                <w:bCs/>
                <w:color w:val="000000"/>
                <w:spacing w:val="-6"/>
                <w:sz w:val="18"/>
                <w:szCs w:val="18"/>
              </w:rPr>
            </w:pPr>
          </w:p>
        </w:tc>
        <w:tc>
          <w:tcPr>
            <w:tcW w:w="1468" w:type="dxa"/>
            <w:vMerge/>
            <w:vAlign w:val="center"/>
            <w:hideMark/>
          </w:tcPr>
          <w:p w:rsidR="00DE031E" w:rsidRPr="00D73AB7" w:rsidRDefault="00DE031E" w:rsidP="00DE031E">
            <w:pPr>
              <w:jc w:val="center"/>
              <w:rPr>
                <w:rFonts w:ascii="Arial" w:hAnsi="Arial" w:cs="Arial"/>
                <w:b/>
                <w:bCs/>
                <w:color w:val="000000"/>
                <w:spacing w:val="-6"/>
                <w:sz w:val="18"/>
                <w:szCs w:val="18"/>
              </w:rPr>
            </w:pP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color w:val="000000"/>
                <w:spacing w:val="-6"/>
                <w:sz w:val="18"/>
                <w:szCs w:val="18"/>
              </w:rPr>
            </w:pPr>
            <w:r w:rsidRPr="00D73AB7">
              <w:rPr>
                <w:rFonts w:ascii="Arial" w:hAnsi="Arial" w:cs="Arial"/>
                <w:color w:val="000000"/>
                <w:spacing w:val="-6"/>
                <w:sz w:val="18"/>
                <w:szCs w:val="18"/>
              </w:rPr>
              <w:t>一、合营企业</w:t>
            </w:r>
          </w:p>
        </w:tc>
        <w:tc>
          <w:tcPr>
            <w:tcW w:w="1426" w:type="dxa"/>
            <w:vAlign w:val="center"/>
          </w:tcPr>
          <w:p w:rsidR="00DE031E" w:rsidRPr="00D73AB7" w:rsidRDefault="00DE031E" w:rsidP="00DE031E">
            <w:pPr>
              <w:jc w:val="right"/>
              <w:rPr>
                <w:rFonts w:ascii="Arial" w:hAnsi="Arial" w:cs="Arial"/>
                <w:color w:val="000000"/>
                <w:spacing w:val="-6"/>
                <w:sz w:val="18"/>
                <w:szCs w:val="18"/>
              </w:rPr>
            </w:pPr>
          </w:p>
        </w:tc>
        <w:tc>
          <w:tcPr>
            <w:tcW w:w="1212"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1037"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1267"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1458"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739"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1618"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color w:val="000000"/>
                <w:spacing w:val="-6"/>
                <w:sz w:val="18"/>
                <w:szCs w:val="18"/>
              </w:rPr>
            </w:pP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b/>
                <w:bCs/>
                <w:color w:val="000000"/>
                <w:spacing w:val="-6"/>
                <w:sz w:val="18"/>
                <w:szCs w:val="18"/>
              </w:rPr>
            </w:pPr>
            <w:r w:rsidRPr="00D73AB7">
              <w:rPr>
                <w:rFonts w:ascii="Arial" w:hAnsi="Arial" w:cs="Arial"/>
                <w:b/>
                <w:bCs/>
                <w:color w:val="000000"/>
                <w:spacing w:val="-6"/>
                <w:sz w:val="18"/>
                <w:szCs w:val="18"/>
              </w:rPr>
              <w:t>合营企业小计</w:t>
            </w:r>
          </w:p>
        </w:tc>
        <w:tc>
          <w:tcPr>
            <w:tcW w:w="1426" w:type="dxa"/>
            <w:vAlign w:val="center"/>
          </w:tcPr>
          <w:p w:rsidR="00DE031E" w:rsidRPr="00D73AB7" w:rsidRDefault="001C1A59" w:rsidP="00DE031E">
            <w:pPr>
              <w:jc w:val="right"/>
              <w:rPr>
                <w:rFonts w:ascii="Arial" w:hAnsi="Arial" w:cs="Arial"/>
                <w:b/>
                <w:bCs/>
                <w:color w:val="000000"/>
                <w:spacing w:val="-12"/>
                <w:sz w:val="18"/>
                <w:szCs w:val="18"/>
              </w:rPr>
            </w:pPr>
            <w:r w:rsidRPr="00D73AB7">
              <w:rPr>
                <w:rFonts w:ascii="Arial" w:hAnsi="Arial" w:cs="Arial"/>
                <w:b/>
                <w:bCs/>
                <w:color w:val="000000"/>
                <w:spacing w:val="-12"/>
                <w:sz w:val="18"/>
                <w:szCs w:val="18"/>
              </w:rPr>
              <w:t>-</w:t>
            </w:r>
          </w:p>
        </w:tc>
        <w:tc>
          <w:tcPr>
            <w:tcW w:w="1212"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037"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267"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458"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739"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618"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color w:val="000000"/>
                <w:spacing w:val="-6"/>
                <w:sz w:val="18"/>
                <w:szCs w:val="18"/>
              </w:rPr>
            </w:pPr>
            <w:r w:rsidRPr="00D73AB7">
              <w:rPr>
                <w:rFonts w:ascii="Arial" w:hAnsi="Arial" w:cs="Arial"/>
                <w:color w:val="000000"/>
                <w:spacing w:val="-6"/>
                <w:sz w:val="18"/>
                <w:szCs w:val="18"/>
              </w:rPr>
              <w:t>二、联营企业</w:t>
            </w:r>
          </w:p>
        </w:tc>
        <w:tc>
          <w:tcPr>
            <w:tcW w:w="1426" w:type="dxa"/>
            <w:vAlign w:val="center"/>
          </w:tcPr>
          <w:p w:rsidR="00DE031E" w:rsidRPr="00D73AB7" w:rsidRDefault="00DE031E" w:rsidP="00DE031E">
            <w:pPr>
              <w:jc w:val="right"/>
              <w:rPr>
                <w:rFonts w:ascii="Arial" w:hAnsi="Arial" w:cs="Arial"/>
                <w:color w:val="000000"/>
                <w:spacing w:val="-12"/>
                <w:sz w:val="18"/>
                <w:szCs w:val="18"/>
              </w:rPr>
            </w:pPr>
          </w:p>
        </w:tc>
        <w:tc>
          <w:tcPr>
            <w:tcW w:w="1212"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1037"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1267"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1458"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739"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1618"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color w:val="000000"/>
                <w:spacing w:val="-12"/>
                <w:sz w:val="18"/>
                <w:szCs w:val="18"/>
              </w:rPr>
            </w:pP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color w:val="000000"/>
                <w:spacing w:val="-6"/>
                <w:sz w:val="18"/>
                <w:szCs w:val="18"/>
              </w:rPr>
            </w:pPr>
            <w:r w:rsidRPr="00D73AB7">
              <w:rPr>
                <w:rFonts w:ascii="Arial" w:hAnsi="Arial" w:cs="Arial"/>
                <w:color w:val="000000"/>
                <w:spacing w:val="-6"/>
                <w:sz w:val="18"/>
                <w:szCs w:val="18"/>
              </w:rPr>
              <w:t>博时基金管理有限公司</w:t>
            </w:r>
          </w:p>
        </w:tc>
        <w:tc>
          <w:tcPr>
            <w:tcW w:w="1426" w:type="dxa"/>
            <w:vAlign w:val="center"/>
          </w:tcPr>
          <w:p w:rsidR="00DE031E" w:rsidRPr="00D73AB7" w:rsidRDefault="001C1A59" w:rsidP="00DE031E">
            <w:pPr>
              <w:jc w:val="right"/>
              <w:rPr>
                <w:rFonts w:ascii="Arial" w:hAnsi="Arial" w:cs="Arial"/>
                <w:color w:val="000000"/>
                <w:spacing w:val="-12"/>
                <w:sz w:val="18"/>
                <w:szCs w:val="18"/>
              </w:rPr>
            </w:pPr>
            <w:r w:rsidRPr="00D73AB7">
              <w:rPr>
                <w:rFonts w:ascii="Arial" w:hAnsi="Arial" w:cs="Arial"/>
                <w:color w:val="000000"/>
                <w:spacing w:val="-12"/>
                <w:sz w:val="18"/>
                <w:szCs w:val="18"/>
              </w:rPr>
              <w:t>3,763,140,847.87</w:t>
            </w:r>
          </w:p>
        </w:tc>
        <w:tc>
          <w:tcPr>
            <w:tcW w:w="1212"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146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169,899,940.77</w:t>
            </w:r>
          </w:p>
        </w:tc>
        <w:tc>
          <w:tcPr>
            <w:tcW w:w="1037"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267"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2,747,829.35</w:t>
            </w:r>
          </w:p>
        </w:tc>
        <w:tc>
          <w:tcPr>
            <w:tcW w:w="145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83,300,000.00</w:t>
            </w:r>
          </w:p>
        </w:tc>
        <w:tc>
          <w:tcPr>
            <w:tcW w:w="739"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61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3,852,488,617.99</w:t>
            </w:r>
          </w:p>
        </w:tc>
        <w:tc>
          <w:tcPr>
            <w:tcW w:w="146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669,149,595.78</w:t>
            </w: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color w:val="000000"/>
                <w:spacing w:val="-6"/>
                <w:sz w:val="18"/>
                <w:szCs w:val="18"/>
              </w:rPr>
            </w:pPr>
            <w:r w:rsidRPr="00D73AB7">
              <w:rPr>
                <w:rFonts w:ascii="Arial" w:hAnsi="Arial" w:cs="Arial"/>
                <w:color w:val="000000"/>
                <w:spacing w:val="-6"/>
                <w:sz w:val="18"/>
                <w:szCs w:val="18"/>
              </w:rPr>
              <w:t>招商基金管理有限公司</w:t>
            </w:r>
          </w:p>
        </w:tc>
        <w:tc>
          <w:tcPr>
            <w:tcW w:w="1426" w:type="dxa"/>
            <w:vAlign w:val="center"/>
          </w:tcPr>
          <w:p w:rsidR="00DE031E" w:rsidRPr="00D73AB7" w:rsidRDefault="001C1A59" w:rsidP="00DE031E">
            <w:pPr>
              <w:jc w:val="right"/>
              <w:rPr>
                <w:rFonts w:ascii="Arial" w:hAnsi="Arial" w:cs="Arial"/>
                <w:color w:val="000000"/>
                <w:spacing w:val="-12"/>
                <w:sz w:val="18"/>
                <w:szCs w:val="18"/>
              </w:rPr>
            </w:pPr>
            <w:r w:rsidRPr="00D73AB7">
              <w:rPr>
                <w:rFonts w:ascii="Arial" w:hAnsi="Arial" w:cs="Arial"/>
                <w:color w:val="000000"/>
                <w:spacing w:val="-12"/>
                <w:sz w:val="18"/>
                <w:szCs w:val="18"/>
              </w:rPr>
              <w:t>628,086,464.89</w:t>
            </w:r>
          </w:p>
        </w:tc>
        <w:tc>
          <w:tcPr>
            <w:tcW w:w="1212"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146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133,529,719.51</w:t>
            </w:r>
          </w:p>
        </w:tc>
        <w:tc>
          <w:tcPr>
            <w:tcW w:w="1037"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267"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918,397.53</w:t>
            </w:r>
          </w:p>
        </w:tc>
        <w:tc>
          <w:tcPr>
            <w:tcW w:w="145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28,774,968.65</w:t>
            </w:r>
          </w:p>
        </w:tc>
        <w:tc>
          <w:tcPr>
            <w:tcW w:w="739"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61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733,759,613.28</w:t>
            </w:r>
          </w:p>
        </w:tc>
        <w:tc>
          <w:tcPr>
            <w:tcW w:w="146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color w:val="000000"/>
                <w:spacing w:val="-6"/>
                <w:sz w:val="18"/>
                <w:szCs w:val="18"/>
              </w:rPr>
            </w:pPr>
            <w:r w:rsidRPr="00D73AB7">
              <w:rPr>
                <w:rFonts w:ascii="Arial" w:hAnsi="Arial" w:cs="Arial"/>
                <w:color w:val="000000"/>
                <w:spacing w:val="-6"/>
                <w:sz w:val="18"/>
                <w:szCs w:val="18"/>
              </w:rPr>
              <w:t>广东金融高新区股权交易中心有限公司</w:t>
            </w:r>
          </w:p>
        </w:tc>
        <w:tc>
          <w:tcPr>
            <w:tcW w:w="1426" w:type="dxa"/>
            <w:vAlign w:val="center"/>
          </w:tcPr>
          <w:p w:rsidR="00DE031E" w:rsidRPr="00D73AB7" w:rsidRDefault="001C1A59" w:rsidP="00DE031E">
            <w:pPr>
              <w:jc w:val="right"/>
              <w:rPr>
                <w:rFonts w:ascii="Arial" w:hAnsi="Arial" w:cs="Arial"/>
                <w:color w:val="000000"/>
                <w:spacing w:val="-12"/>
                <w:sz w:val="18"/>
                <w:szCs w:val="18"/>
              </w:rPr>
            </w:pPr>
            <w:r w:rsidRPr="00D73AB7">
              <w:rPr>
                <w:rFonts w:ascii="Arial" w:hAnsi="Arial" w:cs="Arial"/>
                <w:color w:val="000000"/>
                <w:spacing w:val="-12"/>
                <w:sz w:val="18"/>
                <w:szCs w:val="18"/>
              </w:rPr>
              <w:t>32,056,320.01</w:t>
            </w:r>
          </w:p>
        </w:tc>
        <w:tc>
          <w:tcPr>
            <w:tcW w:w="1212"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146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1,068,311.09</w:t>
            </w:r>
          </w:p>
        </w:tc>
        <w:tc>
          <w:tcPr>
            <w:tcW w:w="1037"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267"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45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739"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618" w:type="dxa"/>
            <w:shd w:val="clear" w:color="auto" w:fill="auto"/>
            <w:noWrap/>
            <w:vAlign w:val="center"/>
            <w:hideMark/>
          </w:tcPr>
          <w:p w:rsidR="00DE031E" w:rsidRPr="00D73AB7" w:rsidRDefault="001C1A59" w:rsidP="00DE031E">
            <w:pPr>
              <w:jc w:val="right"/>
              <w:rPr>
                <w:rFonts w:ascii="Arial" w:hAnsi="Arial" w:cs="Arial"/>
                <w:color w:val="000000"/>
                <w:sz w:val="18"/>
                <w:szCs w:val="18"/>
              </w:rPr>
            </w:pPr>
            <w:r w:rsidRPr="00D73AB7">
              <w:rPr>
                <w:rFonts w:ascii="Arial" w:hAnsi="Arial" w:cs="Arial"/>
                <w:color w:val="000000"/>
                <w:sz w:val="18"/>
                <w:szCs w:val="18"/>
              </w:rPr>
              <w:t>33,124,631.10</w:t>
            </w:r>
          </w:p>
        </w:tc>
        <w:tc>
          <w:tcPr>
            <w:tcW w:w="146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color w:val="000000"/>
                <w:spacing w:val="-6"/>
                <w:sz w:val="18"/>
                <w:szCs w:val="18"/>
              </w:rPr>
            </w:pPr>
            <w:r w:rsidRPr="00D73AB7">
              <w:rPr>
                <w:rFonts w:ascii="Arial" w:hAnsi="Arial" w:cs="Arial"/>
                <w:color w:val="000000"/>
                <w:spacing w:val="-6"/>
                <w:sz w:val="18"/>
                <w:szCs w:val="18"/>
              </w:rPr>
              <w:t>二十一世纪科技投资有限责任公司</w:t>
            </w:r>
            <w:r w:rsidRPr="00D73AB7">
              <w:rPr>
                <w:rFonts w:ascii="Arial" w:hAnsi="Arial" w:cs="Arial"/>
                <w:color w:val="000000"/>
                <w:spacing w:val="-6"/>
                <w:sz w:val="18"/>
                <w:szCs w:val="18"/>
              </w:rPr>
              <w:t>(</w:t>
            </w:r>
            <w:r w:rsidRPr="00D73AB7">
              <w:rPr>
                <w:rFonts w:ascii="Arial" w:hAnsi="Arial" w:cs="Arial"/>
                <w:color w:val="000000"/>
                <w:spacing w:val="-6"/>
                <w:sz w:val="18"/>
                <w:szCs w:val="18"/>
              </w:rPr>
              <w:t>注</w:t>
            </w:r>
            <w:r w:rsidRPr="00D73AB7">
              <w:rPr>
                <w:rFonts w:ascii="Arial" w:hAnsi="Arial" w:cs="Arial"/>
                <w:color w:val="000000"/>
                <w:spacing w:val="-6"/>
                <w:sz w:val="18"/>
                <w:szCs w:val="18"/>
              </w:rPr>
              <w:t>1)</w:t>
            </w:r>
          </w:p>
        </w:tc>
        <w:tc>
          <w:tcPr>
            <w:tcW w:w="1426" w:type="dxa"/>
            <w:vAlign w:val="center"/>
          </w:tcPr>
          <w:p w:rsidR="00DE031E" w:rsidRPr="00D73AB7" w:rsidRDefault="001C1A59" w:rsidP="00DE031E">
            <w:pPr>
              <w:jc w:val="right"/>
              <w:rPr>
                <w:rFonts w:ascii="Arial" w:hAnsi="Arial" w:cs="Arial"/>
                <w:color w:val="000000"/>
                <w:spacing w:val="-20"/>
                <w:sz w:val="18"/>
                <w:szCs w:val="18"/>
              </w:rPr>
            </w:pPr>
            <w:r w:rsidRPr="00D73AB7">
              <w:rPr>
                <w:rFonts w:ascii="Arial" w:hAnsi="Arial" w:cs="Arial"/>
                <w:color w:val="000000"/>
                <w:spacing w:val="-20"/>
                <w:sz w:val="18"/>
                <w:szCs w:val="18"/>
              </w:rPr>
              <w:t>-</w:t>
            </w:r>
          </w:p>
        </w:tc>
        <w:tc>
          <w:tcPr>
            <w:tcW w:w="1212"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spacing w:val="-20"/>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037"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267"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45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739"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61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c>
          <w:tcPr>
            <w:tcW w:w="1468" w:type="dxa"/>
            <w:shd w:val="clear" w:color="auto" w:fill="auto"/>
            <w:noWrap/>
            <w:vAlign w:val="center"/>
            <w:hideMark/>
          </w:tcPr>
          <w:p w:rsidR="00DE031E" w:rsidRPr="00D73AB7" w:rsidRDefault="00DE031E" w:rsidP="00DE031E">
            <w:pPr>
              <w:jc w:val="right"/>
              <w:rPr>
                <w:rFonts w:ascii="Arial" w:hAnsi="Arial" w:cs="Arial"/>
                <w:color w:val="000000"/>
                <w:sz w:val="18"/>
                <w:szCs w:val="18"/>
              </w:rPr>
            </w:pP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b/>
                <w:bCs/>
                <w:color w:val="000000"/>
                <w:spacing w:val="-6"/>
                <w:sz w:val="18"/>
                <w:szCs w:val="18"/>
              </w:rPr>
            </w:pPr>
            <w:r w:rsidRPr="00D73AB7">
              <w:rPr>
                <w:rFonts w:ascii="Arial" w:hAnsi="Arial" w:cs="Arial"/>
                <w:b/>
                <w:bCs/>
                <w:color w:val="000000"/>
                <w:spacing w:val="-6"/>
                <w:sz w:val="18"/>
                <w:szCs w:val="18"/>
              </w:rPr>
              <w:t>联营企业小计</w:t>
            </w:r>
          </w:p>
        </w:tc>
        <w:tc>
          <w:tcPr>
            <w:tcW w:w="1426" w:type="dxa"/>
            <w:vAlign w:val="center"/>
          </w:tcPr>
          <w:p w:rsidR="00DE031E" w:rsidRPr="00D73AB7" w:rsidRDefault="001C1A59" w:rsidP="00DE031E">
            <w:pPr>
              <w:jc w:val="right"/>
              <w:rPr>
                <w:rFonts w:ascii="Arial" w:hAnsi="Arial" w:cs="Arial"/>
                <w:b/>
                <w:bCs/>
                <w:color w:val="000000"/>
                <w:spacing w:val="-12"/>
                <w:sz w:val="18"/>
                <w:szCs w:val="18"/>
              </w:rPr>
            </w:pPr>
            <w:r w:rsidRPr="00D73AB7">
              <w:rPr>
                <w:rFonts w:ascii="Arial" w:hAnsi="Arial" w:cs="Arial"/>
                <w:b/>
                <w:bCs/>
                <w:color w:val="000000"/>
                <w:spacing w:val="-12"/>
                <w:sz w:val="18"/>
                <w:szCs w:val="18"/>
              </w:rPr>
              <w:t>4,423,283,632.77</w:t>
            </w:r>
          </w:p>
        </w:tc>
        <w:tc>
          <w:tcPr>
            <w:tcW w:w="1212"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46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304,497,971.37</w:t>
            </w:r>
          </w:p>
        </w:tc>
        <w:tc>
          <w:tcPr>
            <w:tcW w:w="1037" w:type="dxa"/>
            <w:shd w:val="clear" w:color="auto" w:fill="auto"/>
            <w:noWrap/>
            <w:vAlign w:val="center"/>
            <w:hideMark/>
          </w:tcPr>
          <w:p w:rsidR="00DE031E" w:rsidRPr="00D73AB7" w:rsidRDefault="00DE031E" w:rsidP="00DE031E">
            <w:pPr>
              <w:jc w:val="right"/>
              <w:rPr>
                <w:rFonts w:ascii="Arial" w:hAnsi="Arial" w:cs="Arial"/>
                <w:b/>
                <w:bCs/>
                <w:color w:val="000000"/>
                <w:sz w:val="18"/>
                <w:szCs w:val="18"/>
              </w:rPr>
            </w:pPr>
          </w:p>
        </w:tc>
        <w:tc>
          <w:tcPr>
            <w:tcW w:w="1267"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3,666,226.88</w:t>
            </w:r>
          </w:p>
        </w:tc>
        <w:tc>
          <w:tcPr>
            <w:tcW w:w="145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112,074,968.65</w:t>
            </w:r>
          </w:p>
        </w:tc>
        <w:tc>
          <w:tcPr>
            <w:tcW w:w="739" w:type="dxa"/>
            <w:shd w:val="clear" w:color="auto" w:fill="auto"/>
            <w:noWrap/>
            <w:vAlign w:val="center"/>
            <w:hideMark/>
          </w:tcPr>
          <w:p w:rsidR="00DE031E" w:rsidRPr="00D73AB7" w:rsidRDefault="00DE031E" w:rsidP="00DE031E">
            <w:pPr>
              <w:jc w:val="right"/>
              <w:rPr>
                <w:rFonts w:ascii="Arial" w:hAnsi="Arial" w:cs="Arial"/>
                <w:b/>
                <w:bCs/>
                <w:color w:val="000000"/>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b/>
                <w:bCs/>
                <w:color w:val="000000"/>
                <w:sz w:val="18"/>
                <w:szCs w:val="18"/>
              </w:rPr>
            </w:pPr>
          </w:p>
        </w:tc>
        <w:tc>
          <w:tcPr>
            <w:tcW w:w="161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4,619,372,862.37</w:t>
            </w:r>
          </w:p>
        </w:tc>
        <w:tc>
          <w:tcPr>
            <w:tcW w:w="146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669,149,595.78</w:t>
            </w:r>
          </w:p>
        </w:tc>
      </w:tr>
      <w:tr w:rsidR="00DE031E" w:rsidRPr="00D73AB7" w:rsidTr="00DE031E">
        <w:trPr>
          <w:trHeight w:val="369"/>
          <w:jc w:val="center"/>
        </w:trPr>
        <w:tc>
          <w:tcPr>
            <w:tcW w:w="2303" w:type="dxa"/>
            <w:vAlign w:val="center"/>
          </w:tcPr>
          <w:p w:rsidR="00DE031E" w:rsidRPr="00D73AB7" w:rsidRDefault="001C1A59" w:rsidP="00DE031E">
            <w:pPr>
              <w:rPr>
                <w:rFonts w:ascii="Arial" w:hAnsi="Arial" w:cs="Arial"/>
                <w:b/>
                <w:bCs/>
                <w:color w:val="000000"/>
                <w:spacing w:val="-6"/>
                <w:sz w:val="18"/>
                <w:szCs w:val="18"/>
              </w:rPr>
            </w:pPr>
            <w:r w:rsidRPr="00D73AB7">
              <w:rPr>
                <w:rFonts w:ascii="Arial" w:hAnsi="Arial" w:cs="Arial"/>
                <w:b/>
                <w:bCs/>
                <w:color w:val="000000"/>
                <w:spacing w:val="-6"/>
                <w:sz w:val="18"/>
                <w:szCs w:val="18"/>
              </w:rPr>
              <w:t>合计</w:t>
            </w:r>
          </w:p>
        </w:tc>
        <w:tc>
          <w:tcPr>
            <w:tcW w:w="1426" w:type="dxa"/>
            <w:vAlign w:val="center"/>
          </w:tcPr>
          <w:p w:rsidR="00DE031E" w:rsidRPr="00D73AB7" w:rsidRDefault="001C1A59" w:rsidP="00DE031E">
            <w:pPr>
              <w:jc w:val="right"/>
              <w:rPr>
                <w:rFonts w:ascii="Arial" w:hAnsi="Arial" w:cs="Arial"/>
                <w:b/>
                <w:bCs/>
                <w:color w:val="000000"/>
                <w:spacing w:val="-12"/>
                <w:sz w:val="18"/>
                <w:szCs w:val="18"/>
              </w:rPr>
            </w:pPr>
            <w:r w:rsidRPr="00D73AB7">
              <w:rPr>
                <w:rFonts w:ascii="Arial" w:hAnsi="Arial" w:cs="Arial"/>
                <w:b/>
                <w:bCs/>
                <w:color w:val="000000"/>
                <w:spacing w:val="-12"/>
                <w:sz w:val="18"/>
                <w:szCs w:val="18"/>
              </w:rPr>
              <w:t>4,423,283,632.77</w:t>
            </w:r>
          </w:p>
        </w:tc>
        <w:tc>
          <w:tcPr>
            <w:tcW w:w="1212"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630" w:type="dxa"/>
            <w:shd w:val="clear" w:color="auto" w:fill="auto"/>
            <w:noWrap/>
            <w:vAlign w:val="center"/>
            <w:hideMark/>
          </w:tcPr>
          <w:p w:rsidR="00DE031E" w:rsidRPr="00D73AB7" w:rsidRDefault="00DE031E" w:rsidP="00DE031E">
            <w:pPr>
              <w:jc w:val="right"/>
              <w:rPr>
                <w:rFonts w:ascii="Arial" w:hAnsi="Arial" w:cs="Arial"/>
                <w:b/>
                <w:bCs/>
                <w:color w:val="000000"/>
                <w:spacing w:val="-12"/>
                <w:sz w:val="18"/>
                <w:szCs w:val="18"/>
              </w:rPr>
            </w:pPr>
          </w:p>
        </w:tc>
        <w:tc>
          <w:tcPr>
            <w:tcW w:w="146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304,497,971.37</w:t>
            </w:r>
          </w:p>
        </w:tc>
        <w:tc>
          <w:tcPr>
            <w:tcW w:w="1037" w:type="dxa"/>
            <w:shd w:val="clear" w:color="auto" w:fill="auto"/>
            <w:noWrap/>
            <w:vAlign w:val="center"/>
            <w:hideMark/>
          </w:tcPr>
          <w:p w:rsidR="00DE031E" w:rsidRPr="00D73AB7" w:rsidRDefault="00DE031E" w:rsidP="00DE031E">
            <w:pPr>
              <w:jc w:val="right"/>
              <w:rPr>
                <w:rFonts w:ascii="Arial" w:hAnsi="Arial" w:cs="Arial"/>
                <w:b/>
                <w:bCs/>
                <w:color w:val="000000"/>
                <w:sz w:val="18"/>
                <w:szCs w:val="18"/>
              </w:rPr>
            </w:pPr>
          </w:p>
        </w:tc>
        <w:tc>
          <w:tcPr>
            <w:tcW w:w="1267"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3,666,226.88</w:t>
            </w:r>
          </w:p>
        </w:tc>
        <w:tc>
          <w:tcPr>
            <w:tcW w:w="145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112,074,968.65</w:t>
            </w:r>
          </w:p>
        </w:tc>
        <w:tc>
          <w:tcPr>
            <w:tcW w:w="739" w:type="dxa"/>
            <w:shd w:val="clear" w:color="auto" w:fill="auto"/>
            <w:noWrap/>
            <w:vAlign w:val="center"/>
            <w:hideMark/>
          </w:tcPr>
          <w:p w:rsidR="00DE031E" w:rsidRPr="00D73AB7" w:rsidRDefault="00DE031E" w:rsidP="00DE031E">
            <w:pPr>
              <w:jc w:val="right"/>
              <w:rPr>
                <w:rFonts w:ascii="Arial" w:hAnsi="Arial" w:cs="Arial"/>
                <w:b/>
                <w:bCs/>
                <w:color w:val="000000"/>
                <w:sz w:val="18"/>
                <w:szCs w:val="18"/>
              </w:rPr>
            </w:pPr>
          </w:p>
        </w:tc>
        <w:tc>
          <w:tcPr>
            <w:tcW w:w="418" w:type="dxa"/>
            <w:shd w:val="clear" w:color="auto" w:fill="auto"/>
            <w:noWrap/>
            <w:vAlign w:val="center"/>
            <w:hideMark/>
          </w:tcPr>
          <w:p w:rsidR="00DE031E" w:rsidRPr="00D73AB7" w:rsidRDefault="00DE031E" w:rsidP="00DE031E">
            <w:pPr>
              <w:jc w:val="right"/>
              <w:rPr>
                <w:rFonts w:ascii="Arial" w:hAnsi="Arial" w:cs="Arial"/>
                <w:b/>
                <w:bCs/>
                <w:color w:val="000000"/>
                <w:sz w:val="18"/>
                <w:szCs w:val="18"/>
              </w:rPr>
            </w:pPr>
          </w:p>
        </w:tc>
        <w:tc>
          <w:tcPr>
            <w:tcW w:w="161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4,619,372,862.37</w:t>
            </w:r>
          </w:p>
        </w:tc>
        <w:tc>
          <w:tcPr>
            <w:tcW w:w="1468" w:type="dxa"/>
            <w:shd w:val="clear" w:color="auto" w:fill="auto"/>
            <w:noWrap/>
            <w:vAlign w:val="center"/>
            <w:hideMark/>
          </w:tcPr>
          <w:p w:rsidR="00DE031E" w:rsidRPr="00D73AB7" w:rsidRDefault="001C1A59" w:rsidP="00DE031E">
            <w:pPr>
              <w:jc w:val="right"/>
              <w:rPr>
                <w:rFonts w:ascii="Arial" w:hAnsi="Arial" w:cs="Arial"/>
                <w:b/>
                <w:bCs/>
                <w:color w:val="000000"/>
                <w:sz w:val="18"/>
                <w:szCs w:val="18"/>
              </w:rPr>
            </w:pPr>
            <w:r w:rsidRPr="00D73AB7">
              <w:rPr>
                <w:rFonts w:ascii="Arial" w:hAnsi="Arial" w:cs="Arial"/>
                <w:b/>
                <w:bCs/>
                <w:color w:val="000000"/>
                <w:sz w:val="18"/>
                <w:szCs w:val="18"/>
              </w:rPr>
              <w:t>669,149,595.78</w:t>
            </w:r>
          </w:p>
        </w:tc>
      </w:tr>
    </w:tbl>
    <w:p w:rsidR="00DE031E" w:rsidRPr="005417CA" w:rsidRDefault="00DE031E" w:rsidP="00DE031E">
      <w:pPr>
        <w:pStyle w:val="a9"/>
        <w:ind w:left="720" w:firstLineChars="0" w:firstLine="0"/>
      </w:pPr>
    </w:p>
    <w:p w:rsidR="00DE031E" w:rsidRDefault="001C1A59" w:rsidP="00DE031E">
      <w:pPr>
        <w:pStyle w:val="a9"/>
        <w:ind w:left="720" w:firstLineChars="0" w:firstLine="0"/>
      </w:pPr>
      <w:r>
        <w:br w:type="page"/>
      </w:r>
    </w:p>
    <w:p w:rsidR="00DE031E" w:rsidRDefault="00DE031E" w:rsidP="00DE031E">
      <w:pPr>
        <w:pStyle w:val="a9"/>
        <w:ind w:left="720" w:firstLineChars="0" w:firstLine="0"/>
        <w:sectPr w:rsidR="00DE031E" w:rsidSect="00DE031E">
          <w:headerReference w:type="default" r:id="rId26"/>
          <w:pgSz w:w="16838" w:h="11906" w:orient="landscape"/>
          <w:pgMar w:top="1797" w:right="1525" w:bottom="1276" w:left="1440" w:header="856" w:footer="992" w:gutter="0"/>
          <w:cols w:space="425"/>
          <w:docGrid w:linePitch="312"/>
        </w:sectPr>
      </w:pPr>
    </w:p>
    <w:p w:rsidR="00DE031E" w:rsidRDefault="001C1A59" w:rsidP="003A0284">
      <w:pPr>
        <w:pStyle w:val="31"/>
        <w:numPr>
          <w:ilvl w:val="3"/>
          <w:numId w:val="31"/>
        </w:numPr>
        <w:spacing w:beforeLines="50" w:afterLines="50"/>
        <w:ind w:firstLineChars="0"/>
        <w:outlineLvl w:val="1"/>
        <w:rPr>
          <w:rFonts w:ascii="Arial" w:hAnsi="Arial" w:cs="Arial"/>
          <w:b/>
          <w:sz w:val="22"/>
          <w:szCs w:val="22"/>
        </w:rPr>
      </w:pPr>
      <w:r w:rsidRPr="00187BC5">
        <w:rPr>
          <w:rFonts w:ascii="Arial" w:hAnsi="Arial" w:cs="Arial"/>
          <w:b/>
          <w:sz w:val="22"/>
          <w:szCs w:val="22"/>
        </w:rPr>
        <w:lastRenderedPageBreak/>
        <w:t>手续费及佣金净收入</w:t>
      </w:r>
    </w:p>
    <w:p w:rsidR="00A80CD6" w:rsidRPr="00187BC5" w:rsidRDefault="00A80CD6" w:rsidP="003A0284">
      <w:pPr>
        <w:pStyle w:val="31"/>
        <w:spacing w:beforeLines="50" w:line="240" w:lineRule="auto"/>
        <w:ind w:left="845" w:firstLineChars="0" w:firstLine="0"/>
        <w:jc w:val="right"/>
        <w:outlineLvl w:val="1"/>
        <w:rPr>
          <w:rFonts w:ascii="Arial" w:hAnsi="Arial" w:cs="Arial"/>
          <w:b/>
          <w:sz w:val="22"/>
          <w:szCs w:val="22"/>
        </w:rPr>
      </w:pPr>
      <w:r>
        <w:rPr>
          <w:rFonts w:hint="eastAsia"/>
        </w:rPr>
        <w:t>单位：元</w:t>
      </w:r>
      <w:r>
        <w:rPr>
          <w:rFonts w:hint="eastAsia"/>
        </w:rPr>
        <w:t xml:space="preserve">  </w:t>
      </w:r>
      <w:r>
        <w:rPr>
          <w:rFonts w:hint="eastAsia"/>
        </w:rPr>
        <w:t>币种：人民币</w:t>
      </w:r>
    </w:p>
    <w:tbl>
      <w:tblPr>
        <w:tblW w:w="5000" w:type="pct"/>
        <w:jc w:val="center"/>
        <w:tblLook w:val="04A0"/>
      </w:tblPr>
      <w:tblGrid>
        <w:gridCol w:w="4875"/>
        <w:gridCol w:w="2087"/>
        <w:gridCol w:w="2087"/>
      </w:tblGrid>
      <w:tr w:rsidR="00DE031E" w:rsidRPr="0072229A" w:rsidTr="00DE031E">
        <w:trPr>
          <w:trHeight w:val="270"/>
          <w:jc w:val="center"/>
        </w:trPr>
        <w:tc>
          <w:tcPr>
            <w:tcW w:w="2694" w:type="pct"/>
            <w:tcBorders>
              <w:top w:val="nil"/>
              <w:left w:val="nil"/>
              <w:bottom w:val="nil"/>
              <w:right w:val="nil"/>
            </w:tcBorders>
            <w:shd w:val="clear" w:color="auto" w:fill="auto"/>
            <w:noWrap/>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项目</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2015</w:t>
            </w:r>
            <w:r w:rsidRPr="0072229A">
              <w:rPr>
                <w:rFonts w:asciiTheme="minorEastAsia" w:eastAsiaTheme="minorEastAsia" w:hAnsiTheme="minorEastAsia" w:cs="Arial" w:hint="eastAsia"/>
                <w:b/>
                <w:bCs/>
                <w:color w:val="000000"/>
                <w:szCs w:val="21"/>
              </w:rPr>
              <w:t>年</w:t>
            </w:r>
            <w:r w:rsidRPr="0072229A">
              <w:rPr>
                <w:rFonts w:asciiTheme="minorEastAsia" w:eastAsiaTheme="minorEastAsia" w:hAnsiTheme="minorEastAsia" w:cs="Arial"/>
                <w:b/>
                <w:bCs/>
                <w:color w:val="000000"/>
                <w:szCs w:val="21"/>
              </w:rPr>
              <w:t>1-6</w:t>
            </w:r>
            <w:r w:rsidRPr="0072229A">
              <w:rPr>
                <w:rFonts w:asciiTheme="minorEastAsia" w:eastAsiaTheme="minorEastAsia" w:hAnsiTheme="minorEastAsia" w:cs="Arial" w:hint="eastAsia"/>
                <w:b/>
                <w:bCs/>
                <w:color w:val="000000"/>
                <w:szCs w:val="21"/>
              </w:rPr>
              <w:t>月</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2014</w:t>
            </w:r>
            <w:r w:rsidRPr="0072229A">
              <w:rPr>
                <w:rFonts w:asciiTheme="minorEastAsia" w:eastAsiaTheme="minorEastAsia" w:hAnsiTheme="minorEastAsia" w:cs="Arial" w:hint="eastAsia"/>
                <w:b/>
                <w:bCs/>
                <w:color w:val="000000"/>
                <w:szCs w:val="21"/>
              </w:rPr>
              <w:t>年</w:t>
            </w:r>
            <w:r w:rsidRPr="0072229A">
              <w:rPr>
                <w:rFonts w:asciiTheme="minorEastAsia" w:eastAsiaTheme="minorEastAsia" w:hAnsiTheme="minorEastAsia" w:cs="Arial"/>
                <w:b/>
                <w:bCs/>
                <w:color w:val="000000"/>
                <w:szCs w:val="21"/>
              </w:rPr>
              <w:t>1-6</w:t>
            </w:r>
            <w:r w:rsidRPr="0072229A">
              <w:rPr>
                <w:rFonts w:asciiTheme="minorEastAsia" w:eastAsiaTheme="minorEastAsia" w:hAnsiTheme="minorEastAsia" w:cs="Arial" w:hint="eastAsia"/>
                <w:b/>
                <w:bCs/>
                <w:color w:val="000000"/>
                <w:szCs w:val="21"/>
              </w:rPr>
              <w:t>月</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手续费及佣金收入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9,714,354,904.54</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2,019,334,758.94</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证券经纪业务收入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8,479,551,195.84</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1,429,710,606.97</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其中：代理买卖证券业务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7,944,086,249.42</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1,285,446,600.31</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交易单元席位租赁</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440,313,297.44</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127,252,341.55</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代销金融产品业务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95,151,648.98</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17,011,665.11</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投资银行业务收入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831,319,580.55</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441,967,136.47</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其中：证券承销业务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651,376,019.03</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327,728,022.46</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证券保荐业务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77,800,000.00</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61,500,000.00</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财务顾问业务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102,143,561.52</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52,739,114.01</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资产管理业务收入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306,145,700.85</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142,198,279.91</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投资咨询业务收入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97,338,427.30</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5,458,735.59</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手续费及佣金支出</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1,532,819,962.99</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354,125,488.15</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证券经纪业务支出</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1,411,417,546.27</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258,682,925.34</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其中：代理买卖证券业务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1,411,417,546.27</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258,682,925.34</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投资银行业务支出</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91,898,339.07</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87,891,796.94</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其中：证券承销业务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68,060,050.10</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76,679,229.37</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证券保荐业务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210,000.00</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140,850.00</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olor w:val="000000"/>
                <w:szCs w:val="21"/>
              </w:rPr>
            </w:pPr>
            <w:r w:rsidRPr="0072229A">
              <w:rPr>
                <w:rFonts w:asciiTheme="minorEastAsia" w:eastAsiaTheme="minorEastAsia" w:hAnsiTheme="minorEastAsia" w:hint="eastAsia"/>
                <w:color w:val="000000"/>
                <w:szCs w:val="21"/>
              </w:rPr>
              <w:t>财务顾问业务</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23,628,288.97</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11,071,717.57</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资产管理业务支出</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29,504,077.65</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7,222,765.87</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投资咨询业务支出</w:t>
            </w:r>
          </w:p>
        </w:tc>
        <w:tc>
          <w:tcPr>
            <w:tcW w:w="1153" w:type="pct"/>
            <w:tcBorders>
              <w:top w:val="nil"/>
              <w:left w:val="nil"/>
              <w:bottom w:val="nil"/>
              <w:right w:val="nil"/>
            </w:tcBorders>
            <w:shd w:val="clear" w:color="auto" w:fill="auto"/>
            <w:vAlign w:val="center"/>
            <w:hideMark/>
          </w:tcPr>
          <w:p w:rsidR="00DE031E" w:rsidRPr="0072229A" w:rsidRDefault="00DE031E" w:rsidP="00DE031E">
            <w:pPr>
              <w:spacing w:line="276" w:lineRule="auto"/>
              <w:rPr>
                <w:rFonts w:asciiTheme="minorEastAsia" w:eastAsiaTheme="minorEastAsia" w:hAnsiTheme="minorEastAsia" w:cs="Calibri"/>
                <w:color w:val="000000"/>
                <w:szCs w:val="21"/>
              </w:rPr>
            </w:pP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328,000.00</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手续费及佣金净收入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8,181,534,941.55</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b/>
                <w:bCs/>
                <w:color w:val="000000"/>
                <w:szCs w:val="21"/>
              </w:rPr>
            </w:pPr>
            <w:r w:rsidRPr="0072229A">
              <w:rPr>
                <w:rFonts w:asciiTheme="minorEastAsia" w:eastAsiaTheme="minorEastAsia" w:hAnsiTheme="minorEastAsia" w:cs="Arial"/>
                <w:b/>
                <w:bCs/>
                <w:color w:val="000000"/>
                <w:szCs w:val="21"/>
              </w:rPr>
              <w:t>1,665,209,270.79</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b/>
                <w:bCs/>
                <w:color w:val="000000"/>
                <w:szCs w:val="21"/>
              </w:rPr>
            </w:pPr>
            <w:r w:rsidRPr="0072229A">
              <w:rPr>
                <w:rFonts w:asciiTheme="minorEastAsia" w:eastAsiaTheme="minorEastAsia" w:hAnsiTheme="minorEastAsia" w:hint="eastAsia"/>
                <w:b/>
                <w:bCs/>
                <w:color w:val="000000"/>
                <w:szCs w:val="21"/>
              </w:rPr>
              <w:t>其中：财务顾问业务净收入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78,515,272.55</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41,667,396.44</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w:t>
            </w:r>
            <w:r w:rsidRPr="0072229A">
              <w:rPr>
                <w:rFonts w:asciiTheme="minorEastAsia" w:eastAsiaTheme="minorEastAsia" w:hAnsiTheme="minorEastAsia" w:cs="Arial" w:hint="eastAsia"/>
                <w:color w:val="000000"/>
                <w:szCs w:val="21"/>
              </w:rPr>
              <w:t>并购重组财务顾问业务净收入</w:t>
            </w:r>
            <w:r w:rsidRPr="0072229A">
              <w:rPr>
                <w:rFonts w:asciiTheme="minorEastAsia" w:eastAsiaTheme="minorEastAsia" w:hAnsiTheme="minorEastAsia" w:cs="Arial"/>
                <w:color w:val="000000"/>
                <w:szCs w:val="21"/>
              </w:rPr>
              <w:t>--</w:t>
            </w:r>
            <w:r w:rsidRPr="0072229A">
              <w:rPr>
                <w:rFonts w:asciiTheme="minorEastAsia" w:eastAsiaTheme="minorEastAsia" w:hAnsiTheme="minorEastAsia" w:cs="Arial" w:hint="eastAsia"/>
                <w:color w:val="000000"/>
                <w:szCs w:val="21"/>
              </w:rPr>
              <w:t>境内上市公司</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11,605,380.00</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10,868,134.79</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w:t>
            </w:r>
            <w:r w:rsidRPr="0072229A">
              <w:rPr>
                <w:rFonts w:asciiTheme="minorEastAsia" w:eastAsiaTheme="minorEastAsia" w:hAnsiTheme="minorEastAsia" w:cs="Arial" w:hint="eastAsia"/>
                <w:color w:val="000000"/>
                <w:szCs w:val="21"/>
              </w:rPr>
              <w:t>并购重组财务顾问业务净收入</w:t>
            </w:r>
            <w:r w:rsidRPr="0072229A">
              <w:rPr>
                <w:rFonts w:asciiTheme="minorEastAsia" w:eastAsiaTheme="minorEastAsia" w:hAnsiTheme="minorEastAsia" w:cs="Arial"/>
                <w:color w:val="000000"/>
                <w:szCs w:val="21"/>
              </w:rPr>
              <w:t>—</w:t>
            </w:r>
            <w:r w:rsidRPr="0072229A">
              <w:rPr>
                <w:rFonts w:asciiTheme="minorEastAsia" w:eastAsiaTheme="minorEastAsia" w:hAnsiTheme="minorEastAsia" w:cs="Arial" w:hint="eastAsia"/>
                <w:color w:val="000000"/>
                <w:szCs w:val="21"/>
              </w:rPr>
              <w:t>其他</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4,230,000.00</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2,675,375.63</w:t>
            </w:r>
          </w:p>
        </w:tc>
      </w:tr>
      <w:tr w:rsidR="00DE031E" w:rsidRPr="0072229A" w:rsidTr="00DE031E">
        <w:trPr>
          <w:trHeight w:val="270"/>
          <w:jc w:val="center"/>
        </w:trPr>
        <w:tc>
          <w:tcPr>
            <w:tcW w:w="2694" w:type="pct"/>
            <w:tcBorders>
              <w:top w:val="nil"/>
              <w:left w:val="nil"/>
              <w:bottom w:val="nil"/>
              <w:right w:val="nil"/>
            </w:tcBorders>
            <w:shd w:val="clear" w:color="auto" w:fill="auto"/>
            <w:vAlign w:val="center"/>
            <w:hideMark/>
          </w:tcPr>
          <w:p w:rsidR="00DE031E" w:rsidRPr="0072229A" w:rsidRDefault="001C1A59" w:rsidP="00DE031E">
            <w:pPr>
              <w:spacing w:line="276" w:lineRule="auto"/>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w:t>
            </w:r>
            <w:r w:rsidRPr="0072229A">
              <w:rPr>
                <w:rFonts w:asciiTheme="minorEastAsia" w:eastAsiaTheme="minorEastAsia" w:hAnsiTheme="minorEastAsia" w:cs="Arial" w:hint="eastAsia"/>
                <w:color w:val="000000"/>
                <w:szCs w:val="21"/>
              </w:rPr>
              <w:t>其他财务顾问业务净收入</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62,679,892.55</w:t>
            </w:r>
          </w:p>
        </w:tc>
        <w:tc>
          <w:tcPr>
            <w:tcW w:w="1153" w:type="pct"/>
            <w:tcBorders>
              <w:top w:val="nil"/>
              <w:left w:val="nil"/>
              <w:bottom w:val="nil"/>
              <w:right w:val="nil"/>
            </w:tcBorders>
            <w:shd w:val="clear" w:color="auto" w:fill="auto"/>
            <w:vAlign w:val="center"/>
            <w:hideMark/>
          </w:tcPr>
          <w:p w:rsidR="00DE031E" w:rsidRPr="0072229A" w:rsidRDefault="001C1A59" w:rsidP="00DE031E">
            <w:pPr>
              <w:spacing w:line="276" w:lineRule="auto"/>
              <w:jc w:val="right"/>
              <w:rPr>
                <w:rFonts w:asciiTheme="minorEastAsia" w:eastAsiaTheme="minorEastAsia" w:hAnsiTheme="minorEastAsia" w:cs="Arial"/>
                <w:color w:val="000000"/>
                <w:szCs w:val="21"/>
              </w:rPr>
            </w:pPr>
            <w:r w:rsidRPr="0072229A">
              <w:rPr>
                <w:rFonts w:asciiTheme="minorEastAsia" w:eastAsiaTheme="minorEastAsia" w:hAnsiTheme="minorEastAsia" w:cs="Arial"/>
                <w:color w:val="000000"/>
                <w:szCs w:val="21"/>
              </w:rPr>
              <w:t>28,123,886.02</w:t>
            </w:r>
          </w:p>
        </w:tc>
      </w:tr>
    </w:tbl>
    <w:p w:rsidR="00DE031E" w:rsidRPr="00187BC5" w:rsidRDefault="001C1A59" w:rsidP="003A0284">
      <w:pPr>
        <w:pStyle w:val="31"/>
        <w:numPr>
          <w:ilvl w:val="3"/>
          <w:numId w:val="31"/>
        </w:numPr>
        <w:spacing w:beforeLines="50" w:afterLines="50"/>
        <w:ind w:firstLineChars="0"/>
        <w:outlineLvl w:val="1"/>
        <w:rPr>
          <w:rFonts w:ascii="Arial" w:hAnsi="Arial" w:cs="Arial"/>
          <w:b/>
          <w:sz w:val="22"/>
          <w:szCs w:val="22"/>
        </w:rPr>
      </w:pPr>
      <w:r w:rsidRPr="00187BC5">
        <w:rPr>
          <w:rFonts w:ascii="Arial" w:hAnsi="Arial" w:cs="Arial"/>
          <w:b/>
          <w:sz w:val="22"/>
          <w:szCs w:val="22"/>
        </w:rPr>
        <w:t>投资收益</w:t>
      </w:r>
    </w:p>
    <w:p w:rsidR="00DE031E" w:rsidRDefault="001C1A59" w:rsidP="009950AC">
      <w:pPr>
        <w:pStyle w:val="a9"/>
        <w:numPr>
          <w:ilvl w:val="0"/>
          <w:numId w:val="85"/>
        </w:numPr>
        <w:spacing w:line="360" w:lineRule="auto"/>
        <w:ind w:firstLineChars="0"/>
        <w:rPr>
          <w:rFonts w:ascii="Arial" w:hAnsi="Arial" w:cs="Arial"/>
          <w:sz w:val="22"/>
        </w:rPr>
      </w:pPr>
      <w:r w:rsidRPr="00EA637B">
        <w:rPr>
          <w:rFonts w:ascii="Arial" w:hAnsi="Arial" w:cs="Arial" w:hint="eastAsia"/>
          <w:sz w:val="22"/>
        </w:rPr>
        <w:t>投资收益明细表</w:t>
      </w:r>
    </w:p>
    <w:p w:rsidR="00A80CD6" w:rsidRPr="00EA637B" w:rsidRDefault="00A80CD6" w:rsidP="00A80CD6">
      <w:pPr>
        <w:pStyle w:val="a9"/>
        <w:spacing w:line="360" w:lineRule="auto"/>
        <w:ind w:left="1566" w:firstLineChars="0" w:firstLine="0"/>
        <w:jc w:val="right"/>
      </w:pPr>
      <w:r>
        <w:rPr>
          <w:rFonts w:hint="eastAsia"/>
        </w:rPr>
        <w:t>单位：元</w:t>
      </w:r>
      <w:r>
        <w:rPr>
          <w:rFonts w:hint="eastAsia"/>
        </w:rPr>
        <w:t xml:space="preserve">  </w:t>
      </w:r>
      <w:r>
        <w:rPr>
          <w:rFonts w:hint="eastAsia"/>
        </w:rPr>
        <w:t>币种：人民币</w:t>
      </w:r>
    </w:p>
    <w:tbl>
      <w:tblPr>
        <w:tblW w:w="9120" w:type="dxa"/>
        <w:jc w:val="center"/>
        <w:tblInd w:w="93" w:type="dxa"/>
        <w:tblLook w:val="04A0"/>
      </w:tblPr>
      <w:tblGrid>
        <w:gridCol w:w="5800"/>
        <w:gridCol w:w="2001"/>
        <w:gridCol w:w="1910"/>
      </w:tblGrid>
      <w:tr w:rsidR="00DE031E" w:rsidRPr="00895C70" w:rsidTr="00DE031E">
        <w:trPr>
          <w:trHeight w:val="270"/>
          <w:tblHeader/>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b/>
                <w:bCs/>
                <w:color w:val="000000"/>
                <w:szCs w:val="21"/>
              </w:rPr>
            </w:pPr>
            <w:r w:rsidRPr="00895C70">
              <w:rPr>
                <w:rFonts w:asciiTheme="minorEastAsia" w:eastAsiaTheme="minorEastAsia" w:hAnsiTheme="minorEastAsia" w:hint="eastAsia"/>
                <w:b/>
                <w:bCs/>
                <w:color w:val="000000"/>
                <w:szCs w:val="21"/>
              </w:rPr>
              <w:t>项目</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2015</w:t>
            </w:r>
            <w:r w:rsidRPr="00895C70">
              <w:rPr>
                <w:rFonts w:asciiTheme="minorEastAsia" w:eastAsiaTheme="minorEastAsia" w:hAnsiTheme="minorEastAsia" w:cs="Arial" w:hint="eastAsia"/>
                <w:b/>
                <w:bCs/>
                <w:color w:val="000000"/>
                <w:szCs w:val="21"/>
              </w:rPr>
              <w:t>年</w:t>
            </w:r>
            <w:r w:rsidRPr="00895C70">
              <w:rPr>
                <w:rFonts w:asciiTheme="minorEastAsia" w:eastAsiaTheme="minorEastAsia" w:hAnsiTheme="minorEastAsia" w:cs="Arial"/>
                <w:b/>
                <w:bCs/>
                <w:color w:val="000000"/>
                <w:szCs w:val="21"/>
              </w:rPr>
              <w:t>1-6</w:t>
            </w:r>
            <w:r w:rsidRPr="00895C70">
              <w:rPr>
                <w:rFonts w:asciiTheme="minorEastAsia" w:eastAsiaTheme="minorEastAsia" w:hAnsiTheme="minorEastAsia" w:cs="Arial" w:hint="eastAsia"/>
                <w:b/>
                <w:bCs/>
                <w:color w:val="000000"/>
                <w:szCs w:val="21"/>
              </w:rPr>
              <w:t>月</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2014</w:t>
            </w:r>
            <w:r w:rsidRPr="00895C70">
              <w:rPr>
                <w:rFonts w:asciiTheme="minorEastAsia" w:eastAsiaTheme="minorEastAsia" w:hAnsiTheme="minorEastAsia" w:cs="Arial" w:hint="eastAsia"/>
                <w:b/>
                <w:bCs/>
                <w:color w:val="000000"/>
                <w:szCs w:val="21"/>
              </w:rPr>
              <w:t>年</w:t>
            </w:r>
            <w:r w:rsidRPr="00895C70">
              <w:rPr>
                <w:rFonts w:asciiTheme="minorEastAsia" w:eastAsiaTheme="minorEastAsia" w:hAnsiTheme="minorEastAsia" w:cs="Arial"/>
                <w:b/>
                <w:bCs/>
                <w:color w:val="000000"/>
                <w:szCs w:val="21"/>
              </w:rPr>
              <w:t>1-6</w:t>
            </w:r>
            <w:r w:rsidRPr="00895C70">
              <w:rPr>
                <w:rFonts w:asciiTheme="minorEastAsia" w:eastAsiaTheme="minorEastAsia" w:hAnsiTheme="minorEastAsia" w:cs="Arial" w:hint="eastAsia"/>
                <w:b/>
                <w:bCs/>
                <w:color w:val="000000"/>
                <w:szCs w:val="21"/>
              </w:rPr>
              <w:t>月</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股权投资确认的收益</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304,497,971.37</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390,179,979.95</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其中：联营企业和合营企业</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304,497,971.37</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160,179,979.95</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s="Arial"/>
                <w:color w:val="000000"/>
                <w:szCs w:val="21"/>
              </w:rPr>
            </w:pPr>
            <w:r w:rsidRPr="00895C70">
              <w:rPr>
                <w:rFonts w:asciiTheme="minorEastAsia" w:eastAsiaTheme="minorEastAsia" w:hAnsiTheme="minorEastAsia" w:cs="Arial" w:hint="eastAsia"/>
                <w:color w:val="000000"/>
                <w:szCs w:val="21"/>
              </w:rPr>
              <w:t>子公司</w:t>
            </w:r>
          </w:p>
        </w:tc>
        <w:tc>
          <w:tcPr>
            <w:tcW w:w="1660" w:type="dxa"/>
            <w:tcBorders>
              <w:top w:val="nil"/>
              <w:left w:val="nil"/>
              <w:bottom w:val="nil"/>
              <w:right w:val="nil"/>
            </w:tcBorders>
            <w:shd w:val="clear" w:color="auto" w:fill="auto"/>
            <w:vAlign w:val="center"/>
            <w:hideMark/>
          </w:tcPr>
          <w:p w:rsidR="00DE031E" w:rsidRPr="00895C70" w:rsidRDefault="00DE031E" w:rsidP="00DE031E">
            <w:pPr>
              <w:spacing w:line="276" w:lineRule="auto"/>
              <w:jc w:val="right"/>
              <w:rPr>
                <w:rFonts w:asciiTheme="minorEastAsia" w:eastAsiaTheme="minorEastAsia" w:hAnsiTheme="minorEastAsia" w:cs="Arial"/>
                <w:color w:val="000000"/>
                <w:szCs w:val="21"/>
              </w:rPr>
            </w:pP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230,000,000.00</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金融工具持有期间取得的分红和利息</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1,504,670,461.98</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672,115,216.19</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其中：以公允价值计量且其变动计入当期损益的金融工具</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1,224,715,738.85</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543,024,945.03</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ind w:firstLineChars="300" w:firstLine="630"/>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可供出售金融资产</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279,954,723.13</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129,090,271.16</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处置收益</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467,782,814.89</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95,643,512.70</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其中：以公允价值计量且其变动计入当期损益的金融资产</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7,951,693,013.66</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-147,114,079.06</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ind w:firstLineChars="300" w:firstLine="630"/>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衍生金融工具</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-7,920,607,462.35</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247,978,641.91</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ind w:firstLineChars="300" w:firstLine="630"/>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lastRenderedPageBreak/>
              <w:t>可供出售金融资产</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436,697,263.58</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-5,221,050.15</w:t>
            </w: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ind w:firstLineChars="300" w:firstLine="630"/>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以公允价值计量且其变动计入当期损益的金融负债</w:t>
            </w:r>
          </w:p>
        </w:tc>
        <w:tc>
          <w:tcPr>
            <w:tcW w:w="1660" w:type="dxa"/>
            <w:tcBorders>
              <w:top w:val="nil"/>
              <w:left w:val="nil"/>
              <w:bottom w:val="nil"/>
              <w:right w:val="nil"/>
            </w:tcBorders>
            <w:shd w:val="clear" w:color="auto" w:fill="auto"/>
            <w:vAlign w:val="center"/>
            <w:hideMark/>
          </w:tcPr>
          <w:p w:rsidR="00DE031E" w:rsidRPr="00895C70" w:rsidRDefault="00DE031E" w:rsidP="00DE031E">
            <w:pPr>
              <w:spacing w:line="276" w:lineRule="auto"/>
              <w:jc w:val="right"/>
              <w:rPr>
                <w:rFonts w:asciiTheme="minorEastAsia" w:eastAsiaTheme="minorEastAsia" w:hAnsiTheme="minorEastAsia" w:cs="Arial"/>
                <w:color w:val="000000"/>
                <w:szCs w:val="21"/>
              </w:rPr>
            </w:pPr>
          </w:p>
        </w:tc>
        <w:tc>
          <w:tcPr>
            <w:tcW w:w="1660" w:type="dxa"/>
            <w:tcBorders>
              <w:top w:val="nil"/>
              <w:left w:val="nil"/>
              <w:bottom w:val="nil"/>
              <w:right w:val="nil"/>
            </w:tcBorders>
            <w:shd w:val="clear" w:color="auto" w:fill="auto"/>
            <w:vAlign w:val="center"/>
            <w:hideMark/>
          </w:tcPr>
          <w:p w:rsidR="00DE031E" w:rsidRPr="00895C70" w:rsidRDefault="00DE031E" w:rsidP="00DE031E">
            <w:pPr>
              <w:spacing w:line="276" w:lineRule="auto"/>
              <w:jc w:val="right"/>
              <w:rPr>
                <w:rFonts w:asciiTheme="minorEastAsia" w:eastAsiaTheme="minorEastAsia" w:hAnsiTheme="minorEastAsia" w:cs="Arial"/>
                <w:color w:val="000000"/>
                <w:szCs w:val="21"/>
              </w:rPr>
            </w:pPr>
          </w:p>
        </w:tc>
      </w:tr>
      <w:tr w:rsidR="00DE031E" w:rsidRPr="00895C70" w:rsidTr="00DE031E">
        <w:trPr>
          <w:trHeight w:val="270"/>
          <w:jc w:val="center"/>
        </w:trPr>
        <w:tc>
          <w:tcPr>
            <w:tcW w:w="5800" w:type="dxa"/>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b/>
                <w:bCs/>
                <w:color w:val="000000"/>
                <w:szCs w:val="21"/>
              </w:rPr>
            </w:pPr>
            <w:r w:rsidRPr="00895C70">
              <w:rPr>
                <w:rFonts w:asciiTheme="minorEastAsia" w:eastAsiaTheme="minorEastAsia" w:hAnsiTheme="minorEastAsia" w:hint="eastAsia"/>
                <w:b/>
                <w:bCs/>
                <w:color w:val="000000"/>
                <w:szCs w:val="21"/>
              </w:rPr>
              <w:t>合计</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2,276,951,248.24</w:t>
            </w:r>
          </w:p>
        </w:tc>
        <w:tc>
          <w:tcPr>
            <w:tcW w:w="1660" w:type="dxa"/>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1,157,938,708.84</w:t>
            </w:r>
          </w:p>
        </w:tc>
      </w:tr>
    </w:tbl>
    <w:p w:rsidR="00DE031E" w:rsidRPr="00EA637B" w:rsidRDefault="001C1A59" w:rsidP="00DE031E">
      <w:pPr>
        <w:ind w:left="426"/>
        <w:rPr>
          <w:rFonts w:ascii="Arial" w:hAnsi="Arial" w:cs="Arial"/>
          <w:sz w:val="22"/>
        </w:rPr>
      </w:pPr>
      <w:r>
        <w:rPr>
          <w:rFonts w:ascii="Arial" w:hAnsi="Arial" w:cs="Arial" w:hint="eastAsia"/>
          <w:sz w:val="22"/>
        </w:rPr>
        <w:t>（</w:t>
      </w:r>
      <w:r>
        <w:rPr>
          <w:rFonts w:ascii="Arial" w:hAnsi="Arial" w:cs="Arial" w:hint="eastAsia"/>
          <w:sz w:val="22"/>
        </w:rPr>
        <w:t>2</w:t>
      </w:r>
      <w:r>
        <w:rPr>
          <w:rFonts w:ascii="Arial" w:hAnsi="Arial" w:cs="Arial" w:hint="eastAsia"/>
          <w:sz w:val="22"/>
        </w:rPr>
        <w:t>）</w:t>
      </w:r>
      <w:r w:rsidRPr="00EA637B">
        <w:rPr>
          <w:rFonts w:ascii="Arial" w:hAnsi="Arial" w:cs="Arial"/>
          <w:sz w:val="22"/>
        </w:rPr>
        <w:t>对联营企业和合营企业的投资收益</w:t>
      </w:r>
    </w:p>
    <w:tbl>
      <w:tblPr>
        <w:tblW w:w="5000" w:type="pct"/>
        <w:tblLook w:val="04A0"/>
      </w:tblPr>
      <w:tblGrid>
        <w:gridCol w:w="4619"/>
        <w:gridCol w:w="2215"/>
        <w:gridCol w:w="2215"/>
      </w:tblGrid>
      <w:tr w:rsidR="00DE031E" w:rsidRPr="00895C70" w:rsidTr="00DE031E">
        <w:trPr>
          <w:trHeight w:val="409"/>
        </w:trPr>
        <w:tc>
          <w:tcPr>
            <w:tcW w:w="2552" w:type="pct"/>
            <w:vMerge w:val="restart"/>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b/>
                <w:bCs/>
                <w:color w:val="000000"/>
                <w:szCs w:val="21"/>
              </w:rPr>
            </w:pPr>
            <w:r w:rsidRPr="00895C70">
              <w:rPr>
                <w:rFonts w:asciiTheme="minorEastAsia" w:eastAsiaTheme="minorEastAsia" w:hAnsiTheme="minorEastAsia" w:hint="eastAsia"/>
                <w:b/>
                <w:bCs/>
                <w:color w:val="000000"/>
                <w:szCs w:val="21"/>
              </w:rPr>
              <w:t>被投资单位</w:t>
            </w:r>
          </w:p>
        </w:tc>
        <w:tc>
          <w:tcPr>
            <w:tcW w:w="1224" w:type="pct"/>
            <w:vMerge w:val="restar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2015</w:t>
            </w:r>
            <w:r w:rsidRPr="00895C70">
              <w:rPr>
                <w:rFonts w:asciiTheme="minorEastAsia" w:eastAsiaTheme="minorEastAsia" w:hAnsiTheme="minorEastAsia" w:cs="Arial" w:hint="eastAsia"/>
                <w:b/>
                <w:bCs/>
                <w:color w:val="000000"/>
                <w:szCs w:val="21"/>
              </w:rPr>
              <w:t>年</w:t>
            </w:r>
            <w:r w:rsidRPr="00895C70">
              <w:rPr>
                <w:rFonts w:asciiTheme="minorEastAsia" w:eastAsiaTheme="minorEastAsia" w:hAnsiTheme="minorEastAsia" w:cs="Arial"/>
                <w:b/>
                <w:bCs/>
                <w:color w:val="000000"/>
                <w:szCs w:val="21"/>
              </w:rPr>
              <w:t>1-6</w:t>
            </w:r>
            <w:r w:rsidRPr="00895C70">
              <w:rPr>
                <w:rFonts w:asciiTheme="minorEastAsia" w:eastAsiaTheme="minorEastAsia" w:hAnsiTheme="minorEastAsia" w:cs="Arial" w:hint="eastAsia"/>
                <w:b/>
                <w:bCs/>
                <w:color w:val="000000"/>
                <w:szCs w:val="21"/>
              </w:rPr>
              <w:t>月</w:t>
            </w:r>
          </w:p>
        </w:tc>
        <w:tc>
          <w:tcPr>
            <w:tcW w:w="1224" w:type="pct"/>
            <w:vMerge w:val="restar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2014</w:t>
            </w:r>
            <w:r w:rsidRPr="00895C70">
              <w:rPr>
                <w:rFonts w:asciiTheme="minorEastAsia" w:eastAsiaTheme="minorEastAsia" w:hAnsiTheme="minorEastAsia" w:cs="Arial" w:hint="eastAsia"/>
                <w:b/>
                <w:bCs/>
                <w:color w:val="000000"/>
                <w:szCs w:val="21"/>
              </w:rPr>
              <w:t>年</w:t>
            </w:r>
            <w:r w:rsidRPr="00895C70">
              <w:rPr>
                <w:rFonts w:asciiTheme="minorEastAsia" w:eastAsiaTheme="minorEastAsia" w:hAnsiTheme="minorEastAsia" w:cs="Arial"/>
                <w:b/>
                <w:bCs/>
                <w:color w:val="000000"/>
                <w:szCs w:val="21"/>
              </w:rPr>
              <w:t>1-6</w:t>
            </w:r>
            <w:r w:rsidRPr="00895C70">
              <w:rPr>
                <w:rFonts w:asciiTheme="minorEastAsia" w:eastAsiaTheme="minorEastAsia" w:hAnsiTheme="minorEastAsia" w:cs="Arial" w:hint="eastAsia"/>
                <w:b/>
                <w:bCs/>
                <w:color w:val="000000"/>
                <w:szCs w:val="21"/>
              </w:rPr>
              <w:t>月</w:t>
            </w:r>
          </w:p>
        </w:tc>
      </w:tr>
      <w:tr w:rsidR="00DE031E" w:rsidRPr="00895C70" w:rsidTr="00DE031E">
        <w:trPr>
          <w:trHeight w:val="409"/>
        </w:trPr>
        <w:tc>
          <w:tcPr>
            <w:tcW w:w="2552" w:type="pct"/>
            <w:vMerge/>
            <w:tcBorders>
              <w:top w:val="nil"/>
              <w:left w:val="nil"/>
              <w:bottom w:val="nil"/>
              <w:right w:val="nil"/>
            </w:tcBorders>
            <w:vAlign w:val="center"/>
            <w:hideMark/>
          </w:tcPr>
          <w:p w:rsidR="00DE031E" w:rsidRPr="00895C70" w:rsidRDefault="00DE031E" w:rsidP="00DE031E">
            <w:pPr>
              <w:spacing w:line="276" w:lineRule="auto"/>
              <w:rPr>
                <w:rFonts w:asciiTheme="minorEastAsia" w:eastAsiaTheme="minorEastAsia" w:hAnsiTheme="minorEastAsia"/>
                <w:b/>
                <w:bCs/>
                <w:color w:val="000000"/>
                <w:szCs w:val="21"/>
              </w:rPr>
            </w:pPr>
          </w:p>
        </w:tc>
        <w:tc>
          <w:tcPr>
            <w:tcW w:w="1224" w:type="pct"/>
            <w:vMerge/>
            <w:tcBorders>
              <w:top w:val="nil"/>
              <w:left w:val="nil"/>
              <w:bottom w:val="nil"/>
              <w:right w:val="nil"/>
            </w:tcBorders>
            <w:vAlign w:val="center"/>
            <w:hideMark/>
          </w:tcPr>
          <w:p w:rsidR="00DE031E" w:rsidRPr="00895C70" w:rsidRDefault="00DE031E" w:rsidP="00DE031E">
            <w:pPr>
              <w:spacing w:line="276" w:lineRule="auto"/>
              <w:rPr>
                <w:rFonts w:asciiTheme="minorEastAsia" w:eastAsiaTheme="minorEastAsia" w:hAnsiTheme="minorEastAsia" w:cs="Arial"/>
                <w:b/>
                <w:bCs/>
                <w:color w:val="000000"/>
                <w:szCs w:val="21"/>
              </w:rPr>
            </w:pPr>
          </w:p>
        </w:tc>
        <w:tc>
          <w:tcPr>
            <w:tcW w:w="1224" w:type="pct"/>
            <w:vMerge/>
            <w:tcBorders>
              <w:top w:val="nil"/>
              <w:left w:val="nil"/>
              <w:bottom w:val="nil"/>
              <w:right w:val="nil"/>
            </w:tcBorders>
            <w:vAlign w:val="center"/>
            <w:hideMark/>
          </w:tcPr>
          <w:p w:rsidR="00DE031E" w:rsidRPr="00895C70" w:rsidRDefault="00DE031E" w:rsidP="00DE031E">
            <w:pPr>
              <w:spacing w:line="276" w:lineRule="auto"/>
              <w:rPr>
                <w:rFonts w:asciiTheme="minorEastAsia" w:eastAsiaTheme="minorEastAsia" w:hAnsiTheme="minorEastAsia" w:cs="Arial"/>
                <w:b/>
                <w:bCs/>
                <w:color w:val="000000"/>
                <w:szCs w:val="21"/>
              </w:rPr>
            </w:pPr>
          </w:p>
        </w:tc>
      </w:tr>
      <w:tr w:rsidR="00DE031E" w:rsidRPr="00895C70" w:rsidTr="00DE031E">
        <w:trPr>
          <w:trHeight w:val="270"/>
        </w:trPr>
        <w:tc>
          <w:tcPr>
            <w:tcW w:w="2552" w:type="pct"/>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博时基金管理有限公司</w:t>
            </w:r>
          </w:p>
        </w:tc>
        <w:tc>
          <w:tcPr>
            <w:tcW w:w="1224" w:type="pc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169,899,940.77</w:t>
            </w:r>
          </w:p>
        </w:tc>
        <w:tc>
          <w:tcPr>
            <w:tcW w:w="1224" w:type="pct"/>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103,285,707.51</w:t>
            </w:r>
          </w:p>
        </w:tc>
      </w:tr>
      <w:tr w:rsidR="00DE031E" w:rsidRPr="00895C70" w:rsidTr="00DE031E">
        <w:trPr>
          <w:trHeight w:val="270"/>
        </w:trPr>
        <w:tc>
          <w:tcPr>
            <w:tcW w:w="2552" w:type="pct"/>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招商基金管理有限公司</w:t>
            </w:r>
          </w:p>
        </w:tc>
        <w:tc>
          <w:tcPr>
            <w:tcW w:w="1224" w:type="pc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133,529,719.51</w:t>
            </w:r>
          </w:p>
        </w:tc>
        <w:tc>
          <w:tcPr>
            <w:tcW w:w="1224" w:type="pct"/>
            <w:tcBorders>
              <w:top w:val="nil"/>
              <w:left w:val="nil"/>
              <w:bottom w:val="nil"/>
              <w:right w:val="nil"/>
            </w:tcBorders>
            <w:shd w:val="clear" w:color="auto" w:fill="auto"/>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57,784,341.02</w:t>
            </w:r>
          </w:p>
        </w:tc>
      </w:tr>
      <w:tr w:rsidR="00DE031E" w:rsidRPr="00895C70" w:rsidTr="00DE031E">
        <w:trPr>
          <w:trHeight w:val="270"/>
        </w:trPr>
        <w:tc>
          <w:tcPr>
            <w:tcW w:w="2552" w:type="pct"/>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color w:val="000000"/>
                <w:szCs w:val="21"/>
              </w:rPr>
            </w:pPr>
            <w:r w:rsidRPr="00895C70">
              <w:rPr>
                <w:rFonts w:asciiTheme="minorEastAsia" w:eastAsiaTheme="minorEastAsia" w:hAnsiTheme="minorEastAsia" w:hint="eastAsia"/>
                <w:color w:val="000000"/>
                <w:szCs w:val="21"/>
              </w:rPr>
              <w:t>广东金融高新区股权交易中心有限公司</w:t>
            </w:r>
          </w:p>
        </w:tc>
        <w:tc>
          <w:tcPr>
            <w:tcW w:w="1224" w:type="pc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1,068,311.09</w:t>
            </w:r>
          </w:p>
        </w:tc>
        <w:tc>
          <w:tcPr>
            <w:tcW w:w="1224" w:type="pc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color w:val="000000"/>
                <w:szCs w:val="21"/>
              </w:rPr>
            </w:pPr>
            <w:r w:rsidRPr="00895C70">
              <w:rPr>
                <w:rFonts w:asciiTheme="minorEastAsia" w:eastAsiaTheme="minorEastAsia" w:hAnsiTheme="minorEastAsia" w:cs="Arial"/>
                <w:color w:val="000000"/>
                <w:szCs w:val="21"/>
              </w:rPr>
              <w:t>-890,068.58</w:t>
            </w:r>
          </w:p>
        </w:tc>
      </w:tr>
      <w:tr w:rsidR="00DE031E" w:rsidRPr="00895C70" w:rsidTr="00DE031E">
        <w:trPr>
          <w:trHeight w:val="270"/>
        </w:trPr>
        <w:tc>
          <w:tcPr>
            <w:tcW w:w="2552" w:type="pct"/>
            <w:tcBorders>
              <w:top w:val="nil"/>
              <w:left w:val="nil"/>
              <w:bottom w:val="nil"/>
              <w:right w:val="nil"/>
            </w:tcBorders>
            <w:shd w:val="clear" w:color="auto" w:fill="auto"/>
            <w:noWrap/>
            <w:vAlign w:val="center"/>
            <w:hideMark/>
          </w:tcPr>
          <w:p w:rsidR="00DE031E" w:rsidRPr="00895C70" w:rsidRDefault="001C1A59" w:rsidP="00DE031E">
            <w:pPr>
              <w:spacing w:line="276" w:lineRule="auto"/>
              <w:rPr>
                <w:rFonts w:asciiTheme="minorEastAsia" w:eastAsiaTheme="minorEastAsia" w:hAnsiTheme="minorEastAsia"/>
                <w:b/>
                <w:bCs/>
                <w:color w:val="000000"/>
                <w:szCs w:val="21"/>
              </w:rPr>
            </w:pPr>
            <w:r w:rsidRPr="00895C70">
              <w:rPr>
                <w:rFonts w:asciiTheme="minorEastAsia" w:eastAsiaTheme="minorEastAsia" w:hAnsiTheme="minorEastAsia" w:hint="eastAsia"/>
                <w:b/>
                <w:bCs/>
                <w:color w:val="000000"/>
                <w:szCs w:val="21"/>
              </w:rPr>
              <w:t>合计</w:t>
            </w:r>
          </w:p>
        </w:tc>
        <w:tc>
          <w:tcPr>
            <w:tcW w:w="1224" w:type="pc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304,497,971.37</w:t>
            </w:r>
          </w:p>
        </w:tc>
        <w:tc>
          <w:tcPr>
            <w:tcW w:w="1224" w:type="pct"/>
            <w:tcBorders>
              <w:top w:val="nil"/>
              <w:left w:val="nil"/>
              <w:bottom w:val="nil"/>
              <w:right w:val="nil"/>
            </w:tcBorders>
            <w:shd w:val="clear" w:color="auto" w:fill="auto"/>
            <w:noWrap/>
            <w:vAlign w:val="center"/>
            <w:hideMark/>
          </w:tcPr>
          <w:p w:rsidR="00DE031E" w:rsidRPr="00895C70" w:rsidRDefault="001C1A59" w:rsidP="00DE031E">
            <w:pPr>
              <w:spacing w:line="276" w:lineRule="auto"/>
              <w:jc w:val="right"/>
              <w:rPr>
                <w:rFonts w:asciiTheme="minorEastAsia" w:eastAsiaTheme="minorEastAsia" w:hAnsiTheme="minorEastAsia" w:cs="Arial"/>
                <w:b/>
                <w:bCs/>
                <w:color w:val="000000"/>
                <w:szCs w:val="21"/>
              </w:rPr>
            </w:pPr>
            <w:r w:rsidRPr="00895C70">
              <w:rPr>
                <w:rFonts w:asciiTheme="minorEastAsia" w:eastAsiaTheme="minorEastAsia" w:hAnsiTheme="minorEastAsia" w:cs="Arial"/>
                <w:b/>
                <w:bCs/>
                <w:color w:val="000000"/>
                <w:szCs w:val="21"/>
              </w:rPr>
              <w:t>160,179,979.95</w:t>
            </w:r>
          </w:p>
        </w:tc>
      </w:tr>
    </w:tbl>
    <w:p w:rsidR="00DE031E" w:rsidRPr="00EA637B" w:rsidRDefault="00DE031E" w:rsidP="00DE031E">
      <w:pPr>
        <w:pStyle w:val="a9"/>
        <w:ind w:left="1146" w:firstLineChars="0" w:firstLine="0"/>
      </w:pPr>
    </w:p>
    <w:p w:rsidR="00DE031E" w:rsidRDefault="001C1A59" w:rsidP="003A0284">
      <w:pPr>
        <w:pStyle w:val="31"/>
        <w:numPr>
          <w:ilvl w:val="3"/>
          <w:numId w:val="31"/>
        </w:numPr>
        <w:spacing w:beforeLines="50" w:afterLines="50"/>
        <w:ind w:firstLineChars="0"/>
        <w:outlineLvl w:val="1"/>
        <w:rPr>
          <w:rFonts w:ascii="Arial" w:hAnsi="Arial" w:cs="Arial"/>
          <w:b/>
          <w:sz w:val="22"/>
          <w:szCs w:val="22"/>
        </w:rPr>
      </w:pPr>
      <w:r w:rsidRPr="00187BC5">
        <w:rPr>
          <w:rFonts w:ascii="Arial" w:hAnsi="Arial" w:cs="Arial" w:hint="eastAsia"/>
          <w:b/>
          <w:sz w:val="22"/>
          <w:szCs w:val="22"/>
        </w:rPr>
        <w:t>现金流量补充资料</w:t>
      </w:r>
    </w:p>
    <w:p w:rsidR="00A80CD6" w:rsidRPr="00187BC5" w:rsidRDefault="00A80CD6" w:rsidP="003A0284">
      <w:pPr>
        <w:pStyle w:val="31"/>
        <w:spacing w:beforeLines="50" w:line="240" w:lineRule="auto"/>
        <w:ind w:left="845" w:firstLineChars="0" w:firstLine="0"/>
        <w:jc w:val="right"/>
        <w:outlineLvl w:val="1"/>
        <w:rPr>
          <w:rFonts w:ascii="Arial" w:hAnsi="Arial" w:cs="Arial"/>
          <w:b/>
          <w:sz w:val="22"/>
          <w:szCs w:val="22"/>
        </w:rPr>
      </w:pPr>
      <w:r>
        <w:rPr>
          <w:rFonts w:hint="eastAsia"/>
        </w:rPr>
        <w:t>单位：元</w:t>
      </w:r>
      <w:r>
        <w:rPr>
          <w:rFonts w:hint="eastAsia"/>
        </w:rPr>
        <w:t xml:space="preserve">  </w:t>
      </w:r>
      <w:r>
        <w:rPr>
          <w:rFonts w:hint="eastAsia"/>
        </w:rPr>
        <w:t>币种：人民币</w:t>
      </w:r>
    </w:p>
    <w:tbl>
      <w:tblPr>
        <w:tblW w:w="9330" w:type="dxa"/>
        <w:jc w:val="center"/>
        <w:tblInd w:w="1595" w:type="dxa"/>
        <w:tblLook w:val="04A0"/>
      </w:tblPr>
      <w:tblGrid>
        <w:gridCol w:w="5067"/>
        <w:gridCol w:w="2157"/>
        <w:gridCol w:w="2106"/>
      </w:tblGrid>
      <w:tr w:rsidR="00DE031E" w:rsidRPr="00DA29EA" w:rsidTr="00DE031E">
        <w:trPr>
          <w:trHeight w:val="270"/>
          <w:jc w:val="center"/>
        </w:trPr>
        <w:tc>
          <w:tcPr>
            <w:tcW w:w="5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jc w:val="center"/>
              <w:rPr>
                <w:szCs w:val="21"/>
              </w:rPr>
            </w:pPr>
            <w:r w:rsidRPr="00DA29EA">
              <w:rPr>
                <w:rFonts w:hint="eastAsia"/>
                <w:szCs w:val="21"/>
              </w:rPr>
              <w:t>补充资料</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DE031E" w:rsidRPr="00DA29EA" w:rsidRDefault="001C1A59" w:rsidP="00DE031E">
            <w:pPr>
              <w:jc w:val="center"/>
              <w:rPr>
                <w:szCs w:val="21"/>
              </w:rPr>
            </w:pPr>
            <w:r w:rsidRPr="00DA29EA">
              <w:rPr>
                <w:rFonts w:hint="eastAsia"/>
                <w:szCs w:val="21"/>
              </w:rPr>
              <w:t>本期金额</w:t>
            </w:r>
          </w:p>
        </w:tc>
        <w:tc>
          <w:tcPr>
            <w:tcW w:w="2106" w:type="dxa"/>
            <w:tcBorders>
              <w:top w:val="single" w:sz="4" w:space="0" w:color="auto"/>
              <w:left w:val="nil"/>
              <w:bottom w:val="single" w:sz="4" w:space="0" w:color="auto"/>
              <w:right w:val="single" w:sz="4" w:space="0" w:color="auto"/>
            </w:tcBorders>
            <w:shd w:val="clear" w:color="auto" w:fill="auto"/>
            <w:vAlign w:val="center"/>
            <w:hideMark/>
          </w:tcPr>
          <w:p w:rsidR="00DE031E" w:rsidRPr="00DA29EA" w:rsidRDefault="001C1A59" w:rsidP="00DE031E">
            <w:pPr>
              <w:jc w:val="center"/>
              <w:rPr>
                <w:szCs w:val="21"/>
              </w:rPr>
            </w:pPr>
            <w:r w:rsidRPr="00DA29EA">
              <w:rPr>
                <w:rFonts w:hint="eastAsia"/>
                <w:szCs w:val="21"/>
              </w:rPr>
              <w:t>上期金额</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b/>
                <w:bCs/>
                <w:szCs w:val="21"/>
              </w:rPr>
            </w:pPr>
            <w:r w:rsidRPr="00DA29EA">
              <w:rPr>
                <w:rFonts w:hint="eastAsia"/>
                <w:b/>
                <w:bCs/>
                <w:szCs w:val="21"/>
              </w:rPr>
              <w:t>1．将净利润调节为经营活动现金流量：</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 xml:space="preserve">　</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center"/>
              <w:rPr>
                <w:szCs w:val="21"/>
              </w:rPr>
            </w:pPr>
            <w:r w:rsidRPr="00DA29EA">
              <w:rPr>
                <w:rFonts w:hint="eastAsia"/>
                <w:szCs w:val="21"/>
              </w:rPr>
              <w:t xml:space="preserve">　</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净利润</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6,679,328,049.08</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1,448,454,354.23</w:t>
            </w:r>
          </w:p>
        </w:tc>
      </w:tr>
      <w:tr w:rsidR="00DE031E" w:rsidRPr="00DA29EA" w:rsidTr="00DE031E">
        <w:trPr>
          <w:trHeight w:val="285"/>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加：资产减值准备</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-4,409,462.97</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2,341,463.79</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固定资产折旧、油气资产折耗、生产性生物资产折旧</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30,534,744.17</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31,616,996.31</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无形资产摊销</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1,274,533.60</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1,394,113.44</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长期待摊费用摊销</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30,599,872.69</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27,590,474.76</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处置固定资产、无形资产和其他长期资产的损失（收益以“－”号填列）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-203,380.78</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-73,376.03</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固定资产报废损失（收益以“－”号填列）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 xml:space="preserve">　</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DE031E" w:rsidP="00DE031E">
            <w:pPr>
              <w:jc w:val="right"/>
              <w:rPr>
                <w:szCs w:val="21"/>
              </w:rPr>
            </w:pP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公允价值变动损失（收益以“－”号填列）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-2,306,502,747.41</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50,230,283.44</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利息支出</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1,554,876,179.23</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465,663,297.54</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投资损失（收益以“－”号填列）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-1,008,202,800.30</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-498,897,646.96</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递延所得税资产减少（增加以“－”号填列）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-110,421,405.59</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-14,326,139.42</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递延所得税负债增加（减少以“－”号填列）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567,152,397.04</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-6,848,106.15</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经营性应收项目的减少（增加以“－”号填列）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-78,878,119,527.87</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-13,493,250,633.53</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经营性应付项目的增加（减少以“－”号填列）</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650375">
            <w:pPr>
              <w:jc w:val="right"/>
              <w:rPr>
                <w:szCs w:val="21"/>
              </w:rPr>
            </w:pPr>
            <w:r w:rsidRPr="00DA29EA">
              <w:rPr>
                <w:rFonts w:hint="eastAsia"/>
                <w:szCs w:val="21"/>
              </w:rPr>
              <w:t>84,574,</w:t>
            </w:r>
            <w:r w:rsidR="00650375">
              <w:rPr>
                <w:rFonts w:hint="eastAsia"/>
                <w:szCs w:val="21"/>
              </w:rPr>
              <w:t>526</w:t>
            </w:r>
            <w:r w:rsidRPr="00DA29EA">
              <w:rPr>
                <w:rFonts w:hint="eastAsia"/>
                <w:szCs w:val="21"/>
              </w:rPr>
              <w:t>,</w:t>
            </w:r>
            <w:r w:rsidR="00650375">
              <w:rPr>
                <w:rFonts w:hint="eastAsia"/>
                <w:szCs w:val="21"/>
              </w:rPr>
              <w:t>024</w:t>
            </w:r>
            <w:r w:rsidRPr="00DA29EA">
              <w:rPr>
                <w:rFonts w:hint="eastAsia"/>
                <w:szCs w:val="21"/>
              </w:rPr>
              <w:t>.</w:t>
            </w:r>
            <w:r w:rsidR="00650375">
              <w:rPr>
                <w:rFonts w:hint="eastAsia"/>
                <w:szCs w:val="21"/>
              </w:rPr>
              <w:t>9</w:t>
            </w:r>
            <w:r w:rsidRPr="00DA29EA">
              <w:rPr>
                <w:rFonts w:hint="eastAsia"/>
                <w:szCs w:val="21"/>
              </w:rPr>
              <w:t>3</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10,868,763,014.36</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其他</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 xml:space="preserve">　</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 xml:space="preserve">　</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经营活动产生的现金流量净额</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11,130,432,475.82</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-1,117,341,904.22</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b/>
                <w:bCs/>
                <w:szCs w:val="21"/>
              </w:rPr>
            </w:pPr>
            <w:r w:rsidRPr="00DA29EA">
              <w:rPr>
                <w:rFonts w:hint="eastAsia"/>
                <w:b/>
                <w:bCs/>
                <w:szCs w:val="21"/>
              </w:rPr>
              <w:t>2．不涉及现金收支的重大投资和筹资活动：</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 xml:space="preserve">　</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 xml:space="preserve">　</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b/>
                <w:bCs/>
                <w:szCs w:val="21"/>
              </w:rPr>
            </w:pPr>
            <w:r w:rsidRPr="00DA29EA">
              <w:rPr>
                <w:rFonts w:hint="eastAsia"/>
                <w:b/>
                <w:bCs/>
                <w:szCs w:val="21"/>
              </w:rPr>
              <w:t>3．现金及现金等价物净变动情况：</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 xml:space="preserve">　</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 xml:space="preserve">　</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现金的期末余额</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137,780,315,037.92</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31,955,585,379.74</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减：现金的期初余额</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56,248,709,601.48</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24,105,569,927.10</w:t>
            </w: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加：现金等价物的期末余额</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DE031E" w:rsidP="00DE031E">
            <w:pPr>
              <w:jc w:val="right"/>
              <w:rPr>
                <w:szCs w:val="21"/>
              </w:rPr>
            </w:pP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DE031E" w:rsidP="00DE031E">
            <w:pPr>
              <w:jc w:val="right"/>
              <w:rPr>
                <w:szCs w:val="21"/>
              </w:rPr>
            </w:pP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减：现金等价物的期初余额</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DE031E" w:rsidP="00DE031E">
            <w:pPr>
              <w:jc w:val="right"/>
              <w:rPr>
                <w:szCs w:val="21"/>
              </w:rPr>
            </w:pP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DE031E" w:rsidP="00DE031E">
            <w:pPr>
              <w:jc w:val="right"/>
              <w:rPr>
                <w:szCs w:val="21"/>
              </w:rPr>
            </w:pPr>
          </w:p>
        </w:tc>
      </w:tr>
      <w:tr w:rsidR="00DE031E" w:rsidRPr="00DA29EA" w:rsidTr="00DE031E">
        <w:trPr>
          <w:trHeight w:val="270"/>
          <w:jc w:val="center"/>
        </w:trPr>
        <w:tc>
          <w:tcPr>
            <w:tcW w:w="5067" w:type="dxa"/>
            <w:tcBorders>
              <w:top w:val="nil"/>
              <w:left w:val="single" w:sz="4" w:space="0" w:color="auto"/>
              <w:bottom w:val="single" w:sz="4" w:space="0" w:color="auto"/>
              <w:right w:val="single" w:sz="4" w:space="0" w:color="auto"/>
            </w:tcBorders>
            <w:shd w:val="clear" w:color="auto" w:fill="auto"/>
            <w:vAlign w:val="center"/>
            <w:hideMark/>
          </w:tcPr>
          <w:p w:rsidR="00DE031E" w:rsidRPr="00DA29EA" w:rsidRDefault="001C1A59" w:rsidP="00DE031E">
            <w:pPr>
              <w:rPr>
                <w:szCs w:val="21"/>
              </w:rPr>
            </w:pPr>
            <w:r w:rsidRPr="00DA29EA">
              <w:rPr>
                <w:rFonts w:hint="eastAsia"/>
                <w:szCs w:val="21"/>
              </w:rPr>
              <w:t>现金及现金等价物净增加额</w:t>
            </w:r>
          </w:p>
        </w:tc>
        <w:tc>
          <w:tcPr>
            <w:tcW w:w="2157"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81,531,605,436.44</w:t>
            </w:r>
          </w:p>
        </w:tc>
        <w:tc>
          <w:tcPr>
            <w:tcW w:w="2106" w:type="dxa"/>
            <w:tcBorders>
              <w:top w:val="nil"/>
              <w:left w:val="nil"/>
              <w:bottom w:val="single" w:sz="4" w:space="0" w:color="auto"/>
              <w:right w:val="single" w:sz="4" w:space="0" w:color="auto"/>
            </w:tcBorders>
            <w:shd w:val="clear" w:color="auto" w:fill="auto"/>
            <w:vAlign w:val="center"/>
            <w:hideMark/>
          </w:tcPr>
          <w:p w:rsidR="00DE031E" w:rsidRPr="00DA29EA" w:rsidRDefault="001C1A59" w:rsidP="00DE031E">
            <w:pPr>
              <w:jc w:val="right"/>
              <w:rPr>
                <w:szCs w:val="21"/>
              </w:rPr>
            </w:pPr>
            <w:r w:rsidRPr="00DA29EA">
              <w:rPr>
                <w:rFonts w:hint="eastAsia"/>
                <w:szCs w:val="21"/>
              </w:rPr>
              <w:t>7,850,015,452.64</w:t>
            </w:r>
          </w:p>
        </w:tc>
      </w:tr>
    </w:tbl>
    <w:p w:rsidR="00DE031E" w:rsidRDefault="001C1A59" w:rsidP="009950AC">
      <w:pPr>
        <w:pStyle w:val="2"/>
        <w:numPr>
          <w:ilvl w:val="0"/>
          <w:numId w:val="30"/>
        </w:numPr>
        <w:spacing w:line="360" w:lineRule="auto"/>
      </w:pPr>
      <w:r>
        <w:rPr>
          <w:rFonts w:hint="eastAsia"/>
        </w:rPr>
        <w:t>合并范围的变更</w:t>
      </w:r>
    </w:p>
    <w:p w:rsidR="00DE031E" w:rsidRDefault="001C1A59" w:rsidP="009950AC">
      <w:pPr>
        <w:pStyle w:val="3"/>
        <w:numPr>
          <w:ilvl w:val="0"/>
          <w:numId w:val="63"/>
        </w:numPr>
        <w:spacing w:line="360" w:lineRule="auto"/>
        <w:rPr>
          <w:rFonts w:ascii="宋体" w:hAnsi="宋体" w:cs="Arial"/>
          <w:szCs w:val="21"/>
        </w:rPr>
      </w:pPr>
      <w:r>
        <w:rPr>
          <w:rFonts w:ascii="宋体" w:hAnsi="宋体" w:cs="Arial" w:hint="eastAsia"/>
          <w:szCs w:val="21"/>
        </w:rPr>
        <w:t>非同一控制下企业合并</w:t>
      </w:r>
    </w:p>
    <w:sdt>
      <w:sdtPr>
        <w:alias w:val="是否适用：非同一控制下企业合并"/>
        <w:tag w:val="_GBC_8576bdba21444e3fac6fe78365280ef5"/>
        <w:id w:val="24726273"/>
        <w:lock w:val="sdtLocked"/>
        <w:placeholder>
          <w:docPart w:val="GBC22222222222222222222222222222"/>
        </w:placeholder>
      </w:sdtPr>
      <w:sdtContent>
        <w:p w:rsidR="00DE031E" w:rsidRDefault="00422DCA" w:rsidP="00DE031E">
          <w:pPr>
            <w:spacing w:line="360" w:lineRule="auto"/>
          </w:pPr>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rsidP="009950AC">
      <w:pPr>
        <w:pStyle w:val="3"/>
        <w:numPr>
          <w:ilvl w:val="0"/>
          <w:numId w:val="63"/>
        </w:numPr>
        <w:spacing w:line="360" w:lineRule="auto"/>
        <w:rPr>
          <w:rFonts w:ascii="宋体" w:hAnsi="宋体" w:cs="Arial"/>
          <w:szCs w:val="21"/>
        </w:rPr>
      </w:pPr>
      <w:r>
        <w:rPr>
          <w:rFonts w:ascii="宋体" w:hAnsi="宋体" w:cs="Arial" w:hint="eastAsia"/>
          <w:szCs w:val="21"/>
        </w:rPr>
        <w:lastRenderedPageBreak/>
        <w:t>同一控制下企业合并</w:t>
      </w:r>
    </w:p>
    <w:sdt>
      <w:sdtPr>
        <w:alias w:val="是否适用：同一控制下企业合并"/>
        <w:tag w:val="_GBC_9a08bb03d2364a7a9aff0a69bd50d633"/>
        <w:id w:val="24726274"/>
        <w:lock w:val="sdtLocked"/>
        <w:placeholder>
          <w:docPart w:val="GBC22222222222222222222222222222"/>
        </w:placeholder>
      </w:sdtPr>
      <w:sdtContent>
        <w:p w:rsidR="00DE031E" w:rsidRDefault="00422DCA" w:rsidP="00DE031E">
          <w:pPr>
            <w:spacing w:line="360" w:lineRule="auto"/>
          </w:pPr>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Theme="minorHAnsi" w:eastAsiaTheme="minorEastAsia" w:hAnsiTheme="minorHAnsi" w:cs="Arial" w:hint="eastAsia"/>
          <w:b w:val="0"/>
          <w:bCs w:val="0"/>
          <w:color w:val="000000"/>
          <w:kern w:val="0"/>
          <w:szCs w:val="24"/>
        </w:rPr>
        <w:tag w:val="_GBC_c61d869cb31c439992bb2118c8eaac1e"/>
        <w:id w:val="24726276"/>
        <w:lock w:val="sdtLocked"/>
        <w:placeholder>
          <w:docPart w:val="GBC22222222222222222222222222222"/>
        </w:placeholder>
      </w:sdtPr>
      <w:sdtContent>
        <w:p w:rsidR="00DE031E" w:rsidRDefault="001C1A59" w:rsidP="009950AC">
          <w:pPr>
            <w:pStyle w:val="3"/>
            <w:numPr>
              <w:ilvl w:val="0"/>
              <w:numId w:val="63"/>
            </w:numPr>
            <w:spacing w:line="360" w:lineRule="auto"/>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sdt>
          <w:sdtPr>
            <w:rPr>
              <w:rFonts w:cs="Arial"/>
              <w:color w:val="000000"/>
            </w:rPr>
            <w:alias w:val="其他原因的合并范围变动"/>
            <w:tag w:val="_GBC_c83a0d19a27e42c0927cf85c8c6221e2"/>
            <w:id w:val="24726275"/>
            <w:lock w:val="sdtLocked"/>
            <w:placeholder>
              <w:docPart w:val="GBC22222222222222222222222222222"/>
            </w:placeholder>
          </w:sdtPr>
          <w:sdtEndPr>
            <w:rPr>
              <w:rFonts w:asciiTheme="minorHAnsi" w:eastAsiaTheme="minorEastAsia" w:hAnsiTheme="minorHAnsi"/>
            </w:rPr>
          </w:sdtEndPr>
          <w:sdtContent>
            <w:p w:rsidR="00DE031E" w:rsidRDefault="001C1A59" w:rsidP="00DE031E">
              <w:pPr>
                <w:spacing w:line="360" w:lineRule="auto"/>
                <w:ind w:firstLineChars="150" w:firstLine="315"/>
                <w:rPr>
                  <w:rFonts w:asciiTheme="minorHAnsi" w:eastAsiaTheme="minorEastAsia" w:hAnsiTheme="minorHAnsi" w:cs="Arial"/>
                  <w:color w:val="000000"/>
                </w:rPr>
              </w:pPr>
              <w:r w:rsidRPr="0072229A">
                <w:rPr>
                  <w:rFonts w:ascii="Arial" w:hAnsi="Arial" w:cs="Arial" w:hint="eastAsia"/>
                  <w:sz w:val="22"/>
                  <w:szCs w:val="22"/>
                </w:rPr>
                <w:t>本期合并范围新增</w:t>
              </w:r>
              <w:r w:rsidRPr="0072229A">
                <w:rPr>
                  <w:rFonts w:ascii="Arial" w:hAnsi="Arial" w:cs="Arial" w:hint="eastAsia"/>
                  <w:sz w:val="22"/>
                  <w:szCs w:val="22"/>
                </w:rPr>
                <w:t>5</w:t>
              </w:r>
              <w:r w:rsidRPr="0072229A">
                <w:rPr>
                  <w:rFonts w:ascii="Arial" w:hAnsi="Arial" w:cs="Arial" w:hint="eastAsia"/>
                  <w:sz w:val="22"/>
                  <w:szCs w:val="22"/>
                </w:rPr>
                <w:t>家下属子公司，合并了部分结构化主体；</w:t>
              </w:r>
              <w:r w:rsidRPr="0072229A">
                <w:rPr>
                  <w:rFonts w:ascii="Arial" w:hAnsi="Arial" w:cs="Arial"/>
                  <w:sz w:val="22"/>
                  <w:szCs w:val="22"/>
                </w:rPr>
                <w:t>具体详见本附注</w:t>
              </w:r>
              <w:r w:rsidRPr="0072229A">
                <w:rPr>
                  <w:rFonts w:ascii="Arial" w:hAnsi="Arial" w:cs="Arial" w:hint="eastAsia"/>
                  <w:sz w:val="22"/>
                  <w:szCs w:val="22"/>
                </w:rPr>
                <w:t>“十</w:t>
              </w:r>
              <w:r w:rsidRPr="0072229A">
                <w:rPr>
                  <w:rFonts w:ascii="Arial" w:hAnsi="Arial" w:cs="Arial"/>
                  <w:sz w:val="22"/>
                  <w:szCs w:val="22"/>
                </w:rPr>
                <w:t>、在其他主体中的权益</w:t>
              </w:r>
              <w:r w:rsidRPr="0072229A">
                <w:rPr>
                  <w:rFonts w:ascii="Arial" w:hAnsi="Arial" w:cs="Arial" w:hint="eastAsia"/>
                  <w:sz w:val="22"/>
                  <w:szCs w:val="22"/>
                </w:rPr>
                <w:t>”</w:t>
              </w:r>
              <w:r w:rsidRPr="0072229A">
                <w:rPr>
                  <w:rFonts w:ascii="Arial" w:hAnsi="Arial" w:cs="Arial"/>
                  <w:sz w:val="22"/>
                  <w:szCs w:val="22"/>
                </w:rPr>
                <w:t>相关内容。</w:t>
              </w:r>
            </w:p>
          </w:sdtContent>
        </w:sdt>
      </w:sdtContent>
    </w:sdt>
    <w:p w:rsidR="00DE031E" w:rsidRDefault="001C1A59" w:rsidP="009950AC">
      <w:pPr>
        <w:pStyle w:val="2"/>
        <w:numPr>
          <w:ilvl w:val="0"/>
          <w:numId w:val="30"/>
        </w:numPr>
        <w:spacing w:line="360" w:lineRule="auto"/>
        <w:rPr>
          <w:rFonts w:ascii="宋体" w:hAnsi="宋体"/>
        </w:rPr>
      </w:pPr>
      <w:r>
        <w:rPr>
          <w:rFonts w:ascii="宋体" w:hAnsi="宋体" w:hint="eastAsia"/>
        </w:rPr>
        <w:t>在</w:t>
      </w:r>
      <w:r>
        <w:rPr>
          <w:rFonts w:hint="eastAsia"/>
        </w:rPr>
        <w:t>其他</w:t>
      </w:r>
      <w:r>
        <w:rPr>
          <w:rFonts w:ascii="宋体" w:hAnsi="宋体" w:hint="eastAsia"/>
        </w:rPr>
        <w:t>主体中的权益</w:t>
      </w:r>
    </w:p>
    <w:p w:rsidR="00DE031E" w:rsidRDefault="001C1A59" w:rsidP="009950AC">
      <w:pPr>
        <w:pStyle w:val="3"/>
        <w:numPr>
          <w:ilvl w:val="2"/>
          <w:numId w:val="64"/>
        </w:numPr>
        <w:spacing w:line="360" w:lineRule="auto"/>
      </w:pPr>
      <w:r>
        <w:rPr>
          <w:rFonts w:hint="eastAsia"/>
        </w:rPr>
        <w:t>在子公司中的权益</w:t>
      </w:r>
    </w:p>
    <w:sdt>
      <w:sdtPr>
        <w:alias w:val="是否适用：在子公司中的权益"/>
        <w:tag w:val="_GBC_ee476eb72c4047458e97fde0872f13fb"/>
        <w:id w:val="24726277"/>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b w:val="0"/>
          <w:bCs w:val="0"/>
          <w:kern w:val="0"/>
          <w:szCs w:val="24"/>
        </w:rPr>
        <w:tag w:val="_GBC_47f8b786d9024ebb977349f022d18c1c"/>
        <w:id w:val="24726511"/>
        <w:lock w:val="sdtLocked"/>
        <w:placeholder>
          <w:docPart w:val="GBC22222222222222222222222222222"/>
        </w:placeholder>
      </w:sdtPr>
      <w:sdtEndPr>
        <w:rPr>
          <w:rFonts w:cstheme="minorBidi" w:hint="default"/>
          <w:szCs w:val="21"/>
        </w:rPr>
      </w:sdtEndPr>
      <w:sdtContent>
        <w:p w:rsidR="00DE031E" w:rsidRDefault="001C1A59" w:rsidP="009950AC">
          <w:pPr>
            <w:pStyle w:val="4"/>
            <w:numPr>
              <w:ilvl w:val="3"/>
              <w:numId w:val="65"/>
            </w:numPr>
            <w:tabs>
              <w:tab w:val="left" w:pos="644"/>
            </w:tabs>
            <w:spacing w:line="360" w:lineRule="auto"/>
          </w:pPr>
          <w:r>
            <w:rPr>
              <w:rFonts w:hint="eastAsia"/>
            </w:rPr>
            <w:t>企业集团的构成</w:t>
          </w:r>
        </w:p>
        <w:p w:rsidR="00DE031E" w:rsidRPr="00437FB4" w:rsidRDefault="001C1A59" w:rsidP="003A0284">
          <w:pPr>
            <w:pStyle w:val="a9"/>
            <w:widowControl/>
            <w:numPr>
              <w:ilvl w:val="2"/>
              <w:numId w:val="32"/>
            </w:numPr>
            <w:tabs>
              <w:tab w:val="left" w:pos="900"/>
              <w:tab w:val="left" w:pos="1100"/>
              <w:tab w:val="left" w:pos="1134"/>
            </w:tabs>
            <w:spacing w:beforeLines="50" w:afterLines="50" w:line="360" w:lineRule="auto"/>
            <w:ind w:left="0" w:firstLine="440"/>
            <w:outlineLvl w:val="1"/>
            <w:rPr>
              <w:rFonts w:ascii="Arial" w:hAnsi="Arial" w:cs="Arial"/>
              <w:sz w:val="22"/>
            </w:rPr>
          </w:pPr>
          <w:r>
            <w:rPr>
              <w:rFonts w:ascii="Arial" w:hAnsi="Arial" w:cs="Arial" w:hint="eastAsia"/>
              <w:sz w:val="22"/>
            </w:rPr>
            <w:t>子公司</w:t>
          </w:r>
        </w:p>
        <w:p w:rsidR="00DE031E" w:rsidRPr="007075DA" w:rsidRDefault="00DE031E" w:rsidP="00DE031E"/>
        <w:p w:rsidR="00DE031E" w:rsidRDefault="001C1A59" w:rsidP="00DE031E">
          <w:r>
            <w:br w:type="page"/>
          </w:r>
        </w:p>
        <w:p w:rsidR="00DE031E" w:rsidRDefault="00DE031E" w:rsidP="00DE031E">
          <w:pPr>
            <w:sectPr w:rsidR="00DE031E" w:rsidSect="000F6CCA">
              <w:headerReference w:type="default" r:id="rId27"/>
              <w:pgSz w:w="11906" w:h="16838"/>
              <w:pgMar w:top="1440" w:right="1797" w:bottom="1525" w:left="1276" w:header="856" w:footer="992" w:gutter="0"/>
              <w:cols w:space="425"/>
              <w:docGrid w:linePitch="312"/>
            </w:sectPr>
          </w:pPr>
        </w:p>
        <w:tbl>
          <w:tblPr>
            <w:tblW w:w="5087" w:type="pct"/>
            <w:jc w:val="center"/>
            <w:tblInd w:w="25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366"/>
            <w:gridCol w:w="1703"/>
            <w:gridCol w:w="1749"/>
            <w:gridCol w:w="1674"/>
            <w:gridCol w:w="814"/>
            <w:gridCol w:w="829"/>
            <w:gridCol w:w="3199"/>
          </w:tblGrid>
          <w:tr w:rsidR="00DE031E" w:rsidRPr="00FA1AF1" w:rsidTr="00DE031E">
            <w:trPr>
              <w:trHeight w:val="247"/>
              <w:jc w:val="center"/>
            </w:trPr>
            <w:tc>
              <w:tcPr>
                <w:tcW w:w="152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rPr>
                </w:pPr>
                <w:r w:rsidRPr="00FA1AF1">
                  <w:rPr>
                    <w:rFonts w:asciiTheme="minorEastAsia" w:eastAsiaTheme="minorEastAsia" w:hAnsiTheme="minorEastAsia" w:cs="Arial" w:hint="eastAsia"/>
                    <w:sz w:val="18"/>
                    <w:szCs w:val="18"/>
                    <w:lang w:val="en-GB"/>
                  </w:rPr>
                  <w:lastRenderedPageBreak/>
                  <w:t>子公司名称</w:t>
                </w:r>
              </w:p>
            </w:tc>
            <w:tc>
              <w:tcPr>
                <w:tcW w:w="59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rPr>
                </w:pPr>
                <w:r w:rsidRPr="00FA1AF1">
                  <w:rPr>
                    <w:rFonts w:asciiTheme="minorEastAsia" w:eastAsiaTheme="minorEastAsia" w:hAnsiTheme="minorEastAsia" w:cs="Arial" w:hint="eastAsia"/>
                    <w:sz w:val="18"/>
                    <w:szCs w:val="18"/>
                    <w:lang w:val="en-GB"/>
                  </w:rPr>
                  <w:t>主要经营地</w:t>
                </w:r>
              </w:p>
            </w:tc>
            <w:tc>
              <w:tcPr>
                <w:tcW w:w="61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rPr>
                </w:pPr>
                <w:r w:rsidRPr="00FA1AF1">
                  <w:rPr>
                    <w:rFonts w:asciiTheme="minorEastAsia" w:eastAsiaTheme="minorEastAsia" w:hAnsiTheme="minorEastAsia" w:cs="Arial" w:hint="eastAsia"/>
                    <w:sz w:val="18"/>
                    <w:szCs w:val="18"/>
                    <w:lang w:val="en-GB"/>
                  </w:rPr>
                  <w:t>注册地</w:t>
                </w:r>
              </w:p>
            </w:tc>
            <w:tc>
              <w:tcPr>
                <w:tcW w:w="58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rPr>
                </w:pPr>
                <w:r w:rsidRPr="00FA1AF1">
                  <w:rPr>
                    <w:rFonts w:asciiTheme="minorEastAsia" w:eastAsiaTheme="minorEastAsia" w:hAnsiTheme="minorEastAsia" w:cs="Arial" w:hint="eastAsia"/>
                    <w:sz w:val="18"/>
                    <w:szCs w:val="18"/>
                    <w:lang w:val="en-GB"/>
                  </w:rPr>
                  <w:t>业务性质</w:t>
                </w:r>
              </w:p>
            </w:tc>
            <w:tc>
              <w:tcPr>
                <w:tcW w:w="57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rPr>
                </w:pPr>
                <w:r w:rsidRPr="00FA1AF1">
                  <w:rPr>
                    <w:rFonts w:asciiTheme="minorEastAsia" w:eastAsiaTheme="minorEastAsia" w:hAnsiTheme="minorEastAsia" w:cs="Arial" w:hint="eastAsia"/>
                    <w:sz w:val="18"/>
                    <w:szCs w:val="18"/>
                    <w:lang w:val="en-GB"/>
                  </w:rPr>
                  <w:t>持股比例</w:t>
                </w:r>
                <w:r w:rsidRPr="00FA1AF1">
                  <w:rPr>
                    <w:rFonts w:asciiTheme="minorEastAsia" w:eastAsiaTheme="minorEastAsia" w:hAnsiTheme="minorEastAsia" w:cs="Arial"/>
                    <w:sz w:val="18"/>
                    <w:szCs w:val="18"/>
                  </w:rPr>
                  <w:t>(%)</w:t>
                </w:r>
              </w:p>
            </w:tc>
            <w:tc>
              <w:tcPr>
                <w:tcW w:w="1116" w:type="pct"/>
                <w:vMerge w:val="restart"/>
                <w:tcBorders>
                  <w:top w:val="single" w:sz="4" w:space="0" w:color="auto"/>
                  <w:left w:val="single" w:sz="6" w:space="0" w:color="auto"/>
                  <w:right w:val="single" w:sz="4"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lang w:val="en-GB"/>
                  </w:rPr>
                </w:pPr>
                <w:r w:rsidRPr="00FA1AF1">
                  <w:rPr>
                    <w:rFonts w:asciiTheme="minorEastAsia" w:eastAsiaTheme="minorEastAsia" w:hAnsiTheme="minorEastAsia" w:cs="Arial" w:hint="eastAsia"/>
                    <w:sz w:val="18"/>
                    <w:szCs w:val="18"/>
                    <w:lang w:val="en-GB"/>
                  </w:rPr>
                  <w:t>取得方式</w:t>
                </w:r>
              </w:p>
            </w:tc>
          </w:tr>
          <w:tr w:rsidR="00DE031E" w:rsidRPr="00FA1AF1" w:rsidTr="00DE031E">
            <w:trPr>
              <w:trHeight w:val="278"/>
              <w:jc w:val="center"/>
            </w:trPr>
            <w:tc>
              <w:tcPr>
                <w:tcW w:w="1523" w:type="pct"/>
                <w:vMerge/>
                <w:tcBorders>
                  <w:top w:val="single" w:sz="4" w:space="0" w:color="auto"/>
                  <w:left w:val="single" w:sz="4" w:space="0" w:color="auto"/>
                  <w:bottom w:val="single" w:sz="6" w:space="0" w:color="auto"/>
                  <w:right w:val="single" w:sz="6" w:space="0" w:color="auto"/>
                </w:tcBorders>
                <w:shd w:val="clear" w:color="auto" w:fill="auto"/>
                <w:vAlign w:val="center"/>
              </w:tcPr>
              <w:p w:rsidR="00DE031E" w:rsidRPr="00FA1AF1" w:rsidRDefault="00DE031E" w:rsidP="00DE031E">
                <w:pPr>
                  <w:rPr>
                    <w:rFonts w:asciiTheme="minorEastAsia" w:eastAsiaTheme="minorEastAsia" w:hAnsiTheme="minorEastAsia" w:cs="Arial"/>
                    <w:sz w:val="18"/>
                    <w:szCs w:val="18"/>
                  </w:rPr>
                </w:pPr>
              </w:p>
            </w:tc>
            <w:tc>
              <w:tcPr>
                <w:tcW w:w="594" w:type="pct"/>
                <w:vMerge/>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DE031E" w:rsidP="00DE031E">
                <w:pPr>
                  <w:rPr>
                    <w:rFonts w:asciiTheme="minorEastAsia" w:eastAsiaTheme="minorEastAsia" w:hAnsiTheme="minorEastAsia" w:cs="Arial"/>
                    <w:sz w:val="18"/>
                    <w:szCs w:val="18"/>
                  </w:rPr>
                </w:pPr>
              </w:p>
            </w:tc>
            <w:tc>
              <w:tcPr>
                <w:tcW w:w="610" w:type="pct"/>
                <w:vMerge/>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DE031E" w:rsidP="00DE031E">
                <w:pPr>
                  <w:rPr>
                    <w:rFonts w:asciiTheme="minorEastAsia" w:eastAsiaTheme="minorEastAsia" w:hAnsiTheme="minorEastAsia" w:cs="Arial"/>
                    <w:sz w:val="18"/>
                    <w:szCs w:val="18"/>
                  </w:rPr>
                </w:pPr>
              </w:p>
            </w:tc>
            <w:tc>
              <w:tcPr>
                <w:tcW w:w="584" w:type="pct"/>
                <w:vMerge/>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DE031E" w:rsidP="00DE031E">
                <w:pPr>
                  <w:rPr>
                    <w:rFonts w:asciiTheme="minorEastAsia" w:eastAsiaTheme="minorEastAsia" w:hAnsiTheme="minorEastAsia" w:cs="Arial"/>
                    <w:sz w:val="18"/>
                    <w:szCs w:val="18"/>
                  </w:rPr>
                </w:pPr>
              </w:p>
            </w:tc>
            <w:tc>
              <w:tcPr>
                <w:tcW w:w="284" w:type="pc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rPr>
                </w:pPr>
                <w:r w:rsidRPr="00FA1AF1">
                  <w:rPr>
                    <w:rFonts w:asciiTheme="minorEastAsia" w:eastAsiaTheme="minorEastAsia" w:hAnsiTheme="minorEastAsia" w:cs="Arial" w:hint="eastAsia"/>
                    <w:sz w:val="18"/>
                    <w:szCs w:val="18"/>
                    <w:lang w:val="en-GB"/>
                  </w:rPr>
                  <w:t>直接</w:t>
                </w:r>
              </w:p>
            </w:tc>
            <w:tc>
              <w:tcPr>
                <w:tcW w:w="289" w:type="pc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A1AF1" w:rsidRDefault="001C1A59" w:rsidP="00DE031E">
                <w:pPr>
                  <w:jc w:val="center"/>
                  <w:rPr>
                    <w:rFonts w:asciiTheme="minorEastAsia" w:eastAsiaTheme="minorEastAsia" w:hAnsiTheme="minorEastAsia" w:cs="Arial"/>
                    <w:sz w:val="18"/>
                    <w:szCs w:val="18"/>
                  </w:rPr>
                </w:pPr>
                <w:r w:rsidRPr="00FA1AF1">
                  <w:rPr>
                    <w:rFonts w:asciiTheme="minorEastAsia" w:eastAsiaTheme="minorEastAsia" w:hAnsiTheme="minorEastAsia" w:cs="Arial" w:hint="eastAsia"/>
                    <w:sz w:val="18"/>
                    <w:szCs w:val="18"/>
                    <w:lang w:val="en-GB"/>
                  </w:rPr>
                  <w:t>间接</w:t>
                </w:r>
              </w:p>
            </w:tc>
            <w:tc>
              <w:tcPr>
                <w:tcW w:w="1116" w:type="pct"/>
                <w:vMerge/>
                <w:tcBorders>
                  <w:left w:val="single" w:sz="6" w:space="0" w:color="auto"/>
                  <w:bottom w:val="single" w:sz="6" w:space="0" w:color="auto"/>
                  <w:right w:val="single" w:sz="4" w:space="0" w:color="auto"/>
                </w:tcBorders>
              </w:tcPr>
              <w:p w:rsidR="00DE031E" w:rsidRPr="00FA1AF1" w:rsidRDefault="00DE031E" w:rsidP="00DE031E">
                <w:pPr>
                  <w:rPr>
                    <w:rFonts w:asciiTheme="minorEastAsia" w:eastAsiaTheme="minorEastAsia" w:hAnsiTheme="minorEastAsia" w:cs="Arial"/>
                    <w:sz w:val="18"/>
                    <w:szCs w:val="18"/>
                  </w:rPr>
                </w:pPr>
              </w:p>
            </w:tc>
          </w:tr>
          <w:sdt>
            <w:sdtPr>
              <w:rPr>
                <w:rFonts w:asciiTheme="minorEastAsia" w:eastAsiaTheme="minorEastAsia" w:hAnsiTheme="minorEastAsia"/>
                <w:sz w:val="18"/>
                <w:szCs w:val="18"/>
              </w:rPr>
              <w:alias w:val="企业合并及合并财务报表明细"/>
              <w:tag w:val="_GBC_986bfe326d834fea9d2920637e286f21"/>
              <w:id w:val="24726285"/>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278"/>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招商证券国际有限公司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279"/>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280"/>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281"/>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282"/>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283"/>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284"/>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293"/>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286"/>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招商证券（香港）有限公司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287"/>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288"/>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289"/>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证券经纪、承销</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290"/>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291"/>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292"/>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01"/>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294"/>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招商期货（香港）有限公司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295"/>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296"/>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297"/>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期货经纪</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298"/>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299"/>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00"/>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09"/>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02"/>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招商代理人（香港）有限公司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03"/>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04"/>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05"/>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代理理财</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06"/>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07"/>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08"/>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17"/>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10"/>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CMS Nominees（BVI）LTD</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11"/>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英属维尔京群岛</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12"/>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英属维尔京群岛</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13"/>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14"/>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15"/>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16"/>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25"/>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18"/>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招商证券投资管理（香港）有限公司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19"/>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20"/>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21"/>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22"/>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23"/>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24"/>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33"/>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26"/>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招商资本（香港）有限公司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27"/>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28"/>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29"/>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资产管理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30"/>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31"/>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32"/>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41"/>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34"/>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招商证券资产管理（香港）有限公司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35"/>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36"/>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香港</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37"/>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资产管理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38"/>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39"/>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40"/>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49"/>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42"/>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招商期货有限公司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43"/>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44"/>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45"/>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期货经纪</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46"/>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47"/>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48"/>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非同一控制下企业合并取得的子公司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57"/>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50"/>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招商致远资本投资有限公司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51"/>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北京</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52"/>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北京</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53"/>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54"/>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55"/>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56"/>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65"/>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58"/>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深圳招商致远咨询服务有限公司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59"/>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60"/>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61"/>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投资咨询</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62"/>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63"/>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64"/>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73"/>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66"/>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CMS CAPITAL FUND MANAGEMENT CO., LTD</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67"/>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开曼群岛</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68"/>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开曼群岛</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69"/>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70"/>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71"/>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72"/>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81"/>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74"/>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CMS AGRI-CONSUMER FUND MANAGEMENT,   L.P</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75"/>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开曼群岛</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76"/>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开曼群岛</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77"/>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基金管理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78"/>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79"/>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80"/>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89"/>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82"/>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深圳市远盛投资管理有限公司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83"/>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84"/>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85"/>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86"/>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87"/>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60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88"/>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397"/>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90"/>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北京致远励新投资管理有限公司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91"/>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北京</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392"/>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北京</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393"/>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394"/>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395"/>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396"/>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05"/>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398"/>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深圳市招商致远股权投资基金管理有限公司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399"/>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00"/>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01"/>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02"/>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03"/>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70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04"/>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13"/>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06"/>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赣州招商致远壹号股权投资管理有限公司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07"/>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08"/>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09"/>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10"/>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11"/>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70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12"/>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21"/>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14"/>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江西招联投资管理有限公司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15"/>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16"/>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17"/>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18"/>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19"/>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51</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20"/>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29"/>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22"/>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江西致远发展投资管理有限公司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23"/>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24"/>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25"/>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26"/>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27"/>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51</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28"/>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37"/>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30"/>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赣州招远投资管理有限公司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31"/>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32"/>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33"/>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34"/>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35"/>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36"/>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45"/>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38"/>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赣州招瑞投资管理有限公司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39"/>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40"/>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赣州</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41"/>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42"/>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43"/>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51</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44"/>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53"/>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46"/>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招商证券投资有限公司</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47"/>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48"/>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49"/>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投资</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50"/>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51"/>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52"/>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61"/>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54"/>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ChinaMerchantsSecurities(UK)Limited</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55"/>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英国</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56"/>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英国</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57"/>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期货经纪</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58"/>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59"/>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60"/>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69"/>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62"/>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CHINA MERCHANTSECURITIES(SINGAPORE)PTE.LTD</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63"/>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新加坡</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64"/>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新加坡</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65"/>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期货经纪</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66"/>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67"/>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68"/>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77"/>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70"/>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招商证券资产管理有限公司（注</w:t>
                        </w:r>
                        <w:r>
                          <w:rPr>
                            <w:rFonts w:asciiTheme="minorEastAsia" w:eastAsiaTheme="minorEastAsia" w:hAnsiTheme="minorEastAsia" w:hint="eastAsia"/>
                            <w:sz w:val="18"/>
                            <w:szCs w:val="18"/>
                          </w:rPr>
                          <w:t>1</w:t>
                        </w: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71"/>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72"/>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73"/>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资产管理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74"/>
                    <w:lock w:val="sdtLocked"/>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100</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75"/>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76"/>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85"/>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78"/>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安徽招商致远创新投资管理有限公司</w:t>
                        </w:r>
                        <w:r w:rsidRPr="00FA1AF1">
                          <w:rPr>
                            <w:rFonts w:asciiTheme="minorEastAsia" w:eastAsiaTheme="minorEastAsia" w:hAnsiTheme="minorEastAsia"/>
                            <w:sz w:val="18"/>
                            <w:szCs w:val="18"/>
                          </w:rPr>
                          <w:t>（注</w:t>
                        </w:r>
                        <w:r>
                          <w:rPr>
                            <w:rFonts w:asciiTheme="minorEastAsia" w:eastAsiaTheme="minorEastAsia" w:hAnsiTheme="minorEastAsia" w:hint="eastAsia"/>
                            <w:sz w:val="18"/>
                            <w:szCs w:val="18"/>
                          </w:rPr>
                          <w:t>2</w:t>
                        </w: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79"/>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安徽</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80"/>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安徽</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81"/>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82"/>
                    <w:lock w:val="sdtLocked"/>
                    <w:showingPlcHdr/>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83"/>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84"/>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493"/>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86"/>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深圳市致远创业投资基金管理有限公司</w:t>
                        </w:r>
                        <w:r w:rsidRPr="00FA1AF1">
                          <w:rPr>
                            <w:rFonts w:asciiTheme="minorEastAsia" w:eastAsiaTheme="minorEastAsia" w:hAnsiTheme="minorEastAsia"/>
                            <w:sz w:val="18"/>
                            <w:szCs w:val="18"/>
                          </w:rPr>
                          <w:t>（注</w:t>
                        </w:r>
                        <w:r>
                          <w:rPr>
                            <w:rFonts w:asciiTheme="minorEastAsia" w:eastAsiaTheme="minorEastAsia" w:hAnsiTheme="minorEastAsia" w:hint="eastAsia"/>
                            <w:sz w:val="18"/>
                            <w:szCs w:val="18"/>
                          </w:rPr>
                          <w:t>3</w:t>
                        </w: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87"/>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88"/>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89"/>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90"/>
                    <w:lock w:val="sdtLocked"/>
                    <w:showingPlcHdr/>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91"/>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53.85</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492"/>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501"/>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494"/>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青岛国信招商创业投资管理有限公司</w:t>
                        </w:r>
                        <w:r w:rsidRPr="00FA1AF1">
                          <w:rPr>
                            <w:rFonts w:asciiTheme="minorEastAsia" w:eastAsiaTheme="minorEastAsia" w:hAnsiTheme="minorEastAsia"/>
                            <w:sz w:val="18"/>
                            <w:szCs w:val="18"/>
                          </w:rPr>
                          <w:t>（注</w:t>
                        </w:r>
                        <w:r>
                          <w:rPr>
                            <w:rFonts w:asciiTheme="minorEastAsia" w:eastAsiaTheme="minorEastAsia" w:hAnsiTheme="minorEastAsia" w:hint="eastAsia"/>
                            <w:sz w:val="18"/>
                            <w:szCs w:val="18"/>
                          </w:rPr>
                          <w:t>4</w:t>
                        </w:r>
                        <w:r w:rsidRPr="00FA1AF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495"/>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青岛</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496"/>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青岛</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497"/>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498"/>
                    <w:lock w:val="sdtLocked"/>
                    <w:showingPlcHdr/>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499"/>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DB7389" w:rsidRDefault="001C1A59" w:rsidP="00DE031E">
                        <w:pPr>
                          <w:jc w:val="right"/>
                          <w:rPr>
                            <w:rFonts w:asciiTheme="minorEastAsia" w:eastAsiaTheme="minorEastAsia" w:hAnsiTheme="minorEastAsia"/>
                            <w:sz w:val="18"/>
                            <w:szCs w:val="18"/>
                          </w:rPr>
                        </w:pPr>
                        <w:r w:rsidRPr="00DB7389">
                          <w:rPr>
                            <w:rFonts w:asciiTheme="minorEastAsia" w:eastAsiaTheme="minorEastAsia" w:hAnsiTheme="minorEastAsia" w:hint="eastAsia"/>
                            <w:sz w:val="18"/>
                            <w:szCs w:val="18"/>
                          </w:rPr>
                          <w:t>65</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500"/>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sdt>
            <w:sdtPr>
              <w:rPr>
                <w:rFonts w:asciiTheme="minorEastAsia" w:eastAsiaTheme="minorEastAsia" w:hAnsiTheme="minorEastAsia"/>
                <w:sz w:val="18"/>
                <w:szCs w:val="18"/>
              </w:rPr>
              <w:alias w:val="企业合并及合并财务报表明细"/>
              <w:tag w:val="_GBC_986bfe326d834fea9d2920637e286f21"/>
              <w:id w:val="24726509"/>
              <w:lock w:val="sdtLocked"/>
            </w:sdtPr>
            <w:sdtContent>
              <w:tr w:rsidR="00DE031E" w:rsidRPr="00FA1AF1" w:rsidTr="00DE031E">
                <w:trPr>
                  <w:jc w:val="center"/>
                </w:trPr>
                <w:sdt>
                  <w:sdtPr>
                    <w:rPr>
                      <w:rFonts w:asciiTheme="minorEastAsia" w:eastAsiaTheme="minorEastAsia" w:hAnsiTheme="minorEastAsia"/>
                      <w:sz w:val="18"/>
                      <w:szCs w:val="18"/>
                    </w:rPr>
                    <w:alias w:val="企业合并及合并财务报表明细－单位名称"/>
                    <w:tag w:val="_GBC_3cdcd67c37274049ad9196a53384ed2d"/>
                    <w:id w:val="24726502"/>
                    <w:lock w:val="sdtLocked"/>
                  </w:sdtPr>
                  <w:sdtContent>
                    <w:tc>
                      <w:tcPr>
                        <w:tcW w:w="1523" w:type="pct"/>
                        <w:tcBorders>
                          <w:top w:val="single" w:sz="6" w:space="0" w:color="auto"/>
                          <w:left w:val="single" w:sz="4"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DB7389">
                          <w:rPr>
                            <w:rFonts w:asciiTheme="minorEastAsia" w:eastAsiaTheme="minorEastAsia" w:hAnsiTheme="minorEastAsia" w:hint="eastAsia"/>
                            <w:sz w:val="18"/>
                            <w:szCs w:val="18"/>
                          </w:rPr>
                          <w:t>深圳市招商创远投资有限公司</w:t>
                        </w:r>
                        <w:r w:rsidRPr="00FA1AF1">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5</w:t>
                        </w:r>
                        <w:r w:rsidRPr="00FA1AF1">
                          <w:rPr>
                            <w:rFonts w:asciiTheme="minorEastAsia" w:eastAsiaTheme="minorEastAsia" w:hAnsiTheme="minorEastAsia" w:hint="eastAsia"/>
                            <w:sz w:val="18"/>
                            <w:szCs w:val="18"/>
                          </w:rPr>
                          <w:t>）</w:t>
                        </w:r>
                      </w:p>
                    </w:tc>
                  </w:sdtContent>
                </w:sdt>
                <w:sdt>
                  <w:sdtPr>
                    <w:rPr>
                      <w:rFonts w:asciiTheme="minorEastAsia" w:eastAsiaTheme="minorEastAsia" w:hAnsiTheme="minorEastAsia"/>
                      <w:sz w:val="18"/>
                      <w:szCs w:val="18"/>
                    </w:rPr>
                    <w:alias w:val="企业合并及合并财务报表明细－主要经营地"/>
                    <w:tag w:val="_GBC_8a77a8471b3246608e70115994bf107d"/>
                    <w:id w:val="24726503"/>
                    <w:lock w:val="sdtLocked"/>
                  </w:sdtPr>
                  <w:sdtContent>
                    <w:tc>
                      <w:tcPr>
                        <w:tcW w:w="59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深圳</w:t>
                        </w:r>
                      </w:p>
                    </w:tc>
                  </w:sdtContent>
                </w:sdt>
                <w:sdt>
                  <w:sdtPr>
                    <w:rPr>
                      <w:rFonts w:asciiTheme="minorEastAsia" w:eastAsiaTheme="minorEastAsia" w:hAnsiTheme="minorEastAsia"/>
                      <w:sz w:val="18"/>
                      <w:szCs w:val="18"/>
                    </w:rPr>
                    <w:alias w:val="企业合并及合并财务报表明细－注册地"/>
                    <w:tag w:val="_GBC_8830a6b9b2b449babcaa6668f8fd88a8"/>
                    <w:id w:val="24726504"/>
                    <w:lock w:val="sdtLocked"/>
                  </w:sdtPr>
                  <w:sdtContent>
                    <w:tc>
                      <w:tcPr>
                        <w:tcW w:w="610"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深圳</w:t>
                        </w:r>
                      </w:p>
                    </w:tc>
                  </w:sdtContent>
                </w:sdt>
                <w:sdt>
                  <w:sdtPr>
                    <w:rPr>
                      <w:rFonts w:asciiTheme="minorEastAsia" w:eastAsiaTheme="minorEastAsia" w:hAnsiTheme="minorEastAsia"/>
                      <w:sz w:val="18"/>
                      <w:szCs w:val="18"/>
                    </w:rPr>
                    <w:alias w:val="企业合并及合并财务报表明细－业务性质"/>
                    <w:tag w:val="_GBC_66cd68062d3f4d66bf1a834bace109a7"/>
                    <w:id w:val="24726505"/>
                    <w:lock w:val="sdtLocked"/>
                  </w:sdtPr>
                  <w:sdtContent>
                    <w:tc>
                      <w:tcPr>
                        <w:tcW w:w="5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投资管理</w:t>
                        </w:r>
                      </w:p>
                    </w:tc>
                  </w:sdtContent>
                </w:sdt>
                <w:sdt>
                  <w:sdtPr>
                    <w:rPr>
                      <w:rFonts w:asciiTheme="minorEastAsia" w:eastAsiaTheme="minorEastAsia" w:hAnsiTheme="minorEastAsia"/>
                      <w:sz w:val="18"/>
                      <w:szCs w:val="18"/>
                    </w:rPr>
                    <w:alias w:val="企业合并及合并财务报表明细－直接持股比例"/>
                    <w:tag w:val="_GBC_181e436e62c34b88ba2844c3b8684a70"/>
                    <w:id w:val="24726506"/>
                    <w:lock w:val="sdtLocked"/>
                    <w:showingPlcHdr/>
                  </w:sdtPr>
                  <w:sdtContent>
                    <w:tc>
                      <w:tcPr>
                        <w:tcW w:w="284" w:type="pct"/>
                        <w:tcBorders>
                          <w:top w:val="single" w:sz="6" w:space="0" w:color="auto"/>
                          <w:left w:val="single" w:sz="6" w:space="0" w:color="auto"/>
                          <w:bottom w:val="single" w:sz="4" w:space="0" w:color="auto"/>
                          <w:right w:val="single" w:sz="6" w:space="0" w:color="auto"/>
                        </w:tcBorders>
                      </w:tcPr>
                      <w:p w:rsidR="00DE031E" w:rsidRPr="00FA1AF1" w:rsidRDefault="001C1A59" w:rsidP="00DE031E">
                        <w:pPr>
                          <w:jc w:val="right"/>
                          <w:rPr>
                            <w:rFonts w:asciiTheme="minorEastAsia" w:eastAsiaTheme="minorEastAsia" w:hAnsiTheme="minorEastAsia"/>
                            <w:sz w:val="18"/>
                            <w:szCs w:val="18"/>
                          </w:rPr>
                        </w:pPr>
                        <w:r w:rsidRPr="00FA1AF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企业合并及合并财务报表明细－间接持股比例"/>
                    <w:tag w:val="_GBC_209ebbd586724df5983e017cc514344f"/>
                    <w:id w:val="24726507"/>
                    <w:lock w:val="sdtLocked"/>
                  </w:sdtPr>
                  <w:sdtContent>
                    <w:tc>
                      <w:tcPr>
                        <w:tcW w:w="289" w:type="pct"/>
                        <w:tcBorders>
                          <w:top w:val="single" w:sz="6" w:space="0" w:color="auto"/>
                          <w:left w:val="single" w:sz="6" w:space="0" w:color="auto"/>
                          <w:bottom w:val="single" w:sz="4" w:space="0" w:color="auto"/>
                          <w:right w:val="single" w:sz="6" w:space="0" w:color="auto"/>
                        </w:tcBorders>
                      </w:tcPr>
                      <w:p w:rsidR="00DE031E" w:rsidRPr="00DB7389" w:rsidRDefault="001C1A59" w:rsidP="00DE031E">
                        <w:pPr>
                          <w:jc w:val="right"/>
                          <w:rPr>
                            <w:rFonts w:asciiTheme="minorEastAsia" w:eastAsiaTheme="minorEastAsia" w:hAnsiTheme="minorEastAsia"/>
                            <w:sz w:val="18"/>
                            <w:szCs w:val="18"/>
                          </w:rPr>
                        </w:pPr>
                        <w:r w:rsidRPr="00DB7389">
                          <w:rPr>
                            <w:rFonts w:asciiTheme="minorEastAsia" w:eastAsiaTheme="minorEastAsia" w:hAnsiTheme="minorEastAsia" w:hint="eastAsia"/>
                            <w:sz w:val="18"/>
                            <w:szCs w:val="18"/>
                          </w:rPr>
                          <w:t>100</w:t>
                        </w:r>
                      </w:p>
                    </w:tc>
                  </w:sdtContent>
                </w:sdt>
                <w:sdt>
                  <w:sdtPr>
                    <w:rPr>
                      <w:rFonts w:asciiTheme="minorEastAsia" w:eastAsiaTheme="minorEastAsia" w:hAnsiTheme="minorEastAsia"/>
                      <w:sz w:val="18"/>
                      <w:szCs w:val="18"/>
                    </w:rPr>
                    <w:alias w:val="企业合并及合并财务报表明细－取得方式"/>
                    <w:tag w:val="_GBC_e214440b23e04cb09f1d3c16109a2005"/>
                    <w:id w:val="24726508"/>
                    <w:lock w:val="sdtLocked"/>
                  </w:sdtPr>
                  <w:sdtContent>
                    <w:tc>
                      <w:tcPr>
                        <w:tcW w:w="1116" w:type="pct"/>
                        <w:tcBorders>
                          <w:top w:val="single" w:sz="6" w:space="0" w:color="auto"/>
                          <w:left w:val="single" w:sz="6" w:space="0" w:color="auto"/>
                          <w:bottom w:val="single" w:sz="4" w:space="0" w:color="auto"/>
                          <w:right w:val="single" w:sz="4" w:space="0" w:color="auto"/>
                        </w:tcBorders>
                      </w:tcPr>
                      <w:p w:rsidR="00DE031E" w:rsidRPr="00FA1AF1" w:rsidRDefault="001C1A59" w:rsidP="00DE031E">
                        <w:pPr>
                          <w:rPr>
                            <w:rFonts w:asciiTheme="minorEastAsia" w:eastAsiaTheme="minorEastAsia" w:hAnsiTheme="minorEastAsia"/>
                            <w:sz w:val="18"/>
                            <w:szCs w:val="18"/>
                          </w:rPr>
                        </w:pPr>
                        <w:r w:rsidRPr="00FA1AF1">
                          <w:rPr>
                            <w:rFonts w:asciiTheme="minorEastAsia" w:eastAsiaTheme="minorEastAsia" w:hAnsiTheme="minorEastAsia"/>
                            <w:sz w:val="18"/>
                            <w:szCs w:val="18"/>
                          </w:rPr>
                          <w:t>其他方式取得的子公司</w:t>
                        </w:r>
                      </w:p>
                    </w:tc>
                  </w:sdtContent>
                </w:sdt>
              </w:tr>
            </w:sdtContent>
          </w:sdt>
        </w:tbl>
        <w:p w:rsidR="00DE031E" w:rsidRDefault="001C1A59">
          <w:r>
            <w:br w:type="page"/>
          </w:r>
        </w:p>
        <w:p w:rsidR="00DE031E" w:rsidRDefault="00DE031E">
          <w:pPr>
            <w:sectPr w:rsidR="00DE031E" w:rsidSect="00DE031E">
              <w:headerReference w:type="default" r:id="rId28"/>
              <w:pgSz w:w="16838" w:h="11906" w:orient="landscape"/>
              <w:pgMar w:top="1276" w:right="1440" w:bottom="1797" w:left="1525" w:header="856" w:footer="992" w:gutter="0"/>
              <w:cols w:space="425"/>
              <w:docGrid w:linePitch="312"/>
            </w:sectPr>
          </w:pPr>
        </w:p>
        <w:p w:rsidR="00DE031E" w:rsidRDefault="001C1A59" w:rsidP="00DE031E">
          <w:pPr>
            <w:spacing w:line="360" w:lineRule="auto"/>
          </w:pPr>
          <w:r>
            <w:rPr>
              <w:rFonts w:hint="eastAsia"/>
            </w:rPr>
            <w:lastRenderedPageBreak/>
            <w:t>注1：2015年4月，本公司独资设立招商证券资产管理有限公司，新公司注册资本采用认缴制，截至2015年6月30日，本公司已认缴出资30,000.00万元。</w:t>
          </w:r>
        </w:p>
        <w:p w:rsidR="00DE031E" w:rsidRDefault="001C1A59" w:rsidP="00DE031E">
          <w:pPr>
            <w:spacing w:line="360" w:lineRule="auto"/>
          </w:pPr>
          <w:r w:rsidRPr="003C195C">
            <w:rPr>
              <w:rFonts w:hint="eastAsia"/>
            </w:rPr>
            <w:t>注</w:t>
          </w:r>
          <w:r>
            <w:rPr>
              <w:rFonts w:hint="eastAsia"/>
            </w:rPr>
            <w:t>2</w:t>
          </w:r>
          <w:r w:rsidRPr="003C195C">
            <w:rPr>
              <w:rFonts w:hint="eastAsia"/>
            </w:rPr>
            <w:t>：2015年3月，本公司之全资子公司招商致远资本投资有限公司独资设立安徽招商致远创新投资管理有限公司，截至2015年6月30日，招商致远资本投资有限公司已认缴出资2,500.00万元。</w:t>
          </w:r>
        </w:p>
        <w:p w:rsidR="00DE031E" w:rsidRPr="003C195C" w:rsidRDefault="001C1A59" w:rsidP="00DE031E">
          <w:pPr>
            <w:spacing w:line="360" w:lineRule="auto"/>
          </w:pPr>
          <w:r w:rsidRPr="003C195C">
            <w:rPr>
              <w:rFonts w:hint="eastAsia"/>
            </w:rPr>
            <w:t>注</w:t>
          </w:r>
          <w:r>
            <w:rPr>
              <w:rFonts w:hint="eastAsia"/>
            </w:rPr>
            <w:t>3</w:t>
          </w:r>
          <w:r w:rsidRPr="003C195C">
            <w:rPr>
              <w:rFonts w:hint="eastAsia"/>
            </w:rPr>
            <w:t>：2015年1月，本公司之全资子公司招商致远资本投资有限公司与招商局资本管理有限责任公司</w:t>
          </w:r>
          <w:r>
            <w:rPr>
              <w:rFonts w:hint="eastAsia"/>
            </w:rPr>
            <w:t>分别出资人民币</w:t>
          </w:r>
          <w:r w:rsidRPr="003C195C">
            <w:rPr>
              <w:rFonts w:hint="eastAsia"/>
            </w:rPr>
            <w:t>538.50万元</w:t>
          </w:r>
          <w:r>
            <w:rPr>
              <w:rFonts w:hint="eastAsia"/>
            </w:rPr>
            <w:t>、</w:t>
          </w:r>
          <w:r w:rsidRPr="003C195C">
            <w:rPr>
              <w:rFonts w:hint="eastAsia"/>
            </w:rPr>
            <w:t>461.50万元</w:t>
          </w:r>
          <w:r>
            <w:rPr>
              <w:rFonts w:hint="eastAsia"/>
            </w:rPr>
            <w:t>合资</w:t>
          </w:r>
          <w:r w:rsidRPr="003C195C">
            <w:rPr>
              <w:rFonts w:hint="eastAsia"/>
            </w:rPr>
            <w:t>设立深圳市致远创业投资基金管理有限公司，</w:t>
          </w:r>
          <w:r>
            <w:rPr>
              <w:rFonts w:hint="eastAsia"/>
            </w:rPr>
            <w:t>新公司注册资本人民币1,000万元；本公司对新公司拥有实际控制权，纳入合并财务报表合并范围</w:t>
          </w:r>
          <w:r w:rsidRPr="003C195C">
            <w:rPr>
              <w:rFonts w:hint="eastAsia"/>
            </w:rPr>
            <w:t>。</w:t>
          </w:r>
        </w:p>
        <w:p w:rsidR="00DE031E" w:rsidRPr="003C195C" w:rsidRDefault="001C1A59" w:rsidP="00DE031E">
          <w:pPr>
            <w:spacing w:line="360" w:lineRule="auto"/>
          </w:pPr>
          <w:r w:rsidRPr="003C195C">
            <w:rPr>
              <w:rFonts w:hint="eastAsia"/>
            </w:rPr>
            <w:t>注</w:t>
          </w:r>
          <w:r>
            <w:rPr>
              <w:rFonts w:hint="eastAsia"/>
            </w:rPr>
            <w:t>4</w:t>
          </w:r>
          <w:r w:rsidRPr="003C195C">
            <w:rPr>
              <w:rFonts w:hint="eastAsia"/>
            </w:rPr>
            <w:t>：2015年2月，本公司之全资子公司招商致远资本投资有限公司</w:t>
          </w:r>
          <w:r>
            <w:rPr>
              <w:rFonts w:hint="eastAsia"/>
            </w:rPr>
            <w:t>所属</w:t>
          </w:r>
          <w:r w:rsidRPr="00DB7389">
            <w:rPr>
              <w:rFonts w:hint="eastAsia"/>
            </w:rPr>
            <w:t>子公司</w:t>
          </w:r>
          <w:r w:rsidRPr="003C195C">
            <w:rPr>
              <w:rFonts w:hint="eastAsia"/>
            </w:rPr>
            <w:t>深圳市致远创业投资基金管理有限公司与青岛国信资本投资有限公司</w:t>
          </w:r>
          <w:r>
            <w:rPr>
              <w:rFonts w:hint="eastAsia"/>
            </w:rPr>
            <w:t>分别出资</w:t>
          </w:r>
          <w:r w:rsidRPr="003C195C">
            <w:rPr>
              <w:rFonts w:hint="eastAsia"/>
            </w:rPr>
            <w:t>650.00万元</w:t>
          </w:r>
          <w:r>
            <w:rPr>
              <w:rFonts w:hint="eastAsia"/>
            </w:rPr>
            <w:t>、</w:t>
          </w:r>
          <w:r w:rsidRPr="003C195C">
            <w:rPr>
              <w:rFonts w:hint="eastAsia"/>
            </w:rPr>
            <w:t>350.00万元</w:t>
          </w:r>
          <w:r>
            <w:rPr>
              <w:rFonts w:hint="eastAsia"/>
            </w:rPr>
            <w:t>合资</w:t>
          </w:r>
          <w:r w:rsidRPr="003C195C">
            <w:rPr>
              <w:rFonts w:hint="eastAsia"/>
            </w:rPr>
            <w:t>设立青岛国信招商创业投资管理有限公司。</w:t>
          </w:r>
        </w:p>
        <w:p w:rsidR="00DE031E" w:rsidRDefault="001C1A59" w:rsidP="00DE031E">
          <w:pPr>
            <w:spacing w:line="360" w:lineRule="auto"/>
          </w:pPr>
          <w:r>
            <w:rPr>
              <w:rFonts w:hint="eastAsia"/>
            </w:rPr>
            <w:t>注5：2015年6月，本公司之全资子公司招商致远资本投资有限公司独资设立深圳市招商创远投资有限公司，截至2015年6月30日，招商致远资本投资有限公司尚未认缴出资。</w:t>
          </w:r>
        </w:p>
        <w:p w:rsidR="00DE031E" w:rsidRPr="00437FB4" w:rsidRDefault="001C1A59" w:rsidP="003A0284">
          <w:pPr>
            <w:pStyle w:val="a9"/>
            <w:widowControl/>
            <w:numPr>
              <w:ilvl w:val="2"/>
              <w:numId w:val="32"/>
            </w:numPr>
            <w:tabs>
              <w:tab w:val="left" w:pos="900"/>
              <w:tab w:val="left" w:pos="1100"/>
              <w:tab w:val="left" w:pos="1134"/>
            </w:tabs>
            <w:spacing w:beforeLines="50" w:afterLines="50" w:line="360" w:lineRule="auto"/>
            <w:ind w:left="0" w:firstLine="440"/>
            <w:outlineLvl w:val="1"/>
            <w:rPr>
              <w:rFonts w:ascii="Arial" w:hAnsi="Arial" w:cs="Arial"/>
              <w:sz w:val="22"/>
            </w:rPr>
          </w:pPr>
          <w:r w:rsidRPr="00437FB4">
            <w:rPr>
              <w:rFonts w:ascii="Arial" w:hAnsi="Arial" w:cs="Arial"/>
              <w:sz w:val="22"/>
            </w:rPr>
            <w:t>结构化主体</w:t>
          </w:r>
        </w:p>
        <w:p w:rsidR="00DE031E" w:rsidRDefault="001C1A59" w:rsidP="00DE031E">
          <w:pPr>
            <w:spacing w:line="360" w:lineRule="auto"/>
            <w:rPr>
              <w:rFonts w:cs="Arial"/>
              <w:szCs w:val="21"/>
            </w:rPr>
          </w:pPr>
          <w:r>
            <w:rPr>
              <w:rFonts w:cs="Arial" w:hint="eastAsia"/>
              <w:szCs w:val="21"/>
            </w:rPr>
            <w:t>对于纳入合并范围的重要的结构化主体，控制的依据：</w:t>
          </w:r>
        </w:p>
        <w:sdt>
          <w:sdtPr>
            <w:rPr>
              <w:rFonts w:ascii="宋体" w:eastAsia="宋体" w:hAnsi="宋体" w:cs="Arial" w:hint="eastAsia"/>
              <w:color w:val="auto"/>
              <w:sz w:val="21"/>
              <w:szCs w:val="21"/>
            </w:rPr>
            <w:alias w:val="对于纳入合并范围的重要的结构化主体，控制的依据"/>
            <w:tag w:val="_GBC_254d83ec47cd4003902f2d0f6017d432"/>
            <w:id w:val="24726510"/>
            <w:lock w:val="sdtLocked"/>
            <w:placeholder>
              <w:docPart w:val="GBC22222222222222222222222222222"/>
            </w:placeholder>
          </w:sdtPr>
          <w:sdtEndPr>
            <w:rPr>
              <w:rFonts w:cs="宋体"/>
            </w:rPr>
          </w:sdtEndPr>
          <w:sdtContent>
            <w:p w:rsidR="00DE031E" w:rsidRDefault="001C1A59" w:rsidP="003A0284">
              <w:pPr>
                <w:pStyle w:val="Default"/>
                <w:spacing w:beforeLines="50" w:line="360" w:lineRule="auto"/>
                <w:ind w:rightChars="299" w:right="628" w:firstLineChars="200" w:firstLine="420"/>
                <w:jc w:val="both"/>
                <w:rPr>
                  <w:rFonts w:ascii="Arial" w:eastAsiaTheme="majorEastAsia" w:hAnsi="Arial" w:cs="Arial"/>
                  <w:color w:val="auto"/>
                  <w:kern w:val="2"/>
                  <w:sz w:val="22"/>
                  <w:szCs w:val="22"/>
                </w:rPr>
              </w:pPr>
              <w:r w:rsidRPr="00A37D5A">
                <w:rPr>
                  <w:rFonts w:ascii="Arial" w:eastAsia="宋体" w:hAnsi="Arial" w:cs="Arial"/>
                  <w:color w:val="auto"/>
                  <w:kern w:val="2"/>
                  <w:sz w:val="22"/>
                  <w:szCs w:val="22"/>
                </w:rPr>
                <w:t>按照《企业会计准则第</w:t>
              </w:r>
              <w:r w:rsidRPr="00A37D5A">
                <w:rPr>
                  <w:rFonts w:ascii="Arial" w:eastAsia="宋体" w:hAnsi="Arial" w:cs="Arial"/>
                  <w:color w:val="auto"/>
                  <w:kern w:val="2"/>
                  <w:sz w:val="22"/>
                  <w:szCs w:val="22"/>
                </w:rPr>
                <w:t>33</w:t>
              </w:r>
              <w:r w:rsidRPr="00A37D5A">
                <w:rPr>
                  <w:rFonts w:ascii="Arial" w:eastAsia="宋体" w:hAnsi="Arial" w:cs="Arial"/>
                  <w:color w:val="auto"/>
                  <w:kern w:val="2"/>
                  <w:sz w:val="22"/>
                  <w:szCs w:val="22"/>
                </w:rPr>
                <w:t>号</w:t>
              </w:r>
              <w:r w:rsidRPr="00A37D5A">
                <w:rPr>
                  <w:rFonts w:ascii="Arial" w:eastAsia="宋体" w:hAnsi="Arial" w:cs="Arial"/>
                  <w:color w:val="auto"/>
                  <w:kern w:val="2"/>
                  <w:sz w:val="22"/>
                  <w:szCs w:val="22"/>
                </w:rPr>
                <w:t>——</w:t>
              </w:r>
              <w:r w:rsidRPr="00A37D5A">
                <w:rPr>
                  <w:rFonts w:ascii="Arial" w:eastAsia="宋体" w:hAnsi="Arial" w:cs="Arial"/>
                  <w:color w:val="auto"/>
                  <w:kern w:val="2"/>
                  <w:sz w:val="22"/>
                  <w:szCs w:val="22"/>
                </w:rPr>
                <w:t>合并财务报表》的规定，公司将管理人为本公司、</w:t>
              </w:r>
              <w:r w:rsidRPr="00437FB4">
                <w:rPr>
                  <w:rFonts w:ascii="Arial" w:eastAsiaTheme="majorEastAsia" w:hAnsi="Arial" w:cs="Arial"/>
                  <w:color w:val="auto"/>
                  <w:kern w:val="2"/>
                  <w:sz w:val="22"/>
                  <w:szCs w:val="22"/>
                </w:rPr>
                <w:t>且本公司以自有资金参与、并满足新修订准则规定</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控制</w:t>
              </w:r>
              <w:r w:rsidRPr="00437FB4">
                <w:rPr>
                  <w:rFonts w:ascii="Arial" w:eastAsiaTheme="majorEastAsia" w:hAnsi="Arial" w:cs="Arial"/>
                  <w:color w:val="auto"/>
                  <w:kern w:val="2"/>
                  <w:sz w:val="22"/>
                  <w:szCs w:val="22"/>
                </w:rPr>
                <w:t>”</w:t>
              </w:r>
              <w:r w:rsidRPr="00437FB4">
                <w:rPr>
                  <w:rFonts w:ascii="Arial" w:eastAsiaTheme="majorEastAsia" w:hAnsi="Arial" w:cs="Arial"/>
                  <w:color w:val="auto"/>
                  <w:kern w:val="2"/>
                  <w:sz w:val="22"/>
                  <w:szCs w:val="22"/>
                </w:rPr>
                <w:t>定义的结构化主体（集合资产管理计划）纳入合并报表范围。</w:t>
              </w:r>
            </w:p>
            <w:p w:rsidR="00DE031E" w:rsidRDefault="001C1A59" w:rsidP="003A0284">
              <w:pPr>
                <w:pStyle w:val="Default"/>
                <w:spacing w:beforeLines="50" w:afterLines="50" w:line="360" w:lineRule="auto"/>
                <w:ind w:rightChars="299" w:right="628" w:firstLineChars="200" w:firstLine="440"/>
                <w:jc w:val="both"/>
                <w:rPr>
                  <w:rFonts w:ascii="Arial" w:eastAsiaTheme="majorEastAsia" w:hAnsi="Arial" w:cs="Arial"/>
                  <w:color w:val="auto"/>
                  <w:kern w:val="2"/>
                  <w:sz w:val="22"/>
                  <w:szCs w:val="22"/>
                </w:rPr>
              </w:pPr>
              <w:r>
                <w:rPr>
                  <w:rFonts w:ascii="Arial" w:eastAsiaTheme="majorEastAsia" w:hAnsi="Arial" w:cs="Arial" w:hint="eastAsia"/>
                  <w:color w:val="auto"/>
                  <w:kern w:val="2"/>
                  <w:sz w:val="22"/>
                  <w:szCs w:val="22"/>
                </w:rPr>
                <w:t>纳入合并范围的结构化主体情况：</w:t>
              </w:r>
            </w:p>
            <w:p w:rsidR="00A80CD6" w:rsidRDefault="00A80CD6" w:rsidP="003A0284">
              <w:pPr>
                <w:pStyle w:val="Default"/>
                <w:spacing w:beforeLines="50"/>
                <w:ind w:rightChars="299" w:right="628" w:firstLineChars="200" w:firstLine="480"/>
                <w:jc w:val="right"/>
                <w:rPr>
                  <w:rFonts w:ascii="Arial" w:eastAsiaTheme="majorEastAsia" w:hAnsi="Arial" w:cs="Arial"/>
                  <w:color w:val="auto"/>
                  <w:kern w:val="2"/>
                  <w:sz w:val="22"/>
                  <w:szCs w:val="22"/>
                </w:rPr>
              </w:pPr>
              <w:r>
                <w:rPr>
                  <w:rFonts w:hint="eastAsia"/>
                </w:rPr>
                <w:t>单位：元  币种：人民币</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2"/>
                <w:gridCol w:w="2410"/>
                <w:gridCol w:w="2125"/>
              </w:tblGrid>
              <w:tr w:rsidR="00DE031E" w:rsidRPr="0072229A" w:rsidTr="00DE031E">
                <w:trPr>
                  <w:trHeight w:val="270"/>
                </w:trPr>
                <w:tc>
                  <w:tcPr>
                    <w:tcW w:w="2451" w:type="pct"/>
                    <w:shd w:val="clear" w:color="auto" w:fill="auto"/>
                    <w:noWrap/>
                    <w:vAlign w:val="center"/>
                    <w:hideMark/>
                  </w:tcPr>
                  <w:p w:rsidR="00DE031E" w:rsidRPr="0072229A" w:rsidRDefault="001C1A59" w:rsidP="00DE031E">
                    <w:pPr>
                      <w:rPr>
                        <w:b/>
                        <w:bCs/>
                        <w:color w:val="000000"/>
                        <w:szCs w:val="21"/>
                      </w:rPr>
                    </w:pPr>
                    <w:r w:rsidRPr="0072229A">
                      <w:rPr>
                        <w:rFonts w:hint="eastAsia"/>
                        <w:b/>
                        <w:bCs/>
                        <w:color w:val="000000"/>
                        <w:szCs w:val="21"/>
                      </w:rPr>
                      <w:t>项目</w:t>
                    </w:r>
                  </w:p>
                </w:tc>
                <w:tc>
                  <w:tcPr>
                    <w:tcW w:w="1354" w:type="pct"/>
                    <w:shd w:val="clear" w:color="auto" w:fill="auto"/>
                    <w:vAlign w:val="center"/>
                    <w:hideMark/>
                  </w:tcPr>
                  <w:p w:rsidR="00DE031E" w:rsidRPr="0072229A" w:rsidRDefault="001C1A59" w:rsidP="00DE031E">
                    <w:pPr>
                      <w:jc w:val="right"/>
                      <w:rPr>
                        <w:rFonts w:ascii="Arial" w:hAnsi="Arial" w:cs="Arial"/>
                        <w:b/>
                        <w:bCs/>
                        <w:color w:val="000000"/>
                        <w:szCs w:val="21"/>
                      </w:rPr>
                    </w:pPr>
                    <w:r w:rsidRPr="0072229A">
                      <w:rPr>
                        <w:rFonts w:ascii="Arial" w:hAnsi="Arial" w:cs="Arial"/>
                        <w:b/>
                        <w:bCs/>
                        <w:color w:val="000000"/>
                        <w:szCs w:val="21"/>
                      </w:rPr>
                      <w:t>2015</w:t>
                    </w:r>
                    <w:r w:rsidRPr="0072229A">
                      <w:rPr>
                        <w:rFonts w:ascii="Arial" w:hAnsi="Arial" w:cs="Arial"/>
                        <w:b/>
                        <w:bCs/>
                        <w:color w:val="000000"/>
                        <w:szCs w:val="21"/>
                      </w:rPr>
                      <w:t>年</w:t>
                    </w:r>
                    <w:r w:rsidRPr="0072229A">
                      <w:rPr>
                        <w:rFonts w:ascii="Arial" w:hAnsi="Arial" w:cs="Arial"/>
                        <w:b/>
                        <w:bCs/>
                        <w:color w:val="000000"/>
                        <w:szCs w:val="21"/>
                      </w:rPr>
                      <w:t>6</w:t>
                    </w:r>
                    <w:r w:rsidRPr="0072229A">
                      <w:rPr>
                        <w:rFonts w:ascii="Arial" w:hAnsi="Arial" w:cs="Arial"/>
                        <w:b/>
                        <w:bCs/>
                        <w:color w:val="000000"/>
                        <w:szCs w:val="21"/>
                      </w:rPr>
                      <w:t>月</w:t>
                    </w:r>
                    <w:r w:rsidRPr="0072229A">
                      <w:rPr>
                        <w:rFonts w:ascii="Arial" w:hAnsi="Arial" w:cs="Arial"/>
                        <w:b/>
                        <w:bCs/>
                        <w:color w:val="000000"/>
                        <w:szCs w:val="21"/>
                      </w:rPr>
                      <w:t>30</w:t>
                    </w:r>
                    <w:r w:rsidRPr="0072229A">
                      <w:rPr>
                        <w:rFonts w:ascii="Arial" w:hAnsi="Arial" w:cs="Arial"/>
                        <w:b/>
                        <w:bCs/>
                        <w:color w:val="000000"/>
                        <w:szCs w:val="21"/>
                      </w:rPr>
                      <w:t>日</w:t>
                    </w:r>
                  </w:p>
                </w:tc>
                <w:tc>
                  <w:tcPr>
                    <w:tcW w:w="1194" w:type="pct"/>
                    <w:shd w:val="clear" w:color="auto" w:fill="auto"/>
                    <w:noWrap/>
                    <w:vAlign w:val="center"/>
                    <w:hideMark/>
                  </w:tcPr>
                  <w:p w:rsidR="00DE031E" w:rsidRPr="0072229A" w:rsidRDefault="001C1A59" w:rsidP="00DE031E">
                    <w:pPr>
                      <w:jc w:val="right"/>
                      <w:rPr>
                        <w:rFonts w:ascii="Arial" w:hAnsi="Arial" w:cs="Arial"/>
                        <w:b/>
                        <w:bCs/>
                        <w:color w:val="000000"/>
                        <w:szCs w:val="21"/>
                      </w:rPr>
                    </w:pPr>
                    <w:r w:rsidRPr="0072229A">
                      <w:rPr>
                        <w:rFonts w:ascii="Arial" w:hAnsi="Arial" w:cs="Arial"/>
                        <w:b/>
                        <w:bCs/>
                        <w:color w:val="000000"/>
                        <w:szCs w:val="21"/>
                      </w:rPr>
                      <w:t>2014</w:t>
                    </w:r>
                    <w:r w:rsidRPr="0072229A">
                      <w:rPr>
                        <w:rFonts w:ascii="Arial" w:hAnsi="Arial" w:cs="Arial"/>
                        <w:b/>
                        <w:bCs/>
                        <w:color w:val="000000"/>
                        <w:szCs w:val="21"/>
                      </w:rPr>
                      <w:t>年</w:t>
                    </w:r>
                    <w:r w:rsidRPr="0072229A">
                      <w:rPr>
                        <w:rFonts w:ascii="Arial" w:hAnsi="Arial" w:cs="Arial"/>
                        <w:b/>
                        <w:bCs/>
                        <w:color w:val="000000"/>
                        <w:szCs w:val="21"/>
                      </w:rPr>
                      <w:t>12</w:t>
                    </w:r>
                    <w:r w:rsidRPr="0072229A">
                      <w:rPr>
                        <w:rFonts w:ascii="Arial" w:hAnsi="Arial" w:cs="Arial"/>
                        <w:b/>
                        <w:bCs/>
                        <w:color w:val="000000"/>
                        <w:szCs w:val="21"/>
                      </w:rPr>
                      <w:t>月</w:t>
                    </w:r>
                    <w:r w:rsidRPr="0072229A">
                      <w:rPr>
                        <w:rFonts w:ascii="Arial" w:hAnsi="Arial" w:cs="Arial"/>
                        <w:b/>
                        <w:bCs/>
                        <w:color w:val="000000"/>
                        <w:szCs w:val="21"/>
                      </w:rPr>
                      <w:t>31</w:t>
                    </w:r>
                    <w:r w:rsidRPr="0072229A">
                      <w:rPr>
                        <w:rFonts w:ascii="Arial" w:hAnsi="Arial" w:cs="Arial"/>
                        <w:b/>
                        <w:bCs/>
                        <w:color w:val="000000"/>
                        <w:szCs w:val="21"/>
                      </w:rPr>
                      <w:t>日</w:t>
                    </w:r>
                  </w:p>
                </w:tc>
              </w:tr>
              <w:tr w:rsidR="00DE031E" w:rsidRPr="0072229A" w:rsidTr="00DE031E">
                <w:trPr>
                  <w:trHeight w:val="270"/>
                </w:trPr>
                <w:tc>
                  <w:tcPr>
                    <w:tcW w:w="2451" w:type="pct"/>
                    <w:shd w:val="clear" w:color="auto" w:fill="auto"/>
                    <w:noWrap/>
                    <w:vAlign w:val="center"/>
                    <w:hideMark/>
                  </w:tcPr>
                  <w:p w:rsidR="00DE031E" w:rsidRPr="0072229A" w:rsidRDefault="001C1A59" w:rsidP="00DE031E">
                    <w:pPr>
                      <w:rPr>
                        <w:color w:val="000000"/>
                        <w:szCs w:val="21"/>
                      </w:rPr>
                    </w:pPr>
                    <w:r w:rsidRPr="0072229A">
                      <w:rPr>
                        <w:rFonts w:hint="eastAsia"/>
                        <w:color w:val="000000"/>
                        <w:szCs w:val="21"/>
                      </w:rPr>
                      <w:t>纳入合并的产品数量</w:t>
                    </w:r>
                  </w:p>
                </w:tc>
                <w:tc>
                  <w:tcPr>
                    <w:tcW w:w="1354" w:type="pct"/>
                    <w:shd w:val="clear" w:color="auto" w:fill="auto"/>
                    <w:vAlign w:val="center"/>
                    <w:hideMark/>
                  </w:tcPr>
                  <w:p w:rsidR="00DE031E" w:rsidRPr="0072229A" w:rsidRDefault="001C1A59" w:rsidP="00DE031E">
                    <w:pPr>
                      <w:jc w:val="right"/>
                      <w:rPr>
                        <w:rFonts w:ascii="Calibri" w:hAnsi="Calibri" w:cs="Calibri"/>
                        <w:color w:val="000000"/>
                        <w:szCs w:val="21"/>
                      </w:rPr>
                    </w:pPr>
                    <w:r w:rsidRPr="0072229A">
                      <w:rPr>
                        <w:rFonts w:ascii="Calibri" w:hAnsi="Calibri" w:cs="Calibri"/>
                        <w:color w:val="000000"/>
                        <w:szCs w:val="21"/>
                      </w:rPr>
                      <w:t>5</w:t>
                    </w:r>
                  </w:p>
                </w:tc>
                <w:tc>
                  <w:tcPr>
                    <w:tcW w:w="1194" w:type="pct"/>
                    <w:shd w:val="clear" w:color="auto" w:fill="auto"/>
                    <w:noWrap/>
                    <w:vAlign w:val="center"/>
                    <w:hideMark/>
                  </w:tcPr>
                  <w:p w:rsidR="00DE031E" w:rsidRPr="0072229A" w:rsidRDefault="001C1A59" w:rsidP="00DE031E">
                    <w:pPr>
                      <w:jc w:val="right"/>
                      <w:rPr>
                        <w:rFonts w:ascii="Calibri" w:hAnsi="Calibri" w:cs="Calibri"/>
                        <w:color w:val="000000"/>
                        <w:szCs w:val="21"/>
                      </w:rPr>
                    </w:pPr>
                    <w:r w:rsidRPr="0072229A">
                      <w:rPr>
                        <w:rFonts w:ascii="Calibri" w:hAnsi="Calibri" w:cs="Calibri"/>
                        <w:color w:val="000000"/>
                        <w:szCs w:val="21"/>
                      </w:rPr>
                      <w:t>4</w:t>
                    </w:r>
                  </w:p>
                </w:tc>
              </w:tr>
              <w:tr w:rsidR="00DE031E" w:rsidRPr="0072229A" w:rsidTr="00DE031E">
                <w:trPr>
                  <w:trHeight w:val="270"/>
                </w:trPr>
                <w:tc>
                  <w:tcPr>
                    <w:tcW w:w="2451" w:type="pct"/>
                    <w:shd w:val="clear" w:color="auto" w:fill="auto"/>
                    <w:noWrap/>
                    <w:vAlign w:val="center"/>
                    <w:hideMark/>
                  </w:tcPr>
                  <w:p w:rsidR="00DE031E" w:rsidRPr="0072229A" w:rsidRDefault="001C1A59" w:rsidP="00DE031E">
                    <w:pPr>
                      <w:rPr>
                        <w:color w:val="000000"/>
                        <w:szCs w:val="21"/>
                      </w:rPr>
                    </w:pPr>
                    <w:r w:rsidRPr="0072229A">
                      <w:rPr>
                        <w:rFonts w:hint="eastAsia"/>
                        <w:color w:val="000000"/>
                        <w:szCs w:val="21"/>
                      </w:rPr>
                      <w:t>纳入合并的结构化主体的总资产</w:t>
                    </w:r>
                  </w:p>
                </w:tc>
                <w:tc>
                  <w:tcPr>
                    <w:tcW w:w="1354" w:type="pct"/>
                    <w:shd w:val="clear" w:color="auto" w:fill="auto"/>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921,278,616.65</w:t>
                    </w:r>
                  </w:p>
                </w:tc>
                <w:tc>
                  <w:tcPr>
                    <w:tcW w:w="1194" w:type="pct"/>
                    <w:shd w:val="clear" w:color="auto" w:fill="auto"/>
                    <w:noWrap/>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1,192,032,822.58</w:t>
                    </w:r>
                  </w:p>
                </w:tc>
              </w:tr>
              <w:tr w:rsidR="00DE031E" w:rsidRPr="0072229A" w:rsidTr="00DE031E">
                <w:trPr>
                  <w:trHeight w:val="270"/>
                </w:trPr>
                <w:tc>
                  <w:tcPr>
                    <w:tcW w:w="2451" w:type="pct"/>
                    <w:shd w:val="clear" w:color="auto" w:fill="auto"/>
                    <w:noWrap/>
                    <w:vAlign w:val="center"/>
                    <w:hideMark/>
                  </w:tcPr>
                  <w:p w:rsidR="00DE031E" w:rsidRPr="0072229A" w:rsidRDefault="001C1A59" w:rsidP="00DE031E">
                    <w:pPr>
                      <w:rPr>
                        <w:color w:val="000000"/>
                        <w:szCs w:val="21"/>
                      </w:rPr>
                    </w:pPr>
                    <w:r w:rsidRPr="0072229A">
                      <w:rPr>
                        <w:rFonts w:hint="eastAsia"/>
                        <w:color w:val="000000"/>
                        <w:szCs w:val="21"/>
                      </w:rPr>
                      <w:t>母公司在上述结构化主体的权益体现在资产负债表中可供出售金融资产的总金额</w:t>
                    </w:r>
                  </w:p>
                </w:tc>
                <w:tc>
                  <w:tcPr>
                    <w:tcW w:w="1354" w:type="pct"/>
                    <w:shd w:val="clear" w:color="auto" w:fill="auto"/>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230,547,077.44</w:t>
                    </w:r>
                  </w:p>
                </w:tc>
                <w:tc>
                  <w:tcPr>
                    <w:tcW w:w="1194" w:type="pct"/>
                    <w:shd w:val="clear" w:color="auto" w:fill="auto"/>
                    <w:noWrap/>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247,739,979.39</w:t>
                    </w:r>
                  </w:p>
                </w:tc>
              </w:tr>
            </w:tbl>
            <w:p w:rsidR="00DE031E" w:rsidRPr="007075DA" w:rsidRDefault="001C1A59" w:rsidP="00DE031E">
              <w:pPr>
                <w:spacing w:line="360" w:lineRule="auto"/>
                <w:ind w:firstLineChars="200" w:firstLine="420"/>
              </w:pPr>
              <w:r w:rsidRPr="00437FB4">
                <w:t>本公司作为</w:t>
              </w:r>
              <w:r w:rsidRPr="00437FB4">
                <w:rPr>
                  <w:rFonts w:hint="eastAsia"/>
                </w:rPr>
                <w:t>结</w:t>
              </w:r>
              <w:r w:rsidRPr="00437FB4">
                <w:t>构化主体的管理人，对结构化主体拥有权力且其他投资者没有实质性的权利，同时本公司承担并有权获取可变回报，且该回报的比重和可变动性均较为重大，因此本公司认为，本公司在上述结构化主体中享有较大的实质性权利，本公司为主要责任人，对上述结构化主体构成控制。</w:t>
              </w:r>
            </w:p>
          </w:sdtContent>
        </w:sdt>
        <w:p w:rsidR="00DE031E" w:rsidRDefault="00422DCA">
          <w:pPr>
            <w:rPr>
              <w:rFonts w:cs="Arial"/>
              <w:szCs w:val="21"/>
            </w:rPr>
          </w:pPr>
        </w:p>
      </w:sdtContent>
    </w:sdt>
    <w:sdt>
      <w:sdtPr>
        <w:rPr>
          <w:rFonts w:ascii="宋体" w:hAnsi="宋体" w:cs="Arial" w:hint="eastAsia"/>
          <w:b w:val="0"/>
          <w:bCs w:val="0"/>
          <w:kern w:val="0"/>
          <w:szCs w:val="21"/>
        </w:rPr>
        <w:tag w:val="_GBC_573fe5c9daf0401da00d8fc5198daf66"/>
        <w:id w:val="24726513"/>
        <w:lock w:val="sdtLocked"/>
        <w:placeholder>
          <w:docPart w:val="GBC22222222222222222222222222222"/>
        </w:placeholder>
      </w:sdtPr>
      <w:sdtEndPr>
        <w:rPr>
          <w:b/>
        </w:rPr>
      </w:sdtEndPr>
      <w:sdtContent>
        <w:p w:rsidR="00DE031E" w:rsidRDefault="001C1A59" w:rsidP="009950AC">
          <w:pPr>
            <w:pStyle w:val="4"/>
            <w:numPr>
              <w:ilvl w:val="3"/>
              <w:numId w:val="67"/>
            </w:numPr>
            <w:tabs>
              <w:tab w:val="left" w:pos="644"/>
            </w:tabs>
            <w:spacing w:line="360" w:lineRule="auto"/>
            <w:rPr>
              <w:rFonts w:ascii="宋体" w:hAnsi="宋体" w:cs="Arial"/>
              <w:szCs w:val="21"/>
            </w:rPr>
          </w:pPr>
          <w:r>
            <w:rPr>
              <w:rFonts w:ascii="宋体" w:hAnsi="宋体" w:cs="Arial" w:hint="eastAsia"/>
              <w:szCs w:val="21"/>
            </w:rPr>
            <w:t>使用企业集团资产和清偿企业集团债务的重大限制：</w:t>
          </w:r>
        </w:p>
        <w:sdt>
          <w:sdtPr>
            <w:rPr>
              <w:rFonts w:cs="Arial" w:hint="eastAsia"/>
              <w:szCs w:val="21"/>
            </w:rPr>
            <w:alias w:val="使用企业集团资产和清偿企业集团债务的重大限制"/>
            <w:tag w:val="_GBC_70924ed1805b4f7e90bf0d6f19c9c169"/>
            <w:id w:val="24726512"/>
            <w:lock w:val="sdtLocked"/>
            <w:placeholder>
              <w:docPart w:val="GBC22222222222222222222222222222"/>
            </w:placeholder>
          </w:sdtPr>
          <w:sdtEndPr>
            <w:rPr>
              <w:b/>
            </w:rPr>
          </w:sdtEndPr>
          <w:sdtContent>
            <w:p w:rsidR="00DE031E" w:rsidRDefault="001C1A59" w:rsidP="00DE031E">
              <w:pPr>
                <w:spacing w:line="360" w:lineRule="auto"/>
                <w:rPr>
                  <w:rFonts w:cs="Arial"/>
                  <w:b/>
                  <w:szCs w:val="21"/>
                </w:rPr>
              </w:pPr>
              <w:r w:rsidRPr="00437FB4">
                <w:rPr>
                  <w:rFonts w:ascii="Arial" w:eastAsiaTheme="majorEastAsia" w:hAnsi="Arial" w:cs="Arial"/>
                  <w:kern w:val="2"/>
                  <w:sz w:val="22"/>
                  <w:szCs w:val="22"/>
                </w:rPr>
                <w:t>本公司不存在使用企业集团资产和清偿企业集团债务的重大限制。</w:t>
              </w:r>
            </w:p>
          </w:sdtContent>
        </w:sdt>
      </w:sdtContent>
    </w:sdt>
    <w:p w:rsidR="00DE031E" w:rsidRDefault="00DE031E">
      <w:pPr>
        <w:rPr>
          <w:rFonts w:cs="Arial"/>
          <w:szCs w:val="21"/>
        </w:rPr>
      </w:pPr>
    </w:p>
    <w:sdt>
      <w:sdtPr>
        <w:rPr>
          <w:rFonts w:ascii="宋体" w:hAnsi="宋体" w:cs="Arial" w:hint="eastAsia"/>
          <w:b w:val="0"/>
          <w:bCs w:val="0"/>
          <w:kern w:val="0"/>
          <w:szCs w:val="21"/>
        </w:rPr>
        <w:tag w:val="_GBC_114877d69a2e4b56b15fb618155127e3"/>
        <w:id w:val="24726515"/>
        <w:lock w:val="sdtLocked"/>
        <w:placeholder>
          <w:docPart w:val="GBC22222222222222222222222222222"/>
        </w:placeholder>
      </w:sdtPr>
      <w:sdtContent>
        <w:p w:rsidR="00DE031E" w:rsidRDefault="001C1A59" w:rsidP="009950AC">
          <w:pPr>
            <w:pStyle w:val="4"/>
            <w:numPr>
              <w:ilvl w:val="3"/>
              <w:numId w:val="67"/>
            </w:numPr>
            <w:tabs>
              <w:tab w:val="left" w:pos="644"/>
            </w:tabs>
            <w:spacing w:line="360" w:lineRule="auto"/>
            <w:rPr>
              <w:rFonts w:ascii="宋体" w:hAnsi="宋体" w:cs="Arial"/>
              <w:szCs w:val="21"/>
            </w:rPr>
          </w:pPr>
          <w:r>
            <w:rPr>
              <w:rFonts w:ascii="宋体" w:hAnsi="宋体" w:cs="Arial" w:hint="eastAsia"/>
              <w:szCs w:val="21"/>
            </w:rPr>
            <w:t>向纳入合并财务报表范围的结构化主体提供的财务支持或其他支持：</w:t>
          </w:r>
        </w:p>
        <w:sdt>
          <w:sdtPr>
            <w:rPr>
              <w:rFonts w:ascii="宋体" w:eastAsia="宋体" w:hAnsi="宋体" w:cs="Arial"/>
              <w:color w:val="auto"/>
              <w:sz w:val="21"/>
              <w:szCs w:val="21"/>
            </w:rPr>
            <w:alias w:val="向纳入合并财务报表范围的结构化主体提供的财务支持或其他支持"/>
            <w:tag w:val="_GBC_2f7c9214123a4cd3b90b7516dd19afee"/>
            <w:id w:val="24726514"/>
            <w:lock w:val="sdtLocked"/>
            <w:placeholder>
              <w:docPart w:val="GBC22222222222222222222222222222"/>
            </w:placeholder>
          </w:sdtPr>
          <w:sdtEndPr>
            <w:rPr>
              <w:b/>
            </w:rPr>
          </w:sdtEndPr>
          <w:sdtContent>
            <w:p w:rsidR="00DE031E" w:rsidRDefault="001C1A59" w:rsidP="003A0284">
              <w:pPr>
                <w:pStyle w:val="Default"/>
                <w:spacing w:beforeLines="50" w:line="360" w:lineRule="auto"/>
                <w:ind w:firstLineChars="200" w:firstLine="42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纳入合并范围的、分级且披露预期收益率的集合理财计划，本公司用发生自有资金承担责任的情形时持有的全部集合理财计划风险级份额对应的资产对优先级份额承担有限补偿责任，在份额的对应退出日，如计划份额累计净值小于优先级份额参与净值与按照预期收益率计算的预期收益之和，存在差额损失时，本公司将以自有资金认购的集合计划风险级份额对应的资产对委托人进行有限补偿，直至补足差额损失或者自有资金参与份额对应的资产补偿完毕。有限补偿机制适用于在推广期和存续期间参与并持有至对应退出日的优先级份额。</w:t>
              </w:r>
            </w:p>
            <w:p w:rsidR="00DE031E" w:rsidRDefault="001C1A59" w:rsidP="003A0284">
              <w:pPr>
                <w:pStyle w:val="Default"/>
                <w:spacing w:beforeLines="50" w:line="360" w:lineRule="auto"/>
                <w:ind w:firstLineChars="200" w:firstLine="440"/>
                <w:jc w:val="both"/>
                <w:rPr>
                  <w:rFonts w:ascii="Arial" w:eastAsiaTheme="majorEastAsia" w:hAnsi="Arial" w:cs="Arial"/>
                  <w:color w:val="auto"/>
                  <w:kern w:val="2"/>
                  <w:sz w:val="22"/>
                  <w:szCs w:val="22"/>
                </w:rPr>
              </w:pPr>
              <w:r w:rsidRPr="00437FB4">
                <w:rPr>
                  <w:rFonts w:ascii="Arial" w:eastAsiaTheme="majorEastAsia" w:hAnsi="Arial" w:cs="Arial"/>
                  <w:color w:val="auto"/>
                  <w:kern w:val="2"/>
                  <w:sz w:val="22"/>
                  <w:szCs w:val="22"/>
                </w:rPr>
                <w:t>对于纳入合并范围的、不分级但承担有限赔付责任的集合理财计划，本公司用持有的集合理财计划份额总值为委托人承担有限赔付责任，在计划到期日，如计划份额累计净值小于集合计划份额面值，存在差额损失时，本公司将以自有资金认购的集合计划份额对应的资产对委托人进行有限补偿，直至补足差额损失或者自有资金参与份额对应的资产补偿完毕。有限赔偿机制适用于在推广期内认购参与并持有至到期日的委托人份额（不包括集合计划存续期间委托人红利再投资的份额）。</w:t>
              </w:r>
            </w:p>
            <w:p w:rsidR="00DE031E" w:rsidRDefault="001C1A59" w:rsidP="003A0284">
              <w:pPr>
                <w:pStyle w:val="Default"/>
                <w:spacing w:beforeLines="50" w:afterLines="50" w:line="360" w:lineRule="auto"/>
                <w:ind w:firstLineChars="200" w:firstLine="440"/>
                <w:jc w:val="both"/>
                <w:rPr>
                  <w:rFonts w:ascii="Arial" w:eastAsiaTheme="majorEastAsia" w:hAnsi="Arial" w:cs="Arial"/>
                  <w:color w:val="auto"/>
                  <w:kern w:val="2"/>
                  <w:sz w:val="22"/>
                  <w:szCs w:val="22"/>
                </w:rPr>
              </w:pPr>
              <w:r>
                <w:rPr>
                  <w:rFonts w:ascii="Arial" w:eastAsiaTheme="majorEastAsia" w:hAnsi="Arial" w:cs="Arial" w:hint="eastAsia"/>
                  <w:color w:val="auto"/>
                  <w:kern w:val="2"/>
                  <w:sz w:val="22"/>
                  <w:szCs w:val="22"/>
                </w:rPr>
                <w:t>本公司持有的上述集合理财计划份额净值情况：</w:t>
              </w:r>
            </w:p>
            <w:p w:rsidR="00A80CD6" w:rsidRDefault="00A80CD6" w:rsidP="003A0284">
              <w:pPr>
                <w:pStyle w:val="Default"/>
                <w:spacing w:beforeLines="50"/>
                <w:ind w:firstLineChars="200" w:firstLine="480"/>
                <w:jc w:val="right"/>
                <w:rPr>
                  <w:rFonts w:ascii="Arial" w:eastAsiaTheme="majorEastAsia" w:hAnsi="Arial" w:cs="Arial"/>
                  <w:color w:val="auto"/>
                  <w:kern w:val="2"/>
                  <w:sz w:val="22"/>
                  <w:szCs w:val="22"/>
                </w:rPr>
              </w:pPr>
              <w:r>
                <w:rPr>
                  <w:rFonts w:hint="eastAsia"/>
                </w:rPr>
                <w:t>单位：元  币种：人民币</w:t>
              </w:r>
            </w:p>
            <w:tbl>
              <w:tblPr>
                <w:tblW w:w="899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7"/>
                <w:gridCol w:w="2268"/>
                <w:gridCol w:w="2252"/>
              </w:tblGrid>
              <w:tr w:rsidR="00DE031E" w:rsidRPr="0072229A" w:rsidTr="00DE031E">
                <w:trPr>
                  <w:trHeight w:val="270"/>
                  <w:jc w:val="center"/>
                </w:trPr>
                <w:tc>
                  <w:tcPr>
                    <w:tcW w:w="4477" w:type="dxa"/>
                    <w:shd w:val="clear" w:color="auto" w:fill="auto"/>
                    <w:noWrap/>
                    <w:vAlign w:val="center"/>
                    <w:hideMark/>
                  </w:tcPr>
                  <w:p w:rsidR="00DE031E" w:rsidRPr="0072229A" w:rsidRDefault="001C1A59" w:rsidP="00DE031E">
                    <w:pPr>
                      <w:rPr>
                        <w:b/>
                        <w:bCs/>
                        <w:color w:val="000000"/>
                        <w:szCs w:val="21"/>
                      </w:rPr>
                    </w:pPr>
                    <w:r w:rsidRPr="0072229A">
                      <w:rPr>
                        <w:rFonts w:hint="eastAsia"/>
                        <w:b/>
                        <w:bCs/>
                        <w:color w:val="000000"/>
                        <w:szCs w:val="21"/>
                      </w:rPr>
                      <w:t>项目</w:t>
                    </w:r>
                  </w:p>
                </w:tc>
                <w:tc>
                  <w:tcPr>
                    <w:tcW w:w="2268" w:type="dxa"/>
                    <w:shd w:val="clear" w:color="auto" w:fill="auto"/>
                    <w:vAlign w:val="center"/>
                    <w:hideMark/>
                  </w:tcPr>
                  <w:p w:rsidR="00DE031E" w:rsidRPr="0072229A" w:rsidRDefault="001C1A59" w:rsidP="00DE031E">
                    <w:pPr>
                      <w:jc w:val="right"/>
                      <w:rPr>
                        <w:rFonts w:ascii="Arial" w:hAnsi="Arial" w:cs="Arial"/>
                        <w:b/>
                        <w:bCs/>
                        <w:color w:val="000000"/>
                        <w:szCs w:val="21"/>
                      </w:rPr>
                    </w:pPr>
                    <w:r w:rsidRPr="0072229A">
                      <w:rPr>
                        <w:rFonts w:ascii="Arial" w:hAnsi="Arial" w:cs="Arial"/>
                        <w:b/>
                        <w:bCs/>
                        <w:color w:val="000000"/>
                        <w:szCs w:val="21"/>
                      </w:rPr>
                      <w:t>2015</w:t>
                    </w:r>
                    <w:r w:rsidRPr="0072229A">
                      <w:rPr>
                        <w:rFonts w:ascii="Arial" w:hAnsi="Arial" w:cs="Arial"/>
                        <w:b/>
                        <w:bCs/>
                        <w:color w:val="000000"/>
                        <w:szCs w:val="21"/>
                      </w:rPr>
                      <w:t>年</w:t>
                    </w:r>
                    <w:r w:rsidRPr="0072229A">
                      <w:rPr>
                        <w:rFonts w:ascii="Arial" w:hAnsi="Arial" w:cs="Arial"/>
                        <w:b/>
                        <w:bCs/>
                        <w:color w:val="000000"/>
                        <w:szCs w:val="21"/>
                      </w:rPr>
                      <w:t>6</w:t>
                    </w:r>
                    <w:r w:rsidRPr="0072229A">
                      <w:rPr>
                        <w:rFonts w:ascii="Arial" w:hAnsi="Arial" w:cs="Arial"/>
                        <w:b/>
                        <w:bCs/>
                        <w:color w:val="000000"/>
                        <w:szCs w:val="21"/>
                      </w:rPr>
                      <w:t>月</w:t>
                    </w:r>
                    <w:r w:rsidRPr="0072229A">
                      <w:rPr>
                        <w:rFonts w:ascii="Arial" w:hAnsi="Arial" w:cs="Arial"/>
                        <w:b/>
                        <w:bCs/>
                        <w:color w:val="000000"/>
                        <w:szCs w:val="21"/>
                      </w:rPr>
                      <w:t>30</w:t>
                    </w:r>
                    <w:r w:rsidRPr="0072229A">
                      <w:rPr>
                        <w:rFonts w:ascii="Arial" w:hAnsi="Arial" w:cs="Arial"/>
                        <w:b/>
                        <w:bCs/>
                        <w:color w:val="000000"/>
                        <w:szCs w:val="21"/>
                      </w:rPr>
                      <w:t>日</w:t>
                    </w:r>
                  </w:p>
                </w:tc>
                <w:tc>
                  <w:tcPr>
                    <w:tcW w:w="2252" w:type="dxa"/>
                    <w:shd w:val="clear" w:color="auto" w:fill="auto"/>
                    <w:noWrap/>
                    <w:vAlign w:val="center"/>
                    <w:hideMark/>
                  </w:tcPr>
                  <w:p w:rsidR="00DE031E" w:rsidRPr="0072229A" w:rsidRDefault="001C1A59" w:rsidP="00DE031E">
                    <w:pPr>
                      <w:jc w:val="right"/>
                      <w:rPr>
                        <w:rFonts w:ascii="Arial" w:hAnsi="Arial" w:cs="Arial"/>
                        <w:b/>
                        <w:bCs/>
                        <w:color w:val="000000"/>
                        <w:szCs w:val="21"/>
                      </w:rPr>
                    </w:pPr>
                    <w:r w:rsidRPr="0072229A">
                      <w:rPr>
                        <w:rFonts w:ascii="Arial" w:hAnsi="Arial" w:cs="Arial"/>
                        <w:b/>
                        <w:bCs/>
                        <w:color w:val="000000"/>
                        <w:szCs w:val="21"/>
                      </w:rPr>
                      <w:t>2014</w:t>
                    </w:r>
                    <w:r w:rsidRPr="0072229A">
                      <w:rPr>
                        <w:rFonts w:ascii="Arial" w:hAnsi="Arial" w:cs="Arial"/>
                        <w:b/>
                        <w:bCs/>
                        <w:color w:val="000000"/>
                        <w:szCs w:val="21"/>
                      </w:rPr>
                      <w:t>年</w:t>
                    </w:r>
                    <w:r w:rsidRPr="0072229A">
                      <w:rPr>
                        <w:rFonts w:ascii="Arial" w:hAnsi="Arial" w:cs="Arial"/>
                        <w:b/>
                        <w:bCs/>
                        <w:color w:val="000000"/>
                        <w:szCs w:val="21"/>
                      </w:rPr>
                      <w:t>12</w:t>
                    </w:r>
                    <w:r w:rsidRPr="0072229A">
                      <w:rPr>
                        <w:rFonts w:ascii="Arial" w:hAnsi="Arial" w:cs="Arial"/>
                        <w:b/>
                        <w:bCs/>
                        <w:color w:val="000000"/>
                        <w:szCs w:val="21"/>
                      </w:rPr>
                      <w:t>月</w:t>
                    </w:r>
                    <w:r w:rsidRPr="0072229A">
                      <w:rPr>
                        <w:rFonts w:ascii="Arial" w:hAnsi="Arial" w:cs="Arial"/>
                        <w:b/>
                        <w:bCs/>
                        <w:color w:val="000000"/>
                        <w:szCs w:val="21"/>
                      </w:rPr>
                      <w:t>31</w:t>
                    </w:r>
                    <w:r w:rsidRPr="0072229A">
                      <w:rPr>
                        <w:rFonts w:ascii="Arial" w:hAnsi="Arial" w:cs="Arial"/>
                        <w:b/>
                        <w:bCs/>
                        <w:color w:val="000000"/>
                        <w:szCs w:val="21"/>
                      </w:rPr>
                      <w:t>日</w:t>
                    </w:r>
                  </w:p>
                </w:tc>
              </w:tr>
              <w:tr w:rsidR="00DE031E" w:rsidRPr="0072229A" w:rsidTr="00DE031E">
                <w:trPr>
                  <w:trHeight w:val="270"/>
                  <w:jc w:val="center"/>
                </w:trPr>
                <w:tc>
                  <w:tcPr>
                    <w:tcW w:w="4477" w:type="dxa"/>
                    <w:shd w:val="clear" w:color="auto" w:fill="auto"/>
                    <w:noWrap/>
                    <w:vAlign w:val="center"/>
                    <w:hideMark/>
                  </w:tcPr>
                  <w:p w:rsidR="00DE031E" w:rsidRPr="0072229A" w:rsidRDefault="001C1A59" w:rsidP="00DE031E">
                    <w:pPr>
                      <w:rPr>
                        <w:color w:val="000000"/>
                        <w:szCs w:val="21"/>
                      </w:rPr>
                    </w:pPr>
                    <w:r w:rsidRPr="0072229A">
                      <w:rPr>
                        <w:rFonts w:hint="eastAsia"/>
                        <w:color w:val="000000"/>
                        <w:szCs w:val="21"/>
                      </w:rPr>
                      <w:t>本公司持有纳入合并范围的、分级且披露预期收益率的集合理财计划的风险级份额净值</w:t>
                    </w:r>
                  </w:p>
                </w:tc>
                <w:tc>
                  <w:tcPr>
                    <w:tcW w:w="2268" w:type="dxa"/>
                    <w:shd w:val="clear" w:color="auto" w:fill="auto"/>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128,467,614.81</w:t>
                    </w:r>
                  </w:p>
                </w:tc>
                <w:tc>
                  <w:tcPr>
                    <w:tcW w:w="2252" w:type="dxa"/>
                    <w:shd w:val="clear" w:color="auto" w:fill="auto"/>
                    <w:noWrap/>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136,118,128.38</w:t>
                    </w:r>
                  </w:p>
                </w:tc>
              </w:tr>
              <w:tr w:rsidR="00DE031E" w:rsidRPr="0072229A" w:rsidTr="00DE031E">
                <w:trPr>
                  <w:trHeight w:val="270"/>
                  <w:jc w:val="center"/>
                </w:trPr>
                <w:tc>
                  <w:tcPr>
                    <w:tcW w:w="4477" w:type="dxa"/>
                    <w:shd w:val="clear" w:color="auto" w:fill="auto"/>
                    <w:noWrap/>
                    <w:vAlign w:val="center"/>
                    <w:hideMark/>
                  </w:tcPr>
                  <w:p w:rsidR="00DE031E" w:rsidRPr="0072229A" w:rsidRDefault="001C1A59" w:rsidP="00DE031E">
                    <w:pPr>
                      <w:rPr>
                        <w:color w:val="000000"/>
                        <w:szCs w:val="21"/>
                      </w:rPr>
                    </w:pPr>
                    <w:r w:rsidRPr="0072229A">
                      <w:rPr>
                        <w:rFonts w:hint="eastAsia"/>
                        <w:color w:val="000000"/>
                        <w:szCs w:val="21"/>
                      </w:rPr>
                      <w:t>本公司持有纳入合并范围的、不分级但承担有限赔付责任的集合理财计划份额净值</w:t>
                    </w:r>
                  </w:p>
                </w:tc>
                <w:tc>
                  <w:tcPr>
                    <w:tcW w:w="2268" w:type="dxa"/>
                    <w:shd w:val="clear" w:color="auto" w:fill="auto"/>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52,570,788.39</w:t>
                    </w:r>
                  </w:p>
                </w:tc>
                <w:tc>
                  <w:tcPr>
                    <w:tcW w:w="2252" w:type="dxa"/>
                    <w:shd w:val="clear" w:color="auto" w:fill="auto"/>
                    <w:noWrap/>
                    <w:vAlign w:val="center"/>
                    <w:hideMark/>
                  </w:tcPr>
                  <w:p w:rsidR="00DE031E" w:rsidRPr="0072229A" w:rsidRDefault="001C1A59" w:rsidP="00DE031E">
                    <w:pPr>
                      <w:jc w:val="right"/>
                      <w:rPr>
                        <w:rFonts w:ascii="Arial" w:hAnsi="Arial" w:cs="Arial"/>
                        <w:color w:val="000000"/>
                        <w:szCs w:val="21"/>
                      </w:rPr>
                    </w:pPr>
                    <w:r w:rsidRPr="0072229A">
                      <w:rPr>
                        <w:rFonts w:ascii="Arial" w:hAnsi="Arial" w:cs="Arial"/>
                        <w:color w:val="000000"/>
                        <w:szCs w:val="21"/>
                      </w:rPr>
                      <w:t>51,831,271.86</w:t>
                    </w:r>
                  </w:p>
                </w:tc>
              </w:tr>
              <w:tr w:rsidR="00DE031E" w:rsidRPr="0072229A" w:rsidTr="00DE031E">
                <w:trPr>
                  <w:trHeight w:val="270"/>
                  <w:jc w:val="center"/>
                </w:trPr>
                <w:tc>
                  <w:tcPr>
                    <w:tcW w:w="4477" w:type="dxa"/>
                    <w:shd w:val="clear" w:color="auto" w:fill="auto"/>
                    <w:noWrap/>
                    <w:vAlign w:val="center"/>
                    <w:hideMark/>
                  </w:tcPr>
                  <w:p w:rsidR="00DE031E" w:rsidRPr="0072229A" w:rsidRDefault="001C1A59" w:rsidP="00DE031E">
                    <w:pPr>
                      <w:rPr>
                        <w:b/>
                        <w:bCs/>
                        <w:color w:val="000000"/>
                        <w:szCs w:val="21"/>
                      </w:rPr>
                    </w:pPr>
                    <w:r w:rsidRPr="0072229A">
                      <w:rPr>
                        <w:rFonts w:hint="eastAsia"/>
                        <w:b/>
                        <w:bCs/>
                        <w:color w:val="000000"/>
                        <w:szCs w:val="21"/>
                      </w:rPr>
                      <w:t>合计</w:t>
                    </w:r>
                  </w:p>
                </w:tc>
                <w:tc>
                  <w:tcPr>
                    <w:tcW w:w="2268" w:type="dxa"/>
                    <w:shd w:val="clear" w:color="auto" w:fill="auto"/>
                    <w:vAlign w:val="center"/>
                    <w:hideMark/>
                  </w:tcPr>
                  <w:p w:rsidR="00DE031E" w:rsidRPr="0072229A" w:rsidRDefault="001C1A59" w:rsidP="00DE031E">
                    <w:pPr>
                      <w:jc w:val="right"/>
                      <w:rPr>
                        <w:rFonts w:ascii="Arial" w:hAnsi="Arial" w:cs="Arial"/>
                        <w:b/>
                        <w:bCs/>
                        <w:color w:val="000000"/>
                        <w:szCs w:val="21"/>
                      </w:rPr>
                    </w:pPr>
                    <w:r w:rsidRPr="0072229A">
                      <w:rPr>
                        <w:rFonts w:ascii="Arial" w:hAnsi="Arial" w:cs="Arial"/>
                        <w:b/>
                        <w:bCs/>
                        <w:color w:val="000000"/>
                        <w:szCs w:val="21"/>
                      </w:rPr>
                      <w:t>181,038,403.20</w:t>
                    </w:r>
                  </w:p>
                </w:tc>
                <w:tc>
                  <w:tcPr>
                    <w:tcW w:w="2252" w:type="dxa"/>
                    <w:shd w:val="clear" w:color="auto" w:fill="auto"/>
                    <w:noWrap/>
                    <w:vAlign w:val="center"/>
                    <w:hideMark/>
                  </w:tcPr>
                  <w:p w:rsidR="00DE031E" w:rsidRPr="0072229A" w:rsidRDefault="001C1A59" w:rsidP="00DE031E">
                    <w:pPr>
                      <w:jc w:val="right"/>
                      <w:rPr>
                        <w:rFonts w:ascii="Arial" w:hAnsi="Arial" w:cs="Arial"/>
                        <w:b/>
                        <w:bCs/>
                        <w:color w:val="000000"/>
                        <w:szCs w:val="21"/>
                      </w:rPr>
                    </w:pPr>
                    <w:r w:rsidRPr="0072229A">
                      <w:rPr>
                        <w:rFonts w:ascii="Arial" w:hAnsi="Arial" w:cs="Arial"/>
                        <w:b/>
                        <w:bCs/>
                        <w:color w:val="000000"/>
                        <w:szCs w:val="21"/>
                      </w:rPr>
                      <w:t>187,949,400.24</w:t>
                    </w:r>
                  </w:p>
                </w:tc>
              </w:tr>
            </w:tbl>
            <w:p w:rsidR="00DE031E" w:rsidRDefault="00422DCA">
              <w:pPr>
                <w:rPr>
                  <w:rFonts w:cs="Arial"/>
                  <w:szCs w:val="21"/>
                </w:rPr>
              </w:pPr>
            </w:p>
          </w:sdtContent>
        </w:sdt>
      </w:sdtContent>
    </w:sdt>
    <w:p w:rsidR="00DE031E" w:rsidRDefault="001C1A59" w:rsidP="009950AC">
      <w:pPr>
        <w:pStyle w:val="3"/>
        <w:numPr>
          <w:ilvl w:val="2"/>
          <w:numId w:val="66"/>
        </w:numPr>
        <w:spacing w:line="360" w:lineRule="auto"/>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
        <w:tag w:val="_GBC_93c6fa5dba28418186e2c9c7f2adb0af"/>
        <w:id w:val="24726516"/>
        <w:lock w:val="sdtLocked"/>
        <w:placeholder>
          <w:docPart w:val="GBC22222222222222222222222222222"/>
        </w:placeholder>
      </w:sdtPr>
      <w:sdtContent>
        <w:p w:rsidR="00DE031E" w:rsidRDefault="00422DCA" w:rsidP="00DE031E">
          <w:pPr>
            <w:rPr>
              <w:szCs w:val="21"/>
            </w:rPr>
          </w:pPr>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DE031E">
      <w:pPr>
        <w:rPr>
          <w:szCs w:val="21"/>
        </w:rPr>
      </w:pPr>
    </w:p>
    <w:p w:rsidR="00DE031E" w:rsidRDefault="001C1A59" w:rsidP="009950AC">
      <w:pPr>
        <w:pStyle w:val="3"/>
        <w:numPr>
          <w:ilvl w:val="2"/>
          <w:numId w:val="66"/>
        </w:numPr>
        <w:spacing w:line="360" w:lineRule="auto"/>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
        <w:tag w:val="_GBC_ab3abad096214f4fabeaaeaea107704f"/>
        <w:id w:val="24726517"/>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b w:val="0"/>
          <w:bCs w:val="0"/>
          <w:kern w:val="0"/>
          <w:szCs w:val="24"/>
        </w:rPr>
        <w:tag w:val="_GBC_49e4a749316a464e89485cda5774fc07"/>
        <w:id w:val="24726536"/>
        <w:lock w:val="sdtLocked"/>
        <w:placeholder>
          <w:docPart w:val="GBC22222222222222222222222222222"/>
        </w:placeholder>
      </w:sdtPr>
      <w:sdtEndPr>
        <w:rPr>
          <w:rFonts w:cstheme="minorBidi" w:hint="default"/>
          <w:szCs w:val="21"/>
        </w:rPr>
      </w:sdtEndPr>
      <w:sdtContent>
        <w:p w:rsidR="00DE031E" w:rsidRDefault="001C1A59" w:rsidP="009950AC">
          <w:pPr>
            <w:pStyle w:val="4"/>
            <w:numPr>
              <w:ilvl w:val="3"/>
              <w:numId w:val="68"/>
            </w:numPr>
            <w:tabs>
              <w:tab w:val="left" w:pos="630"/>
            </w:tabs>
            <w:spacing w:line="360" w:lineRule="auto"/>
          </w:pPr>
          <w:r>
            <w:rPr>
              <w:rFonts w:hint="eastAsia"/>
            </w:rPr>
            <w:t>重要的合营企业或联营企业</w:t>
          </w:r>
        </w:p>
        <w:p w:rsidR="00DE031E" w:rsidRDefault="001C1A59">
          <w:pPr>
            <w:jc w:val="right"/>
          </w:pPr>
          <w:r>
            <w:rPr>
              <w:rFonts w:hint="eastAsia"/>
            </w:rPr>
            <w:t>单位:</w:t>
          </w:r>
          <w:sdt>
            <w:sdtPr>
              <w:rPr>
                <w:rFonts w:hint="eastAsia"/>
              </w:rPr>
              <w:alias w:val="单位：财务附注：重要的合营企业或联营企业"/>
              <w:tag w:val="_GBC_fc95ad35f9984b0c84fb2b12ebeb41db"/>
              <w:id w:val="247265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247265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2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658"/>
            <w:gridCol w:w="1276"/>
            <w:gridCol w:w="852"/>
            <w:gridCol w:w="946"/>
            <w:gridCol w:w="756"/>
            <w:gridCol w:w="721"/>
            <w:gridCol w:w="2254"/>
          </w:tblGrid>
          <w:tr w:rsidR="00DE031E" w:rsidRPr="00F0736F" w:rsidTr="00DE031E">
            <w:trPr>
              <w:trHeight w:val="451"/>
              <w:jc w:val="center"/>
            </w:trPr>
            <w:tc>
              <w:tcPr>
                <w:tcW w:w="140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合营企业或联营企业名称</w:t>
                </w:r>
              </w:p>
            </w:tc>
            <w:tc>
              <w:tcPr>
                <w:tcW w:w="67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主要经营地</w:t>
                </w:r>
              </w:p>
            </w:tc>
            <w:tc>
              <w:tcPr>
                <w:tcW w:w="45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注册地</w:t>
                </w:r>
              </w:p>
            </w:tc>
            <w:tc>
              <w:tcPr>
                <w:tcW w:w="5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业务性质</w:t>
                </w:r>
              </w:p>
            </w:tc>
            <w:tc>
              <w:tcPr>
                <w:tcW w:w="78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持股比例</w:t>
                </w:r>
                <w:r w:rsidRPr="00F0736F">
                  <w:rPr>
                    <w:rFonts w:cs="Arial"/>
                    <w:sz w:val="18"/>
                    <w:szCs w:val="18"/>
                  </w:rPr>
                  <w:t>(%)</w:t>
                </w:r>
              </w:p>
            </w:tc>
            <w:tc>
              <w:tcPr>
                <w:tcW w:w="1191"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对合营企业或联营企业投资的会计处理方法</w:t>
                </w:r>
              </w:p>
            </w:tc>
          </w:tr>
          <w:tr w:rsidR="00DE031E" w:rsidRPr="00F0736F" w:rsidTr="00DE031E">
            <w:trPr>
              <w:trHeight w:val="278"/>
              <w:jc w:val="center"/>
            </w:trPr>
            <w:tc>
              <w:tcPr>
                <w:tcW w:w="1405" w:type="pct"/>
                <w:vMerge/>
                <w:tcBorders>
                  <w:top w:val="single" w:sz="4" w:space="0" w:color="auto"/>
                  <w:left w:val="single" w:sz="4" w:space="0" w:color="auto"/>
                  <w:bottom w:val="single" w:sz="6" w:space="0" w:color="auto"/>
                  <w:right w:val="single" w:sz="6" w:space="0" w:color="auto"/>
                </w:tcBorders>
                <w:shd w:val="clear" w:color="auto" w:fill="auto"/>
                <w:vAlign w:val="center"/>
              </w:tcPr>
              <w:p w:rsidR="00DE031E" w:rsidRPr="00F0736F" w:rsidRDefault="00DE031E" w:rsidP="00DE031E">
                <w:pPr>
                  <w:rPr>
                    <w:rFonts w:cs="Arial"/>
                    <w:sz w:val="18"/>
                    <w:szCs w:val="18"/>
                  </w:rPr>
                </w:pPr>
              </w:p>
            </w:tc>
            <w:tc>
              <w:tcPr>
                <w:tcW w:w="674" w:type="pct"/>
                <w:vMerge/>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DE031E" w:rsidP="00DE031E">
                <w:pPr>
                  <w:rPr>
                    <w:rFonts w:cs="Arial"/>
                    <w:sz w:val="18"/>
                    <w:szCs w:val="18"/>
                  </w:rPr>
                </w:pPr>
              </w:p>
            </w:tc>
            <w:tc>
              <w:tcPr>
                <w:tcW w:w="450" w:type="pct"/>
                <w:vMerge/>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DE031E" w:rsidP="00DE031E">
                <w:pPr>
                  <w:rPr>
                    <w:rFonts w:cs="Arial"/>
                    <w:sz w:val="18"/>
                    <w:szCs w:val="18"/>
                  </w:rPr>
                </w:pPr>
              </w:p>
            </w:tc>
            <w:tc>
              <w:tcPr>
                <w:tcW w:w="5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DE031E" w:rsidP="00DE031E">
                <w:pPr>
                  <w:rPr>
                    <w:rFonts w:cs="Arial"/>
                    <w:sz w:val="18"/>
                    <w:szCs w:val="18"/>
                  </w:rPr>
                </w:pPr>
              </w:p>
            </w:tc>
            <w:tc>
              <w:tcPr>
                <w:tcW w:w="399" w:type="pc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直接</w:t>
                </w:r>
              </w:p>
            </w:tc>
            <w:tc>
              <w:tcPr>
                <w:tcW w:w="380" w:type="pct"/>
                <w:tcBorders>
                  <w:top w:val="single" w:sz="4"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cs="Arial"/>
                    <w:sz w:val="18"/>
                    <w:szCs w:val="18"/>
                  </w:rPr>
                </w:pPr>
                <w:r w:rsidRPr="00F0736F">
                  <w:rPr>
                    <w:rFonts w:cs="Arial" w:hint="eastAsia"/>
                    <w:sz w:val="18"/>
                    <w:szCs w:val="18"/>
                    <w:lang w:val="en-GB"/>
                  </w:rPr>
                  <w:t>间接</w:t>
                </w:r>
              </w:p>
            </w:tc>
            <w:tc>
              <w:tcPr>
                <w:tcW w:w="1191" w:type="pct"/>
                <w:vMerge/>
                <w:tcBorders>
                  <w:top w:val="single" w:sz="4" w:space="0" w:color="auto"/>
                  <w:left w:val="single" w:sz="6" w:space="0" w:color="auto"/>
                  <w:bottom w:val="single" w:sz="6" w:space="0" w:color="auto"/>
                  <w:right w:val="single" w:sz="4" w:space="0" w:color="auto"/>
                </w:tcBorders>
                <w:vAlign w:val="center"/>
              </w:tcPr>
              <w:p w:rsidR="00DE031E" w:rsidRPr="00F0736F" w:rsidRDefault="00DE031E" w:rsidP="00DE031E">
                <w:pPr>
                  <w:rPr>
                    <w:rFonts w:cs="Arial"/>
                    <w:sz w:val="18"/>
                    <w:szCs w:val="18"/>
                  </w:rPr>
                </w:pPr>
              </w:p>
            </w:tc>
          </w:tr>
          <w:sdt>
            <w:sdtPr>
              <w:rPr>
                <w:sz w:val="18"/>
                <w:szCs w:val="18"/>
              </w:rPr>
              <w:alias w:val="重要的合营企业或联营企业明细"/>
              <w:tag w:val="_GBC_a1baed559822472c8c78b05cadceb35a"/>
              <w:id w:val="24726527"/>
              <w:lock w:val="sdtLocked"/>
            </w:sdtPr>
            <w:sdtContent>
              <w:tr w:rsidR="00DE031E" w:rsidRPr="00F0736F" w:rsidTr="00DE031E">
                <w:trPr>
                  <w:jc w:val="center"/>
                </w:trPr>
                <w:sdt>
                  <w:sdtPr>
                    <w:rPr>
                      <w:sz w:val="18"/>
                      <w:szCs w:val="18"/>
                    </w:rPr>
                    <w:alias w:val="重要的合营企业或联营企业明细-企业名称"/>
                    <w:tag w:val="_GBC_6012a21c254c4c55a99615b2a357b5b8"/>
                    <w:id w:val="24726520"/>
                    <w:lock w:val="sdtLocked"/>
                  </w:sdtPr>
                  <w:sdtContent>
                    <w:tc>
                      <w:tcPr>
                        <w:tcW w:w="1405" w:type="pct"/>
                        <w:tcBorders>
                          <w:top w:val="single" w:sz="6" w:space="0" w:color="auto"/>
                          <w:left w:val="single" w:sz="4"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博时基金管理有限公司</w:t>
                        </w:r>
                      </w:p>
                    </w:tc>
                  </w:sdtContent>
                </w:sdt>
                <w:sdt>
                  <w:sdtPr>
                    <w:rPr>
                      <w:sz w:val="18"/>
                      <w:szCs w:val="18"/>
                    </w:rPr>
                    <w:alias w:val="重要的合营企业或联营企业明细-主要经营地"/>
                    <w:tag w:val="_GBC_ef30cc704c124c95a209c58df521b41e"/>
                    <w:id w:val="24726521"/>
                    <w:lock w:val="sdtLocked"/>
                  </w:sdtPr>
                  <w:sdtContent>
                    <w:tc>
                      <w:tcPr>
                        <w:tcW w:w="674"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深圳</w:t>
                        </w:r>
                      </w:p>
                    </w:tc>
                  </w:sdtContent>
                </w:sdt>
                <w:sdt>
                  <w:sdtPr>
                    <w:rPr>
                      <w:sz w:val="18"/>
                      <w:szCs w:val="18"/>
                    </w:rPr>
                    <w:alias w:val="重要的合营企业或联营企业明细-注册地"/>
                    <w:tag w:val="_GBC_15b7a7fea18b45519acd2ab5159490a8"/>
                    <w:id w:val="24726522"/>
                    <w:lock w:val="sdtLocked"/>
                  </w:sdtPr>
                  <w:sdtContent>
                    <w:tc>
                      <w:tcPr>
                        <w:tcW w:w="450"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深圳</w:t>
                        </w:r>
                      </w:p>
                    </w:tc>
                  </w:sdtContent>
                </w:sdt>
                <w:sdt>
                  <w:sdtPr>
                    <w:rPr>
                      <w:sz w:val="18"/>
                      <w:szCs w:val="18"/>
                    </w:rPr>
                    <w:alias w:val="重要的合营企业或联营企业明细-业务性质"/>
                    <w:tag w:val="_GBC_6e3df046930f4577aed2e2f0d183f386"/>
                    <w:id w:val="24726523"/>
                    <w:lock w:val="sdtLocked"/>
                  </w:sdtPr>
                  <w:sdtContent>
                    <w:tc>
                      <w:tcPr>
                        <w:tcW w:w="500"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基金管理</w:t>
                        </w:r>
                      </w:p>
                    </w:tc>
                  </w:sdtContent>
                </w:sdt>
                <w:sdt>
                  <w:sdtPr>
                    <w:rPr>
                      <w:sz w:val="18"/>
                      <w:szCs w:val="18"/>
                    </w:rPr>
                    <w:alias w:val="重要的合营企业或联营企业明细-直接持股比例"/>
                    <w:tag w:val="_GBC_45b510b1f8bd4167b53720c6d055ce31"/>
                    <w:id w:val="24726524"/>
                    <w:lock w:val="sdtLocked"/>
                  </w:sdtPr>
                  <w:sdtContent>
                    <w:tc>
                      <w:tcPr>
                        <w:tcW w:w="399"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jc w:val="right"/>
                          <w:rPr>
                            <w:sz w:val="18"/>
                            <w:szCs w:val="18"/>
                          </w:rPr>
                        </w:pPr>
                        <w:r w:rsidRPr="00F0736F">
                          <w:rPr>
                            <w:sz w:val="18"/>
                            <w:szCs w:val="18"/>
                          </w:rPr>
                          <w:t>49.00%</w:t>
                        </w:r>
                      </w:p>
                    </w:tc>
                  </w:sdtContent>
                </w:sdt>
                <w:sdt>
                  <w:sdtPr>
                    <w:rPr>
                      <w:sz w:val="18"/>
                      <w:szCs w:val="18"/>
                    </w:rPr>
                    <w:alias w:val="重要的合营企业或联营企业明细-间接持股比例"/>
                    <w:tag w:val="_GBC_2fb425eda7a04343a70fc45ef307b870"/>
                    <w:id w:val="24726525"/>
                    <w:lock w:val="sdtLocked"/>
                  </w:sdtPr>
                  <w:sdtContent>
                    <w:tc>
                      <w:tcPr>
                        <w:tcW w:w="380" w:type="pct"/>
                        <w:tcBorders>
                          <w:top w:val="single" w:sz="6" w:space="0" w:color="auto"/>
                          <w:left w:val="single" w:sz="6" w:space="0" w:color="auto"/>
                          <w:bottom w:val="single" w:sz="4" w:space="0" w:color="auto"/>
                          <w:right w:val="single" w:sz="6" w:space="0" w:color="auto"/>
                        </w:tcBorders>
                      </w:tcPr>
                      <w:p w:rsidR="00DE031E" w:rsidRPr="00F0736F" w:rsidRDefault="00DE031E" w:rsidP="00DE031E">
                        <w:pPr>
                          <w:jc w:val="right"/>
                          <w:rPr>
                            <w:sz w:val="18"/>
                            <w:szCs w:val="18"/>
                          </w:rPr>
                        </w:pPr>
                      </w:p>
                    </w:tc>
                  </w:sdtContent>
                </w:sdt>
                <w:sdt>
                  <w:sdtPr>
                    <w:rPr>
                      <w:sz w:val="18"/>
                      <w:szCs w:val="18"/>
                    </w:rPr>
                    <w:alias w:val="重要的合营企业或联营企业明细-对合营企业或联营企业投资的会计处理方法"/>
                    <w:tag w:val="_GBC_7f56437342a045aa91ca3cd5786c836e"/>
                    <w:id w:val="24726526"/>
                    <w:lock w:val="sdtLocked"/>
                  </w:sdtPr>
                  <w:sdtContent>
                    <w:tc>
                      <w:tcPr>
                        <w:tcW w:w="1191" w:type="pct"/>
                        <w:tcBorders>
                          <w:top w:val="single" w:sz="6" w:space="0" w:color="auto"/>
                          <w:left w:val="single" w:sz="6" w:space="0" w:color="auto"/>
                          <w:bottom w:val="single" w:sz="4" w:space="0" w:color="auto"/>
                          <w:right w:val="single" w:sz="4" w:space="0" w:color="auto"/>
                        </w:tcBorders>
                      </w:tcPr>
                      <w:p w:rsidR="00DE031E" w:rsidRPr="00F0736F" w:rsidRDefault="001C1A59" w:rsidP="00DE031E">
                        <w:pPr>
                          <w:rPr>
                            <w:sz w:val="18"/>
                            <w:szCs w:val="18"/>
                          </w:rPr>
                        </w:pPr>
                        <w:r w:rsidRPr="00F0736F">
                          <w:rPr>
                            <w:sz w:val="18"/>
                            <w:szCs w:val="18"/>
                          </w:rPr>
                          <w:t>权益法</w:t>
                        </w:r>
                      </w:p>
                    </w:tc>
                  </w:sdtContent>
                </w:sdt>
              </w:tr>
            </w:sdtContent>
          </w:sdt>
          <w:sdt>
            <w:sdtPr>
              <w:rPr>
                <w:sz w:val="18"/>
                <w:szCs w:val="18"/>
              </w:rPr>
              <w:alias w:val="重要的合营企业或联营企业明细"/>
              <w:tag w:val="_GBC_a1baed559822472c8c78b05cadceb35a"/>
              <w:id w:val="24726535"/>
              <w:lock w:val="sdtLocked"/>
            </w:sdtPr>
            <w:sdtContent>
              <w:tr w:rsidR="00DE031E" w:rsidRPr="00F0736F" w:rsidTr="00DE031E">
                <w:trPr>
                  <w:jc w:val="center"/>
                </w:trPr>
                <w:sdt>
                  <w:sdtPr>
                    <w:rPr>
                      <w:sz w:val="18"/>
                      <w:szCs w:val="18"/>
                    </w:rPr>
                    <w:alias w:val="重要的合营企业或联营企业明细-企业名称"/>
                    <w:tag w:val="_GBC_6012a21c254c4c55a99615b2a357b5b8"/>
                    <w:id w:val="24726528"/>
                    <w:lock w:val="sdtLocked"/>
                  </w:sdtPr>
                  <w:sdtContent>
                    <w:tc>
                      <w:tcPr>
                        <w:tcW w:w="1405" w:type="pct"/>
                        <w:tcBorders>
                          <w:top w:val="single" w:sz="6" w:space="0" w:color="auto"/>
                          <w:left w:val="single" w:sz="4"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招商基金管理有限公司</w:t>
                        </w:r>
                      </w:p>
                    </w:tc>
                  </w:sdtContent>
                </w:sdt>
                <w:sdt>
                  <w:sdtPr>
                    <w:rPr>
                      <w:sz w:val="18"/>
                      <w:szCs w:val="18"/>
                    </w:rPr>
                    <w:alias w:val="重要的合营企业或联营企业明细-主要经营地"/>
                    <w:tag w:val="_GBC_ef30cc704c124c95a209c58df521b41e"/>
                    <w:id w:val="24726529"/>
                    <w:lock w:val="sdtLocked"/>
                  </w:sdtPr>
                  <w:sdtContent>
                    <w:tc>
                      <w:tcPr>
                        <w:tcW w:w="674"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深圳</w:t>
                        </w:r>
                      </w:p>
                    </w:tc>
                  </w:sdtContent>
                </w:sdt>
                <w:sdt>
                  <w:sdtPr>
                    <w:rPr>
                      <w:sz w:val="18"/>
                      <w:szCs w:val="18"/>
                    </w:rPr>
                    <w:alias w:val="重要的合营企业或联营企业明细-注册地"/>
                    <w:tag w:val="_GBC_15b7a7fea18b45519acd2ab5159490a8"/>
                    <w:id w:val="24726530"/>
                    <w:lock w:val="sdtLocked"/>
                  </w:sdtPr>
                  <w:sdtContent>
                    <w:tc>
                      <w:tcPr>
                        <w:tcW w:w="450"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深圳</w:t>
                        </w:r>
                      </w:p>
                    </w:tc>
                  </w:sdtContent>
                </w:sdt>
                <w:sdt>
                  <w:sdtPr>
                    <w:rPr>
                      <w:sz w:val="18"/>
                      <w:szCs w:val="18"/>
                    </w:rPr>
                    <w:alias w:val="重要的合营企业或联营企业明细-业务性质"/>
                    <w:tag w:val="_GBC_6e3df046930f4577aed2e2f0d183f386"/>
                    <w:id w:val="24726531"/>
                    <w:lock w:val="sdtLocked"/>
                  </w:sdtPr>
                  <w:sdtContent>
                    <w:tc>
                      <w:tcPr>
                        <w:tcW w:w="500"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rPr>
                            <w:sz w:val="18"/>
                            <w:szCs w:val="18"/>
                          </w:rPr>
                        </w:pPr>
                        <w:r w:rsidRPr="00F0736F">
                          <w:rPr>
                            <w:sz w:val="18"/>
                            <w:szCs w:val="18"/>
                          </w:rPr>
                          <w:t>基金管理</w:t>
                        </w:r>
                      </w:p>
                    </w:tc>
                  </w:sdtContent>
                </w:sdt>
                <w:sdt>
                  <w:sdtPr>
                    <w:rPr>
                      <w:sz w:val="18"/>
                      <w:szCs w:val="18"/>
                    </w:rPr>
                    <w:alias w:val="重要的合营企业或联营企业明细-直接持股比例"/>
                    <w:tag w:val="_GBC_45b510b1f8bd4167b53720c6d055ce31"/>
                    <w:id w:val="24726532"/>
                    <w:lock w:val="sdtLocked"/>
                  </w:sdtPr>
                  <w:sdtContent>
                    <w:tc>
                      <w:tcPr>
                        <w:tcW w:w="399" w:type="pct"/>
                        <w:tcBorders>
                          <w:top w:val="single" w:sz="6" w:space="0" w:color="auto"/>
                          <w:left w:val="single" w:sz="6" w:space="0" w:color="auto"/>
                          <w:bottom w:val="single" w:sz="4" w:space="0" w:color="auto"/>
                          <w:right w:val="single" w:sz="6" w:space="0" w:color="auto"/>
                        </w:tcBorders>
                      </w:tcPr>
                      <w:p w:rsidR="00DE031E" w:rsidRPr="00F0736F" w:rsidRDefault="001C1A59" w:rsidP="00DE031E">
                        <w:pPr>
                          <w:jc w:val="right"/>
                          <w:rPr>
                            <w:sz w:val="18"/>
                            <w:szCs w:val="18"/>
                          </w:rPr>
                        </w:pPr>
                        <w:r w:rsidRPr="00F0736F">
                          <w:rPr>
                            <w:sz w:val="18"/>
                            <w:szCs w:val="18"/>
                          </w:rPr>
                          <w:t>45.00%</w:t>
                        </w:r>
                      </w:p>
                    </w:tc>
                  </w:sdtContent>
                </w:sdt>
                <w:sdt>
                  <w:sdtPr>
                    <w:rPr>
                      <w:sz w:val="18"/>
                      <w:szCs w:val="18"/>
                    </w:rPr>
                    <w:alias w:val="重要的合营企业或联营企业明细-间接持股比例"/>
                    <w:tag w:val="_GBC_2fb425eda7a04343a70fc45ef307b870"/>
                    <w:id w:val="24726533"/>
                    <w:lock w:val="sdtLocked"/>
                  </w:sdtPr>
                  <w:sdtContent>
                    <w:tc>
                      <w:tcPr>
                        <w:tcW w:w="380" w:type="pct"/>
                        <w:tcBorders>
                          <w:top w:val="single" w:sz="6" w:space="0" w:color="auto"/>
                          <w:left w:val="single" w:sz="6" w:space="0" w:color="auto"/>
                          <w:bottom w:val="single" w:sz="4" w:space="0" w:color="auto"/>
                          <w:right w:val="single" w:sz="6" w:space="0" w:color="auto"/>
                        </w:tcBorders>
                      </w:tcPr>
                      <w:p w:rsidR="00DE031E" w:rsidRPr="00F0736F" w:rsidRDefault="00DE031E" w:rsidP="00DE031E">
                        <w:pPr>
                          <w:jc w:val="right"/>
                          <w:rPr>
                            <w:sz w:val="18"/>
                            <w:szCs w:val="18"/>
                          </w:rPr>
                        </w:pPr>
                      </w:p>
                    </w:tc>
                  </w:sdtContent>
                </w:sdt>
                <w:sdt>
                  <w:sdtPr>
                    <w:rPr>
                      <w:sz w:val="18"/>
                      <w:szCs w:val="18"/>
                    </w:rPr>
                    <w:alias w:val="重要的合营企业或联营企业明细-对合营企业或联营企业投资的会计处理方法"/>
                    <w:tag w:val="_GBC_7f56437342a045aa91ca3cd5786c836e"/>
                    <w:id w:val="24726534"/>
                    <w:lock w:val="sdtLocked"/>
                  </w:sdtPr>
                  <w:sdtContent>
                    <w:tc>
                      <w:tcPr>
                        <w:tcW w:w="1191" w:type="pct"/>
                        <w:tcBorders>
                          <w:top w:val="single" w:sz="6" w:space="0" w:color="auto"/>
                          <w:left w:val="single" w:sz="6" w:space="0" w:color="auto"/>
                          <w:bottom w:val="single" w:sz="4" w:space="0" w:color="auto"/>
                          <w:right w:val="single" w:sz="4" w:space="0" w:color="auto"/>
                        </w:tcBorders>
                      </w:tcPr>
                      <w:p w:rsidR="00DE031E" w:rsidRPr="00F0736F" w:rsidRDefault="001C1A59" w:rsidP="00DE031E">
                        <w:pPr>
                          <w:rPr>
                            <w:sz w:val="18"/>
                            <w:szCs w:val="18"/>
                          </w:rPr>
                        </w:pPr>
                        <w:r w:rsidRPr="00F0736F">
                          <w:rPr>
                            <w:sz w:val="18"/>
                            <w:szCs w:val="18"/>
                          </w:rPr>
                          <w:t>权益法</w:t>
                        </w:r>
                      </w:p>
                    </w:tc>
                  </w:sdtContent>
                </w:sdt>
              </w:tr>
            </w:sdtContent>
          </w:sdt>
        </w:tbl>
        <w:p w:rsidR="00DE031E" w:rsidRDefault="00DE031E" w:rsidP="00DE031E">
          <w:pPr>
            <w:rPr>
              <w:szCs w:val="21"/>
            </w:rPr>
          </w:pPr>
        </w:p>
        <w:p w:rsidR="00DE031E" w:rsidRDefault="00DE031E" w:rsidP="00DE031E">
          <w:pPr>
            <w:rPr>
              <w:szCs w:val="21"/>
            </w:rPr>
          </w:pPr>
        </w:p>
        <w:p w:rsidR="00DE031E" w:rsidRDefault="00DE031E" w:rsidP="00DE031E">
          <w:pPr>
            <w:rPr>
              <w:szCs w:val="21"/>
            </w:rPr>
          </w:pPr>
        </w:p>
        <w:p w:rsidR="00DE031E" w:rsidRDefault="00422DCA" w:rsidP="00DE031E">
          <w:pPr>
            <w:rPr>
              <w:szCs w:val="21"/>
            </w:rPr>
          </w:pPr>
        </w:p>
      </w:sdtContent>
    </w:sdt>
    <w:sdt>
      <w:sdtPr>
        <w:rPr>
          <w:rFonts w:ascii="宋体" w:hAnsi="宋体" w:cs="Arial" w:hint="eastAsia"/>
          <w:b w:val="0"/>
          <w:bCs w:val="0"/>
          <w:kern w:val="0"/>
          <w:szCs w:val="21"/>
        </w:rPr>
        <w:tag w:val="_GBC_ac3eed998bbd4658ab651a88daefefb1"/>
        <w:id w:val="24726629"/>
        <w:lock w:val="sdtLocked"/>
        <w:placeholder>
          <w:docPart w:val="GBC22222222222222222222222222222"/>
        </w:placeholder>
      </w:sdtPr>
      <w:sdtEndPr>
        <w:rPr>
          <w:rFonts w:cstheme="minorBidi" w:hint="default"/>
        </w:rPr>
      </w:sdtEndPr>
      <w:sdtContent>
        <w:p w:rsidR="00DE031E" w:rsidRDefault="001C1A59" w:rsidP="009950AC">
          <w:pPr>
            <w:pStyle w:val="4"/>
            <w:numPr>
              <w:ilvl w:val="3"/>
              <w:numId w:val="68"/>
            </w:numPr>
            <w:tabs>
              <w:tab w:val="left" w:pos="630"/>
            </w:tabs>
            <w:rPr>
              <w:rFonts w:ascii="宋体" w:hAnsi="宋体" w:cs="Arial"/>
              <w:szCs w:val="21"/>
            </w:rPr>
          </w:pPr>
          <w:r>
            <w:rPr>
              <w:rFonts w:ascii="宋体" w:hAnsi="宋体" w:cs="Arial" w:hint="eastAsia"/>
              <w:szCs w:val="21"/>
            </w:rPr>
            <w:t>重要联营企业的主要财务信息</w:t>
          </w:r>
        </w:p>
        <w:p w:rsidR="00DE031E" w:rsidRDefault="001C1A59">
          <w:pPr>
            <w:jc w:val="right"/>
          </w:pPr>
          <w:r>
            <w:rPr>
              <w:rFonts w:hint="eastAsia"/>
            </w:rPr>
            <w:t>单位：</w:t>
          </w:r>
          <w:sdt>
            <w:sdtPr>
              <w:rPr>
                <w:rFonts w:hint="eastAsia"/>
              </w:rPr>
              <w:alias w:val="单位：财务附注：重要联营企业的主要财务信息"/>
              <w:tag w:val="_GBC_0306b30be35040cd86d2b964142011d4"/>
              <w:id w:val="24726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24726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332" w:type="pct"/>
            <w:jc w:val="center"/>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20"/>
            <w:gridCol w:w="1841"/>
            <w:gridCol w:w="1677"/>
            <w:gridCol w:w="1656"/>
            <w:gridCol w:w="1656"/>
          </w:tblGrid>
          <w:tr w:rsidR="00DE031E" w:rsidRPr="00F0736F" w:rsidTr="00DE031E">
            <w:trPr>
              <w:trHeight w:val="120"/>
              <w:jc w:val="center"/>
            </w:trPr>
            <w:tc>
              <w:tcPr>
                <w:tcW w:w="1461" w:type="pct"/>
                <w:vMerge w:val="restart"/>
                <w:tcBorders>
                  <w:top w:val="single" w:sz="4" w:space="0" w:color="auto"/>
                  <w:left w:val="single" w:sz="4" w:space="0" w:color="auto"/>
                  <w:bottom w:val="single" w:sz="6" w:space="0" w:color="auto"/>
                  <w:right w:val="single" w:sz="6" w:space="0" w:color="auto"/>
                </w:tcBorders>
                <w:shd w:val="clear" w:color="auto" w:fill="auto"/>
              </w:tcPr>
              <w:p w:rsidR="00DE031E" w:rsidRPr="00F0736F" w:rsidRDefault="00DE031E" w:rsidP="00DE031E">
                <w:pPr>
                  <w:jc w:val="center"/>
                  <w:rPr>
                    <w:rFonts w:asciiTheme="minorEastAsia" w:eastAsiaTheme="minorEastAsia" w:hAnsiTheme="minorEastAsia" w:cs="Arial"/>
                    <w:sz w:val="18"/>
                    <w:szCs w:val="18"/>
                  </w:rPr>
                </w:pPr>
              </w:p>
            </w:tc>
            <w:tc>
              <w:tcPr>
                <w:tcW w:w="1823"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heme="minorEastAsia" w:eastAsiaTheme="minorEastAsia" w:hAnsiTheme="minorEastAsia" w:cs="Arial" w:hint="eastAsia"/>
                    <w:sz w:val="18"/>
                    <w:szCs w:val="18"/>
                    <w:lang w:val="en-GB"/>
                  </w:rPr>
                  <w:alias w:val="重要联营企业的主要财务信息-发生期间"/>
                  <w:tag w:val="_GBC_3985273c74d84e5d9e0004348ff54fc3"/>
                  <w:id w:val="24726539"/>
                  <w:lock w:val="sdtLocked"/>
                </w:sdtPr>
                <w:sdtContent>
                  <w:p w:rsidR="00DE031E" w:rsidRPr="00F0736F" w:rsidRDefault="001C1A59" w:rsidP="00DE031E">
                    <w:pPr>
                      <w:jc w:val="center"/>
                      <w:rPr>
                        <w:rFonts w:asciiTheme="minorEastAsia" w:eastAsiaTheme="minorEastAsia" w:hAnsiTheme="minorEastAsia" w:cs="Arial"/>
                        <w:sz w:val="18"/>
                        <w:szCs w:val="18"/>
                      </w:rPr>
                    </w:pPr>
                    <w:r w:rsidRPr="00F0736F">
                      <w:rPr>
                        <w:rFonts w:asciiTheme="minorEastAsia" w:eastAsiaTheme="minorEastAsia" w:hAnsiTheme="minorEastAsia" w:cs="Arial" w:hint="eastAsia"/>
                        <w:sz w:val="18"/>
                        <w:szCs w:val="18"/>
                        <w:lang w:val="en-GB"/>
                      </w:rPr>
                      <w:t>期末余额</w:t>
                    </w:r>
                    <w:r w:rsidRPr="00F0736F">
                      <w:rPr>
                        <w:rFonts w:asciiTheme="minorEastAsia" w:eastAsiaTheme="minorEastAsia" w:hAnsiTheme="minorEastAsia" w:cs="Arial"/>
                        <w:sz w:val="18"/>
                        <w:szCs w:val="18"/>
                      </w:rPr>
                      <w:t xml:space="preserve">/ </w:t>
                    </w:r>
                    <w:r w:rsidRPr="00F0736F">
                      <w:rPr>
                        <w:rFonts w:asciiTheme="minorEastAsia" w:eastAsiaTheme="minorEastAsia" w:hAnsiTheme="minorEastAsia" w:cs="Arial" w:hint="eastAsia"/>
                        <w:sz w:val="18"/>
                        <w:szCs w:val="18"/>
                        <w:lang w:val="en-GB"/>
                      </w:rPr>
                      <w:t>本期发生额</w:t>
                    </w:r>
                  </w:p>
                </w:sdtContent>
              </w:sdt>
            </w:tc>
            <w:tc>
              <w:tcPr>
                <w:tcW w:w="1716"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heme="minorEastAsia" w:eastAsiaTheme="minorEastAsia" w:hAnsiTheme="minorEastAsia" w:cs="Arial" w:hint="eastAsia"/>
                    <w:sz w:val="18"/>
                    <w:szCs w:val="18"/>
                    <w:lang w:val="en-GB"/>
                  </w:rPr>
                  <w:alias w:val="重要联营企业的主要财务信息-发生期间"/>
                  <w:tag w:val="_GBC_c59f213bf9cc43468db35ae8e45286d0"/>
                  <w:id w:val="24726540"/>
                  <w:lock w:val="sdtLocked"/>
                </w:sdtPr>
                <w:sdtContent>
                  <w:p w:rsidR="00DE031E" w:rsidRPr="00F0736F" w:rsidRDefault="001C1A59" w:rsidP="00DE031E">
                    <w:pPr>
                      <w:jc w:val="center"/>
                      <w:rPr>
                        <w:rFonts w:asciiTheme="minorEastAsia" w:eastAsiaTheme="minorEastAsia" w:hAnsiTheme="minorEastAsia" w:cs="Arial"/>
                        <w:sz w:val="18"/>
                        <w:szCs w:val="18"/>
                        <w:lang w:val="en-GB"/>
                      </w:rPr>
                    </w:pPr>
                    <w:r w:rsidRPr="00F0736F">
                      <w:rPr>
                        <w:rFonts w:asciiTheme="minorEastAsia" w:eastAsiaTheme="minorEastAsia" w:hAnsiTheme="minorEastAsia" w:cs="Arial" w:hint="eastAsia"/>
                        <w:sz w:val="18"/>
                        <w:szCs w:val="18"/>
                        <w:lang w:val="en-GB"/>
                      </w:rPr>
                      <w:t>期初余额</w:t>
                    </w:r>
                    <w:r w:rsidRPr="00F0736F">
                      <w:rPr>
                        <w:rFonts w:asciiTheme="minorEastAsia" w:eastAsiaTheme="minorEastAsia" w:hAnsiTheme="minorEastAsia" w:cs="Arial"/>
                        <w:sz w:val="18"/>
                        <w:szCs w:val="18"/>
                      </w:rPr>
                      <w:t xml:space="preserve">/ </w:t>
                    </w:r>
                    <w:r w:rsidRPr="00F0736F">
                      <w:rPr>
                        <w:rFonts w:asciiTheme="minorEastAsia" w:eastAsiaTheme="minorEastAsia" w:hAnsiTheme="minorEastAsia" w:cs="Arial" w:hint="eastAsia"/>
                        <w:sz w:val="18"/>
                        <w:szCs w:val="18"/>
                        <w:lang w:val="en-GB"/>
                      </w:rPr>
                      <w:t>上期发生额</w:t>
                    </w:r>
                  </w:p>
                </w:sdtContent>
              </w:sdt>
            </w:tc>
          </w:tr>
          <w:tr w:rsidR="00DE031E" w:rsidRPr="00F0736F" w:rsidTr="00DE031E">
            <w:trPr>
              <w:trHeight w:val="120"/>
              <w:jc w:val="center"/>
            </w:trPr>
            <w:tc>
              <w:tcPr>
                <w:tcW w:w="1461" w:type="pct"/>
                <w:vMerge/>
                <w:tcBorders>
                  <w:top w:val="single" w:sz="4" w:space="0" w:color="auto"/>
                  <w:left w:val="single" w:sz="4" w:space="0" w:color="auto"/>
                  <w:bottom w:val="single" w:sz="6" w:space="0" w:color="auto"/>
                  <w:right w:val="single" w:sz="6" w:space="0" w:color="auto"/>
                </w:tcBorders>
                <w:shd w:val="clear" w:color="auto" w:fill="auto"/>
                <w:vAlign w:val="center"/>
              </w:tcPr>
              <w:p w:rsidR="00DE031E" w:rsidRPr="00F0736F" w:rsidRDefault="00DE031E" w:rsidP="00DE031E">
                <w:pPr>
                  <w:rPr>
                    <w:rFonts w:asciiTheme="minorEastAsia" w:eastAsiaTheme="minorEastAsia" w:hAnsiTheme="minorEastAsia" w:cs="Arial"/>
                    <w:sz w:val="18"/>
                    <w:szCs w:val="18"/>
                  </w:rPr>
                </w:pPr>
              </w:p>
            </w:tc>
            <w:sdt>
              <w:sdtPr>
                <w:rPr>
                  <w:rFonts w:asciiTheme="minorEastAsia" w:eastAsiaTheme="minorEastAsia" w:hAnsiTheme="minorEastAsia"/>
                  <w:sz w:val="18"/>
                  <w:szCs w:val="18"/>
                </w:rPr>
                <w:alias w:val="重要联营企业的主要财务信息明细-企业名称"/>
                <w:tag w:val="_GBC_efc7f4a58fe54a3fb8fad3e0deb94eae"/>
                <w:id w:val="24726541"/>
                <w:lock w:val="sdtLocked"/>
              </w:sdtPr>
              <w:sdtContent>
                <w:tc>
                  <w:tcPr>
                    <w:tcW w:w="954" w:type="pct"/>
                    <w:tcBorders>
                      <w:top w:val="single" w:sz="6" w:space="0" w:color="auto"/>
                      <w:left w:val="single" w:sz="6" w:space="0" w:color="auto"/>
                      <w:right w:val="single" w:sz="6" w:space="0" w:color="auto"/>
                    </w:tcBorders>
                    <w:shd w:val="clear" w:color="auto" w:fill="auto"/>
                    <w:vAlign w:val="center"/>
                  </w:tcPr>
                  <w:p w:rsidR="00DE031E" w:rsidRPr="00F0736F" w:rsidRDefault="001C1A59" w:rsidP="00DE031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博时基金</w:t>
                    </w:r>
                  </w:p>
                </w:tc>
              </w:sdtContent>
            </w:sdt>
            <w:sdt>
              <w:sdtPr>
                <w:rPr>
                  <w:rFonts w:asciiTheme="minorEastAsia" w:eastAsiaTheme="minorEastAsia" w:hAnsiTheme="minorEastAsia"/>
                  <w:sz w:val="18"/>
                  <w:szCs w:val="18"/>
                </w:rPr>
                <w:alias w:val="重要联营企业的主要财务信息明细-企业名称"/>
                <w:tag w:val="_GBC_efc7f4a58fe54a3fb8fad3e0deb94eae"/>
                <w:id w:val="24726542"/>
                <w:lock w:val="sdtLocked"/>
              </w:sdtPr>
              <w:sdtContent>
                <w:tc>
                  <w:tcPr>
                    <w:tcW w:w="869" w:type="pct"/>
                    <w:tcBorders>
                      <w:top w:val="single" w:sz="6" w:space="0" w:color="auto"/>
                      <w:left w:val="single" w:sz="6" w:space="0" w:color="auto"/>
                      <w:right w:val="single" w:sz="6" w:space="0" w:color="auto"/>
                    </w:tcBorders>
                    <w:shd w:val="clear" w:color="auto" w:fill="auto"/>
                    <w:vAlign w:val="center"/>
                  </w:tcPr>
                  <w:p w:rsidR="00DE031E" w:rsidRPr="00F0736F" w:rsidRDefault="001C1A59" w:rsidP="00DE031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招商基金</w:t>
                    </w:r>
                  </w:p>
                </w:tc>
              </w:sdtContent>
            </w:sdt>
            <w:sdt>
              <w:sdtPr>
                <w:rPr>
                  <w:rFonts w:asciiTheme="minorEastAsia" w:eastAsiaTheme="minorEastAsia" w:hAnsiTheme="minorEastAsia"/>
                  <w:sz w:val="18"/>
                  <w:szCs w:val="18"/>
                </w:rPr>
                <w:alias w:val="重要联营企业的主要财务信息明细-企业名称"/>
                <w:tag w:val="_GBC_ec035f4a8b8047b6ae76c73886ec26ca"/>
                <w:id w:val="24726543"/>
                <w:lock w:val="sdtLocked"/>
              </w:sdtPr>
              <w:sdtContent>
                <w:tc>
                  <w:tcPr>
                    <w:tcW w:w="858"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博时基金</w:t>
                    </w:r>
                  </w:p>
                </w:tc>
              </w:sdtContent>
            </w:sdt>
            <w:sdt>
              <w:sdtPr>
                <w:rPr>
                  <w:rFonts w:asciiTheme="minorEastAsia" w:eastAsiaTheme="minorEastAsia" w:hAnsiTheme="minorEastAsia"/>
                  <w:sz w:val="18"/>
                  <w:szCs w:val="18"/>
                </w:rPr>
                <w:alias w:val="重要联营企业的主要财务信息明细-企业名称"/>
                <w:tag w:val="_GBC_ec035f4a8b8047b6ae76c73886ec26ca"/>
                <w:id w:val="24726544"/>
                <w:lock w:val="sdtLocked"/>
              </w:sdtPr>
              <w:sdtContent>
                <w:tc>
                  <w:tcPr>
                    <w:tcW w:w="858" w:type="pct"/>
                    <w:tcBorders>
                      <w:top w:val="single" w:sz="6" w:space="0" w:color="auto"/>
                      <w:left w:val="single" w:sz="6" w:space="0" w:color="auto"/>
                      <w:bottom w:val="single" w:sz="6" w:space="0" w:color="auto"/>
                      <w:right w:val="single" w:sz="6" w:space="0" w:color="auto"/>
                    </w:tcBorders>
                    <w:shd w:val="clear" w:color="auto" w:fill="auto"/>
                    <w:vAlign w:val="center"/>
                  </w:tcPr>
                  <w:p w:rsidR="00DE031E" w:rsidRPr="00F0736F" w:rsidRDefault="001C1A59" w:rsidP="00DE031E">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招商基金</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流动资产</w:t>
                </w:r>
              </w:p>
            </w:tc>
            <w:sdt>
              <w:sdtPr>
                <w:rPr>
                  <w:rFonts w:asciiTheme="minorEastAsia" w:eastAsiaTheme="minorEastAsia" w:hAnsiTheme="minorEastAsia"/>
                  <w:sz w:val="18"/>
                  <w:szCs w:val="18"/>
                </w:rPr>
                <w:alias w:val="重要联营企业的主要财务信息明细-流动资产"/>
                <w:tag w:val="_GBC_c28dadbc5a3946f4954714fca120f44a"/>
                <w:id w:val="24726545"/>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流动资产"/>
                <w:tag w:val="_GBC_c28dadbc5a3946f4954714fca120f44a"/>
                <w:id w:val="24726546"/>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重要联营企业的主要财务信息明细-流动资产"/>
                <w:tag w:val="_GBC_c07e000c46a84750b69e77357de07e59"/>
                <w:id w:val="24726547"/>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流动资产"/>
                <w:tag w:val="_GBC_c07e000c46a84750b69e77357de07e59"/>
                <w:id w:val="24726548"/>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非流动资产</w:t>
                </w:r>
              </w:p>
            </w:tc>
            <w:sdt>
              <w:sdtPr>
                <w:rPr>
                  <w:rFonts w:asciiTheme="minorEastAsia" w:eastAsiaTheme="minorEastAsia" w:hAnsiTheme="minorEastAsia"/>
                  <w:sz w:val="18"/>
                  <w:szCs w:val="18"/>
                </w:rPr>
                <w:alias w:val="重要联营企业的主要财务信息明细-非流动资产"/>
                <w:tag w:val="_GBC_27bb5cf3adbd431791d504a5bb761b12"/>
                <w:id w:val="24726549"/>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非流动资产"/>
                <w:tag w:val="_GBC_27bb5cf3adbd431791d504a5bb761b12"/>
                <w:id w:val="24726550"/>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重要联营企业的主要财务信息明细-非流动资产"/>
                <w:tag w:val="_GBC_c327e922fa634d829a92be320a353b87"/>
                <w:id w:val="24726551"/>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非流动资产"/>
                <w:tag w:val="_GBC_c327e922fa634d829a92be320a353b87"/>
                <w:id w:val="24726552"/>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资产合计</w:t>
                </w:r>
              </w:p>
            </w:tc>
            <w:sdt>
              <w:sdtPr>
                <w:rPr>
                  <w:rFonts w:asciiTheme="minorEastAsia" w:eastAsiaTheme="minorEastAsia" w:hAnsiTheme="minorEastAsia"/>
                  <w:sz w:val="18"/>
                  <w:szCs w:val="18"/>
                </w:rPr>
                <w:alias w:val="重要联营企业的主要财务信息明细-资产合计"/>
                <w:tag w:val="_GBC_a5ccf41a7ee1489caa3f643cd825d14a"/>
                <w:id w:val="24726553"/>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3,066,306,917.00</w:t>
                    </w:r>
                  </w:p>
                </w:tc>
              </w:sdtContent>
            </w:sdt>
            <w:sdt>
              <w:sdtPr>
                <w:rPr>
                  <w:rFonts w:asciiTheme="minorEastAsia" w:eastAsiaTheme="minorEastAsia" w:hAnsiTheme="minorEastAsia"/>
                  <w:sz w:val="18"/>
                  <w:szCs w:val="18"/>
                </w:rPr>
                <w:alias w:val="重要联营企业的主要财务信息明细-资产合计"/>
                <w:tag w:val="_GBC_a5ccf41a7ee1489caa3f643cd825d14a"/>
                <w:id w:val="24726554"/>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2,474,172,680.97</w:t>
                    </w:r>
                  </w:p>
                </w:tc>
              </w:sdtContent>
            </w:sdt>
            <w:sdt>
              <w:sdtPr>
                <w:rPr>
                  <w:rFonts w:asciiTheme="minorEastAsia" w:eastAsiaTheme="minorEastAsia" w:hAnsiTheme="minorEastAsia"/>
                  <w:sz w:val="18"/>
                  <w:szCs w:val="18"/>
                </w:rPr>
                <w:alias w:val="重要联营企业的主要财务信息明细-资产合计"/>
                <w:tag w:val="_GBC_6cdf2d12341e422eb69e82e47bf5fb5d"/>
                <w:id w:val="24726555"/>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2,694,005,478.75</w:t>
                    </w:r>
                  </w:p>
                </w:tc>
              </w:sdtContent>
            </w:sdt>
            <w:sdt>
              <w:sdtPr>
                <w:rPr>
                  <w:rFonts w:asciiTheme="minorEastAsia" w:eastAsiaTheme="minorEastAsia" w:hAnsiTheme="minorEastAsia"/>
                  <w:sz w:val="18"/>
                  <w:szCs w:val="18"/>
                </w:rPr>
                <w:alias w:val="重要联营企业的主要财务信息明细-资产合计"/>
                <w:tag w:val="_GBC_6cdf2d12341e422eb69e82e47bf5fb5d"/>
                <w:id w:val="24726556"/>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2,285,881,440.19</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DE031E" w:rsidP="00DE031E">
                <w:pPr>
                  <w:rPr>
                    <w:rFonts w:asciiTheme="minorEastAsia" w:eastAsiaTheme="minorEastAsia" w:hAnsiTheme="minorEastAsia" w:cs="Arial"/>
                    <w:color w:val="000000"/>
                    <w:sz w:val="18"/>
                    <w:szCs w:val="18"/>
                    <w:lang w:val="en-GB"/>
                  </w:rPr>
                </w:pPr>
              </w:p>
            </w:tc>
            <w:tc>
              <w:tcPr>
                <w:tcW w:w="954"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69"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流动负债</w:t>
                </w:r>
              </w:p>
            </w:tc>
            <w:sdt>
              <w:sdtPr>
                <w:rPr>
                  <w:rFonts w:asciiTheme="minorEastAsia" w:eastAsiaTheme="minorEastAsia" w:hAnsiTheme="minorEastAsia"/>
                  <w:sz w:val="18"/>
                  <w:szCs w:val="18"/>
                </w:rPr>
                <w:alias w:val="重要联营企业的主要财务信息明细-流动负债"/>
                <w:tag w:val="_GBC_ec646aba7f5446fca104f5805130bac8"/>
                <w:id w:val="24726557"/>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流动负债"/>
                <w:tag w:val="_GBC_ec646aba7f5446fca104f5805130bac8"/>
                <w:id w:val="24726558"/>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重要联营企业的主要财务信息明细-流动负债"/>
                <w:tag w:val="_GBC_d65a44385ca34313a8825d0164ace28e"/>
                <w:id w:val="24726559"/>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流动负债"/>
                <w:tag w:val="_GBC_d65a44385ca34313a8825d0164ace28e"/>
                <w:id w:val="24726560"/>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非流动负债</w:t>
                </w:r>
              </w:p>
            </w:tc>
            <w:sdt>
              <w:sdtPr>
                <w:rPr>
                  <w:rFonts w:asciiTheme="minorEastAsia" w:eastAsiaTheme="minorEastAsia" w:hAnsiTheme="minorEastAsia"/>
                  <w:sz w:val="18"/>
                  <w:szCs w:val="18"/>
                </w:rPr>
                <w:alias w:val="重要联营企业的主要财务信息明细-非流动负债"/>
                <w:tag w:val="_GBC_128207636cda4368bbb9895164ccbdf7"/>
                <w:id w:val="24726561"/>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非流动负债"/>
                <w:tag w:val="_GBC_128207636cda4368bbb9895164ccbdf7"/>
                <w:id w:val="24726562"/>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重要联营企业的主要财务信息明细-非流动负债"/>
                <w:tag w:val="_GBC_415c0b1613a84e478e854bc81c00c28e"/>
                <w:id w:val="24726563"/>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非流动负债"/>
                <w:tag w:val="_GBC_415c0b1613a84e478e854bc81c00c28e"/>
                <w:id w:val="24726564"/>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负债合计</w:t>
                </w:r>
              </w:p>
            </w:tc>
            <w:sdt>
              <w:sdtPr>
                <w:rPr>
                  <w:rFonts w:asciiTheme="minorEastAsia" w:eastAsiaTheme="minorEastAsia" w:hAnsiTheme="minorEastAsia"/>
                  <w:sz w:val="18"/>
                  <w:szCs w:val="18"/>
                </w:rPr>
                <w:alias w:val="重要联营企业的主要财务信息明细-负债合计"/>
                <w:tag w:val="_GBC_18e02a915a6b4103a02c52a82665fcb6"/>
                <w:id w:val="24726565"/>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829,337,425.00</w:t>
                    </w:r>
                  </w:p>
                </w:tc>
              </w:sdtContent>
            </w:sdt>
            <w:sdt>
              <w:sdtPr>
                <w:rPr>
                  <w:rFonts w:asciiTheme="minorEastAsia" w:eastAsiaTheme="minorEastAsia" w:hAnsiTheme="minorEastAsia"/>
                  <w:sz w:val="18"/>
                  <w:szCs w:val="18"/>
                </w:rPr>
                <w:alias w:val="重要联营企业的主要财务信息明细-负债合计"/>
                <w:tag w:val="_GBC_18e02a915a6b4103a02c52a82665fcb6"/>
                <w:id w:val="24726566"/>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1,287,042,955.25</w:t>
                    </w:r>
                  </w:p>
                </w:tc>
              </w:sdtContent>
            </w:sdt>
            <w:sdt>
              <w:sdtPr>
                <w:rPr>
                  <w:rFonts w:asciiTheme="minorEastAsia" w:eastAsiaTheme="minorEastAsia" w:hAnsiTheme="minorEastAsia"/>
                  <w:sz w:val="18"/>
                  <w:szCs w:val="18"/>
                </w:rPr>
                <w:alias w:val="重要联营企业的主要财务信息明细-负债合计"/>
                <w:tag w:val="_GBC_f26fde13d25640efa8a3d6c7dd727c97"/>
                <w:id w:val="24726567"/>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639,378,375.74</w:t>
                    </w:r>
                  </w:p>
                </w:tc>
              </w:sdtContent>
            </w:sdt>
            <w:sdt>
              <w:sdtPr>
                <w:rPr>
                  <w:rFonts w:asciiTheme="minorEastAsia" w:eastAsiaTheme="minorEastAsia" w:hAnsiTheme="minorEastAsia"/>
                  <w:sz w:val="18"/>
                  <w:szCs w:val="18"/>
                </w:rPr>
                <w:alias w:val="重要联营企业的主要财务信息明细-负债合计"/>
                <w:tag w:val="_GBC_f26fde13d25640efa8a3d6c7dd727c97"/>
                <w:id w:val="24726568"/>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1,333,567,509.12</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DE031E" w:rsidP="00DE031E">
                <w:pPr>
                  <w:rPr>
                    <w:rFonts w:asciiTheme="minorEastAsia" w:eastAsiaTheme="minorEastAsia" w:hAnsiTheme="minorEastAsia" w:cs="Arial"/>
                    <w:color w:val="000000"/>
                    <w:sz w:val="18"/>
                    <w:szCs w:val="18"/>
                    <w:lang w:val="en-GB"/>
                  </w:rPr>
                </w:pPr>
              </w:p>
            </w:tc>
            <w:tc>
              <w:tcPr>
                <w:tcW w:w="954"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69"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少数股东权益</w:t>
                </w:r>
              </w:p>
            </w:tc>
            <w:sdt>
              <w:sdtPr>
                <w:rPr>
                  <w:rFonts w:asciiTheme="minorEastAsia" w:eastAsiaTheme="minorEastAsia" w:hAnsiTheme="minorEastAsia"/>
                  <w:sz w:val="18"/>
                  <w:szCs w:val="18"/>
                </w:rPr>
                <w:alias w:val="重要联营企业的主要财务信息明细-少数股东权益"/>
                <w:tag w:val="_GBC_865ea67d3df54a128e9f3782dbd04540"/>
                <w:id w:val="24726569"/>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少数股东权益"/>
                <w:tag w:val="_GBC_865ea67d3df54a128e9f3782dbd04540"/>
                <w:id w:val="24726570"/>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重要联营企业的主要财务信息明细-少数股东权益"/>
                <w:tag w:val="_GBC_57f1305825ae4edc99d2a2a222addee4"/>
                <w:id w:val="24726571"/>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少数股东权益"/>
                <w:tag w:val="_GBC_57f1305825ae4edc99d2a2a222addee4"/>
                <w:id w:val="24726572"/>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归属于母公司股东权益</w:t>
                </w:r>
              </w:p>
            </w:tc>
            <w:sdt>
              <w:sdtPr>
                <w:rPr>
                  <w:rFonts w:asciiTheme="minorEastAsia" w:eastAsiaTheme="minorEastAsia" w:hAnsiTheme="minorEastAsia"/>
                  <w:sz w:val="18"/>
                  <w:szCs w:val="18"/>
                </w:rPr>
                <w:alias w:val="重要联营企业的主要财务信息明细-归属于母公司股东权益"/>
                <w:tag w:val="_GBC_e77333b3d54c4b1b86484269436ee07e"/>
                <w:id w:val="24726573"/>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2,236,969,492.00</w:t>
                    </w:r>
                  </w:p>
                </w:tc>
              </w:sdtContent>
            </w:sdt>
            <w:sdt>
              <w:sdtPr>
                <w:rPr>
                  <w:rFonts w:asciiTheme="minorEastAsia" w:eastAsiaTheme="minorEastAsia" w:hAnsiTheme="minorEastAsia"/>
                  <w:sz w:val="18"/>
                  <w:szCs w:val="18"/>
                </w:rPr>
                <w:alias w:val="重要联营企业的主要财务信息明细-归属于母公司股东权益"/>
                <w:tag w:val="_GBC_e77333b3d54c4b1b86484269436ee07e"/>
                <w:id w:val="24726574"/>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1,187,129,725.72</w:t>
                    </w:r>
                  </w:p>
                </w:tc>
              </w:sdtContent>
            </w:sdt>
            <w:sdt>
              <w:sdtPr>
                <w:rPr>
                  <w:rFonts w:asciiTheme="minorEastAsia" w:eastAsiaTheme="minorEastAsia" w:hAnsiTheme="minorEastAsia"/>
                  <w:sz w:val="18"/>
                  <w:szCs w:val="18"/>
                </w:rPr>
                <w:alias w:val="重要联营企业的主要财务信息明细-归属于母公司股东权益"/>
                <w:tag w:val="_GBC_9173862649044ab8b9d1efe57a0ba7bd"/>
                <w:id w:val="24726575"/>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2,054,627,103.01</w:t>
                    </w:r>
                  </w:p>
                </w:tc>
              </w:sdtContent>
            </w:sdt>
            <w:sdt>
              <w:sdtPr>
                <w:rPr>
                  <w:rFonts w:asciiTheme="minorEastAsia" w:eastAsiaTheme="minorEastAsia" w:hAnsiTheme="minorEastAsia"/>
                  <w:sz w:val="18"/>
                  <w:szCs w:val="18"/>
                </w:rPr>
                <w:alias w:val="重要联营企业的主要财务信息明细-归属于母公司股东权益"/>
                <w:tag w:val="_GBC_9173862649044ab8b9d1efe57a0ba7bd"/>
                <w:id w:val="24726576"/>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952,313,931.07</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DE031E" w:rsidP="00DE031E">
                <w:pPr>
                  <w:rPr>
                    <w:rFonts w:asciiTheme="minorEastAsia" w:eastAsiaTheme="minorEastAsia" w:hAnsiTheme="minorEastAsia" w:cs="Arial"/>
                    <w:color w:val="000000"/>
                    <w:sz w:val="18"/>
                    <w:szCs w:val="18"/>
                    <w:lang w:val="en-GB"/>
                  </w:rPr>
                </w:pPr>
              </w:p>
            </w:tc>
            <w:tc>
              <w:tcPr>
                <w:tcW w:w="954"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69"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按持股比例计算的净资产份额</w:t>
                </w:r>
              </w:p>
            </w:tc>
            <w:sdt>
              <w:sdtPr>
                <w:rPr>
                  <w:rFonts w:asciiTheme="minorEastAsia" w:eastAsiaTheme="minorEastAsia" w:hAnsiTheme="minorEastAsia"/>
                  <w:sz w:val="18"/>
                  <w:szCs w:val="18"/>
                </w:rPr>
                <w:alias w:val="重要联营企业的主要财务信息明细-按持股比例计算的净资产份额"/>
                <w:tag w:val="_GBC_6ef0370847d54ea18397112955276c38"/>
                <w:id w:val="24726577"/>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按持股比例计算的净资产份额"/>
                <w:tag w:val="_GBC_6ef0370847d54ea18397112955276c38"/>
                <w:id w:val="24726578"/>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重要联营企业的主要财务信息明细-按持股比例计算的净资产份额"/>
                <w:tag w:val="_GBC_ca4682012ab54f5ca3f91a2b097c1fd5"/>
                <w:id w:val="24726579"/>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按持股比例计算的净资产份额"/>
                <w:tag w:val="_GBC_ca4682012ab54f5ca3f91a2b097c1fd5"/>
                <w:id w:val="24726580"/>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调整事项</w:t>
                </w:r>
              </w:p>
            </w:tc>
            <w:sdt>
              <w:sdtPr>
                <w:rPr>
                  <w:rFonts w:asciiTheme="minorEastAsia" w:eastAsiaTheme="minorEastAsia" w:hAnsiTheme="minorEastAsia"/>
                  <w:sz w:val="18"/>
                  <w:szCs w:val="18"/>
                </w:rPr>
                <w:alias w:val="重要联营企业的主要财务信息明细-调整事项"/>
                <w:tag w:val="_GBC_718c8dd49b534831b5de5da2a0a02f9d"/>
                <w:id w:val="24726581"/>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4,094,672,758.95</w:t>
                    </w:r>
                  </w:p>
                </w:tc>
              </w:sdtContent>
            </w:sdt>
            <w:sdt>
              <w:sdtPr>
                <w:rPr>
                  <w:rFonts w:asciiTheme="minorEastAsia" w:eastAsiaTheme="minorEastAsia" w:hAnsiTheme="minorEastAsia"/>
                  <w:sz w:val="18"/>
                  <w:szCs w:val="18"/>
                </w:rPr>
                <w:alias w:val="重要联营企业的主要财务信息明细-调整事项"/>
                <w:tag w:val="_GBC_718c8dd49b534831b5de5da2a0a02f9d"/>
                <w:id w:val="24726582"/>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199,545,195.92</w:t>
                    </w:r>
                  </w:p>
                </w:tc>
              </w:sdtContent>
            </w:sdt>
            <w:sdt>
              <w:sdtPr>
                <w:rPr>
                  <w:rFonts w:asciiTheme="minorEastAsia" w:eastAsiaTheme="minorEastAsia" w:hAnsiTheme="minorEastAsia"/>
                  <w:sz w:val="18"/>
                  <w:szCs w:val="18"/>
                </w:rPr>
                <w:alias w:val="重要联营企业的主要财务信息明细-调整事项"/>
                <w:tag w:val="_GBC_c034c98660d246f59ed631eaf5f48d1a"/>
                <w:id w:val="24726583"/>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4,094,672,758.95</w:t>
                    </w:r>
                  </w:p>
                </w:tc>
              </w:sdtContent>
            </w:sdt>
            <w:sdt>
              <w:sdtPr>
                <w:rPr>
                  <w:rFonts w:asciiTheme="minorEastAsia" w:eastAsiaTheme="minorEastAsia" w:hAnsiTheme="minorEastAsia"/>
                  <w:sz w:val="18"/>
                  <w:szCs w:val="18"/>
                </w:rPr>
                <w:alias w:val="重要联营企业的主要财务信息明细-调整事项"/>
                <w:tag w:val="_GBC_c034c98660d246f59ed631eaf5f48d1a"/>
                <w:id w:val="24726584"/>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199,545,195.92</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color w:val="000000"/>
                    <w:sz w:val="18"/>
                    <w:szCs w:val="18"/>
                  </w:rPr>
                  <w:t>--</w:t>
                </w:r>
                <w:r w:rsidRPr="00F0736F">
                  <w:rPr>
                    <w:rFonts w:asciiTheme="minorEastAsia" w:eastAsiaTheme="minorEastAsia" w:hAnsiTheme="minorEastAsia" w:cs="Arial" w:hint="eastAsia"/>
                    <w:color w:val="000000"/>
                    <w:sz w:val="18"/>
                    <w:szCs w:val="18"/>
                    <w:lang w:val="en-GB"/>
                  </w:rPr>
                  <w:t>商誉</w:t>
                </w:r>
              </w:p>
            </w:tc>
            <w:sdt>
              <w:sdtPr>
                <w:rPr>
                  <w:rFonts w:asciiTheme="minorEastAsia" w:eastAsiaTheme="minorEastAsia" w:hAnsiTheme="minorEastAsia"/>
                  <w:sz w:val="18"/>
                  <w:szCs w:val="18"/>
                </w:rPr>
                <w:alias w:val="重要联营企业的主要财务信息明细-商誉"/>
                <w:tag w:val="_GBC_06b3cb091b114f938be9c04d7435de3c"/>
                <w:id w:val="24726585"/>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3,425,523,163.17</w:t>
                    </w:r>
                  </w:p>
                </w:tc>
              </w:sdtContent>
            </w:sdt>
            <w:sdt>
              <w:sdtPr>
                <w:rPr>
                  <w:rFonts w:asciiTheme="minorEastAsia" w:eastAsiaTheme="minorEastAsia" w:hAnsiTheme="minorEastAsia"/>
                  <w:sz w:val="18"/>
                  <w:szCs w:val="18"/>
                </w:rPr>
                <w:alias w:val="重要联营企业的主要财务信息明细-商誉"/>
                <w:tag w:val="_GBC_06b3cb091b114f938be9c04d7435de3c"/>
                <w:id w:val="24726586"/>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199,545,195.92</w:t>
                    </w:r>
                  </w:p>
                </w:tc>
              </w:sdtContent>
            </w:sdt>
            <w:sdt>
              <w:sdtPr>
                <w:rPr>
                  <w:rFonts w:asciiTheme="minorEastAsia" w:eastAsiaTheme="minorEastAsia" w:hAnsiTheme="minorEastAsia"/>
                  <w:sz w:val="18"/>
                  <w:szCs w:val="18"/>
                </w:rPr>
                <w:alias w:val="重要联营企业的主要财务信息明细-商誉"/>
                <w:tag w:val="_GBC_4ff5a5b65a1343558a08e99c5416c6fe"/>
                <w:id w:val="24726587"/>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3,425,523,163.17</w:t>
                    </w:r>
                  </w:p>
                </w:tc>
              </w:sdtContent>
            </w:sdt>
            <w:sdt>
              <w:sdtPr>
                <w:rPr>
                  <w:rFonts w:asciiTheme="minorEastAsia" w:eastAsiaTheme="minorEastAsia" w:hAnsiTheme="minorEastAsia"/>
                  <w:sz w:val="18"/>
                  <w:szCs w:val="18"/>
                </w:rPr>
                <w:alias w:val="重要联营企业的主要财务信息明细-商誉"/>
                <w:tag w:val="_GBC_4ff5a5b65a1343558a08e99c5416c6fe"/>
                <w:id w:val="24726588"/>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199,545,195.92</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color w:val="000000"/>
                    <w:sz w:val="18"/>
                    <w:szCs w:val="18"/>
                  </w:rPr>
                  <w:t>--</w:t>
                </w:r>
                <w:r w:rsidRPr="00F0736F">
                  <w:rPr>
                    <w:rFonts w:asciiTheme="minorEastAsia" w:eastAsiaTheme="minorEastAsia" w:hAnsiTheme="minorEastAsia" w:cs="Arial" w:hint="eastAsia"/>
                    <w:color w:val="000000"/>
                    <w:sz w:val="18"/>
                    <w:szCs w:val="18"/>
                    <w:lang w:val="en-GB"/>
                  </w:rPr>
                  <w:t>内部交易未实现利润</w:t>
                </w:r>
              </w:p>
            </w:tc>
            <w:sdt>
              <w:sdtPr>
                <w:rPr>
                  <w:rFonts w:asciiTheme="minorEastAsia" w:eastAsiaTheme="minorEastAsia" w:hAnsiTheme="minorEastAsia"/>
                  <w:sz w:val="18"/>
                  <w:szCs w:val="18"/>
                </w:rPr>
                <w:alias w:val="重要联营企业的主要财务信息明细-内部交易未实现利润"/>
                <w:tag w:val="_GBC_b9d34faa0ce642ac8cfb2a4c8db7eb9d"/>
                <w:id w:val="24726589"/>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要联营企业的主要财务信息明细-内部交易未实现利润"/>
                <w:tag w:val="_GBC_b9d34faa0ce642ac8cfb2a4c8db7eb9d"/>
                <w:id w:val="24726590"/>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要联营企业的主要财务信息明细-内部交易未实现利润"/>
                <w:tag w:val="_GBC_fdd566373bbd4382b065ac01e399b4c2"/>
                <w:id w:val="24726591"/>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要联营企业的主要财务信息明细-内部交易未实现利润"/>
                <w:tag w:val="_GBC_fdd566373bbd4382b065ac01e399b4c2"/>
                <w:id w:val="24726592"/>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color w:val="000000"/>
                    <w:sz w:val="18"/>
                    <w:szCs w:val="18"/>
                  </w:rPr>
                  <w:t>--</w:t>
                </w:r>
                <w:r w:rsidRPr="00F0736F">
                  <w:rPr>
                    <w:rFonts w:asciiTheme="minorEastAsia" w:eastAsiaTheme="minorEastAsia" w:hAnsiTheme="minorEastAsia" w:cs="Arial" w:hint="eastAsia"/>
                    <w:color w:val="000000"/>
                    <w:sz w:val="18"/>
                    <w:szCs w:val="18"/>
                    <w:lang w:val="en-GB"/>
                  </w:rPr>
                  <w:t>其他</w:t>
                </w:r>
              </w:p>
            </w:tc>
            <w:sdt>
              <w:sdtPr>
                <w:rPr>
                  <w:rFonts w:asciiTheme="minorEastAsia" w:eastAsiaTheme="minorEastAsia" w:hAnsiTheme="minorEastAsia"/>
                  <w:sz w:val="18"/>
                  <w:szCs w:val="18"/>
                </w:rPr>
                <w:alias w:val="重要联营企业的主要财务信息明细-其他"/>
                <w:tag w:val="_GBC_fdf505dccafc408a922f98dcd7437302"/>
                <w:id w:val="24726593"/>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669,149,595.78</w:t>
                    </w:r>
                  </w:p>
                </w:tc>
              </w:sdtContent>
            </w:sdt>
            <w:sdt>
              <w:sdtPr>
                <w:rPr>
                  <w:rFonts w:asciiTheme="minorEastAsia" w:eastAsiaTheme="minorEastAsia" w:hAnsiTheme="minorEastAsia"/>
                  <w:sz w:val="18"/>
                  <w:szCs w:val="18"/>
                </w:rPr>
                <w:alias w:val="重要联营企业的主要财务信息明细-其他"/>
                <w:tag w:val="_GBC_fdf505dccafc408a922f98dcd7437302"/>
                <w:id w:val="24726594"/>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要联营企业的主要财务信息明细-其他"/>
                <w:tag w:val="_GBC_5babc50093b24561b95301cd9f49f84e"/>
                <w:id w:val="24726595"/>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669,149,595.78</w:t>
                    </w:r>
                  </w:p>
                </w:tc>
              </w:sdtContent>
            </w:sdt>
            <w:sdt>
              <w:sdtPr>
                <w:rPr>
                  <w:rFonts w:asciiTheme="minorEastAsia" w:eastAsiaTheme="minorEastAsia" w:hAnsiTheme="minorEastAsia"/>
                  <w:sz w:val="18"/>
                  <w:szCs w:val="18"/>
                </w:rPr>
                <w:alias w:val="重要联营企业的主要财务信息明细-其他"/>
                <w:tag w:val="_GBC_5babc50093b24561b95301cd9f49f84e"/>
                <w:id w:val="24726596"/>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对联营企业权益投资的账面价值</w:t>
                </w:r>
              </w:p>
            </w:tc>
            <w:sdt>
              <w:sdtPr>
                <w:rPr>
                  <w:rFonts w:asciiTheme="minorEastAsia" w:eastAsiaTheme="minorEastAsia" w:hAnsiTheme="minorEastAsia"/>
                  <w:sz w:val="18"/>
                  <w:szCs w:val="18"/>
                </w:rPr>
                <w:alias w:val="重要联营企业的主要财务信息明细-对联营企业权益投资的账面价值"/>
                <w:tag w:val="_GBC_1cd70c34f92148bb9c9c02b2ecdc11b0"/>
                <w:id w:val="24726597"/>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4,521,638,213.77</w:t>
                    </w:r>
                  </w:p>
                </w:tc>
              </w:sdtContent>
            </w:sdt>
            <w:sdt>
              <w:sdtPr>
                <w:rPr>
                  <w:rFonts w:asciiTheme="minorEastAsia" w:eastAsiaTheme="minorEastAsia" w:hAnsiTheme="minorEastAsia"/>
                  <w:sz w:val="18"/>
                  <w:szCs w:val="18"/>
                </w:rPr>
                <w:alias w:val="重要联营企业的主要财务信息明细-对联营企业权益投资的账面价值"/>
                <w:tag w:val="_GBC_1cd70c34f92148bb9c9c02b2ecdc11b0"/>
                <w:id w:val="24726598"/>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733,759,613.28</w:t>
                    </w:r>
                  </w:p>
                </w:tc>
              </w:sdtContent>
            </w:sdt>
            <w:sdt>
              <w:sdtPr>
                <w:rPr>
                  <w:rFonts w:asciiTheme="minorEastAsia" w:eastAsiaTheme="minorEastAsia" w:hAnsiTheme="minorEastAsia"/>
                  <w:sz w:val="18"/>
                  <w:szCs w:val="18"/>
                </w:rPr>
                <w:alias w:val="重要联营企业的主要财务信息明细-对联营企业权益投资的账面价值"/>
                <w:tag w:val="_GBC_6ea62f26f82f46a698182934daf227af"/>
                <w:id w:val="24726599"/>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3,763,140,847.87</w:t>
                    </w:r>
                  </w:p>
                </w:tc>
              </w:sdtContent>
            </w:sdt>
            <w:sdt>
              <w:sdtPr>
                <w:rPr>
                  <w:rFonts w:asciiTheme="minorEastAsia" w:eastAsiaTheme="minorEastAsia" w:hAnsiTheme="minorEastAsia"/>
                  <w:sz w:val="18"/>
                  <w:szCs w:val="18"/>
                </w:rPr>
                <w:alias w:val="重要联营企业的主要财务信息明细-对联营企业权益投资的账面价值"/>
                <w:tag w:val="_GBC_6ea62f26f82f46a698182934daf227af"/>
                <w:id w:val="24726600"/>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628,086,464.89</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存在公开报价的联营企业权益投资的公允价值</w:t>
                </w:r>
              </w:p>
            </w:tc>
            <w:sdt>
              <w:sdtPr>
                <w:rPr>
                  <w:rFonts w:asciiTheme="minorEastAsia" w:eastAsiaTheme="minorEastAsia" w:hAnsiTheme="minorEastAsia"/>
                  <w:sz w:val="18"/>
                  <w:szCs w:val="18"/>
                </w:rPr>
                <w:alias w:val="重要联营企业的主要财务信息明细-存在公开报价的联营企业权益投资的公允价值"/>
                <w:tag w:val="_GBC_d038847119cd4221a889dcdcfc8dddc5"/>
                <w:id w:val="24726601"/>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存在公开报价的联营企业权益投资的公允价值"/>
                <w:tag w:val="_GBC_d038847119cd4221a889dcdcfc8dddc5"/>
                <w:id w:val="24726602"/>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重要联营企业的主要财务信息明细-存在公开报价的联营企业权益投资的公允价值"/>
                <w:tag w:val="_GBC_7052472bea6e46d38ca549f79219b4d7"/>
                <w:id w:val="24726603"/>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重要联营企业的主要财务信息明细-存在公开报价的联营企业权益投资的公允价值"/>
                <w:tag w:val="_GBC_7052472bea6e46d38ca549f79219b4d7"/>
                <w:id w:val="24726604"/>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sidRPr="00F0736F">
                      <w:rPr>
                        <w:rFonts w:asciiTheme="minorEastAsia" w:eastAsiaTheme="minorEastAsia" w:hAnsiTheme="minorEastAsia" w:hint="eastAsia"/>
                        <w:sz w:val="18"/>
                        <w:szCs w:val="18"/>
                      </w:rPr>
                      <w:t xml:space="preserve">　</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DE031E" w:rsidP="00DE031E">
                <w:pPr>
                  <w:rPr>
                    <w:rFonts w:asciiTheme="minorEastAsia" w:eastAsiaTheme="minorEastAsia" w:hAnsiTheme="minorEastAsia" w:cs="Arial"/>
                    <w:color w:val="000000"/>
                    <w:sz w:val="18"/>
                    <w:szCs w:val="18"/>
                    <w:lang w:val="en-GB"/>
                  </w:rPr>
                </w:pPr>
              </w:p>
            </w:tc>
            <w:tc>
              <w:tcPr>
                <w:tcW w:w="954"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69"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营业收入</w:t>
                </w:r>
              </w:p>
            </w:tc>
            <w:sdt>
              <w:sdtPr>
                <w:rPr>
                  <w:rFonts w:asciiTheme="minorEastAsia" w:eastAsiaTheme="minorEastAsia" w:hAnsiTheme="minorEastAsia"/>
                  <w:sz w:val="18"/>
                  <w:szCs w:val="18"/>
                </w:rPr>
                <w:alias w:val="重要联营企业的主要财务信息明细-营业收入"/>
                <w:tag w:val="_GBC_c687e31f6fe545d58b2f55e99d5688a2"/>
                <w:id w:val="24726605"/>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965,763,670.00</w:t>
                    </w:r>
                  </w:p>
                </w:tc>
              </w:sdtContent>
            </w:sdt>
            <w:sdt>
              <w:sdtPr>
                <w:rPr>
                  <w:rFonts w:ascii="Arial" w:hAnsi="Arial" w:cs="Arial"/>
                  <w:color w:val="000000"/>
                  <w:spacing w:val="-6"/>
                  <w:sz w:val="18"/>
                  <w:szCs w:val="18"/>
                </w:rPr>
                <w:alias w:val="重要联营企业的主要财务信息明细-营业收入"/>
                <w:tag w:val="_GBC_c687e31f6fe545d58b2f55e99d5688a2"/>
                <w:id w:val="24726606"/>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Arial" w:hAnsi="Arial" w:cs="Arial" w:hint="eastAsia"/>
                        <w:color w:val="000000"/>
                        <w:spacing w:val="-6"/>
                        <w:sz w:val="18"/>
                        <w:szCs w:val="18"/>
                      </w:rPr>
                      <w:t>1,014,572,988.87</w:t>
                    </w:r>
                  </w:p>
                </w:tc>
              </w:sdtContent>
            </w:sdt>
            <w:sdt>
              <w:sdtPr>
                <w:rPr>
                  <w:rFonts w:asciiTheme="minorEastAsia" w:eastAsiaTheme="minorEastAsia" w:hAnsiTheme="minorEastAsia"/>
                  <w:sz w:val="18"/>
                  <w:szCs w:val="18"/>
                </w:rPr>
                <w:alias w:val="重要联营企业的主要财务信息明细-营业收入"/>
                <w:tag w:val="_GBC_afc23a1a7a1847fe8e1f38893032c6d1"/>
                <w:id w:val="24726607"/>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1,433,849,547.98</w:t>
                    </w:r>
                  </w:p>
                </w:tc>
              </w:sdtContent>
            </w:sdt>
            <w:sdt>
              <w:sdtPr>
                <w:rPr>
                  <w:rFonts w:asciiTheme="minorEastAsia" w:eastAsiaTheme="minorEastAsia" w:hAnsiTheme="minorEastAsia"/>
                  <w:sz w:val="18"/>
                  <w:szCs w:val="18"/>
                </w:rPr>
                <w:alias w:val="重要联营企业的主要财务信息明细-营业收入"/>
                <w:tag w:val="_GBC_afc23a1a7a1847fe8e1f38893032c6d1"/>
                <w:id w:val="24726608"/>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1,145,866,187.89</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净利润</w:t>
                </w:r>
              </w:p>
            </w:tc>
            <w:sdt>
              <w:sdtPr>
                <w:rPr>
                  <w:rFonts w:asciiTheme="minorEastAsia" w:eastAsiaTheme="minorEastAsia" w:hAnsiTheme="minorEastAsia"/>
                  <w:sz w:val="18"/>
                  <w:szCs w:val="18"/>
                </w:rPr>
                <w:alias w:val="重要联营企业的主要财务信息明细-净利润"/>
                <w:tag w:val="_GBC_6525ccd9ab344f7b964f134e53418611"/>
                <w:id w:val="24726609"/>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346,734,573.00</w:t>
                    </w:r>
                  </w:p>
                </w:tc>
              </w:sdtContent>
            </w:sdt>
            <w:sdt>
              <w:sdtPr>
                <w:rPr>
                  <w:rFonts w:asciiTheme="minorEastAsia" w:eastAsiaTheme="minorEastAsia" w:hAnsiTheme="minorEastAsia"/>
                  <w:sz w:val="18"/>
                  <w:szCs w:val="18"/>
                </w:rPr>
                <w:alias w:val="重要联营企业的主要财务信息明细-净利润"/>
                <w:tag w:val="_GBC_6525ccd9ab344f7b964f134e53418611"/>
                <w:id w:val="24726610"/>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296,732,710.02</w:t>
                    </w:r>
                  </w:p>
                </w:tc>
              </w:sdtContent>
            </w:sdt>
            <w:sdt>
              <w:sdtPr>
                <w:rPr>
                  <w:rFonts w:asciiTheme="minorEastAsia" w:eastAsiaTheme="minorEastAsia" w:hAnsiTheme="minorEastAsia"/>
                  <w:sz w:val="18"/>
                  <w:szCs w:val="18"/>
                </w:rPr>
                <w:alias w:val="重要联营企业的主要财务信息明细-净利润"/>
                <w:tag w:val="_GBC_6be422efbad442a9b969b484d427cfce"/>
                <w:id w:val="24726611"/>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457,711,098.35</w:t>
                    </w:r>
                  </w:p>
                </w:tc>
              </w:sdtContent>
            </w:sdt>
            <w:sdt>
              <w:sdtPr>
                <w:rPr>
                  <w:rFonts w:asciiTheme="minorEastAsia" w:eastAsiaTheme="minorEastAsia" w:hAnsiTheme="minorEastAsia"/>
                  <w:sz w:val="18"/>
                  <w:szCs w:val="18"/>
                </w:rPr>
                <w:alias w:val="重要联营企业的主要财务信息明细-净利润"/>
                <w:tag w:val="_GBC_6be422efbad442a9b969b484d427cfce"/>
                <w:id w:val="24726612"/>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239,712,698.94</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lang w:val="en-GB"/>
                  </w:rPr>
                </w:pPr>
                <w:r w:rsidRPr="00F0736F">
                  <w:rPr>
                    <w:rFonts w:asciiTheme="minorEastAsia" w:eastAsiaTheme="minorEastAsia" w:hAnsiTheme="minorEastAsia" w:cs="Arial" w:hint="eastAsia"/>
                    <w:color w:val="000000"/>
                    <w:sz w:val="18"/>
                    <w:szCs w:val="18"/>
                    <w:lang w:val="en-GB"/>
                  </w:rPr>
                  <w:t>终止经营的净利润</w:t>
                </w:r>
              </w:p>
            </w:tc>
            <w:sdt>
              <w:sdtPr>
                <w:rPr>
                  <w:rFonts w:asciiTheme="minorEastAsia" w:eastAsiaTheme="minorEastAsia" w:hAnsiTheme="minorEastAsia"/>
                  <w:sz w:val="18"/>
                  <w:szCs w:val="18"/>
                </w:rPr>
                <w:alias w:val="重要联营企业的主要财务信息明细-终止经营的净利润"/>
                <w:tag w:val="_GBC_531a34d64b814e079f7c62c36c03af60"/>
                <w:id w:val="24726613"/>
                <w:lock w:val="sdtLocked"/>
                <w:showingPlcHdr/>
                <w:text/>
              </w:sdtPr>
              <w:sdtContent>
                <w:tc>
                  <w:tcPr>
                    <w:tcW w:w="954"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要联营企业的主要财务信息明细-终止经营的净利润"/>
                <w:tag w:val="_GBC_531a34d64b814e079f7c62c36c03af60"/>
                <w:id w:val="24726614"/>
                <w:lock w:val="sdtLocked"/>
                <w:showingPlcHdr/>
                <w:text/>
              </w:sdtPr>
              <w:sdtContent>
                <w:tc>
                  <w:tcPr>
                    <w:tcW w:w="869" w:type="pct"/>
                    <w:tcBorders>
                      <w:left w:val="single" w:sz="6" w:space="0" w:color="auto"/>
                      <w:right w:val="single" w:sz="6" w:space="0" w:color="auto"/>
                    </w:tcBorders>
                    <w:shd w:val="clear" w:color="auto" w:fill="auto"/>
                    <w:vAlign w:val="center"/>
                  </w:tcPr>
                  <w:p w:rsidR="00DE031E" w:rsidRPr="00F0736F"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要联营企业的主要财务信息明细-终止经营的净利润"/>
                <w:tag w:val="_GBC_553273e5a6ff48be9215f6ef4121743a"/>
                <w:id w:val="24726615"/>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重要联营企业的主要财务信息明细-终止经营的净利润"/>
                <w:tag w:val="_GBC_553273e5a6ff48be9215f6ef4121743a"/>
                <w:id w:val="24726616"/>
                <w:lock w:val="sdtLocked"/>
                <w:showingPlcHdr/>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DE031E" w:rsidP="00DE031E">
                    <w:pPr>
                      <w:jc w:val="right"/>
                      <w:rPr>
                        <w:rFonts w:asciiTheme="minorEastAsia" w:eastAsiaTheme="minorEastAsia" w:hAnsiTheme="minorEastAsia"/>
                        <w:sz w:val="18"/>
                        <w:szCs w:val="18"/>
                      </w:rPr>
                    </w:pP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其他综合收益</w:t>
                </w:r>
              </w:p>
            </w:tc>
            <w:sdt>
              <w:sdtPr>
                <w:rPr>
                  <w:rFonts w:asciiTheme="minorEastAsia" w:eastAsiaTheme="minorEastAsia" w:hAnsiTheme="minorEastAsia"/>
                  <w:sz w:val="18"/>
                  <w:szCs w:val="18"/>
                </w:rPr>
                <w:alias w:val="重要联营企业的主要财务信息明细-其他综合收益"/>
                <w:tag w:val="_GBC_88862716b6fe4ce5a3cea1595b35056e"/>
                <w:id w:val="24726617"/>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5,607,815.00</w:t>
                    </w:r>
                  </w:p>
                </w:tc>
              </w:sdtContent>
            </w:sdt>
            <w:sdt>
              <w:sdtPr>
                <w:rPr>
                  <w:rFonts w:asciiTheme="minorEastAsia" w:eastAsiaTheme="minorEastAsia" w:hAnsiTheme="minorEastAsia"/>
                  <w:sz w:val="18"/>
                  <w:szCs w:val="18"/>
                </w:rPr>
                <w:alias w:val="重要联营企业的主要财务信息明细-其他综合收益"/>
                <w:tag w:val="_GBC_88862716b6fe4ce5a3cea1595b35056e"/>
                <w:id w:val="24726618"/>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2,040,883.41</w:t>
                    </w:r>
                  </w:p>
                </w:tc>
              </w:sdtContent>
            </w:sdt>
            <w:sdt>
              <w:sdtPr>
                <w:rPr>
                  <w:rFonts w:asciiTheme="minorEastAsia" w:eastAsiaTheme="minorEastAsia" w:hAnsiTheme="minorEastAsia"/>
                  <w:sz w:val="18"/>
                  <w:szCs w:val="18"/>
                </w:rPr>
                <w:alias w:val="重要联营企业的主要财务信息明细-其他综合收益"/>
                <w:tag w:val="_GBC_a69c69d138114e70b62e2c0a8f02e41e"/>
                <w:id w:val="24726619"/>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2,412,473.83</w:t>
                    </w:r>
                  </w:p>
                </w:tc>
              </w:sdtContent>
            </w:sdt>
            <w:sdt>
              <w:sdtPr>
                <w:rPr>
                  <w:rFonts w:asciiTheme="minorEastAsia" w:eastAsiaTheme="minorEastAsia" w:hAnsiTheme="minorEastAsia"/>
                  <w:sz w:val="18"/>
                  <w:szCs w:val="18"/>
                </w:rPr>
                <w:alias w:val="重要联营企业的主要财务信息明细-其他综合收益"/>
                <w:tag w:val="_GBC_a69c69d138114e70b62e2c0a8f02e41e"/>
                <w:id w:val="24726620"/>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2,136,731.40</w:t>
                    </w:r>
                  </w:p>
                </w:tc>
              </w:sdtContent>
            </w:sdt>
          </w:tr>
          <w:tr w:rsidR="00DE031E" w:rsidRPr="00F0736F" w:rsidTr="00DE031E">
            <w:trPr>
              <w:jc w:val="center"/>
            </w:trPr>
            <w:tc>
              <w:tcPr>
                <w:tcW w:w="1461" w:type="pct"/>
                <w:tcBorders>
                  <w:top w:val="single" w:sz="6" w:space="0" w:color="auto"/>
                  <w:left w:val="single" w:sz="4" w:space="0" w:color="auto"/>
                  <w:bottom w:val="single" w:sz="6"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综合收益总额</w:t>
                </w:r>
              </w:p>
            </w:tc>
            <w:sdt>
              <w:sdtPr>
                <w:rPr>
                  <w:rFonts w:asciiTheme="minorEastAsia" w:eastAsiaTheme="minorEastAsia" w:hAnsiTheme="minorEastAsia"/>
                  <w:sz w:val="18"/>
                  <w:szCs w:val="18"/>
                </w:rPr>
                <w:alias w:val="重要联营企业的主要财务信息明细-综合收益总额"/>
                <w:tag w:val="_GBC_143410a7a9624c57a2fbbc67ca248927"/>
                <w:id w:val="24726621"/>
                <w:lock w:val="sdtLocked"/>
                <w:text/>
              </w:sdtPr>
              <w:sdtContent>
                <w:tc>
                  <w:tcPr>
                    <w:tcW w:w="954"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352,342,388.00</w:t>
                    </w:r>
                  </w:p>
                </w:tc>
              </w:sdtContent>
            </w:sdt>
            <w:sdt>
              <w:sdtPr>
                <w:rPr>
                  <w:rFonts w:asciiTheme="minorEastAsia" w:eastAsiaTheme="minorEastAsia" w:hAnsiTheme="minorEastAsia"/>
                  <w:sz w:val="18"/>
                  <w:szCs w:val="18"/>
                </w:rPr>
                <w:alias w:val="重要联营企业的主要财务信息明细-综合收益总额"/>
                <w:tag w:val="_GBC_143410a7a9624c57a2fbbc67ca248927"/>
                <w:id w:val="24726622"/>
                <w:lock w:val="sdtLocked"/>
                <w:text/>
              </w:sdtPr>
              <w:sdtContent>
                <w:tc>
                  <w:tcPr>
                    <w:tcW w:w="869" w:type="pct"/>
                    <w:tcBorders>
                      <w:left w:val="single" w:sz="6"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298,773,593.43</w:t>
                    </w:r>
                  </w:p>
                </w:tc>
              </w:sdtContent>
            </w:sdt>
            <w:sdt>
              <w:sdtPr>
                <w:rPr>
                  <w:rFonts w:asciiTheme="minorEastAsia" w:eastAsiaTheme="minorEastAsia" w:hAnsiTheme="minorEastAsia"/>
                  <w:sz w:val="18"/>
                  <w:szCs w:val="18"/>
                </w:rPr>
                <w:alias w:val="重要联营企业的主要财务信息明细-综合收益总额"/>
                <w:tag w:val="_GBC_3b024189cab640638a2e33d3d96bf273"/>
                <w:id w:val="24726623"/>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460,123,572.18</w:t>
                    </w:r>
                  </w:p>
                </w:tc>
              </w:sdtContent>
            </w:sdt>
            <w:sdt>
              <w:sdtPr>
                <w:rPr>
                  <w:rFonts w:asciiTheme="minorEastAsia" w:eastAsiaTheme="minorEastAsia" w:hAnsiTheme="minorEastAsia"/>
                  <w:sz w:val="18"/>
                  <w:szCs w:val="18"/>
                </w:rPr>
                <w:alias w:val="重要联营企业的主要财务信息明细-综合收益总额"/>
                <w:tag w:val="_GBC_3b024189cab640638a2e33d3d96bf273"/>
                <w:id w:val="24726624"/>
                <w:lock w:val="sdtLocked"/>
                <w:text/>
              </w:sdtPr>
              <w:sdtContent>
                <w:tc>
                  <w:tcPr>
                    <w:tcW w:w="858" w:type="pct"/>
                    <w:tcBorders>
                      <w:top w:val="single" w:sz="6" w:space="0" w:color="auto"/>
                      <w:left w:val="single" w:sz="6" w:space="0" w:color="auto"/>
                      <w:bottom w:val="single" w:sz="6"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241,849,430.34</w:t>
                    </w:r>
                  </w:p>
                </w:tc>
              </w:sdtContent>
            </w:sdt>
          </w:tr>
          <w:tr w:rsidR="00DE031E" w:rsidRPr="00F0736F" w:rsidTr="00DE031E">
            <w:trPr>
              <w:jc w:val="center"/>
            </w:trPr>
            <w:tc>
              <w:tcPr>
                <w:tcW w:w="1461" w:type="pct"/>
                <w:tcBorders>
                  <w:top w:val="single" w:sz="6" w:space="0" w:color="auto"/>
                  <w:left w:val="single" w:sz="4" w:space="0" w:color="auto"/>
                  <w:bottom w:val="single" w:sz="4" w:space="0" w:color="auto"/>
                  <w:right w:val="single" w:sz="6" w:space="0" w:color="auto"/>
                </w:tcBorders>
                <w:shd w:val="clear" w:color="auto" w:fill="auto"/>
                <w:vAlign w:val="bottom"/>
              </w:tcPr>
              <w:p w:rsidR="00DE031E" w:rsidRPr="00F0736F" w:rsidRDefault="001C1A59" w:rsidP="00DE031E">
                <w:pPr>
                  <w:rPr>
                    <w:rFonts w:asciiTheme="minorEastAsia" w:eastAsiaTheme="minorEastAsia" w:hAnsiTheme="minorEastAsia" w:cs="Arial"/>
                    <w:color w:val="000000"/>
                    <w:sz w:val="18"/>
                    <w:szCs w:val="18"/>
                  </w:rPr>
                </w:pPr>
                <w:r w:rsidRPr="00F0736F">
                  <w:rPr>
                    <w:rFonts w:asciiTheme="minorEastAsia" w:eastAsiaTheme="minorEastAsia" w:hAnsiTheme="minorEastAsia" w:cs="Arial" w:hint="eastAsia"/>
                    <w:color w:val="000000"/>
                    <w:sz w:val="18"/>
                    <w:szCs w:val="18"/>
                    <w:lang w:val="en-GB"/>
                  </w:rPr>
                  <w:t>本年度收到的来自联营企业的股利</w:t>
                </w:r>
              </w:p>
            </w:tc>
            <w:sdt>
              <w:sdtPr>
                <w:rPr>
                  <w:rFonts w:asciiTheme="minorEastAsia" w:eastAsiaTheme="minorEastAsia" w:hAnsiTheme="minorEastAsia"/>
                  <w:sz w:val="18"/>
                  <w:szCs w:val="18"/>
                </w:rPr>
                <w:alias w:val="重要联营企业的主要财务信息明细-本年度收到的来自联营企业的股利"/>
                <w:tag w:val="_GBC_084dd03036f94937a2fd0f891c24fc78"/>
                <w:id w:val="24726625"/>
                <w:lock w:val="sdtLocked"/>
                <w:text/>
              </w:sdtPr>
              <w:sdtContent>
                <w:tc>
                  <w:tcPr>
                    <w:tcW w:w="954" w:type="pct"/>
                    <w:tcBorders>
                      <w:left w:val="single" w:sz="6" w:space="0" w:color="auto"/>
                      <w:bottom w:val="single" w:sz="4"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83,000,000.00</w:t>
                    </w:r>
                  </w:p>
                </w:tc>
              </w:sdtContent>
            </w:sdt>
            <w:sdt>
              <w:sdtPr>
                <w:rPr>
                  <w:rFonts w:asciiTheme="minorEastAsia" w:eastAsiaTheme="minorEastAsia" w:hAnsiTheme="minorEastAsia"/>
                  <w:sz w:val="18"/>
                  <w:szCs w:val="18"/>
                </w:rPr>
                <w:alias w:val="重要联营企业的主要财务信息明细-本年度收到的来自联营企业的股利"/>
                <w:tag w:val="_GBC_084dd03036f94937a2fd0f891c24fc78"/>
                <w:id w:val="24726626"/>
                <w:lock w:val="sdtLocked"/>
                <w:text/>
              </w:sdtPr>
              <w:sdtContent>
                <w:tc>
                  <w:tcPr>
                    <w:tcW w:w="869" w:type="pct"/>
                    <w:tcBorders>
                      <w:left w:val="single" w:sz="6" w:space="0" w:color="auto"/>
                      <w:bottom w:val="single" w:sz="4" w:space="0" w:color="auto"/>
                      <w:right w:val="single" w:sz="6" w:space="0" w:color="auto"/>
                    </w:tcBorders>
                    <w:shd w:val="clear" w:color="auto" w:fill="auto"/>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28,774,968.65</w:t>
                    </w:r>
                  </w:p>
                </w:tc>
              </w:sdtContent>
            </w:sdt>
            <w:sdt>
              <w:sdtPr>
                <w:rPr>
                  <w:rFonts w:asciiTheme="minorEastAsia" w:eastAsiaTheme="minorEastAsia" w:hAnsiTheme="minorEastAsia"/>
                  <w:sz w:val="18"/>
                  <w:szCs w:val="18"/>
                </w:rPr>
                <w:alias w:val="重要联营企业的主要财务信息明细-本年度收到的来自联营企业的股利"/>
                <w:tag w:val="_GBC_9e9e529a58bd4a46ba2c3074b32fcefd"/>
                <w:id w:val="24726627"/>
                <w:lock w:val="sdtLocked"/>
                <w:text/>
              </w:sdtPr>
              <w:sdtContent>
                <w:tc>
                  <w:tcPr>
                    <w:tcW w:w="858" w:type="pct"/>
                    <w:tcBorders>
                      <w:top w:val="single" w:sz="6" w:space="0" w:color="auto"/>
                      <w:left w:val="single" w:sz="6" w:space="0" w:color="auto"/>
                      <w:bottom w:val="single" w:sz="4"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45,080,000.00</w:t>
                    </w:r>
                  </w:p>
                </w:tc>
              </w:sdtContent>
            </w:sdt>
            <w:sdt>
              <w:sdtPr>
                <w:rPr>
                  <w:rFonts w:asciiTheme="minorEastAsia" w:eastAsiaTheme="minorEastAsia" w:hAnsiTheme="minorEastAsia"/>
                  <w:sz w:val="18"/>
                  <w:szCs w:val="18"/>
                </w:rPr>
                <w:alias w:val="重要联营企业的主要财务信息明细-本年度收到的来自联营企业的股利"/>
                <w:tag w:val="_GBC_9e9e529a58bd4a46ba2c3074b32fcefd"/>
                <w:id w:val="24726628"/>
                <w:lock w:val="sdtLocked"/>
                <w:text/>
              </w:sdtPr>
              <w:sdtContent>
                <w:tc>
                  <w:tcPr>
                    <w:tcW w:w="858" w:type="pct"/>
                    <w:tcBorders>
                      <w:top w:val="single" w:sz="6" w:space="0" w:color="auto"/>
                      <w:left w:val="single" w:sz="6" w:space="0" w:color="auto"/>
                      <w:bottom w:val="single" w:sz="4" w:space="0" w:color="auto"/>
                      <w:right w:val="single" w:sz="6" w:space="0" w:color="auto"/>
                    </w:tcBorders>
                    <w:vAlign w:val="center"/>
                  </w:tcPr>
                  <w:p w:rsidR="00DE031E" w:rsidRPr="00F0736F" w:rsidRDefault="001C1A59" w:rsidP="00DE031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20,250,000.00</w:t>
                    </w:r>
                  </w:p>
                </w:tc>
              </w:sdtContent>
            </w:sdt>
          </w:tr>
        </w:tbl>
      </w:sdtContent>
    </w:sdt>
    <w:sdt>
      <w:sdtPr>
        <w:rPr>
          <w:rFonts w:ascii="宋体" w:hAnsi="宋体" w:cs="Arial" w:hint="eastAsia"/>
          <w:b w:val="0"/>
          <w:bCs w:val="0"/>
          <w:kern w:val="0"/>
          <w:szCs w:val="21"/>
        </w:rPr>
        <w:tag w:val="_GBC_7592afe8201c4b36a34fa177ca124037"/>
        <w:id w:val="24726640"/>
        <w:lock w:val="sdtLocked"/>
        <w:placeholder>
          <w:docPart w:val="GBC22222222222222222222222222222"/>
        </w:placeholder>
      </w:sdtPr>
      <w:sdtEndPr>
        <w:rPr>
          <w:rFonts w:cs="宋体"/>
          <w:szCs w:val="24"/>
        </w:rPr>
      </w:sdtEndPr>
      <w:sdtContent>
        <w:p w:rsidR="00DE031E" w:rsidRDefault="001C1A59" w:rsidP="009950AC">
          <w:pPr>
            <w:pStyle w:val="4"/>
            <w:numPr>
              <w:ilvl w:val="3"/>
              <w:numId w:val="68"/>
            </w:numPr>
            <w:tabs>
              <w:tab w:val="left" w:pos="630"/>
            </w:tabs>
            <w:rPr>
              <w:rFonts w:ascii="宋体" w:hAnsi="宋体" w:cs="Arial"/>
              <w:szCs w:val="21"/>
            </w:rPr>
          </w:pPr>
          <w:r>
            <w:rPr>
              <w:rFonts w:ascii="宋体" w:hAnsi="宋体" w:cs="Arial" w:hint="eastAsia"/>
              <w:szCs w:val="21"/>
            </w:rPr>
            <w:t>不重要的合营企业和联营企业的汇总财务信息</w:t>
          </w:r>
        </w:p>
        <w:p w:rsidR="00DE031E" w:rsidRDefault="001C1A59">
          <w:pPr>
            <w:jc w:val="right"/>
          </w:pPr>
          <w:r>
            <w:rPr>
              <w:rFonts w:hint="eastAsia"/>
            </w:rPr>
            <w:t>单位：</w:t>
          </w:r>
          <w:sdt>
            <w:sdtPr>
              <w:rPr>
                <w:rFonts w:hint="eastAsia"/>
              </w:rPr>
              <w:alias w:val="单位：财务附注：不重要的合营企业和联营企业的汇总财务信息"/>
              <w:tag w:val="_GBC_d02efd9c85904b029b5a51b02d9519e8"/>
              <w:id w:val="24726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4726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510"/>
            <w:gridCol w:w="2835"/>
            <w:gridCol w:w="2704"/>
          </w:tblGrid>
          <w:tr w:rsidR="00DE031E" w:rsidTr="00DE031E">
            <w:trPr>
              <w:trHeight w:val="241"/>
              <w:jc w:val="center"/>
            </w:trPr>
            <w:tc>
              <w:tcPr>
                <w:tcW w:w="1939" w:type="pct"/>
                <w:tcBorders>
                  <w:top w:val="single" w:sz="4" w:space="0" w:color="auto"/>
                  <w:left w:val="single" w:sz="4" w:space="0" w:color="auto"/>
                  <w:bottom w:val="single" w:sz="6" w:space="0" w:color="auto"/>
                  <w:right w:val="single" w:sz="6" w:space="0" w:color="auto"/>
                </w:tcBorders>
                <w:shd w:val="clear" w:color="auto" w:fill="auto"/>
              </w:tcPr>
              <w:p w:rsidR="00DE031E" w:rsidRDefault="00DE031E" w:rsidP="00DE031E">
                <w:pPr>
                  <w:jc w:val="center"/>
                  <w:rPr>
                    <w:rFonts w:cs="Arial"/>
                    <w:szCs w:val="21"/>
                  </w:rPr>
                </w:pPr>
              </w:p>
            </w:tc>
            <w:tc>
              <w:tcPr>
                <w:tcW w:w="1566" w:type="pct"/>
                <w:tcBorders>
                  <w:top w:val="single" w:sz="4" w:space="0" w:color="auto"/>
                  <w:left w:val="single" w:sz="6" w:space="0" w:color="auto"/>
                  <w:bottom w:val="single" w:sz="6" w:space="0" w:color="auto"/>
                  <w:right w:val="single" w:sz="6" w:space="0" w:color="auto"/>
                </w:tcBorders>
                <w:shd w:val="clear" w:color="auto" w:fill="auto"/>
              </w:tcPr>
              <w:p w:rsidR="00DE031E" w:rsidRDefault="001C1A59" w:rsidP="00DE031E">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494" w:type="pct"/>
                <w:tcBorders>
                  <w:top w:val="single" w:sz="4" w:space="0" w:color="auto"/>
                  <w:left w:val="single" w:sz="6" w:space="0" w:color="auto"/>
                  <w:bottom w:val="single" w:sz="6" w:space="0" w:color="auto"/>
                  <w:right w:val="single" w:sz="4" w:space="0" w:color="auto"/>
                </w:tcBorders>
                <w:shd w:val="clear" w:color="auto" w:fill="auto"/>
              </w:tcPr>
              <w:p w:rsidR="00DE031E" w:rsidRDefault="001C1A59" w:rsidP="00DE031E">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DE031E" w:rsidTr="00DE031E">
            <w:trPr>
              <w:jc w:val="center"/>
            </w:trPr>
            <w:tc>
              <w:tcPr>
                <w:tcW w:w="1939" w:type="pct"/>
                <w:tcBorders>
                  <w:top w:val="single" w:sz="6" w:space="0" w:color="auto"/>
                  <w:left w:val="single" w:sz="4" w:space="0" w:color="auto"/>
                  <w:bottom w:val="single" w:sz="6" w:space="0" w:color="auto"/>
                  <w:right w:val="single" w:sz="6" w:space="0" w:color="auto"/>
                </w:tcBorders>
                <w:shd w:val="clear" w:color="auto" w:fill="auto"/>
              </w:tcPr>
              <w:p w:rsidR="00DE031E" w:rsidRDefault="001C1A59" w:rsidP="00DE031E">
                <w:pPr>
                  <w:rPr>
                    <w:rFonts w:cs="Arial"/>
                    <w:szCs w:val="21"/>
                  </w:rPr>
                </w:pPr>
                <w:r>
                  <w:rPr>
                    <w:rFonts w:cs="Arial" w:hint="eastAsia"/>
                    <w:szCs w:val="21"/>
                    <w:lang w:val="en-GB"/>
                  </w:rPr>
                  <w:t>合营企业：</w:t>
                </w:r>
              </w:p>
            </w:tc>
            <w:tc>
              <w:tcPr>
                <w:tcW w:w="1566" w:type="pct"/>
                <w:tcBorders>
                  <w:top w:val="single" w:sz="6" w:space="0" w:color="auto"/>
                  <w:left w:val="single" w:sz="6" w:space="0" w:color="auto"/>
                  <w:bottom w:val="single" w:sz="6" w:space="0" w:color="auto"/>
                  <w:right w:val="single" w:sz="6" w:space="0" w:color="auto"/>
                </w:tcBorders>
              </w:tcPr>
              <w:p w:rsidR="00DE031E" w:rsidRDefault="00DE031E" w:rsidP="00DE031E">
                <w:pPr>
                  <w:jc w:val="right"/>
                  <w:rPr>
                    <w:szCs w:val="21"/>
                  </w:rPr>
                </w:pPr>
              </w:p>
            </w:tc>
            <w:tc>
              <w:tcPr>
                <w:tcW w:w="1494" w:type="pct"/>
                <w:tcBorders>
                  <w:top w:val="single" w:sz="6" w:space="0" w:color="auto"/>
                  <w:left w:val="single" w:sz="6" w:space="0" w:color="auto"/>
                  <w:bottom w:val="single" w:sz="6" w:space="0" w:color="auto"/>
                  <w:right w:val="single" w:sz="4" w:space="0" w:color="auto"/>
                </w:tcBorders>
              </w:tcPr>
              <w:p w:rsidR="00DE031E" w:rsidRDefault="00DE031E" w:rsidP="00DE031E">
                <w:pPr>
                  <w:jc w:val="right"/>
                  <w:rPr>
                    <w:szCs w:val="21"/>
                  </w:rPr>
                </w:pPr>
              </w:p>
            </w:tc>
          </w:tr>
          <w:tr w:rsidR="00DE031E" w:rsidTr="00DE031E">
            <w:trPr>
              <w:jc w:val="center"/>
            </w:trPr>
            <w:tc>
              <w:tcPr>
                <w:tcW w:w="1939" w:type="pct"/>
                <w:tcBorders>
                  <w:top w:val="single" w:sz="6" w:space="0" w:color="auto"/>
                  <w:left w:val="single" w:sz="4" w:space="0" w:color="auto"/>
                  <w:bottom w:val="single" w:sz="6" w:space="0" w:color="auto"/>
                  <w:right w:val="single" w:sz="6" w:space="0" w:color="auto"/>
                </w:tcBorders>
                <w:shd w:val="clear" w:color="auto" w:fill="auto"/>
              </w:tcPr>
              <w:p w:rsidR="00DE031E" w:rsidRDefault="001C1A59" w:rsidP="00DE031E">
                <w:pPr>
                  <w:rPr>
                    <w:rFonts w:cs="Arial"/>
                    <w:szCs w:val="21"/>
                  </w:rPr>
                </w:pPr>
                <w:r>
                  <w:rPr>
                    <w:rFonts w:cs="Arial" w:hint="eastAsia"/>
                    <w:szCs w:val="21"/>
                    <w:lang w:val="en-GB"/>
                  </w:rPr>
                  <w:t>联营企业：</w:t>
                </w:r>
              </w:p>
            </w:tc>
            <w:tc>
              <w:tcPr>
                <w:tcW w:w="1566" w:type="pct"/>
                <w:tcBorders>
                  <w:top w:val="single" w:sz="6" w:space="0" w:color="auto"/>
                  <w:left w:val="single" w:sz="6" w:space="0" w:color="auto"/>
                  <w:bottom w:val="single" w:sz="6" w:space="0" w:color="auto"/>
                  <w:right w:val="single" w:sz="6" w:space="0" w:color="auto"/>
                </w:tcBorders>
              </w:tcPr>
              <w:p w:rsidR="00DE031E" w:rsidRDefault="00DE031E" w:rsidP="00DE031E">
                <w:pPr>
                  <w:jc w:val="right"/>
                  <w:rPr>
                    <w:szCs w:val="21"/>
                  </w:rPr>
                </w:pPr>
              </w:p>
            </w:tc>
            <w:tc>
              <w:tcPr>
                <w:tcW w:w="1494" w:type="pct"/>
                <w:tcBorders>
                  <w:top w:val="single" w:sz="6" w:space="0" w:color="auto"/>
                  <w:left w:val="single" w:sz="6" w:space="0" w:color="auto"/>
                  <w:bottom w:val="single" w:sz="6" w:space="0" w:color="auto"/>
                  <w:right w:val="single" w:sz="4" w:space="0" w:color="auto"/>
                </w:tcBorders>
              </w:tcPr>
              <w:p w:rsidR="00DE031E" w:rsidRDefault="00DE031E" w:rsidP="00DE031E">
                <w:pPr>
                  <w:jc w:val="right"/>
                  <w:rPr>
                    <w:szCs w:val="21"/>
                  </w:rPr>
                </w:pPr>
              </w:p>
            </w:tc>
          </w:tr>
          <w:tr w:rsidR="00DE031E" w:rsidTr="00DE031E">
            <w:trPr>
              <w:jc w:val="center"/>
            </w:trPr>
            <w:tc>
              <w:tcPr>
                <w:tcW w:w="1939" w:type="pct"/>
                <w:tcBorders>
                  <w:top w:val="single" w:sz="6" w:space="0" w:color="auto"/>
                  <w:left w:val="single" w:sz="4" w:space="0" w:color="auto"/>
                  <w:bottom w:val="single" w:sz="6" w:space="0" w:color="auto"/>
                  <w:right w:val="single" w:sz="6" w:space="0" w:color="auto"/>
                </w:tcBorders>
                <w:shd w:val="clear" w:color="auto" w:fill="auto"/>
                <w:vAlign w:val="center"/>
              </w:tcPr>
              <w:p w:rsidR="00DE031E" w:rsidRDefault="001C1A59" w:rsidP="00DE031E">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24726632"/>
                <w:lock w:val="sdtLocked"/>
              </w:sdtPr>
              <w:sdtContent>
                <w:tc>
                  <w:tcPr>
                    <w:tcW w:w="156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66,902,732.48</w:t>
                    </w:r>
                  </w:p>
                </w:tc>
              </w:sdtContent>
            </w:sdt>
            <w:sdt>
              <w:sdtPr>
                <w:rPr>
                  <w:szCs w:val="21"/>
                </w:rPr>
                <w:alias w:val="联营企业投资账面价值合计"/>
                <w:tag w:val="_GBC_549dc2ee79a545c49324af99064f2f96"/>
                <w:id w:val="24726633"/>
                <w:lock w:val="sdtLocked"/>
              </w:sdtPr>
              <w:sdtContent>
                <w:tc>
                  <w:tcPr>
                    <w:tcW w:w="1494" w:type="pct"/>
                    <w:tcBorders>
                      <w:top w:val="single" w:sz="6" w:space="0" w:color="auto"/>
                      <w:left w:val="single" w:sz="6" w:space="0" w:color="auto"/>
                      <w:bottom w:val="single" w:sz="6" w:space="0" w:color="auto"/>
                      <w:right w:val="single" w:sz="4" w:space="0" w:color="auto"/>
                    </w:tcBorders>
                  </w:tcPr>
                  <w:p w:rsidR="00DE031E" w:rsidRDefault="001C1A59" w:rsidP="00DE031E">
                    <w:pPr>
                      <w:jc w:val="right"/>
                      <w:rPr>
                        <w:szCs w:val="21"/>
                      </w:rPr>
                    </w:pPr>
                    <w:r>
                      <w:rPr>
                        <w:szCs w:val="21"/>
                      </w:rPr>
                      <w:t>62,047,310.31</w:t>
                    </w:r>
                  </w:p>
                </w:tc>
              </w:sdtContent>
            </w:sdt>
          </w:tr>
          <w:tr w:rsidR="00DE031E" w:rsidTr="00DE031E">
            <w:trPr>
              <w:jc w:val="center"/>
            </w:trPr>
            <w:tc>
              <w:tcPr>
                <w:tcW w:w="1939" w:type="pct"/>
                <w:tcBorders>
                  <w:top w:val="single" w:sz="6" w:space="0" w:color="auto"/>
                  <w:left w:val="single" w:sz="4" w:space="0" w:color="auto"/>
                  <w:bottom w:val="single" w:sz="6" w:space="0" w:color="auto"/>
                  <w:right w:val="single" w:sz="6" w:space="0" w:color="auto"/>
                </w:tcBorders>
                <w:shd w:val="clear" w:color="auto" w:fill="auto"/>
                <w:vAlign w:val="center"/>
              </w:tcPr>
              <w:p w:rsidR="00DE031E" w:rsidRDefault="001C1A59" w:rsidP="00DE031E">
                <w:pPr>
                  <w:rPr>
                    <w:rFonts w:cs="Arial"/>
                    <w:color w:val="000000"/>
                    <w:szCs w:val="21"/>
                  </w:rPr>
                </w:pPr>
                <w:r>
                  <w:rPr>
                    <w:rFonts w:cs="Arial" w:hint="eastAsia"/>
                    <w:color w:val="000000"/>
                    <w:szCs w:val="21"/>
                    <w:lang w:val="en-GB"/>
                  </w:rPr>
                  <w:t>下列各项按持股比例计算的合计数</w:t>
                </w:r>
              </w:p>
            </w:tc>
            <w:tc>
              <w:tcPr>
                <w:tcW w:w="156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sidRPr="003220EB">
                  <w:rPr>
                    <w:rFonts w:hint="eastAsia"/>
                    <w:szCs w:val="21"/>
                  </w:rPr>
                  <w:t> </w:t>
                </w:r>
              </w:p>
            </w:tc>
            <w:tc>
              <w:tcPr>
                <w:tcW w:w="1494" w:type="pct"/>
                <w:tcBorders>
                  <w:top w:val="single" w:sz="6" w:space="0" w:color="auto"/>
                  <w:left w:val="single" w:sz="6" w:space="0" w:color="auto"/>
                  <w:bottom w:val="single" w:sz="6" w:space="0" w:color="auto"/>
                  <w:right w:val="single" w:sz="4" w:space="0" w:color="auto"/>
                </w:tcBorders>
              </w:tcPr>
              <w:p w:rsidR="00DE031E" w:rsidRDefault="00DE031E" w:rsidP="00DE031E">
                <w:pPr>
                  <w:jc w:val="right"/>
                  <w:rPr>
                    <w:szCs w:val="21"/>
                  </w:rPr>
                </w:pPr>
              </w:p>
            </w:tc>
          </w:tr>
          <w:tr w:rsidR="00DE031E" w:rsidTr="00DE031E">
            <w:trPr>
              <w:jc w:val="center"/>
            </w:trPr>
            <w:tc>
              <w:tcPr>
                <w:tcW w:w="1939" w:type="pct"/>
                <w:tcBorders>
                  <w:top w:val="single" w:sz="6" w:space="0" w:color="auto"/>
                  <w:left w:val="single" w:sz="4" w:space="0" w:color="auto"/>
                  <w:bottom w:val="single" w:sz="6" w:space="0" w:color="auto"/>
                  <w:right w:val="single" w:sz="6" w:space="0" w:color="auto"/>
                </w:tcBorders>
                <w:shd w:val="clear" w:color="auto" w:fill="auto"/>
                <w:vAlign w:val="center"/>
              </w:tcPr>
              <w:p w:rsidR="00DE031E" w:rsidRDefault="001C1A59" w:rsidP="00DE031E">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24726634"/>
                <w:lock w:val="sdtLocked"/>
              </w:sdtPr>
              <w:sdtContent>
                <w:tc>
                  <w:tcPr>
                    <w:tcW w:w="1566" w:type="pct"/>
                    <w:tcBorders>
                      <w:top w:val="single" w:sz="6" w:space="0" w:color="auto"/>
                      <w:left w:val="single" w:sz="6" w:space="0" w:color="auto"/>
                      <w:bottom w:val="single" w:sz="6" w:space="0" w:color="auto"/>
                      <w:right w:val="single" w:sz="6" w:space="0" w:color="auto"/>
                    </w:tcBorders>
                  </w:tcPr>
                  <w:p w:rsidR="00DE031E" w:rsidRDefault="001C1A59" w:rsidP="00DE031E">
                    <w:pPr>
                      <w:jc w:val="right"/>
                      <w:rPr>
                        <w:szCs w:val="21"/>
                      </w:rPr>
                    </w:pPr>
                    <w:r>
                      <w:rPr>
                        <w:szCs w:val="21"/>
                      </w:rPr>
                      <w:t>5,695,191.06</w:t>
                    </w:r>
                  </w:p>
                </w:tc>
              </w:sdtContent>
            </w:sdt>
            <w:sdt>
              <w:sdtPr>
                <w:rPr>
                  <w:szCs w:val="21"/>
                </w:rPr>
                <w:alias w:val="不重要的联营企业和联营企业中联营企业净利润"/>
                <w:tag w:val="_GBC_f8211f40332444a7ab40dd7791ce8c59"/>
                <w:id w:val="24726635"/>
                <w:lock w:val="sdtLocked"/>
              </w:sdtPr>
              <w:sdtContent>
                <w:tc>
                  <w:tcPr>
                    <w:tcW w:w="1494" w:type="pct"/>
                    <w:tcBorders>
                      <w:top w:val="single" w:sz="6" w:space="0" w:color="auto"/>
                      <w:left w:val="single" w:sz="6" w:space="0" w:color="auto"/>
                      <w:bottom w:val="single" w:sz="6" w:space="0" w:color="auto"/>
                      <w:right w:val="single" w:sz="4" w:space="0" w:color="auto"/>
                    </w:tcBorders>
                  </w:tcPr>
                  <w:p w:rsidR="00DE031E" w:rsidRDefault="001C1A59" w:rsidP="00DE031E">
                    <w:pPr>
                      <w:jc w:val="right"/>
                      <w:rPr>
                        <w:szCs w:val="21"/>
                      </w:rPr>
                    </w:pPr>
                    <w:r>
                      <w:rPr>
                        <w:szCs w:val="21"/>
                      </w:rPr>
                      <w:t>6,845,422.35</w:t>
                    </w:r>
                  </w:p>
                </w:tc>
              </w:sdtContent>
            </w:sdt>
          </w:tr>
          <w:tr w:rsidR="00DE031E" w:rsidTr="00DE031E">
            <w:trPr>
              <w:jc w:val="center"/>
            </w:trPr>
            <w:tc>
              <w:tcPr>
                <w:tcW w:w="1939" w:type="pct"/>
                <w:tcBorders>
                  <w:top w:val="single" w:sz="6" w:space="0" w:color="auto"/>
                  <w:left w:val="single" w:sz="4" w:space="0" w:color="auto"/>
                  <w:bottom w:val="single" w:sz="6" w:space="0" w:color="auto"/>
                  <w:right w:val="single" w:sz="6" w:space="0" w:color="auto"/>
                </w:tcBorders>
                <w:shd w:val="clear" w:color="auto" w:fill="auto"/>
                <w:vAlign w:val="center"/>
              </w:tcPr>
              <w:p w:rsidR="00DE031E" w:rsidRDefault="001C1A59" w:rsidP="00DE031E">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24726636"/>
                <w:lock w:val="sdtLocked"/>
                <w:showingPlcHdr/>
              </w:sdtPr>
              <w:sdtEndPr>
                <w:rPr>
                  <w:rFonts w:hint="eastAsia"/>
                </w:rPr>
              </w:sdtEndPr>
              <w:sdtContent>
                <w:tc>
                  <w:tcPr>
                    <w:tcW w:w="1566" w:type="pct"/>
                    <w:tcBorders>
                      <w:top w:val="single" w:sz="6" w:space="0" w:color="auto"/>
                      <w:left w:val="single" w:sz="6" w:space="0" w:color="auto"/>
                      <w:bottom w:val="single" w:sz="6" w:space="0" w:color="auto"/>
                      <w:right w:val="single" w:sz="6" w:space="0" w:color="auto"/>
                    </w:tcBorders>
                  </w:tcPr>
                  <w:p w:rsidR="00DE031E" w:rsidRDefault="00DE031E" w:rsidP="00DE031E">
                    <w:pPr>
                      <w:jc w:val="right"/>
                      <w:rPr>
                        <w:szCs w:val="21"/>
                      </w:rPr>
                    </w:pPr>
                  </w:p>
                </w:tc>
              </w:sdtContent>
            </w:sdt>
            <w:sdt>
              <w:sdtPr>
                <w:rPr>
                  <w:szCs w:val="21"/>
                </w:rPr>
                <w:alias w:val="不重要的联营企业和联营企业中联营企业其他综合收益"/>
                <w:tag w:val="_GBC_534e40bfed0d4514869eac0a4ed0f45b"/>
                <w:id w:val="24726637"/>
                <w:lock w:val="sdtLocked"/>
              </w:sdtPr>
              <w:sdtContent>
                <w:tc>
                  <w:tcPr>
                    <w:tcW w:w="1494" w:type="pct"/>
                    <w:tcBorders>
                      <w:top w:val="single" w:sz="6" w:space="0" w:color="auto"/>
                      <w:left w:val="single" w:sz="6" w:space="0" w:color="auto"/>
                      <w:bottom w:val="single" w:sz="6" w:space="0" w:color="auto"/>
                      <w:right w:val="single" w:sz="4" w:space="0" w:color="auto"/>
                    </w:tcBorders>
                  </w:tcPr>
                  <w:p w:rsidR="00DE031E" w:rsidRDefault="001C1A59" w:rsidP="00DE031E">
                    <w:pPr>
                      <w:jc w:val="right"/>
                      <w:rPr>
                        <w:szCs w:val="21"/>
                      </w:rPr>
                    </w:pPr>
                    <w:r>
                      <w:rPr>
                        <w:szCs w:val="21"/>
                      </w:rPr>
                      <w:t>-</w:t>
                    </w:r>
                  </w:p>
                </w:tc>
              </w:sdtContent>
            </w:sdt>
          </w:tr>
          <w:tr w:rsidR="00DE031E" w:rsidRPr="00245700" w:rsidTr="00DE031E">
            <w:trPr>
              <w:jc w:val="center"/>
            </w:trPr>
            <w:tc>
              <w:tcPr>
                <w:tcW w:w="1939" w:type="pct"/>
                <w:tcBorders>
                  <w:top w:val="single" w:sz="6" w:space="0" w:color="auto"/>
                  <w:left w:val="single" w:sz="4" w:space="0" w:color="auto"/>
                  <w:bottom w:val="single" w:sz="4" w:space="0" w:color="auto"/>
                  <w:right w:val="single" w:sz="6" w:space="0" w:color="auto"/>
                </w:tcBorders>
                <w:shd w:val="clear" w:color="auto" w:fill="auto"/>
                <w:vAlign w:val="center"/>
              </w:tcPr>
              <w:p w:rsidR="00DE031E" w:rsidRDefault="001C1A59" w:rsidP="00DE031E">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24726638"/>
                <w:lock w:val="sdtLocked"/>
              </w:sdtPr>
              <w:sdtContent>
                <w:tc>
                  <w:tcPr>
                    <w:tcW w:w="1566" w:type="pct"/>
                    <w:tcBorders>
                      <w:top w:val="single" w:sz="6" w:space="0" w:color="auto"/>
                      <w:left w:val="single" w:sz="6" w:space="0" w:color="auto"/>
                      <w:bottom w:val="single" w:sz="4" w:space="0" w:color="auto"/>
                      <w:right w:val="single" w:sz="6" w:space="0" w:color="auto"/>
                    </w:tcBorders>
                  </w:tcPr>
                  <w:p w:rsidR="00DE031E" w:rsidRDefault="001C1A59" w:rsidP="00DE031E">
                    <w:pPr>
                      <w:jc w:val="right"/>
                      <w:rPr>
                        <w:szCs w:val="21"/>
                      </w:rPr>
                    </w:pPr>
                    <w:r>
                      <w:rPr>
                        <w:szCs w:val="21"/>
                      </w:rPr>
                      <w:t>5,695,191.06</w:t>
                    </w:r>
                  </w:p>
                </w:tc>
              </w:sdtContent>
            </w:sdt>
            <w:sdt>
              <w:sdtPr>
                <w:rPr>
                  <w:szCs w:val="21"/>
                </w:rPr>
                <w:alias w:val="不重要的联营企业和联营企业中联营企业综合收益总额"/>
                <w:tag w:val="_GBC_6c6d0a44380d462abfb436202eb2870b"/>
                <w:id w:val="24726639"/>
                <w:lock w:val="sdtLocked"/>
              </w:sdtPr>
              <w:sdtContent>
                <w:tc>
                  <w:tcPr>
                    <w:tcW w:w="1494" w:type="pct"/>
                    <w:tcBorders>
                      <w:top w:val="single" w:sz="6" w:space="0" w:color="auto"/>
                      <w:left w:val="single" w:sz="6" w:space="0" w:color="auto"/>
                      <w:bottom w:val="single" w:sz="4" w:space="0" w:color="auto"/>
                      <w:right w:val="single" w:sz="4" w:space="0" w:color="auto"/>
                    </w:tcBorders>
                  </w:tcPr>
                  <w:p w:rsidR="00DE031E" w:rsidRDefault="001C1A59" w:rsidP="00DE031E">
                    <w:pPr>
                      <w:jc w:val="right"/>
                      <w:rPr>
                        <w:szCs w:val="21"/>
                      </w:rPr>
                    </w:pPr>
                    <w:r>
                      <w:rPr>
                        <w:szCs w:val="21"/>
                      </w:rPr>
                      <w:t>6,845,422.35</w:t>
                    </w:r>
                  </w:p>
                </w:tc>
              </w:sdtContent>
            </w:sdt>
          </w:tr>
        </w:tbl>
        <w:p w:rsidR="00DE031E" w:rsidRPr="00245700" w:rsidRDefault="00422DCA" w:rsidP="00DE031E"/>
      </w:sdtContent>
    </w:sdt>
    <w:sdt>
      <w:sdtPr>
        <w:rPr>
          <w:rFonts w:ascii="宋体" w:hAnsi="宋体" w:cs="Arial" w:hint="eastAsia"/>
          <w:b w:val="0"/>
          <w:bCs w:val="0"/>
          <w:kern w:val="0"/>
          <w:szCs w:val="21"/>
        </w:rPr>
        <w:tag w:val="_GBC_a9980062c82d44acae24fae7368ea42f"/>
        <w:id w:val="24726654"/>
        <w:lock w:val="sdtLocked"/>
        <w:placeholder>
          <w:docPart w:val="GBC22222222222222222222222222222"/>
        </w:placeholder>
      </w:sdtPr>
      <w:sdtEndPr>
        <w:rPr>
          <w:rFonts w:cstheme="minorBidi" w:hint="default"/>
        </w:rPr>
      </w:sdtEndPr>
      <w:sdtContent>
        <w:p w:rsidR="00DE031E" w:rsidRDefault="001C1A59" w:rsidP="009950AC">
          <w:pPr>
            <w:pStyle w:val="4"/>
            <w:numPr>
              <w:ilvl w:val="3"/>
              <w:numId w:val="68"/>
            </w:numPr>
            <w:tabs>
              <w:tab w:val="left" w:pos="630"/>
            </w:tabs>
            <w:rPr>
              <w:rFonts w:ascii="宋体" w:hAnsi="宋体" w:cs="Arial"/>
              <w:szCs w:val="21"/>
            </w:rPr>
          </w:pPr>
          <w:r>
            <w:rPr>
              <w:rFonts w:ascii="宋体" w:hAnsi="宋体" w:cs="Arial" w:hint="eastAsia"/>
              <w:szCs w:val="21"/>
            </w:rPr>
            <w:t>合营企业或联营企业发生的超额亏损</w:t>
          </w:r>
        </w:p>
        <w:p w:rsidR="00DE031E" w:rsidRDefault="001C1A59">
          <w:pPr>
            <w:jc w:val="right"/>
          </w:pPr>
          <w:r>
            <w:rPr>
              <w:rFonts w:hint="eastAsia"/>
            </w:rPr>
            <w:t>单位:</w:t>
          </w:r>
          <w:sdt>
            <w:sdtPr>
              <w:rPr>
                <w:rFonts w:hint="eastAsia"/>
              </w:rPr>
              <w:alias w:val="单位：财务附注：合营企业或联营企业发生的超额亏损"/>
              <w:tag w:val="_GBC_9b4b48485e2c48b587d05345d1b8f906"/>
              <w:id w:val="24726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合营企业或联营企业发生的超额亏损"/>
              <w:tag w:val="_GBC_7d2c2ed8c3ee46d0b970983fec01e300"/>
              <w:id w:val="24726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4"/>
            <w:gridCol w:w="2266"/>
            <w:gridCol w:w="2548"/>
            <w:gridCol w:w="2251"/>
          </w:tblGrid>
          <w:tr w:rsidR="00DE031E" w:rsidTr="00BD1B09">
            <w:trPr>
              <w:trHeight w:val="241"/>
              <w:jc w:val="center"/>
            </w:trPr>
            <w:tc>
              <w:tcPr>
                <w:tcW w:w="1096" w:type="pct"/>
                <w:tcBorders>
                  <w:top w:val="single" w:sz="4" w:space="0" w:color="auto"/>
                  <w:left w:val="single" w:sz="4" w:space="0" w:color="auto"/>
                  <w:bottom w:val="single" w:sz="6" w:space="0" w:color="auto"/>
                  <w:right w:val="single" w:sz="6" w:space="0" w:color="auto"/>
                </w:tcBorders>
                <w:shd w:val="clear" w:color="auto" w:fill="auto"/>
                <w:vAlign w:val="center"/>
              </w:tcPr>
              <w:p w:rsidR="00DE031E" w:rsidRDefault="001C1A59">
                <w:pPr>
                  <w:jc w:val="center"/>
                  <w:rPr>
                    <w:rFonts w:cs="Arial"/>
                    <w:szCs w:val="21"/>
                  </w:rPr>
                </w:pPr>
                <w:r>
                  <w:rPr>
                    <w:rFonts w:cs="Arial" w:hint="eastAsia"/>
                    <w:szCs w:val="21"/>
                    <w:lang w:val="en-GB"/>
                  </w:rPr>
                  <w:t>合营企业或联营企业名称</w:t>
                </w:r>
              </w:p>
            </w:tc>
            <w:tc>
              <w:tcPr>
                <w:tcW w:w="1252" w:type="pct"/>
                <w:tcBorders>
                  <w:top w:val="single" w:sz="4" w:space="0" w:color="auto"/>
                  <w:left w:val="single" w:sz="6" w:space="0" w:color="auto"/>
                  <w:bottom w:val="single" w:sz="6" w:space="0" w:color="auto"/>
                  <w:right w:val="single" w:sz="6" w:space="0" w:color="auto"/>
                </w:tcBorders>
                <w:shd w:val="clear" w:color="auto" w:fill="auto"/>
                <w:vAlign w:val="center"/>
              </w:tcPr>
              <w:p w:rsidR="00DE031E" w:rsidRDefault="001C1A59">
                <w:pPr>
                  <w:jc w:val="center"/>
                  <w:rPr>
                    <w:rFonts w:cs="Arial"/>
                    <w:szCs w:val="21"/>
                    <w:lang w:val="en-GB"/>
                  </w:rPr>
                </w:pPr>
                <w:r>
                  <w:rPr>
                    <w:rFonts w:cs="Arial" w:hint="eastAsia"/>
                    <w:szCs w:val="21"/>
                    <w:lang w:val="en-GB"/>
                  </w:rPr>
                  <w:t>累积未确认前期累计的损失</w:t>
                </w:r>
              </w:p>
            </w:tc>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p w:rsidR="00DE031E" w:rsidRDefault="001C1A59">
                <w:pPr>
                  <w:jc w:val="center"/>
                  <w:rPr>
                    <w:rFonts w:cs="Arial"/>
                    <w:szCs w:val="21"/>
                    <w:lang w:val="en-GB"/>
                  </w:rPr>
                </w:pPr>
                <w:r>
                  <w:rPr>
                    <w:rFonts w:cs="Arial" w:hint="eastAsia"/>
                    <w:szCs w:val="21"/>
                    <w:lang w:val="en-GB"/>
                  </w:rPr>
                  <w:t>本期未确认的损失</w:t>
                </w:r>
              </w:p>
              <w:p w:rsidR="00DE031E" w:rsidRDefault="001C1A59">
                <w:pPr>
                  <w:jc w:val="center"/>
                  <w:rPr>
                    <w:rFonts w:cs="Arial"/>
                    <w:szCs w:val="21"/>
                    <w:lang w:val="en-GB"/>
                  </w:rPr>
                </w:pPr>
                <w:r>
                  <w:rPr>
                    <w:rFonts w:cs="Arial" w:hint="eastAsia"/>
                    <w:szCs w:val="21"/>
                    <w:lang w:val="en-GB"/>
                  </w:rPr>
                  <w:t>（或本期分享的净利润）</w:t>
                </w:r>
              </w:p>
            </w:tc>
            <w:tc>
              <w:tcPr>
                <w:tcW w:w="1244" w:type="pct"/>
                <w:tcBorders>
                  <w:top w:val="single" w:sz="4" w:space="0" w:color="auto"/>
                  <w:left w:val="single" w:sz="6" w:space="0" w:color="auto"/>
                  <w:bottom w:val="single" w:sz="6" w:space="0" w:color="auto"/>
                  <w:right w:val="single" w:sz="4" w:space="0" w:color="auto"/>
                </w:tcBorders>
                <w:shd w:val="clear" w:color="auto" w:fill="auto"/>
                <w:vAlign w:val="center"/>
              </w:tcPr>
              <w:p w:rsidR="00DE031E" w:rsidRDefault="001C1A59">
                <w:pPr>
                  <w:jc w:val="center"/>
                  <w:rPr>
                    <w:rFonts w:cs="Arial"/>
                    <w:szCs w:val="21"/>
                    <w:lang w:val="en-GB"/>
                  </w:rPr>
                </w:pPr>
                <w:r>
                  <w:rPr>
                    <w:rFonts w:cs="Arial" w:hint="eastAsia"/>
                    <w:szCs w:val="21"/>
                    <w:lang w:val="en-GB"/>
                  </w:rPr>
                  <w:t>本期末累积未确认的损失</w:t>
                </w:r>
              </w:p>
            </w:tc>
          </w:tr>
          <w:sdt>
            <w:sdtPr>
              <w:rPr>
                <w:szCs w:val="21"/>
              </w:rPr>
              <w:alias w:val="合营企业或联营企业发生的超额亏损明细"/>
              <w:tag w:val="_GBC_7e29a518806744008c8379d047a8363b"/>
              <w:id w:val="24726647"/>
              <w:lock w:val="sdtLocked"/>
            </w:sdtPr>
            <w:sdtContent>
              <w:tr w:rsidR="00DE031E" w:rsidTr="00A77D13">
                <w:trPr>
                  <w:jc w:val="center"/>
                </w:trPr>
                <w:sdt>
                  <w:sdtPr>
                    <w:rPr>
                      <w:szCs w:val="21"/>
                    </w:rPr>
                    <w:alias w:val="合营企业或联营企业发生的超额亏损明细-企业名称"/>
                    <w:tag w:val="_GBC_d51b2da83ed64de3b399c751299d1f84"/>
                    <w:id w:val="24726643"/>
                    <w:lock w:val="sdtLocked"/>
                    <w:showingPlcHdr/>
                  </w:sdt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DE031E" w:rsidRDefault="001C1A59">
                        <w:pPr>
                          <w:rPr>
                            <w:color w:val="000000"/>
                            <w:szCs w:val="21"/>
                          </w:rPr>
                        </w:pPr>
                        <w:r>
                          <w:rPr>
                            <w:rFonts w:hint="eastAsia"/>
                            <w:color w:val="333399"/>
                            <w:szCs w:val="21"/>
                          </w:rPr>
                          <w:t xml:space="preserve">　</w:t>
                        </w:r>
                      </w:p>
                    </w:tc>
                  </w:sdtContent>
                </w:sdt>
                <w:sdt>
                  <w:sdtPr>
                    <w:rPr>
                      <w:szCs w:val="21"/>
                    </w:rPr>
                    <w:alias w:val="合营企业或联营企业发生的超额亏损明细-累积未确认前期累计的损失"/>
                    <w:tag w:val="_GBC_c3983f8e2a4546ff86b204d2e47c2630"/>
                    <w:id w:val="24726644"/>
                    <w:lock w:val="sdtLocked"/>
                    <w:showingPlcHdr/>
                  </w:sdt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DE031E" w:rsidRDefault="001C1A59">
                        <w:pPr>
                          <w:jc w:val="right"/>
                          <w:rPr>
                            <w:szCs w:val="21"/>
                          </w:rPr>
                        </w:pPr>
                        <w:r>
                          <w:rPr>
                            <w:rFonts w:hint="eastAsia"/>
                            <w:color w:val="333399"/>
                            <w:szCs w:val="21"/>
                          </w:rPr>
                          <w:t xml:space="preserve">　</w:t>
                        </w:r>
                      </w:p>
                    </w:tc>
                  </w:sdtContent>
                </w:sdt>
                <w:sdt>
                  <w:sdtPr>
                    <w:rPr>
                      <w:szCs w:val="21"/>
                    </w:rPr>
                    <w:alias w:val="合营企业或联营企业发生的超额亏损明细-本期未确认的损失"/>
                    <w:tag w:val="_GBC_b95f27ad8400430f9522470d42e087d4"/>
                    <w:id w:val="24726645"/>
                    <w:lock w:val="sdtLocked"/>
                    <w:showingPlcHdr/>
                  </w:sdt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DE031E" w:rsidRDefault="001C1A59">
                        <w:pPr>
                          <w:jc w:val="right"/>
                          <w:rPr>
                            <w:szCs w:val="21"/>
                          </w:rPr>
                        </w:pPr>
                        <w:r>
                          <w:rPr>
                            <w:rFonts w:hint="eastAsia"/>
                            <w:color w:val="333399"/>
                            <w:szCs w:val="21"/>
                          </w:rPr>
                          <w:t xml:space="preserve">　</w:t>
                        </w:r>
                      </w:p>
                    </w:tc>
                  </w:sdtContent>
                </w:sdt>
                <w:sdt>
                  <w:sdtPr>
                    <w:rPr>
                      <w:szCs w:val="21"/>
                    </w:rPr>
                    <w:alias w:val="合营企业或联营企业发生的超额亏损明细-本期末累积未确认的损失"/>
                    <w:tag w:val="_GBC_0ec0be156b7647fb8c760f66d3db7d72"/>
                    <w:id w:val="24726646"/>
                    <w:lock w:val="sdtLocked"/>
                    <w:showingPlcHdr/>
                  </w:sdt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DE031E" w:rsidRDefault="001C1A59">
                        <w:pPr>
                          <w:jc w:val="right"/>
                          <w:rPr>
                            <w:szCs w:val="21"/>
                          </w:rPr>
                        </w:pPr>
                        <w:r>
                          <w:rPr>
                            <w:rFonts w:hint="eastAsia"/>
                            <w:color w:val="333399"/>
                          </w:rPr>
                          <w:t xml:space="preserve">　</w:t>
                        </w:r>
                      </w:p>
                    </w:tc>
                  </w:sdtContent>
                </w:sdt>
              </w:tr>
            </w:sdtContent>
          </w:sdt>
          <w:sdt>
            <w:sdtPr>
              <w:rPr>
                <w:szCs w:val="21"/>
              </w:rPr>
              <w:alias w:val="合营企业或联营企业发生的超额亏损明细"/>
              <w:tag w:val="_GBC_7e29a518806744008c8379d047a8363b"/>
              <w:id w:val="24726652"/>
              <w:lock w:val="sdtLocked"/>
            </w:sdtPr>
            <w:sdtContent>
              <w:tr w:rsidR="00DE031E" w:rsidTr="00A77D13">
                <w:trPr>
                  <w:jc w:val="center"/>
                </w:trPr>
                <w:sdt>
                  <w:sdtPr>
                    <w:rPr>
                      <w:szCs w:val="21"/>
                    </w:rPr>
                    <w:alias w:val="合营企业或联营企业发生的超额亏损明细-企业名称"/>
                    <w:tag w:val="_GBC_d51b2da83ed64de3b399c751299d1f84"/>
                    <w:id w:val="24726648"/>
                    <w:lock w:val="sdtLocked"/>
                    <w:showingPlcHdr/>
                  </w:sdt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DE031E" w:rsidRDefault="001C1A59">
                        <w:pPr>
                          <w:rPr>
                            <w:color w:val="000000"/>
                            <w:szCs w:val="21"/>
                          </w:rPr>
                        </w:pPr>
                        <w:r>
                          <w:rPr>
                            <w:rFonts w:hint="eastAsia"/>
                            <w:color w:val="333399"/>
                            <w:szCs w:val="21"/>
                          </w:rPr>
                          <w:t xml:space="preserve">　</w:t>
                        </w:r>
                      </w:p>
                    </w:tc>
                  </w:sdtContent>
                </w:sdt>
                <w:sdt>
                  <w:sdtPr>
                    <w:rPr>
                      <w:szCs w:val="21"/>
                    </w:rPr>
                    <w:alias w:val="合营企业或联营企业发生的超额亏损明细-累积未确认前期累计的损失"/>
                    <w:tag w:val="_GBC_c3983f8e2a4546ff86b204d2e47c2630"/>
                    <w:id w:val="24726649"/>
                    <w:lock w:val="sdtLocked"/>
                    <w:showingPlcHdr/>
                  </w:sdt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DE031E" w:rsidRDefault="001C1A59">
                        <w:pPr>
                          <w:jc w:val="right"/>
                          <w:rPr>
                            <w:szCs w:val="21"/>
                          </w:rPr>
                        </w:pPr>
                        <w:r>
                          <w:rPr>
                            <w:rFonts w:hint="eastAsia"/>
                            <w:color w:val="333399"/>
                            <w:szCs w:val="21"/>
                          </w:rPr>
                          <w:t xml:space="preserve">　</w:t>
                        </w:r>
                      </w:p>
                    </w:tc>
                  </w:sdtContent>
                </w:sdt>
                <w:sdt>
                  <w:sdtPr>
                    <w:rPr>
                      <w:szCs w:val="21"/>
                    </w:rPr>
                    <w:alias w:val="合营企业或联营企业发生的超额亏损明细-本期未确认的损失"/>
                    <w:tag w:val="_GBC_b95f27ad8400430f9522470d42e087d4"/>
                    <w:id w:val="24726650"/>
                    <w:lock w:val="sdtLocked"/>
                    <w:showingPlcHdr/>
                  </w:sdt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DE031E" w:rsidRDefault="001C1A59">
                        <w:pPr>
                          <w:jc w:val="right"/>
                          <w:rPr>
                            <w:szCs w:val="21"/>
                          </w:rPr>
                        </w:pPr>
                        <w:r>
                          <w:rPr>
                            <w:rFonts w:hint="eastAsia"/>
                            <w:color w:val="333399"/>
                            <w:szCs w:val="21"/>
                          </w:rPr>
                          <w:t xml:space="preserve">　</w:t>
                        </w:r>
                      </w:p>
                    </w:tc>
                  </w:sdtContent>
                </w:sdt>
                <w:sdt>
                  <w:sdtPr>
                    <w:rPr>
                      <w:szCs w:val="21"/>
                    </w:rPr>
                    <w:alias w:val="合营企业或联营企业发生的超额亏损明细-本期末累积未确认的损失"/>
                    <w:tag w:val="_GBC_0ec0be156b7647fb8c760f66d3db7d72"/>
                    <w:id w:val="24726651"/>
                    <w:lock w:val="sdtLocked"/>
                    <w:showingPlcHdr/>
                  </w:sdt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DE031E" w:rsidRDefault="001C1A59">
                        <w:pPr>
                          <w:jc w:val="right"/>
                          <w:rPr>
                            <w:szCs w:val="21"/>
                          </w:rPr>
                        </w:pPr>
                        <w:r>
                          <w:rPr>
                            <w:rFonts w:hint="eastAsia"/>
                            <w:color w:val="333399"/>
                          </w:rPr>
                          <w:t xml:space="preserve">　</w:t>
                        </w:r>
                      </w:p>
                    </w:tc>
                  </w:sdtContent>
                </w:sdt>
              </w:tr>
            </w:sdtContent>
          </w:sdt>
        </w:tbl>
        <w:p w:rsidR="00DE031E" w:rsidRDefault="00422DCA" w:rsidP="00DE031E">
          <w:pPr>
            <w:spacing w:line="360" w:lineRule="auto"/>
            <w:rPr>
              <w:rFonts w:cs="Arial"/>
              <w:szCs w:val="21"/>
            </w:rPr>
          </w:pPr>
          <w:sdt>
            <w:sdtPr>
              <w:rPr>
                <w:rFonts w:cs="Arial"/>
                <w:szCs w:val="21"/>
              </w:rPr>
              <w:alias w:val="合营企业或联营企业发生的超额亏损的其他说明"/>
              <w:tag w:val="_GBC_cd40de2e5da84ad9ada2436c92f0269a"/>
              <w:id w:val="24726653"/>
              <w:lock w:val="sdtLocked"/>
              <w:placeholder>
                <w:docPart w:val="GBC22222222222222222222222222222"/>
              </w:placeholder>
            </w:sdtPr>
            <w:sdtContent>
              <w:r w:rsidR="001C1A59" w:rsidRPr="00437FB4">
                <w:rPr>
                  <w:rFonts w:ascii="Arial" w:hAnsi="Arial" w:cs="Arial"/>
                  <w:sz w:val="22"/>
                  <w:szCs w:val="22"/>
                </w:rPr>
                <w:t>合营企业或联营企业</w:t>
              </w:r>
              <w:r w:rsidR="001C1A59">
                <w:rPr>
                  <w:rFonts w:ascii="Arial" w:hAnsi="Arial" w:cs="Arial" w:hint="eastAsia"/>
                  <w:sz w:val="22"/>
                  <w:szCs w:val="22"/>
                </w:rPr>
                <w:t>各期间</w:t>
              </w:r>
              <w:r w:rsidR="001C1A59" w:rsidRPr="00437FB4">
                <w:rPr>
                  <w:rFonts w:ascii="Arial" w:hAnsi="Arial" w:cs="Arial"/>
                  <w:sz w:val="22"/>
                  <w:szCs w:val="22"/>
                </w:rPr>
                <w:t>未发生超额亏损。</w:t>
              </w:r>
            </w:sdtContent>
          </w:sdt>
        </w:p>
      </w:sdtContent>
    </w:sdt>
    <w:p w:rsidR="00DE031E" w:rsidRDefault="00DE031E">
      <w:pPr>
        <w:rPr>
          <w:rFonts w:cs="Arial"/>
          <w:szCs w:val="21"/>
        </w:rPr>
      </w:pPr>
    </w:p>
    <w:sdt>
      <w:sdtPr>
        <w:rPr>
          <w:rFonts w:ascii="宋体" w:hAnsi="宋体" w:cs="Arial" w:hint="eastAsia"/>
          <w:b w:val="0"/>
          <w:bCs w:val="0"/>
          <w:kern w:val="0"/>
          <w:szCs w:val="21"/>
        </w:rPr>
        <w:tag w:val="_GBC_da055842bf8c4e9598b87bd760d969ec"/>
        <w:id w:val="24726656"/>
        <w:lock w:val="sdtLocked"/>
        <w:placeholder>
          <w:docPart w:val="GBC22222222222222222222222222222"/>
        </w:placeholder>
      </w:sdtPr>
      <w:sdtContent>
        <w:p w:rsidR="00DE031E" w:rsidRDefault="001C1A59" w:rsidP="009950AC">
          <w:pPr>
            <w:pStyle w:val="4"/>
            <w:numPr>
              <w:ilvl w:val="3"/>
              <w:numId w:val="68"/>
            </w:numPr>
            <w:tabs>
              <w:tab w:val="left" w:pos="630"/>
            </w:tabs>
            <w:spacing w:line="360" w:lineRule="auto"/>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与合营企业投资相关的未确认承诺"/>
            <w:tag w:val="_GBC_304f742025af4d29b1146cb79b0e720f"/>
            <w:id w:val="24726655"/>
            <w:lock w:val="sdtLocked"/>
            <w:placeholder>
              <w:docPart w:val="GBC22222222222222222222222222222"/>
            </w:placeholder>
          </w:sdtPr>
          <w:sdtContent>
            <w:p w:rsidR="00DE031E" w:rsidRDefault="001C1A59" w:rsidP="00DE031E">
              <w:pPr>
                <w:spacing w:line="360" w:lineRule="auto"/>
                <w:rPr>
                  <w:rFonts w:cs="Arial"/>
                  <w:szCs w:val="21"/>
                </w:rPr>
              </w:pPr>
              <w:r w:rsidRPr="00437FB4">
                <w:rPr>
                  <w:rFonts w:ascii="Arial" w:hAnsi="Arial" w:cs="Arial"/>
                  <w:sz w:val="22"/>
                  <w:szCs w:val="22"/>
                </w:rPr>
                <w:t>本公司无与合营企业投资相关的未确认承诺。</w:t>
              </w:r>
            </w:p>
          </w:sdtContent>
        </w:sdt>
      </w:sdtContent>
    </w:sdt>
    <w:sdt>
      <w:sdtPr>
        <w:rPr>
          <w:rFonts w:ascii="宋体" w:hAnsi="宋体" w:cs="Arial" w:hint="eastAsia"/>
          <w:b w:val="0"/>
          <w:bCs w:val="0"/>
          <w:kern w:val="0"/>
          <w:szCs w:val="21"/>
        </w:rPr>
        <w:tag w:val="_GBC_1f803def681a42ba91cdde709a067b3f"/>
        <w:id w:val="24726658"/>
        <w:lock w:val="sdtLocked"/>
        <w:placeholder>
          <w:docPart w:val="GBC22222222222222222222222222222"/>
        </w:placeholder>
      </w:sdtPr>
      <w:sdtContent>
        <w:p w:rsidR="00DE031E" w:rsidRDefault="001C1A59" w:rsidP="009950AC">
          <w:pPr>
            <w:pStyle w:val="4"/>
            <w:numPr>
              <w:ilvl w:val="3"/>
              <w:numId w:val="68"/>
            </w:numPr>
            <w:tabs>
              <w:tab w:val="left" w:pos="630"/>
            </w:tabs>
            <w:spacing w:line="360" w:lineRule="auto"/>
            <w:rPr>
              <w:rFonts w:cs="Arial"/>
              <w:szCs w:val="21"/>
            </w:rPr>
          </w:pPr>
          <w:r>
            <w:rPr>
              <w:rFonts w:cs="Arial" w:hint="eastAsia"/>
              <w:szCs w:val="21"/>
            </w:rPr>
            <w:t>与合营企业或联营企业投资相关的或有负债</w:t>
          </w:r>
        </w:p>
        <w:sdt>
          <w:sdtPr>
            <w:rPr>
              <w:rFonts w:cs="Arial" w:hint="eastAsia"/>
              <w:szCs w:val="21"/>
            </w:rPr>
            <w:alias w:val="与合营企业或联营企业投资相关的或有负债"/>
            <w:tag w:val="_GBC_253b38b77ad745b99f9086678d461424"/>
            <w:id w:val="24726657"/>
            <w:lock w:val="sdtLocked"/>
            <w:placeholder>
              <w:docPart w:val="GBC22222222222222222222222222222"/>
            </w:placeholder>
          </w:sdtPr>
          <w:sdtContent>
            <w:p w:rsidR="00DE031E" w:rsidRDefault="001C1A59" w:rsidP="00DE031E">
              <w:pPr>
                <w:spacing w:line="360" w:lineRule="auto"/>
                <w:rPr>
                  <w:rFonts w:cs="Arial"/>
                  <w:szCs w:val="21"/>
                </w:rPr>
              </w:pPr>
              <w:r w:rsidRPr="00437FB4">
                <w:rPr>
                  <w:rFonts w:ascii="Arial" w:hAnsi="Arial" w:cs="Arial"/>
                  <w:sz w:val="22"/>
                  <w:szCs w:val="22"/>
                </w:rPr>
                <w:t>本公司无与合营企业或联营企业投资相关的或有负债。</w:t>
              </w:r>
            </w:p>
          </w:sdtContent>
        </w:sdt>
      </w:sdtContent>
    </w:sdt>
    <w:sdt>
      <w:sdtPr>
        <w:rPr>
          <w:rFonts w:ascii="宋体" w:hAnsi="宋体" w:cs="Arial" w:hint="eastAsia"/>
          <w:b w:val="0"/>
          <w:bCs w:val="0"/>
          <w:kern w:val="0"/>
          <w:szCs w:val="21"/>
        </w:rPr>
        <w:tag w:val="_GBC_5cfea65e45c44f1b9fdec762be35880d"/>
        <w:id w:val="24726660"/>
        <w:lock w:val="sdtLocked"/>
        <w:placeholder>
          <w:docPart w:val="GBC22222222222222222222222222222"/>
        </w:placeholder>
      </w:sdtPr>
      <w:sdtContent>
        <w:p w:rsidR="00DE031E" w:rsidRDefault="001C1A59" w:rsidP="009950AC">
          <w:pPr>
            <w:pStyle w:val="3"/>
            <w:numPr>
              <w:ilvl w:val="2"/>
              <w:numId w:val="66"/>
            </w:numPr>
            <w:spacing w:line="360" w:lineRule="auto"/>
            <w:rPr>
              <w:rFonts w:ascii="宋体" w:hAnsi="宋体" w:cs="Arial"/>
              <w:szCs w:val="21"/>
            </w:rPr>
          </w:pPr>
          <w:r>
            <w:rPr>
              <w:rFonts w:ascii="宋体" w:hAnsi="宋体" w:cs="Arial" w:hint="eastAsia"/>
              <w:szCs w:val="21"/>
            </w:rPr>
            <w:t>在未纳入合并财务报表范围的结构化主体中的权益</w:t>
          </w:r>
        </w:p>
        <w:p w:rsidR="00DE031E" w:rsidRDefault="001C1A59" w:rsidP="00DE031E">
          <w:pPr>
            <w:spacing w:line="360" w:lineRule="auto"/>
            <w:rPr>
              <w:rFonts w:cs="Arial"/>
              <w:szCs w:val="21"/>
            </w:rPr>
          </w:pPr>
          <w:r>
            <w:rPr>
              <w:rFonts w:cs="Arial" w:hint="eastAsia"/>
              <w:szCs w:val="21"/>
            </w:rPr>
            <w:t>未纳入合并财务报表范围的结构化主体的相关说明：</w:t>
          </w:r>
        </w:p>
        <w:sdt>
          <w:sdtPr>
            <w:rPr>
              <w:szCs w:val="21"/>
            </w:rPr>
            <w:alias w:val="未纳入合并财务报表范围的结构化主体的相关说明"/>
            <w:tag w:val="_GBC_f8aec7ab1bb940bd9d7d8db21860f9ea"/>
            <w:id w:val="24726659"/>
            <w:lock w:val="sdtLocked"/>
            <w:placeholder>
              <w:docPart w:val="GBC22222222222222222222222222222"/>
            </w:placeholder>
          </w:sdtPr>
          <w:sdtEndPr>
            <w:rPr>
              <w:rFonts w:cs="Arial"/>
            </w:rPr>
          </w:sdtEndPr>
          <w:sdtContent>
            <w:p w:rsidR="00DE031E" w:rsidRDefault="001C1A59" w:rsidP="00DE031E">
              <w:pPr>
                <w:spacing w:line="360" w:lineRule="auto"/>
                <w:ind w:firstLineChars="200" w:firstLine="420"/>
              </w:pPr>
              <w:r w:rsidRPr="00437FB4">
                <w:t>与本公司相关联、但未纳入本公司合并范围的结构化主体为本公司发行的集合理财计划，这类结构化主体</w:t>
              </w:r>
              <w:r>
                <w:rPr>
                  <w:rFonts w:hint="eastAsia"/>
                </w:rPr>
                <w:t>资产总额分别为：                                         单位：亿元</w:t>
              </w:r>
            </w:p>
            <w:tbl>
              <w:tblPr>
                <w:tblW w:w="5000" w:type="pct"/>
                <w:tblLook w:val="04A0"/>
              </w:tblPr>
              <w:tblGrid>
                <w:gridCol w:w="2996"/>
                <w:gridCol w:w="3373"/>
                <w:gridCol w:w="2680"/>
              </w:tblGrid>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spacing w:line="360" w:lineRule="auto"/>
                      <w:rPr>
                        <w:b/>
                        <w:bCs/>
                        <w:color w:val="000000"/>
                        <w:sz w:val="18"/>
                        <w:szCs w:val="18"/>
                      </w:rPr>
                    </w:pPr>
                    <w:r w:rsidRPr="0072229A">
                      <w:rPr>
                        <w:rFonts w:hint="eastAsia"/>
                        <w:b/>
                        <w:bCs/>
                        <w:color w:val="000000"/>
                        <w:sz w:val="18"/>
                        <w:szCs w:val="18"/>
                      </w:rPr>
                      <w:t>项目</w:t>
                    </w:r>
                  </w:p>
                </w:tc>
                <w:tc>
                  <w:tcPr>
                    <w:tcW w:w="1864" w:type="pct"/>
                    <w:tcBorders>
                      <w:top w:val="nil"/>
                      <w:left w:val="nil"/>
                      <w:bottom w:val="nil"/>
                      <w:right w:val="nil"/>
                    </w:tcBorders>
                    <w:shd w:val="clear" w:color="auto" w:fill="auto"/>
                    <w:vAlign w:val="center"/>
                    <w:hideMark/>
                  </w:tcPr>
                  <w:p w:rsidR="00DE031E" w:rsidRPr="0072229A" w:rsidRDefault="001C1A59" w:rsidP="00DE031E">
                    <w:pPr>
                      <w:spacing w:line="360" w:lineRule="auto"/>
                      <w:rPr>
                        <w:b/>
                        <w:bCs/>
                        <w:color w:val="000000"/>
                        <w:sz w:val="18"/>
                        <w:szCs w:val="18"/>
                      </w:rPr>
                    </w:pPr>
                    <w:r w:rsidRPr="0072229A">
                      <w:rPr>
                        <w:b/>
                        <w:bCs/>
                        <w:color w:val="000000"/>
                        <w:sz w:val="18"/>
                        <w:szCs w:val="18"/>
                      </w:rPr>
                      <w:t>2015年6月30日</w:t>
                    </w:r>
                  </w:p>
                </w:tc>
                <w:tc>
                  <w:tcPr>
                    <w:tcW w:w="1481" w:type="pct"/>
                    <w:tcBorders>
                      <w:top w:val="nil"/>
                      <w:left w:val="nil"/>
                      <w:bottom w:val="nil"/>
                      <w:right w:val="nil"/>
                    </w:tcBorders>
                    <w:shd w:val="clear" w:color="auto" w:fill="auto"/>
                    <w:noWrap/>
                    <w:vAlign w:val="center"/>
                    <w:hideMark/>
                  </w:tcPr>
                  <w:p w:rsidR="00DE031E" w:rsidRPr="0072229A" w:rsidRDefault="001C1A59" w:rsidP="00DE031E">
                    <w:pPr>
                      <w:spacing w:line="360" w:lineRule="auto"/>
                      <w:rPr>
                        <w:b/>
                        <w:bCs/>
                        <w:color w:val="000000"/>
                        <w:sz w:val="18"/>
                        <w:szCs w:val="18"/>
                      </w:rPr>
                    </w:pPr>
                    <w:r w:rsidRPr="0072229A">
                      <w:rPr>
                        <w:b/>
                        <w:bCs/>
                        <w:color w:val="000000"/>
                        <w:sz w:val="18"/>
                        <w:szCs w:val="18"/>
                      </w:rPr>
                      <w:t>2014年12月31日</w:t>
                    </w:r>
                  </w:p>
                </w:tc>
              </w:tr>
              <w:tr w:rsidR="00DE031E" w:rsidRPr="0072229A" w:rsidTr="00D44E9A">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spacing w:line="360" w:lineRule="auto"/>
                      <w:rPr>
                        <w:color w:val="000000"/>
                        <w:sz w:val="18"/>
                        <w:szCs w:val="18"/>
                      </w:rPr>
                    </w:pPr>
                    <w:r w:rsidRPr="0072229A">
                      <w:rPr>
                        <w:rFonts w:hint="eastAsia"/>
                        <w:color w:val="000000"/>
                        <w:sz w:val="18"/>
                        <w:szCs w:val="18"/>
                      </w:rPr>
                      <w:t>资产总额</w:t>
                    </w:r>
                  </w:p>
                </w:tc>
                <w:tc>
                  <w:tcPr>
                    <w:tcW w:w="1864" w:type="pct"/>
                    <w:tcBorders>
                      <w:top w:val="nil"/>
                      <w:left w:val="nil"/>
                      <w:bottom w:val="nil"/>
                      <w:right w:val="nil"/>
                    </w:tcBorders>
                    <w:shd w:val="clear" w:color="auto" w:fill="auto"/>
                    <w:vAlign w:val="center"/>
                    <w:hideMark/>
                  </w:tcPr>
                  <w:p w:rsidR="00DE031E" w:rsidRPr="0072229A" w:rsidRDefault="001C1A59" w:rsidP="00D44E9A">
                    <w:pPr>
                      <w:spacing w:line="360" w:lineRule="auto"/>
                      <w:jc w:val="center"/>
                      <w:rPr>
                        <w:color w:val="000000"/>
                        <w:sz w:val="18"/>
                        <w:szCs w:val="18"/>
                      </w:rPr>
                    </w:pPr>
                    <w:r w:rsidRPr="0072229A">
                      <w:rPr>
                        <w:color w:val="000000"/>
                        <w:sz w:val="18"/>
                        <w:szCs w:val="18"/>
                      </w:rPr>
                      <w:t>512.01</w:t>
                    </w:r>
                  </w:p>
                </w:tc>
                <w:tc>
                  <w:tcPr>
                    <w:tcW w:w="1481" w:type="pct"/>
                    <w:tcBorders>
                      <w:top w:val="nil"/>
                      <w:left w:val="nil"/>
                      <w:bottom w:val="nil"/>
                      <w:right w:val="nil"/>
                    </w:tcBorders>
                    <w:shd w:val="clear" w:color="auto" w:fill="auto"/>
                    <w:noWrap/>
                    <w:vAlign w:val="center"/>
                    <w:hideMark/>
                  </w:tcPr>
                  <w:p w:rsidR="00DE031E" w:rsidRPr="0072229A" w:rsidRDefault="001C1A59" w:rsidP="00D44E9A">
                    <w:pPr>
                      <w:spacing w:line="360" w:lineRule="auto"/>
                      <w:jc w:val="center"/>
                      <w:rPr>
                        <w:color w:val="000000"/>
                        <w:sz w:val="18"/>
                        <w:szCs w:val="18"/>
                      </w:rPr>
                    </w:pPr>
                    <w:r w:rsidRPr="0072229A">
                      <w:rPr>
                        <w:color w:val="000000"/>
                        <w:sz w:val="18"/>
                        <w:szCs w:val="18"/>
                      </w:rPr>
                      <w:t>222.59</w:t>
                    </w:r>
                  </w:p>
                </w:tc>
              </w:tr>
            </w:tbl>
            <w:p w:rsidR="00DE031E" w:rsidRPr="00437FB4" w:rsidRDefault="001C1A59" w:rsidP="00DE031E">
              <w:pPr>
                <w:spacing w:line="360" w:lineRule="auto"/>
                <w:ind w:firstLineChars="200" w:firstLine="420"/>
              </w:pPr>
              <w:r w:rsidRPr="00437FB4">
                <w:t>这类集合理财计划份额投资全部列示在财务报表的</w:t>
              </w:r>
              <w:r>
                <w:rPr>
                  <w:rFonts w:hint="eastAsia"/>
                </w:rPr>
                <w:t>“</w:t>
              </w:r>
              <w:r w:rsidRPr="00437FB4">
                <w:t>可供出售金融资产</w:t>
              </w:r>
              <w:r>
                <w:rPr>
                  <w:rFonts w:hint="eastAsia"/>
                </w:rPr>
                <w:t>”</w:t>
              </w:r>
              <w:r w:rsidRPr="00437FB4">
                <w:t>项目下。对于未纳入合并范围、分级且本公司持有劣后份额的集合理财计划，本公司用发生自有资金承担责任的情形时持有的全部集合理财计划风险级份额对应的资产对优先级份额承担有限补偿责任。</w:t>
              </w:r>
            </w:p>
            <w:p w:rsidR="00DE031E" w:rsidRPr="00187BC5" w:rsidRDefault="001C1A59" w:rsidP="00DE031E">
              <w:pPr>
                <w:spacing w:line="360" w:lineRule="auto"/>
                <w:ind w:firstLineChars="200" w:firstLine="420"/>
              </w:pPr>
              <w:r w:rsidRPr="00437FB4">
                <w:t>除了上述集合理财计划外，本公司在其他未纳入合并范围的集合理财计划中没有权益，但由于本公司单独创建了这类集合理财计划，并且本公司担任这类集合理财计划的管理人，因此本公司属于这类集合理财计划的发起人。本公司作为这类集合理财计划的发起人，向集合理财计划提供管理服务并收取管理费及业绩报酬。</w:t>
              </w:r>
            </w:p>
          </w:sdtContent>
        </w:sdt>
      </w:sdtContent>
    </w:sdt>
    <w:sdt>
      <w:sdtPr>
        <w:rPr>
          <w:rFonts w:ascii="宋体" w:hAnsi="宋体" w:cs="宋体" w:hint="eastAsia"/>
          <w:b w:val="0"/>
          <w:bCs w:val="0"/>
          <w:kern w:val="0"/>
          <w:szCs w:val="24"/>
        </w:rPr>
        <w:tag w:val="_GBC_815d628fea814e7191d23a3fcbe2783c"/>
        <w:id w:val="24726662"/>
        <w:lock w:val="sdtLocked"/>
        <w:placeholder>
          <w:docPart w:val="GBC22222222222222222222222222222"/>
        </w:placeholder>
      </w:sdtPr>
      <w:sdtContent>
        <w:p w:rsidR="00DE031E" w:rsidRDefault="001C1A59" w:rsidP="009950AC">
          <w:pPr>
            <w:pStyle w:val="2"/>
            <w:numPr>
              <w:ilvl w:val="0"/>
              <w:numId w:val="30"/>
            </w:numPr>
            <w:spacing w:line="360" w:lineRule="auto"/>
            <w:rPr>
              <w:rFonts w:ascii="宋体" w:hAnsi="宋体"/>
            </w:rPr>
          </w:pPr>
          <w:r>
            <w:rPr>
              <w:rFonts w:ascii="宋体" w:hAnsi="宋体" w:hint="eastAsia"/>
            </w:rPr>
            <w:t>与金融工具相关的风险</w:t>
          </w:r>
        </w:p>
        <w:sdt>
          <w:sdtPr>
            <w:alias w:val="是否适用：与金融工具相关的风险"/>
            <w:tag w:val="_GBC_8f0947975f1747969d7e066c65d685e4"/>
            <w:id w:val="24726661"/>
            <w:lock w:val="sd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Pr="007075DA" w:rsidRDefault="001C1A59" w:rsidP="00DE031E">
          <w:pPr>
            <w:spacing w:line="360" w:lineRule="auto"/>
            <w:rPr>
              <w:szCs w:val="21"/>
            </w:rPr>
          </w:pPr>
          <w:r>
            <w:rPr>
              <w:rFonts w:hint="eastAsia"/>
              <w:szCs w:val="21"/>
            </w:rPr>
            <w:t>详见附注十六、风险管理</w:t>
          </w:r>
        </w:p>
      </w:sdtContent>
    </w:sdt>
    <w:p w:rsidR="00DE031E" w:rsidRDefault="001C1A59" w:rsidP="009950AC">
      <w:pPr>
        <w:pStyle w:val="2"/>
        <w:numPr>
          <w:ilvl w:val="0"/>
          <w:numId w:val="30"/>
        </w:numPr>
        <w:spacing w:line="360" w:lineRule="auto"/>
        <w:rPr>
          <w:rFonts w:ascii="宋体" w:hAnsi="宋体"/>
        </w:rPr>
      </w:pPr>
      <w:r>
        <w:rPr>
          <w:rFonts w:ascii="宋体" w:hAnsi="宋体" w:hint="eastAsia"/>
        </w:rPr>
        <w:t>公允价值的披露</w:t>
      </w:r>
    </w:p>
    <w:sdt>
      <w:sdtPr>
        <w:alias w:val="是否适用：公允价值的披露"/>
        <w:tag w:val="_GBC_61237813829e4c7c95b454968c5d07fc"/>
        <w:id w:val="24726663"/>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b w:val="0"/>
          <w:bCs w:val="0"/>
          <w:kern w:val="0"/>
          <w:szCs w:val="24"/>
        </w:rPr>
        <w:tag w:val="_GBC_b5067cea5bbf475388ac2623e2c669d7"/>
        <w:id w:val="24726742"/>
        <w:lock w:val="sdtLocked"/>
        <w:placeholder>
          <w:docPart w:val="GBC22222222222222222222222222222"/>
        </w:placeholder>
      </w:sdtPr>
      <w:sdtEndPr>
        <w:rPr>
          <w:rFonts w:cstheme="minorBidi"/>
          <w:szCs w:val="21"/>
        </w:rPr>
      </w:sdtEndPr>
      <w:sdtContent>
        <w:p w:rsidR="00DE031E" w:rsidRDefault="001C1A59" w:rsidP="009950AC">
          <w:pPr>
            <w:pStyle w:val="3"/>
            <w:numPr>
              <w:ilvl w:val="0"/>
              <w:numId w:val="69"/>
            </w:numPr>
            <w:spacing w:line="360" w:lineRule="auto"/>
          </w:pPr>
          <w:r>
            <w:rPr>
              <w:rFonts w:hint="eastAsia"/>
            </w:rPr>
            <w:t>以公允价值计量的资产和负债的期末公允价值</w:t>
          </w:r>
        </w:p>
        <w:p w:rsidR="00DE031E" w:rsidRDefault="001C1A59">
          <w:pPr>
            <w:jc w:val="right"/>
          </w:pPr>
          <w:r>
            <w:rPr>
              <w:rFonts w:hint="eastAsia"/>
            </w:rPr>
            <w:t>单位:</w:t>
          </w:r>
          <w:sdt>
            <w:sdtPr>
              <w:rPr>
                <w:rFonts w:hint="eastAsia"/>
              </w:rPr>
              <w:alias w:val="单位：财务附注：以公允价值计量的资产和负债的期末公允价值"/>
              <w:tag w:val="_GBC_4b785696cde44d3f8a4a7d28ab963e38"/>
              <w:id w:val="247266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247266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690" w:type="pct"/>
            <w:jc w:val="center"/>
            <w:tblInd w:w="-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28"/>
            <w:gridCol w:w="1919"/>
            <w:gridCol w:w="1904"/>
            <w:gridCol w:w="1979"/>
            <w:gridCol w:w="1586"/>
          </w:tblGrid>
          <w:tr w:rsidR="00DE031E" w:rsidRPr="0083744D" w:rsidTr="00DE031E">
            <w:trPr>
              <w:trHeight w:val="145"/>
              <w:tblHeader/>
              <w:jc w:val="center"/>
            </w:trPr>
            <w:tc>
              <w:tcPr>
                <w:tcW w:w="1352" w:type="pct"/>
                <w:vMerge w:val="restart"/>
                <w:tcBorders>
                  <w:top w:val="single" w:sz="4" w:space="0" w:color="auto"/>
                  <w:left w:val="single" w:sz="4" w:space="0" w:color="auto"/>
                  <w:right w:val="single" w:sz="4" w:space="0" w:color="auto"/>
                </w:tcBorders>
                <w:shd w:val="clear" w:color="auto" w:fill="auto"/>
                <w:vAlign w:val="center"/>
              </w:tcPr>
              <w:p w:rsidR="00DE031E" w:rsidRPr="0083744D" w:rsidRDefault="001C1A59" w:rsidP="00DE031E">
                <w:pPr>
                  <w:jc w:val="center"/>
                  <w:outlineLvl w:val="2"/>
                  <w:rPr>
                    <w:rFonts w:asciiTheme="minorEastAsia" w:hAnsiTheme="minorEastAsia" w:cs="Cambria"/>
                    <w:sz w:val="18"/>
                    <w:szCs w:val="18"/>
                  </w:rPr>
                </w:pPr>
                <w:r w:rsidRPr="0083744D">
                  <w:rPr>
                    <w:rFonts w:asciiTheme="minorEastAsia" w:hAnsiTheme="minorEastAsia" w:cs="Cambria" w:hint="eastAsia"/>
                    <w:sz w:val="18"/>
                    <w:szCs w:val="18"/>
                  </w:rPr>
                  <w:t>项目</w:t>
                </w:r>
              </w:p>
            </w:tc>
            <w:tc>
              <w:tcPr>
                <w:tcW w:w="36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031E" w:rsidRPr="0083744D" w:rsidRDefault="001C1A59" w:rsidP="00DE031E">
                <w:pPr>
                  <w:jc w:val="center"/>
                  <w:outlineLvl w:val="2"/>
                  <w:rPr>
                    <w:rFonts w:asciiTheme="minorEastAsia" w:hAnsiTheme="minorEastAsia" w:cs="Cambria"/>
                    <w:sz w:val="18"/>
                    <w:szCs w:val="18"/>
                  </w:rPr>
                </w:pPr>
                <w:r w:rsidRPr="0083744D">
                  <w:rPr>
                    <w:rFonts w:asciiTheme="minorEastAsia" w:hAnsiTheme="minorEastAsia" w:cs="Cambria" w:hint="eastAsia"/>
                    <w:sz w:val="18"/>
                    <w:szCs w:val="18"/>
                  </w:rPr>
                  <w:t>期末公允价值</w:t>
                </w:r>
              </w:p>
            </w:tc>
          </w:tr>
          <w:tr w:rsidR="00DE031E" w:rsidRPr="0083744D" w:rsidTr="00DE031E">
            <w:trPr>
              <w:trHeight w:val="145"/>
              <w:tblHeader/>
              <w:jc w:val="center"/>
            </w:trPr>
            <w:tc>
              <w:tcPr>
                <w:tcW w:w="1352" w:type="pct"/>
                <w:vMerge/>
                <w:tcBorders>
                  <w:left w:val="single" w:sz="4" w:space="0" w:color="auto"/>
                  <w:bottom w:val="single" w:sz="4" w:space="0" w:color="auto"/>
                  <w:right w:val="single" w:sz="4" w:space="0" w:color="auto"/>
                </w:tcBorders>
                <w:shd w:val="clear" w:color="auto" w:fill="auto"/>
                <w:vAlign w:val="center"/>
              </w:tcPr>
              <w:p w:rsidR="00DE031E" w:rsidRPr="0083744D" w:rsidRDefault="00DE031E" w:rsidP="00DE031E">
                <w:pPr>
                  <w:jc w:val="center"/>
                  <w:outlineLvl w:val="2"/>
                  <w:rPr>
                    <w:rFonts w:asciiTheme="minorEastAsia" w:hAnsiTheme="minorEastAsia" w:cs="Cambria"/>
                    <w:sz w:val="18"/>
                    <w:szCs w:val="18"/>
                  </w:rPr>
                </w:pP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83744D" w:rsidRDefault="001C1A59" w:rsidP="00DE031E">
                <w:pPr>
                  <w:jc w:val="center"/>
                  <w:outlineLvl w:val="2"/>
                  <w:rPr>
                    <w:rFonts w:asciiTheme="minorEastAsia" w:hAnsiTheme="minorEastAsia" w:cs="Cambria"/>
                    <w:sz w:val="18"/>
                    <w:szCs w:val="18"/>
                  </w:rPr>
                </w:pPr>
                <w:r w:rsidRPr="0083744D">
                  <w:rPr>
                    <w:rFonts w:asciiTheme="minorEastAsia" w:hAnsiTheme="minorEastAsia" w:cs="Cambria" w:hint="eastAsia"/>
                    <w:sz w:val="18"/>
                    <w:szCs w:val="18"/>
                  </w:rPr>
                  <w:t>第一层次公允价值计量</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83744D" w:rsidRDefault="001C1A59" w:rsidP="00DE031E">
                <w:pPr>
                  <w:jc w:val="center"/>
                  <w:outlineLvl w:val="2"/>
                  <w:rPr>
                    <w:rFonts w:asciiTheme="minorEastAsia" w:hAnsiTheme="minorEastAsia" w:cs="Cambria"/>
                    <w:sz w:val="18"/>
                    <w:szCs w:val="18"/>
                  </w:rPr>
                </w:pPr>
                <w:r w:rsidRPr="0083744D">
                  <w:rPr>
                    <w:rFonts w:asciiTheme="minorEastAsia" w:hAnsiTheme="minorEastAsia" w:cs="Cambria" w:hint="eastAsia"/>
                    <w:sz w:val="18"/>
                    <w:szCs w:val="18"/>
                  </w:rPr>
                  <w:t>第二层次公允价值计量</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83744D" w:rsidRDefault="001C1A59" w:rsidP="00DE031E">
                <w:pPr>
                  <w:jc w:val="center"/>
                  <w:outlineLvl w:val="2"/>
                  <w:rPr>
                    <w:rFonts w:asciiTheme="minorEastAsia" w:hAnsiTheme="minorEastAsia" w:cs="Cambria"/>
                    <w:sz w:val="18"/>
                    <w:szCs w:val="18"/>
                  </w:rPr>
                </w:pPr>
                <w:r w:rsidRPr="0083744D">
                  <w:rPr>
                    <w:rFonts w:asciiTheme="minorEastAsia" w:hAnsiTheme="minorEastAsia" w:cs="Cambria" w:hint="eastAsia"/>
                    <w:sz w:val="18"/>
                    <w:szCs w:val="18"/>
                  </w:rPr>
                  <w:t>第三层次公允价值计量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83744D" w:rsidRDefault="001C1A59" w:rsidP="00DE031E">
                <w:pPr>
                  <w:jc w:val="center"/>
                  <w:outlineLvl w:val="2"/>
                  <w:rPr>
                    <w:rFonts w:asciiTheme="minorEastAsia" w:hAnsiTheme="minorEastAsia" w:cs="Cambria"/>
                    <w:sz w:val="18"/>
                    <w:szCs w:val="18"/>
                  </w:rPr>
                </w:pPr>
                <w:r w:rsidRPr="0083744D">
                  <w:rPr>
                    <w:rFonts w:asciiTheme="minorEastAsia" w:hAnsiTheme="minorEastAsia" w:cs="Cambria" w:hint="eastAsia"/>
                    <w:sz w:val="18"/>
                    <w:szCs w:val="18"/>
                  </w:rPr>
                  <w:t>合计</w:t>
                </w:r>
              </w:p>
            </w:tc>
          </w:tr>
          <w:tr w:rsidR="00DE031E" w:rsidRPr="0083744D" w:rsidTr="00DE031E">
            <w:trPr>
              <w:trHeight w:val="227"/>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b/>
                    <w:sz w:val="18"/>
                    <w:szCs w:val="18"/>
                  </w:rPr>
                </w:pPr>
                <w:r w:rsidRPr="0083744D">
                  <w:rPr>
                    <w:rFonts w:asciiTheme="minorEastAsia" w:hAnsiTheme="minorEastAsia" w:cs="Cambria" w:hint="eastAsia"/>
                    <w:b/>
                    <w:sz w:val="18"/>
                    <w:szCs w:val="18"/>
                  </w:rPr>
                  <w:t>一、持续的公允价值计量</w:t>
                </w:r>
              </w:p>
            </w:tc>
            <w:sdt>
              <w:sdtPr>
                <w:rPr>
                  <w:rFonts w:asciiTheme="minorEastAsia" w:hAnsiTheme="minorEastAsia" w:cs="Cambria"/>
                  <w:sz w:val="18"/>
                  <w:szCs w:val="18"/>
                </w:rPr>
                <w:alias w:val="第一层次公允价值计量持续的公允价值"/>
                <w:tag w:val="_GBC_c1a2e3bb7423492e8e5d46ef447f6acf"/>
                <w:id w:val="24726666"/>
                <w:lock w:val="sdtLocked"/>
                <w:showingPlcHdr/>
              </w:sdtPr>
              <w:sdtContent>
                <w:tc>
                  <w:tcPr>
                    <w:tcW w:w="952" w:type="pct"/>
                    <w:tcBorders>
                      <w:top w:val="single" w:sz="4" w:space="0" w:color="auto"/>
                      <w:left w:val="single" w:sz="4" w:space="0" w:color="auto"/>
                      <w:bottom w:val="single" w:sz="4" w:space="0" w:color="auto"/>
                      <w:right w:val="single" w:sz="4" w:space="0" w:color="auto"/>
                    </w:tcBorders>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hint="eastAsia"/>
                        <w:color w:val="333399"/>
                        <w:sz w:val="18"/>
                        <w:szCs w:val="18"/>
                      </w:rPr>
                      <w:t xml:space="preserve">　</w:t>
                    </w:r>
                  </w:p>
                </w:tc>
              </w:sdtContent>
            </w:sdt>
            <w:sdt>
              <w:sdtPr>
                <w:rPr>
                  <w:rFonts w:asciiTheme="minorEastAsia" w:hAnsiTheme="minorEastAsia" w:cs="Cambria"/>
                  <w:sz w:val="18"/>
                  <w:szCs w:val="18"/>
                </w:rPr>
                <w:alias w:val="第二层次公允价值计量持续的公允价值"/>
                <w:tag w:val="_GBC_c2c066c835a64f69a7367bb4f6b80356"/>
                <w:id w:val="2472666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hint="eastAsia"/>
                        <w:color w:val="333399"/>
                        <w:sz w:val="18"/>
                        <w:szCs w:val="18"/>
                      </w:rPr>
                      <w:t xml:space="preserve">　</w:t>
                    </w:r>
                  </w:p>
                </w:tc>
              </w:sdtContent>
            </w:sdt>
            <w:sdt>
              <w:sdtPr>
                <w:rPr>
                  <w:rFonts w:asciiTheme="minorEastAsia" w:hAnsiTheme="minorEastAsia" w:cs="Cambria"/>
                  <w:sz w:val="18"/>
                  <w:szCs w:val="18"/>
                </w:rPr>
                <w:alias w:val="第三层次公允价值计量持续的公允价值"/>
                <w:tag w:val="_GBC_8a10b1c29bd04ee59f985778c52d089d"/>
                <w:id w:val="24726668"/>
                <w:lock w:val="sdtLocked"/>
                <w:showingPlcHdr/>
              </w:sdtPr>
              <w:sdtContent>
                <w:tc>
                  <w:tcPr>
                    <w:tcW w:w="981" w:type="pct"/>
                    <w:tcBorders>
                      <w:top w:val="single" w:sz="4" w:space="0" w:color="auto"/>
                      <w:left w:val="single" w:sz="4" w:space="0" w:color="auto"/>
                      <w:bottom w:val="single" w:sz="4" w:space="0" w:color="auto"/>
                      <w:right w:val="single" w:sz="4" w:space="0" w:color="auto"/>
                    </w:tcBorders>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hint="eastAsia"/>
                        <w:color w:val="333399"/>
                        <w:sz w:val="18"/>
                        <w:szCs w:val="18"/>
                      </w:rPr>
                      <w:t xml:space="preserve">　</w:t>
                    </w:r>
                  </w:p>
                </w:tc>
              </w:sdtContent>
            </w:sdt>
            <w:sdt>
              <w:sdtPr>
                <w:rPr>
                  <w:rFonts w:asciiTheme="minorEastAsia" w:hAnsiTheme="minorEastAsia" w:cs="Cambria"/>
                  <w:sz w:val="18"/>
                  <w:szCs w:val="18"/>
                </w:rPr>
                <w:alias w:val="持续的公允价值计量合计"/>
                <w:tag w:val="_GBC_e20a991813654233952bb5fad7b05e74"/>
                <w:id w:val="24726669"/>
                <w:lock w:val="sdtLocked"/>
                <w:showingPlcHdr/>
              </w:sdtPr>
              <w:sdtContent>
                <w:tc>
                  <w:tcPr>
                    <w:tcW w:w="771" w:type="pct"/>
                    <w:tcBorders>
                      <w:top w:val="single" w:sz="4" w:space="0" w:color="auto"/>
                      <w:left w:val="single" w:sz="4" w:space="0" w:color="auto"/>
                      <w:bottom w:val="single" w:sz="4" w:space="0" w:color="auto"/>
                      <w:right w:val="single" w:sz="4" w:space="0" w:color="auto"/>
                    </w:tcBorders>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hint="eastAsia"/>
                        <w:color w:val="333399"/>
                        <w:sz w:val="18"/>
                        <w:szCs w:val="18"/>
                      </w:rPr>
                      <w:t xml:space="preserve">　</w:t>
                    </w:r>
                  </w:p>
                </w:tc>
              </w:sdtContent>
            </w:sdt>
          </w:tr>
          <w:tr w:rsidR="00DE031E" w:rsidRPr="0083744D" w:rsidTr="00DE031E">
            <w:trPr>
              <w:trHeight w:val="468"/>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（一）以公允价值计量且变动计入当期损益的金融资产</w:t>
                </w:r>
              </w:p>
            </w:tc>
            <w:sdt>
              <w:sdtPr>
                <w:rPr>
                  <w:rFonts w:asciiTheme="minorEastAsia" w:hAnsiTheme="minorEastAsia" w:cs="Cambria"/>
                  <w:sz w:val="18"/>
                  <w:szCs w:val="18"/>
                </w:rPr>
                <w:alias w:val="第一层次公允价值计量的以公允价值计量且变动计入当期损益的金融资产"/>
                <w:tag w:val="_GBC_1e73c5eacacd47ccaf4477a58115dc5b"/>
                <w:id w:val="24726670"/>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33,803,911,117.08</w:t>
                    </w:r>
                  </w:p>
                </w:tc>
              </w:sdtContent>
            </w:sdt>
            <w:sdt>
              <w:sdtPr>
                <w:rPr>
                  <w:rFonts w:asciiTheme="minorEastAsia" w:hAnsiTheme="minorEastAsia" w:cs="Cambria"/>
                  <w:sz w:val="18"/>
                  <w:szCs w:val="18"/>
                </w:rPr>
                <w:alias w:val="第二层次公允价值计量的以公允价值计量且变动计入当期损益的金融资产"/>
                <w:tag w:val="_GBC_1ad483ab3f07425fbb7ca2a6ae9bfd7c"/>
                <w:id w:val="24726671"/>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20,929,621,859.47</w:t>
                    </w:r>
                  </w:p>
                </w:tc>
              </w:sdtContent>
            </w:sdt>
            <w:sdt>
              <w:sdtPr>
                <w:rPr>
                  <w:rFonts w:asciiTheme="minorEastAsia" w:hAnsiTheme="minorEastAsia" w:cs="Cambria"/>
                  <w:sz w:val="18"/>
                  <w:szCs w:val="18"/>
                </w:rPr>
                <w:alias w:val="第三层次公允价值计量的以公允价值计量且变动计入当期损益的金融资产"/>
                <w:tag w:val="_GBC_65e6e9470a994a2e958cbcb8741c0383"/>
                <w:id w:val="24726672"/>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1,566,066,698.38</w:t>
                    </w:r>
                  </w:p>
                </w:tc>
              </w:sdtContent>
            </w:sdt>
            <w:sdt>
              <w:sdtPr>
                <w:rPr>
                  <w:rFonts w:asciiTheme="minorEastAsia" w:hAnsiTheme="minorEastAsia" w:cs="Cambria"/>
                  <w:sz w:val="18"/>
                  <w:szCs w:val="18"/>
                </w:rPr>
                <w:alias w:val="公允价值计量且其变动计入当期损益的金融资产"/>
                <w:tag w:val="_GBC_dea7f265046b4bb5ac57047beecd1104"/>
                <w:id w:val="24726673"/>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56,299,599,674.93</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sz w:val="18"/>
                    <w:szCs w:val="18"/>
                  </w:rPr>
                  <w:t xml:space="preserve">1. </w:t>
                </w:r>
                <w:r w:rsidRPr="0083744D">
                  <w:rPr>
                    <w:rFonts w:asciiTheme="minorEastAsia" w:hAnsiTheme="minorEastAsia" w:cs="Cambria" w:hint="eastAsia"/>
                    <w:sz w:val="18"/>
                    <w:szCs w:val="18"/>
                    <w:shd w:val="clear" w:color="auto" w:fill="FFFFFF"/>
                  </w:rPr>
                  <w:t>交易性金融资产</w:t>
                </w:r>
              </w:p>
            </w:tc>
            <w:sdt>
              <w:sdtPr>
                <w:rPr>
                  <w:rFonts w:asciiTheme="minorEastAsia" w:hAnsiTheme="minorEastAsia" w:cs="Cambria"/>
                  <w:sz w:val="18"/>
                  <w:szCs w:val="18"/>
                </w:rPr>
                <w:alias w:val="第一层次公允价值计量的交易性金融资产"/>
                <w:tag w:val="_GBC_fc006b945cab4b18ac453d1b99cfb9cc"/>
                <w:id w:val="24726674"/>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33,803,911,117.08</w:t>
                    </w:r>
                  </w:p>
                </w:tc>
              </w:sdtContent>
            </w:sdt>
            <w:sdt>
              <w:sdtPr>
                <w:rPr>
                  <w:rFonts w:asciiTheme="minorEastAsia" w:hAnsiTheme="minorEastAsia" w:cs="Cambria"/>
                  <w:sz w:val="18"/>
                  <w:szCs w:val="18"/>
                </w:rPr>
                <w:alias w:val="第二层次公允价值计量的交易性金融资产"/>
                <w:tag w:val="_GBC_ee8ae5da5ee84e89b6769707ff298729"/>
                <w:id w:val="24726675"/>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20,929,621,859.47</w:t>
                    </w:r>
                  </w:p>
                </w:tc>
              </w:sdtContent>
            </w:sdt>
            <w:sdt>
              <w:sdtPr>
                <w:rPr>
                  <w:rFonts w:asciiTheme="minorEastAsia" w:hAnsiTheme="minorEastAsia" w:cs="Cambria"/>
                  <w:sz w:val="18"/>
                  <w:szCs w:val="18"/>
                </w:rPr>
                <w:alias w:val="第三层次公允价值计量的交易性金融资产"/>
                <w:tag w:val="_GBC_c1c615a073d04fdea0980701efb670e8"/>
                <w:id w:val="24726676"/>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89,067,806.21</w:t>
                    </w:r>
                  </w:p>
                </w:tc>
              </w:sdtContent>
            </w:sdt>
            <w:sdt>
              <w:sdtPr>
                <w:rPr>
                  <w:rFonts w:asciiTheme="minorEastAsia" w:hAnsiTheme="minorEastAsia" w:cs="Cambria"/>
                  <w:sz w:val="18"/>
                  <w:szCs w:val="18"/>
                </w:rPr>
                <w:alias w:val="交易性金融资产公允价值合计"/>
                <w:tag w:val="_GBC_9954e6d804dc497d83aa9129805f44d6"/>
                <w:id w:val="24726677"/>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54,822,600,782.76</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w:t>
                </w:r>
                <w:r w:rsidRPr="0083744D">
                  <w:rPr>
                    <w:rFonts w:asciiTheme="minorEastAsia" w:hAnsiTheme="minorEastAsia" w:cs="Cambria"/>
                    <w:sz w:val="18"/>
                    <w:szCs w:val="18"/>
                  </w:rPr>
                  <w:t>1</w:t>
                </w:r>
                <w:r w:rsidRPr="0083744D">
                  <w:rPr>
                    <w:rFonts w:asciiTheme="minorEastAsia" w:hAnsiTheme="minorEastAsia" w:cs="Cambria" w:hint="eastAsia"/>
                    <w:sz w:val="18"/>
                    <w:szCs w:val="18"/>
                  </w:rPr>
                  <w:t>）债务工具投资</w:t>
                </w:r>
              </w:p>
            </w:tc>
            <w:sdt>
              <w:sdtPr>
                <w:rPr>
                  <w:rFonts w:asciiTheme="minorEastAsia" w:hAnsiTheme="minorEastAsia" w:cs="Cambria"/>
                  <w:sz w:val="18"/>
                  <w:szCs w:val="18"/>
                </w:rPr>
                <w:alias w:val="第一层次公允价值计量的交易性金融资产中的债务工具投资"/>
                <w:tag w:val="_GBC_bcc416613c7544908ec2170db48a30f0"/>
                <w:id w:val="24726678"/>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5,306,695,638.16</w:t>
                    </w:r>
                  </w:p>
                </w:tc>
              </w:sdtContent>
            </w:sdt>
            <w:sdt>
              <w:sdtPr>
                <w:rPr>
                  <w:rFonts w:asciiTheme="minorEastAsia" w:hAnsiTheme="minorEastAsia" w:cs="Cambria"/>
                  <w:sz w:val="18"/>
                  <w:szCs w:val="18"/>
                </w:rPr>
                <w:alias w:val="第二层次公允价值计量的交易性金融资产中的债务工具投资"/>
                <w:tag w:val="_GBC_eedb3fe690ed463898b8dc0b3cb820c6"/>
                <w:id w:val="24726679"/>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16,605,588,001.84</w:t>
                    </w:r>
                  </w:p>
                </w:tc>
              </w:sdtContent>
            </w:sdt>
            <w:sdt>
              <w:sdtPr>
                <w:rPr>
                  <w:rFonts w:asciiTheme="minorEastAsia" w:hAnsiTheme="minorEastAsia" w:cs="Cambria"/>
                  <w:sz w:val="18"/>
                  <w:szCs w:val="18"/>
                </w:rPr>
                <w:alias w:val="第三层次公允价值计量的交易性金融资产中的债务工具投资"/>
                <w:tag w:val="_GBC_70b86e79062a47c084ad916a04630867"/>
                <w:id w:val="24726680"/>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交易性金融资产中的债务工具投资公允价值合计"/>
                <w:tag w:val="_GBC_9679ad2404f84094abefdd8fed2562e6"/>
                <w:id w:val="24726681"/>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21,912,283,640.00</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w:t>
                </w:r>
                <w:r w:rsidRPr="0083744D">
                  <w:rPr>
                    <w:rFonts w:asciiTheme="minorEastAsia" w:hAnsiTheme="minorEastAsia" w:cs="Cambria"/>
                    <w:sz w:val="18"/>
                    <w:szCs w:val="18"/>
                  </w:rPr>
                  <w:t>2</w:t>
                </w:r>
                <w:r w:rsidRPr="0083744D">
                  <w:rPr>
                    <w:rFonts w:asciiTheme="minorEastAsia" w:hAnsiTheme="minorEastAsia" w:cs="Cambria" w:hint="eastAsia"/>
                    <w:sz w:val="18"/>
                    <w:szCs w:val="18"/>
                  </w:rPr>
                  <w:t>）权益工具投资</w:t>
                </w:r>
              </w:p>
            </w:tc>
            <w:sdt>
              <w:sdtPr>
                <w:rPr>
                  <w:rFonts w:asciiTheme="minorEastAsia" w:hAnsiTheme="minorEastAsia" w:cs="Cambria"/>
                  <w:sz w:val="18"/>
                  <w:szCs w:val="18"/>
                </w:rPr>
                <w:alias w:val="第一层次公允价值计量的交易性金融资产中的权益工具投资"/>
                <w:tag w:val="_GBC_c1293a3d18b84aa6b280f160dfe9d6fe"/>
                <w:id w:val="24726682"/>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28,403,602,366.20</w:t>
                    </w:r>
                  </w:p>
                </w:tc>
              </w:sdtContent>
            </w:sdt>
            <w:sdt>
              <w:sdtPr>
                <w:rPr>
                  <w:rFonts w:asciiTheme="minorEastAsia" w:hAnsiTheme="minorEastAsia" w:cs="Cambria"/>
                  <w:sz w:val="18"/>
                  <w:szCs w:val="18"/>
                </w:rPr>
                <w:alias w:val="第二层次公允价值计量的交易性金融资产中的权益工具投资"/>
                <w:tag w:val="_GBC_8a83927f80b24b5381d8c396e4411d04"/>
                <w:id w:val="24726683"/>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3,484,896,791.87</w:t>
                    </w:r>
                  </w:p>
                </w:tc>
              </w:sdtContent>
            </w:sdt>
            <w:sdt>
              <w:sdtPr>
                <w:rPr>
                  <w:rFonts w:asciiTheme="minorEastAsia" w:hAnsiTheme="minorEastAsia" w:cs="Cambria"/>
                  <w:sz w:val="18"/>
                  <w:szCs w:val="18"/>
                </w:rPr>
                <w:alias w:val="第三层次公允价值计量的交易性金融资产中的权益工具投资"/>
                <w:tag w:val="_GBC_d5dd03dbd7524941912622972c2a01c8"/>
                <w:id w:val="24726684"/>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89,067,806.21</w:t>
                    </w:r>
                  </w:p>
                </w:tc>
              </w:sdtContent>
            </w:sdt>
            <w:sdt>
              <w:sdtPr>
                <w:rPr>
                  <w:rFonts w:asciiTheme="minorEastAsia" w:hAnsiTheme="minorEastAsia" w:cs="Cambria"/>
                  <w:sz w:val="18"/>
                  <w:szCs w:val="18"/>
                </w:rPr>
                <w:alias w:val="交易性金融资产中的权益工具投资公允价值合计"/>
                <w:tag w:val="_GBC_6bdefceb5ea547b7aa29cad3ef50bfe3"/>
                <w:id w:val="24726685"/>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31,977,566,964.28</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w:t>
                </w:r>
                <w:r w:rsidRPr="0083744D">
                  <w:rPr>
                    <w:rFonts w:asciiTheme="minorEastAsia" w:hAnsiTheme="minorEastAsia" w:cs="Cambria"/>
                    <w:sz w:val="18"/>
                    <w:szCs w:val="18"/>
                  </w:rPr>
                  <w:t>3</w:t>
                </w:r>
                <w:r w:rsidRPr="0083744D">
                  <w:rPr>
                    <w:rFonts w:asciiTheme="minorEastAsia" w:hAnsiTheme="minorEastAsia" w:cs="Cambria" w:hint="eastAsia"/>
                    <w:sz w:val="18"/>
                    <w:szCs w:val="18"/>
                  </w:rPr>
                  <w:t>）衍生金融资产</w:t>
                </w:r>
              </w:p>
            </w:tc>
            <w:sdt>
              <w:sdtPr>
                <w:rPr>
                  <w:rFonts w:asciiTheme="minorEastAsia" w:hAnsiTheme="minorEastAsia" w:cs="Cambria"/>
                  <w:sz w:val="18"/>
                  <w:szCs w:val="18"/>
                </w:rPr>
                <w:alias w:val="第一层次公允价值计量的交易性金融资产中的衍生金融资产"/>
                <w:tag w:val="_GBC_a498bff2cdd441d68303b1dd91774716"/>
                <w:id w:val="24726686"/>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93,613,112.72</w:t>
                    </w:r>
                  </w:p>
                </w:tc>
              </w:sdtContent>
            </w:sdt>
            <w:sdt>
              <w:sdtPr>
                <w:rPr>
                  <w:rFonts w:asciiTheme="minorEastAsia" w:hAnsiTheme="minorEastAsia" w:cs="Cambria"/>
                  <w:sz w:val="18"/>
                  <w:szCs w:val="18"/>
                </w:rPr>
                <w:alias w:val="第二层次公允价值计量的交易性金融资产中的衍生金融资产"/>
                <w:tag w:val="_GBC_674f05740ebf486fabba7815ff3a414f"/>
                <w:id w:val="24726687"/>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839,137,065.76</w:t>
                    </w:r>
                  </w:p>
                </w:tc>
              </w:sdtContent>
            </w:sdt>
            <w:sdt>
              <w:sdtPr>
                <w:rPr>
                  <w:rFonts w:asciiTheme="minorEastAsia" w:hAnsiTheme="minorEastAsia" w:cs="Cambria"/>
                  <w:sz w:val="18"/>
                  <w:szCs w:val="18"/>
                </w:rPr>
                <w:alias w:val="第三层次公允价值计量的交易性金融资产中的衍生金融资产"/>
                <w:tag w:val="_GBC_c92e823af1594f86b05319d9074a62bc"/>
                <w:id w:val="24726688"/>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交易性金融资产中的衍生金融资产公允价值合计"/>
                <w:tag w:val="_GBC_fdd03cdd80f547fb8264eb24baf3afed"/>
                <w:id w:val="24726689"/>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932,750,178.48</w:t>
                    </w:r>
                  </w:p>
                </w:tc>
              </w:sdtContent>
            </w:sdt>
          </w:tr>
          <w:tr w:rsidR="00DE031E" w:rsidRPr="0083744D" w:rsidTr="00DE031E">
            <w:trPr>
              <w:trHeight w:val="447"/>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sz w:val="18"/>
                    <w:szCs w:val="18"/>
                  </w:rPr>
                  <w:t xml:space="preserve">2. </w:t>
                </w:r>
                <w:r w:rsidRPr="0083744D">
                  <w:rPr>
                    <w:rFonts w:asciiTheme="minorEastAsia" w:hAnsiTheme="minorEastAsia" w:cs="Cambria" w:hint="eastAsia"/>
                    <w:sz w:val="18"/>
                    <w:szCs w:val="18"/>
                  </w:rPr>
                  <w:t>指定以公允价值计量且其变动计入当期损益的金融资产</w:t>
                </w:r>
              </w:p>
            </w:tc>
            <w:sdt>
              <w:sdtPr>
                <w:rPr>
                  <w:rFonts w:asciiTheme="minorEastAsia" w:hAnsiTheme="minorEastAsia" w:cs="Cambria"/>
                  <w:sz w:val="18"/>
                  <w:szCs w:val="18"/>
                </w:rPr>
                <w:alias w:val="第一层次公允价值计量的指定以公允价值计量且变动计入当期损益的金融资产"/>
                <w:tag w:val="_GBC_55817febbbe34aa4bcde9660994c47c9"/>
                <w:id w:val="24726690"/>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第二层次公允价值计量的指定以公允价值计量且变动计入当期损益的金融资产"/>
                <w:tag w:val="_GBC_5b30c223ffc54013af2365f39eb2639c"/>
                <w:id w:val="24726691"/>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第三层次公允价值计量的指定以公允价值计量且变动计入当期损益的金融资产"/>
                <w:tag w:val="_GBC_805d62b601254b8da714e1cda6aabb54"/>
                <w:id w:val="24726692"/>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1,476,998,892.17</w:t>
                    </w:r>
                  </w:p>
                </w:tc>
              </w:sdtContent>
            </w:sdt>
            <w:sdt>
              <w:sdtPr>
                <w:rPr>
                  <w:rFonts w:asciiTheme="minorEastAsia" w:hAnsiTheme="minorEastAsia" w:cs="Cambria"/>
                  <w:sz w:val="18"/>
                  <w:szCs w:val="18"/>
                </w:rPr>
                <w:alias w:val="指定以公允价值计量且变动计入当期损益的金融资产公允价值合计"/>
                <w:tag w:val="_GBC_608bf5f3026e43eeb656c52703483147"/>
                <w:id w:val="24726693"/>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1,476,998,892.17</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w:t>
                </w:r>
                <w:r w:rsidRPr="0083744D">
                  <w:rPr>
                    <w:rFonts w:asciiTheme="minorEastAsia" w:hAnsiTheme="minorEastAsia" w:cs="Cambria"/>
                    <w:sz w:val="18"/>
                    <w:szCs w:val="18"/>
                  </w:rPr>
                  <w:t>1</w:t>
                </w:r>
                <w:r w:rsidRPr="0083744D">
                  <w:rPr>
                    <w:rFonts w:asciiTheme="minorEastAsia" w:hAnsiTheme="minorEastAsia" w:cs="Cambria" w:hint="eastAsia"/>
                    <w:sz w:val="18"/>
                    <w:szCs w:val="18"/>
                  </w:rPr>
                  <w:t>）债务工具投资</w:t>
                </w:r>
              </w:p>
            </w:tc>
            <w:sdt>
              <w:sdtPr>
                <w:rPr>
                  <w:rFonts w:asciiTheme="minorEastAsia" w:hAnsiTheme="minorEastAsia" w:cs="Cambria"/>
                  <w:sz w:val="18"/>
                  <w:szCs w:val="18"/>
                </w:rPr>
                <w:alias w:val="第一层次公允价值计量的指定以公允价值计量且变动计入当期损益的金融资产中的债务工具投资"/>
                <w:tag w:val="_GBC_ee31f4e05d16404084146306e9bc58c4"/>
                <w:id w:val="24726694"/>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第二层次公允价值计量的指定以公允价值计量且变动计入当期损益的金融资产中的债务工具投资"/>
                <w:tag w:val="_GBC_884040dd68d54b52a8efbfc23c5ccb2a"/>
                <w:id w:val="24726695"/>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第三层次公允价值计量的指定以公允价值计量且变动计入当期损益的金融资产中的债务工具投资"/>
                <w:tag w:val="_GBC_a26a08b6565f4fef8b37535150894aee"/>
                <w:id w:val="24726696"/>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指定以公允价值计量且变动计入当期损益的金融资产中的债务工具投资公允价值合计"/>
                <w:tag w:val="_GBC_055516198a094934a589298cd13cd23a"/>
                <w:id w:val="24726697"/>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w:t>
                </w:r>
                <w:r w:rsidRPr="0083744D">
                  <w:rPr>
                    <w:rFonts w:asciiTheme="minorEastAsia" w:hAnsiTheme="minorEastAsia" w:cs="Cambria"/>
                    <w:sz w:val="18"/>
                    <w:szCs w:val="18"/>
                  </w:rPr>
                  <w:t>2</w:t>
                </w:r>
                <w:r w:rsidRPr="0083744D">
                  <w:rPr>
                    <w:rFonts w:asciiTheme="minorEastAsia" w:hAnsiTheme="minorEastAsia" w:cs="Cambria" w:hint="eastAsia"/>
                    <w:sz w:val="18"/>
                    <w:szCs w:val="18"/>
                  </w:rPr>
                  <w:t>）权益工具投资</w:t>
                </w:r>
              </w:p>
            </w:tc>
            <w:sdt>
              <w:sdtPr>
                <w:rPr>
                  <w:rFonts w:asciiTheme="minorEastAsia" w:hAnsiTheme="minorEastAsia" w:cs="Cambria"/>
                  <w:sz w:val="18"/>
                  <w:szCs w:val="18"/>
                </w:rPr>
                <w:alias w:val="第一层次公允价值计量的指定以公允价值计量且变动计入当期损益的金融资产中的权益工具投资"/>
                <w:tag w:val="_GBC_96942e1f32694acb8150efcfbef4c0bf"/>
                <w:id w:val="24726698"/>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第二层次公允价值计量的指定以公允价值计量且变动计入当期损益的金融资产中的权益工具投资"/>
                <w:tag w:val="_GBC_5f879e4327404eeb82b089b1f659dc4f"/>
                <w:id w:val="24726699"/>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第三层次公允价值计量的指定以公允价值计量且变动计入当期损益的金融资产中的权益工具投资"/>
                <w:tag w:val="_GBC_74850738e7e94ae195be0acaab9a4ec3"/>
                <w:id w:val="24726700"/>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1,476,998,892.17</w:t>
                    </w:r>
                  </w:p>
                </w:tc>
              </w:sdtContent>
            </w:sdt>
            <w:sdt>
              <w:sdtPr>
                <w:rPr>
                  <w:rFonts w:asciiTheme="minorEastAsia" w:hAnsiTheme="minorEastAsia" w:cs="Cambria"/>
                  <w:sz w:val="18"/>
                  <w:szCs w:val="18"/>
                </w:rPr>
                <w:alias w:val="指定以公允价值计量且变动计入当期损益的金融资产中的权益工具投资公允价值合计"/>
                <w:tag w:val="_GBC_5c2f49ee77d346e184ad204e6d9d1f14"/>
                <w:id w:val="24726701"/>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1,476,998,892.17</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（二）可供出售金融资产</w:t>
                </w:r>
              </w:p>
            </w:tc>
            <w:sdt>
              <w:sdtPr>
                <w:rPr>
                  <w:rFonts w:asciiTheme="minorEastAsia" w:hAnsiTheme="minorEastAsia" w:cs="Cambria"/>
                  <w:sz w:val="18"/>
                  <w:szCs w:val="18"/>
                </w:rPr>
                <w:alias w:val="第一层次公允价值计量的可供出售金融资产"/>
                <w:tag w:val="_GBC_b0a91f768eb941edba2f7cdac9035d28"/>
                <w:id w:val="24726702"/>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5,411,268,909.33</w:t>
                    </w:r>
                  </w:p>
                </w:tc>
              </w:sdtContent>
            </w:sdt>
            <w:sdt>
              <w:sdtPr>
                <w:rPr>
                  <w:rFonts w:asciiTheme="minorEastAsia" w:hAnsiTheme="minorEastAsia" w:cs="Cambria"/>
                  <w:sz w:val="18"/>
                  <w:szCs w:val="18"/>
                </w:rPr>
                <w:alias w:val="第二层次公允价值计量的可供出售金融资产"/>
                <w:tag w:val="_GBC_9029bc4a32e14514a06176548ca5e3b2"/>
                <w:id w:val="24726703"/>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8,950,287,227.35</w:t>
                    </w:r>
                  </w:p>
                </w:tc>
              </w:sdtContent>
            </w:sdt>
            <w:sdt>
              <w:sdtPr>
                <w:rPr>
                  <w:rFonts w:asciiTheme="minorEastAsia" w:hAnsiTheme="minorEastAsia" w:cs="Cambria"/>
                  <w:sz w:val="18"/>
                  <w:szCs w:val="18"/>
                </w:rPr>
                <w:alias w:val="第三层次公允价值计量的可供出售金融资产"/>
                <w:tag w:val="_GBC_36df27cbd7234c66815b6a2850b3f870"/>
                <w:id w:val="24726704"/>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84,495,710.50</w:t>
                    </w:r>
                  </w:p>
                </w:tc>
              </w:sdtContent>
            </w:sdt>
            <w:sdt>
              <w:sdtPr>
                <w:rPr>
                  <w:rFonts w:asciiTheme="minorEastAsia" w:hAnsiTheme="minorEastAsia" w:cs="Cambria"/>
                  <w:sz w:val="18"/>
                  <w:szCs w:val="18"/>
                </w:rPr>
                <w:alias w:val="公允价值计量的可供出售金融资产"/>
                <w:tag w:val="_GBC_7734bf6553a04d948fb5bb5bc31e318e"/>
                <w:id w:val="24726705"/>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14,446,051,847.18</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w:t>
                </w:r>
                <w:r w:rsidRPr="0083744D">
                  <w:rPr>
                    <w:rFonts w:asciiTheme="minorEastAsia" w:hAnsiTheme="minorEastAsia" w:cs="Cambria"/>
                    <w:sz w:val="18"/>
                    <w:szCs w:val="18"/>
                  </w:rPr>
                  <w:t>1</w:t>
                </w:r>
                <w:r w:rsidRPr="0083744D">
                  <w:rPr>
                    <w:rFonts w:asciiTheme="minorEastAsia" w:hAnsiTheme="minorEastAsia" w:cs="Cambria" w:hint="eastAsia"/>
                    <w:sz w:val="18"/>
                    <w:szCs w:val="18"/>
                  </w:rPr>
                  <w:t>）债务工具投资</w:t>
                </w:r>
              </w:p>
            </w:tc>
            <w:sdt>
              <w:sdtPr>
                <w:rPr>
                  <w:rFonts w:asciiTheme="minorEastAsia" w:hAnsiTheme="minorEastAsia" w:cs="Cambria"/>
                  <w:sz w:val="18"/>
                  <w:szCs w:val="18"/>
                </w:rPr>
                <w:alias w:val="第一层次公允价值计量的可供出售金融资产中的债务工具投资"/>
                <w:tag w:val="_GBC_8706bd4bead94e129e96fedc661ae7cb"/>
                <w:id w:val="24726706"/>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4,621,213,749.16</w:t>
                    </w:r>
                  </w:p>
                </w:tc>
              </w:sdtContent>
            </w:sdt>
            <w:sdt>
              <w:sdtPr>
                <w:rPr>
                  <w:rFonts w:asciiTheme="minorEastAsia" w:hAnsiTheme="minorEastAsia" w:cs="Cambria"/>
                  <w:sz w:val="18"/>
                  <w:szCs w:val="18"/>
                </w:rPr>
                <w:alias w:val="第二层次公允价值计量的可供出售金融资产中的债务工具投资"/>
                <w:tag w:val="_GBC_77a1bdd7a53441d6966a52988bbe8820"/>
                <w:id w:val="24726707"/>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Pr>
                        <w:rFonts w:asciiTheme="minorEastAsia" w:hAnsiTheme="minorEastAsia" w:cs="Cambria"/>
                        <w:sz w:val="18"/>
                        <w:szCs w:val="18"/>
                      </w:rPr>
                      <w:t>6,255,838,640.00</w:t>
                    </w:r>
                  </w:p>
                </w:tc>
              </w:sdtContent>
            </w:sdt>
            <w:sdt>
              <w:sdtPr>
                <w:rPr>
                  <w:rFonts w:asciiTheme="minorEastAsia" w:hAnsiTheme="minorEastAsia" w:cs="Cambria"/>
                  <w:sz w:val="18"/>
                  <w:szCs w:val="18"/>
                </w:rPr>
                <w:alias w:val="第三层次公允价值计量的可供出售金融资产中的债务工具投资"/>
                <w:tag w:val="_GBC_6ae92c1b358c49fb8c36a795c3ede51b"/>
                <w:id w:val="24726708"/>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可供出售金融资产中的债务工具投资公允价值合计"/>
                <w:tag w:val="_GBC_c01c6a56ac064ce9851c958e6e7d192d"/>
                <w:id w:val="24726709"/>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Pr>
                        <w:rFonts w:asciiTheme="minorEastAsia" w:hAnsiTheme="minorEastAsia" w:cs="Cambria"/>
                        <w:sz w:val="18"/>
                        <w:szCs w:val="18"/>
                      </w:rPr>
                      <w:t>10,877,052,389.16</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lastRenderedPageBreak/>
                  <w:t>（</w:t>
                </w:r>
                <w:r w:rsidRPr="0083744D">
                  <w:rPr>
                    <w:rFonts w:asciiTheme="minorEastAsia" w:hAnsiTheme="minorEastAsia" w:cs="Cambria"/>
                    <w:sz w:val="18"/>
                    <w:szCs w:val="18"/>
                  </w:rPr>
                  <w:t>2</w:t>
                </w:r>
                <w:r w:rsidRPr="0083744D">
                  <w:rPr>
                    <w:rFonts w:asciiTheme="minorEastAsia" w:hAnsiTheme="minorEastAsia" w:cs="Cambria" w:hint="eastAsia"/>
                    <w:sz w:val="18"/>
                    <w:szCs w:val="18"/>
                  </w:rPr>
                  <w:t>）权益工具投资</w:t>
                </w:r>
              </w:p>
            </w:tc>
            <w:sdt>
              <w:sdtPr>
                <w:rPr>
                  <w:rFonts w:asciiTheme="minorEastAsia" w:hAnsiTheme="minorEastAsia" w:cs="Cambria"/>
                  <w:sz w:val="18"/>
                  <w:szCs w:val="18"/>
                </w:rPr>
                <w:alias w:val="第一层次公允价值计量的可供出售金融资产中的权益工具投资"/>
                <w:tag w:val="_GBC_1bd2dd29d8054cfab5085c1253093d62"/>
                <w:id w:val="24726710"/>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790,055,160.17</w:t>
                    </w:r>
                  </w:p>
                </w:tc>
              </w:sdtContent>
            </w:sdt>
            <w:sdt>
              <w:sdtPr>
                <w:rPr>
                  <w:rFonts w:asciiTheme="minorEastAsia" w:hAnsiTheme="minorEastAsia" w:cs="Cambria"/>
                  <w:sz w:val="18"/>
                  <w:szCs w:val="18"/>
                </w:rPr>
                <w:alias w:val="第二层次公允价值计量的可供出售金融资产中的权益工具投资"/>
                <w:tag w:val="_GBC_e1db27167107413fbb554e3155df974b"/>
                <w:id w:val="24726711"/>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Pr>
                        <w:rFonts w:asciiTheme="minorEastAsia" w:hAnsiTheme="minorEastAsia" w:cs="Cambria"/>
                        <w:sz w:val="18"/>
                        <w:szCs w:val="18"/>
                      </w:rPr>
                      <w:t>2,694,448,587.35</w:t>
                    </w:r>
                  </w:p>
                </w:tc>
              </w:sdtContent>
            </w:sdt>
            <w:sdt>
              <w:sdtPr>
                <w:rPr>
                  <w:rFonts w:asciiTheme="minorEastAsia" w:hAnsiTheme="minorEastAsia" w:cs="Cambria"/>
                  <w:sz w:val="18"/>
                  <w:szCs w:val="18"/>
                </w:rPr>
                <w:alias w:val="第三层次公允价值计量的可供出售金融资产中的权益工具投资"/>
                <w:tag w:val="_GBC_f45567a4100e484da57c3fc792d238c6"/>
                <w:id w:val="24726712"/>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84,495,710.50</w:t>
                    </w:r>
                  </w:p>
                </w:tc>
              </w:sdtContent>
            </w:sdt>
            <w:sdt>
              <w:sdtPr>
                <w:rPr>
                  <w:rFonts w:asciiTheme="minorEastAsia" w:hAnsiTheme="minorEastAsia" w:cs="Cambria"/>
                  <w:sz w:val="18"/>
                  <w:szCs w:val="18"/>
                </w:rPr>
                <w:alias w:val="可供出售金融资产中的权益工具投资公允价值合计"/>
                <w:tag w:val="_GBC_48625f3f4c414dc2abc0d71a39ea838b"/>
                <w:id w:val="24726713"/>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Pr>
                        <w:rFonts w:asciiTheme="minorEastAsia" w:hAnsiTheme="minorEastAsia" w:cs="Cambria"/>
                        <w:sz w:val="18"/>
                        <w:szCs w:val="18"/>
                      </w:rPr>
                      <w:t>3,568,999,458.02</w:t>
                    </w:r>
                  </w:p>
                </w:tc>
              </w:sdtContent>
            </w:sdt>
          </w:tr>
          <w:tr w:rsidR="00DE031E" w:rsidRPr="0083744D" w:rsidTr="00DE031E">
            <w:trPr>
              <w:trHeight w:val="273"/>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b/>
                    <w:sz w:val="18"/>
                    <w:szCs w:val="18"/>
                  </w:rPr>
                </w:pPr>
                <w:r w:rsidRPr="0083744D">
                  <w:rPr>
                    <w:rFonts w:asciiTheme="minorEastAsia" w:hAnsiTheme="minorEastAsia" w:cs="Cambria" w:hint="eastAsia"/>
                    <w:b/>
                    <w:sz w:val="18"/>
                    <w:szCs w:val="18"/>
                  </w:rPr>
                  <w:t>持续以公允价值计量的资产总额</w:t>
                </w:r>
              </w:p>
            </w:tc>
            <w:sdt>
              <w:sdtPr>
                <w:rPr>
                  <w:rFonts w:asciiTheme="minorEastAsia" w:hAnsiTheme="minorEastAsia" w:cs="Cambria"/>
                  <w:sz w:val="18"/>
                  <w:szCs w:val="18"/>
                </w:rPr>
                <w:alias w:val="第一层次公允价值计量的持续以公允价值计量的资产总额"/>
                <w:tag w:val="_GBC_cae6b5702bb3422184fb01dc161c1e3b"/>
                <w:id w:val="24726714"/>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39,215,180,026.41</w:t>
                    </w:r>
                  </w:p>
                </w:tc>
              </w:sdtContent>
            </w:sdt>
            <w:sdt>
              <w:sdtPr>
                <w:rPr>
                  <w:rFonts w:asciiTheme="minorEastAsia" w:hAnsiTheme="minorEastAsia" w:cs="Cambria"/>
                  <w:sz w:val="18"/>
                  <w:szCs w:val="18"/>
                </w:rPr>
                <w:alias w:val="第二层次公允价值计量的持续以公允价值计量的资产总额"/>
                <w:tag w:val="_GBC_8cc6730155854fde9ffab9bd827d8692"/>
                <w:id w:val="24726715"/>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29,879,909,086.82</w:t>
                    </w:r>
                  </w:p>
                </w:tc>
              </w:sdtContent>
            </w:sdt>
            <w:sdt>
              <w:sdtPr>
                <w:rPr>
                  <w:rFonts w:asciiTheme="minorEastAsia" w:hAnsiTheme="minorEastAsia" w:cs="Cambria"/>
                  <w:sz w:val="18"/>
                  <w:szCs w:val="18"/>
                </w:rPr>
                <w:alias w:val="第三层次公允价值计量的持续以公允价值计量的资产总额"/>
                <w:tag w:val="_GBC_c4f2fb084761441a81da15b2d4385758"/>
                <w:id w:val="24726716"/>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1,650,562,408.88</w:t>
                    </w:r>
                  </w:p>
                </w:tc>
              </w:sdtContent>
            </w:sdt>
            <w:sdt>
              <w:sdtPr>
                <w:rPr>
                  <w:rFonts w:asciiTheme="minorEastAsia" w:hAnsiTheme="minorEastAsia" w:cs="Cambria"/>
                  <w:sz w:val="18"/>
                  <w:szCs w:val="18"/>
                </w:rPr>
                <w:alias w:val="持续以公允价值计量的资产总额合计"/>
                <w:tag w:val="_GBC_443614f2a720494ebc2fde2fdfae8be2"/>
                <w:id w:val="24726717"/>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70,745,651,522.11</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（三）</w:t>
                </w:r>
                <w:r w:rsidRPr="0083744D">
                  <w:rPr>
                    <w:rFonts w:asciiTheme="minorEastAsia" w:hAnsiTheme="minorEastAsia" w:cs="Cambria" w:hint="eastAsia"/>
                    <w:sz w:val="18"/>
                    <w:szCs w:val="18"/>
                    <w:shd w:val="clear" w:color="auto" w:fill="FFFFFF"/>
                  </w:rPr>
                  <w:t>交易性金融负债</w:t>
                </w:r>
              </w:p>
            </w:tc>
            <w:sdt>
              <w:sdtPr>
                <w:rPr>
                  <w:rFonts w:asciiTheme="minorEastAsia" w:hAnsiTheme="minorEastAsia" w:cs="Cambria"/>
                  <w:sz w:val="18"/>
                  <w:szCs w:val="18"/>
                </w:rPr>
                <w:alias w:val="第一层次公允价值计量的交易性金融负债"/>
                <w:tag w:val="_GBC_c418f98b7f9b47c6beded2feaa1bd9f7"/>
                <w:id w:val="24726718"/>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400,150,365.69</w:t>
                    </w:r>
                  </w:p>
                </w:tc>
              </w:sdtContent>
            </w:sdt>
            <w:sdt>
              <w:sdtPr>
                <w:rPr>
                  <w:rFonts w:asciiTheme="minorEastAsia" w:hAnsiTheme="minorEastAsia" w:cs="Cambria"/>
                  <w:sz w:val="18"/>
                  <w:szCs w:val="18"/>
                </w:rPr>
                <w:alias w:val="第二层次公允价值计量的交易性金融负债"/>
                <w:tag w:val="_GBC_e3c2ac9e00914e60bd38e90ca4750853"/>
                <w:id w:val="24726719"/>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3,568,339,103.46</w:t>
                    </w:r>
                  </w:p>
                </w:tc>
              </w:sdtContent>
            </w:sdt>
            <w:sdt>
              <w:sdtPr>
                <w:rPr>
                  <w:rFonts w:asciiTheme="minorEastAsia" w:hAnsiTheme="minorEastAsia" w:cs="Cambria"/>
                  <w:sz w:val="18"/>
                  <w:szCs w:val="18"/>
                </w:rPr>
                <w:alias w:val="第三层次公允价值计量的交易性金融负债"/>
                <w:tag w:val="_GBC_840b4c93ec184f44b3b2cd013cc467b8"/>
                <w:id w:val="24726720"/>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交易性金融负债公允价值合计"/>
                <w:tag w:val="_GBC_29f2d0bf0efa4efb8d108acf93adc297"/>
                <w:id w:val="24726721"/>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3,968,489,469.15</w:t>
                    </w:r>
                  </w:p>
                </w:tc>
              </w:sdtContent>
            </w:sdt>
          </w:tr>
          <w:tr w:rsidR="00DE031E" w:rsidRPr="0083744D" w:rsidTr="00DE031E">
            <w:trPr>
              <w:trHeight w:val="240"/>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其中：发行的交易性债券</w:t>
                </w:r>
              </w:p>
            </w:tc>
            <w:sdt>
              <w:sdtPr>
                <w:rPr>
                  <w:rFonts w:asciiTheme="minorEastAsia" w:hAnsiTheme="minorEastAsia" w:cs="Cambria"/>
                  <w:sz w:val="18"/>
                  <w:szCs w:val="18"/>
                </w:rPr>
                <w:alias w:val="第一层次公允价值计量的发行的交易性债券"/>
                <w:tag w:val="_GBC_afb5a442e72947caa20c751424473a47"/>
                <w:id w:val="24726722"/>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22,065,586.17</w:t>
                    </w:r>
                  </w:p>
                </w:tc>
              </w:sdtContent>
            </w:sdt>
            <w:sdt>
              <w:sdtPr>
                <w:rPr>
                  <w:rFonts w:asciiTheme="minorEastAsia" w:hAnsiTheme="minorEastAsia"/>
                  <w:sz w:val="18"/>
                  <w:szCs w:val="18"/>
                </w:rPr>
                <w:alias w:val="第二层次公允价值计量的发行的交易性债券"/>
                <w:tag w:val="_GBC_bf2d8577848e4893a77910c592c90df2"/>
                <w:id w:val="24726723"/>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rPr>
                        <w:rFonts w:asciiTheme="minorEastAsia" w:hAnsiTheme="minorEastAsia"/>
                        <w:sz w:val="18"/>
                        <w:szCs w:val="18"/>
                      </w:rPr>
                    </w:pPr>
                  </w:p>
                </w:tc>
              </w:sdtContent>
            </w:sdt>
            <w:sdt>
              <w:sdtPr>
                <w:rPr>
                  <w:rFonts w:asciiTheme="minorEastAsia" w:hAnsiTheme="minorEastAsia"/>
                  <w:sz w:val="18"/>
                  <w:szCs w:val="18"/>
                </w:rPr>
                <w:alias w:val="第三层次公允价值计量的发行的交易性债券"/>
                <w:tag w:val="_GBC_e09cc30c51b2469cb04269279aaaef90"/>
                <w:id w:val="24726724"/>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rPr>
                        <w:rFonts w:asciiTheme="minorEastAsia" w:hAnsiTheme="minorEastAsia"/>
                        <w:sz w:val="18"/>
                        <w:szCs w:val="18"/>
                      </w:rPr>
                    </w:pPr>
                  </w:p>
                </w:tc>
              </w:sdtContent>
            </w:sdt>
            <w:sdt>
              <w:sdtPr>
                <w:rPr>
                  <w:rFonts w:asciiTheme="minorEastAsia" w:hAnsiTheme="minorEastAsia"/>
                  <w:sz w:val="18"/>
                  <w:szCs w:val="18"/>
                </w:rPr>
                <w:alias w:val="发行的交易性债券公允价值合计"/>
                <w:tag w:val="_GBC_0d36a481c166425bb85dd984f028fe40"/>
                <w:id w:val="24726725"/>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rPr>
                        <w:rFonts w:asciiTheme="minorEastAsia" w:hAnsiTheme="minorEastAsia"/>
                        <w:sz w:val="18"/>
                        <w:szCs w:val="18"/>
                      </w:rPr>
                    </w:pPr>
                    <w:r w:rsidRPr="0083744D">
                      <w:rPr>
                        <w:rFonts w:asciiTheme="minorEastAsia" w:hAnsiTheme="minorEastAsia"/>
                        <w:sz w:val="18"/>
                        <w:szCs w:val="18"/>
                      </w:rPr>
                      <w:t>22,065,586.17</w:t>
                    </w:r>
                  </w:p>
                </w:tc>
              </w:sdtContent>
            </w:sdt>
          </w:tr>
          <w:tr w:rsidR="00DE031E" w:rsidRPr="0083744D" w:rsidTr="00DE031E">
            <w:trPr>
              <w:trHeight w:val="286"/>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tabs>
                    <w:tab w:val="left" w:pos="432"/>
                    <w:tab w:val="center" w:pos="5630"/>
                    <w:tab w:val="center" w:pos="7430"/>
                  </w:tabs>
                  <w:ind w:firstLineChars="300" w:firstLine="540"/>
                  <w:rPr>
                    <w:rFonts w:asciiTheme="minorEastAsia" w:hAnsiTheme="minorEastAsia" w:cs="Cambria"/>
                    <w:sz w:val="18"/>
                    <w:szCs w:val="18"/>
                  </w:rPr>
                </w:pPr>
                <w:r w:rsidRPr="0083744D">
                  <w:rPr>
                    <w:rFonts w:asciiTheme="minorEastAsia" w:hAnsiTheme="minorEastAsia" w:cs="Cambria" w:hint="eastAsia"/>
                    <w:sz w:val="18"/>
                    <w:szCs w:val="18"/>
                  </w:rPr>
                  <w:t>衍生金融负债</w:t>
                </w:r>
              </w:p>
            </w:tc>
            <w:sdt>
              <w:sdtPr>
                <w:rPr>
                  <w:rFonts w:asciiTheme="minorEastAsia" w:hAnsiTheme="minorEastAsia" w:cs="Cambria"/>
                  <w:sz w:val="18"/>
                  <w:szCs w:val="18"/>
                </w:rPr>
                <w:alias w:val="第一层次公允价值计量的衍生金融负债"/>
                <w:tag w:val="_GBC_5bac904763df4cb0b5f20554f9a4c3e6"/>
                <w:id w:val="24726726"/>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266,848,303.23</w:t>
                    </w:r>
                  </w:p>
                </w:tc>
              </w:sdtContent>
            </w:sdt>
            <w:sdt>
              <w:sdtPr>
                <w:rPr>
                  <w:rFonts w:asciiTheme="minorEastAsia" w:hAnsiTheme="minorEastAsia" w:cs="Cambria"/>
                  <w:sz w:val="18"/>
                  <w:szCs w:val="18"/>
                </w:rPr>
                <w:alias w:val="第二层次公允价值计量的衍生金融负债"/>
                <w:tag w:val="_GBC_3b06cdd21f3c40d087b04116162a62b7"/>
                <w:id w:val="24726727"/>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3,471,323,230.73</w:t>
                    </w:r>
                  </w:p>
                </w:tc>
              </w:sdtContent>
            </w:sdt>
            <w:sdt>
              <w:sdtPr>
                <w:rPr>
                  <w:rFonts w:asciiTheme="minorEastAsia" w:hAnsiTheme="minorEastAsia" w:cs="Cambria"/>
                  <w:sz w:val="18"/>
                  <w:szCs w:val="18"/>
                </w:rPr>
                <w:alias w:val="第三层次公允价值计量的衍生金融负债"/>
                <w:tag w:val="_GBC_cb9ae2743b5144ef90b25774ced42c15"/>
                <w:id w:val="24726728"/>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衍生金融负债公允价值合计"/>
                <w:tag w:val="_GBC_783c63b6e7f94599b35a2f3c67a4297a"/>
                <w:id w:val="24726729"/>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3,738,171,533.96</w:t>
                    </w:r>
                  </w:p>
                </w:tc>
              </w:sdtContent>
            </w:sdt>
          </w:tr>
          <w:tr w:rsidR="00DE031E" w:rsidRPr="0083744D" w:rsidTr="00DE031E">
            <w:trPr>
              <w:trHeight w:val="189"/>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tabs>
                    <w:tab w:val="left" w:pos="432"/>
                    <w:tab w:val="center" w:pos="5630"/>
                    <w:tab w:val="center" w:pos="7430"/>
                  </w:tabs>
                  <w:ind w:firstLineChars="300" w:firstLine="540"/>
                  <w:rPr>
                    <w:rFonts w:asciiTheme="minorEastAsia" w:hAnsiTheme="minorEastAsia" w:cs="Cambria"/>
                    <w:sz w:val="18"/>
                    <w:szCs w:val="18"/>
                  </w:rPr>
                </w:pPr>
                <w:r w:rsidRPr="0083744D">
                  <w:rPr>
                    <w:rFonts w:asciiTheme="minorEastAsia" w:hAnsiTheme="minorEastAsia" w:cs="Cambria" w:hint="eastAsia"/>
                    <w:sz w:val="18"/>
                    <w:szCs w:val="18"/>
                  </w:rPr>
                  <w:t>其他</w:t>
                </w:r>
              </w:p>
            </w:tc>
            <w:sdt>
              <w:sdtPr>
                <w:rPr>
                  <w:rFonts w:asciiTheme="minorEastAsia" w:hAnsiTheme="minorEastAsia" w:cs="Cambria"/>
                  <w:sz w:val="18"/>
                  <w:szCs w:val="18"/>
                </w:rPr>
                <w:alias w:val="第一层次公允价值计量的其他交易性金融负债"/>
                <w:tag w:val="_GBC_537d4b527eab48a8b28a931cda54fdcb"/>
                <w:id w:val="24726730"/>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111,236,476.29</w:t>
                    </w:r>
                  </w:p>
                </w:tc>
              </w:sdtContent>
            </w:sdt>
            <w:sdt>
              <w:sdtPr>
                <w:rPr>
                  <w:rFonts w:asciiTheme="minorEastAsia" w:hAnsiTheme="minorEastAsia" w:cs="Cambria"/>
                  <w:sz w:val="18"/>
                  <w:szCs w:val="18"/>
                </w:rPr>
                <w:alias w:val="第二层次公允价值计量的其他交易性金融负债"/>
                <w:tag w:val="_GBC_117a22e4508944e69361db0730613916"/>
                <w:id w:val="24726731"/>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97,015,872.73</w:t>
                    </w:r>
                  </w:p>
                </w:tc>
              </w:sdtContent>
            </w:sdt>
            <w:sdt>
              <w:sdtPr>
                <w:rPr>
                  <w:rFonts w:asciiTheme="minorEastAsia" w:hAnsiTheme="minorEastAsia" w:cs="Cambria"/>
                  <w:sz w:val="18"/>
                  <w:szCs w:val="18"/>
                </w:rPr>
                <w:alias w:val="第三层次公允价值计量的其他交易性金融负债"/>
                <w:tag w:val="_GBC_165221b195084357979ad91c6f551857"/>
                <w:id w:val="24726732"/>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其他交易性金融负债公允价值合计"/>
                <w:tag w:val="_GBC_54e4fd2138df40ecaa367dff5bb6d9b4"/>
                <w:id w:val="24726733"/>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208,252,349.02</w:t>
                    </w:r>
                  </w:p>
                </w:tc>
              </w:sdtContent>
            </w:sdt>
          </w:tr>
          <w:tr w:rsidR="00DE031E" w:rsidRPr="0083744D" w:rsidTr="00DE031E">
            <w:trPr>
              <w:trHeight w:val="468"/>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sz w:val="18"/>
                    <w:szCs w:val="18"/>
                  </w:rPr>
                </w:pPr>
                <w:r w:rsidRPr="0083744D">
                  <w:rPr>
                    <w:rFonts w:asciiTheme="minorEastAsia" w:hAnsiTheme="minorEastAsia" w:cs="Cambria" w:hint="eastAsia"/>
                    <w:sz w:val="18"/>
                    <w:szCs w:val="18"/>
                  </w:rPr>
                  <w:t>（四）指定为以公允价值计量且变动计入当期损益的金融负债</w:t>
                </w:r>
              </w:p>
            </w:tc>
            <w:sdt>
              <w:sdtPr>
                <w:rPr>
                  <w:rFonts w:asciiTheme="minorEastAsia" w:hAnsiTheme="minorEastAsia" w:cs="Cambria"/>
                  <w:sz w:val="18"/>
                  <w:szCs w:val="18"/>
                </w:rPr>
                <w:alias w:val="第一层次公允价值计量的以公允价值计量且变动计入当期损益的金融负债"/>
                <w:tag w:val="_GBC_c50fccbbdcb8473e9f1002f15ea9779d"/>
                <w:id w:val="24726734"/>
                <w:lock w:val="sdtLocked"/>
                <w:showingPlcHdr/>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C023DB" w:rsidP="00DE031E">
                    <w:pPr>
                      <w:jc w:val="right"/>
                      <w:outlineLvl w:val="2"/>
                      <w:rPr>
                        <w:rFonts w:asciiTheme="minorEastAsia" w:hAnsiTheme="minorEastAsia" w:cs="Cambria"/>
                        <w:sz w:val="18"/>
                        <w:szCs w:val="18"/>
                      </w:rPr>
                    </w:pPr>
                    <w:r>
                      <w:rPr>
                        <w:rFonts w:asciiTheme="minorEastAsia" w:hAnsiTheme="minorEastAsia" w:cs="Cambria"/>
                        <w:sz w:val="18"/>
                        <w:szCs w:val="18"/>
                      </w:rPr>
                      <w:t xml:space="preserve">     </w:t>
                    </w:r>
                  </w:p>
                </w:tc>
              </w:sdtContent>
            </w:sdt>
            <w:sdt>
              <w:sdtPr>
                <w:rPr>
                  <w:rFonts w:asciiTheme="minorEastAsia" w:hAnsiTheme="minorEastAsia" w:cs="Cambria"/>
                  <w:sz w:val="18"/>
                  <w:szCs w:val="18"/>
                </w:rPr>
                <w:alias w:val="第二层次公允价值计量的以公允价值计量且变动计入当期损益的金融负债"/>
                <w:tag w:val="_GBC_faa082874f6b438f91fa8ca402be9597"/>
                <w:id w:val="24726735"/>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第三层次公允价值计量的以公允价值计量且变动计入当期损益的金融负债"/>
                <w:tag w:val="_GBC_6a45d44ca6c042f690803158f8f81540"/>
                <w:id w:val="24726736"/>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以公允价值计量且变动计入当期损益的金融负债公允价值合计"/>
                <w:tag w:val="_GBC_272e9436be9c41d19b2fb89d05243bf1"/>
                <w:id w:val="24726737"/>
                <w:lock w:val="sdtLocked"/>
                <w:showingPlcHdr/>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tr>
          <w:tr w:rsidR="00DE031E" w:rsidRPr="0083744D" w:rsidTr="00DE031E">
            <w:trPr>
              <w:trHeight w:val="468"/>
              <w:jc w:val="center"/>
            </w:trPr>
            <w:tc>
              <w:tcPr>
                <w:tcW w:w="1352" w:type="pct"/>
                <w:tcBorders>
                  <w:top w:val="single" w:sz="4" w:space="0" w:color="auto"/>
                  <w:left w:val="single" w:sz="4" w:space="0" w:color="auto"/>
                  <w:bottom w:val="single" w:sz="4" w:space="0" w:color="auto"/>
                  <w:right w:val="single" w:sz="4" w:space="0" w:color="auto"/>
                </w:tcBorders>
                <w:shd w:val="clear" w:color="auto" w:fill="auto"/>
              </w:tcPr>
              <w:p w:rsidR="00DE031E" w:rsidRPr="0083744D" w:rsidRDefault="001C1A59" w:rsidP="00DE031E">
                <w:pPr>
                  <w:outlineLvl w:val="2"/>
                  <w:rPr>
                    <w:rFonts w:asciiTheme="minorEastAsia" w:hAnsiTheme="minorEastAsia" w:cs="Cambria"/>
                    <w:b/>
                    <w:sz w:val="18"/>
                    <w:szCs w:val="18"/>
                  </w:rPr>
                </w:pPr>
                <w:r w:rsidRPr="0083744D">
                  <w:rPr>
                    <w:rFonts w:asciiTheme="minorEastAsia" w:hAnsiTheme="minorEastAsia" w:cs="Cambria" w:hint="eastAsia"/>
                    <w:b/>
                    <w:sz w:val="18"/>
                    <w:szCs w:val="18"/>
                  </w:rPr>
                  <w:t>持续以公允价值计量的负债总额</w:t>
                </w:r>
              </w:p>
            </w:tc>
            <w:sdt>
              <w:sdtPr>
                <w:rPr>
                  <w:rFonts w:asciiTheme="minorEastAsia" w:hAnsiTheme="minorEastAsia" w:cs="Cambria"/>
                  <w:sz w:val="18"/>
                  <w:szCs w:val="18"/>
                </w:rPr>
                <w:alias w:val="第一层次公允价值计量的持续以公允价值计量的负债总额"/>
                <w:tag w:val="_GBC_b53b6875466e48cf8e52178aa439b3a8"/>
                <w:id w:val="24726738"/>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400,150,365.69</w:t>
                    </w:r>
                  </w:p>
                </w:tc>
              </w:sdtContent>
            </w:sdt>
            <w:sdt>
              <w:sdtPr>
                <w:rPr>
                  <w:rFonts w:asciiTheme="minorEastAsia" w:hAnsiTheme="minorEastAsia" w:cs="Cambria"/>
                  <w:sz w:val="18"/>
                  <w:szCs w:val="18"/>
                </w:rPr>
                <w:alias w:val="第二层次公允价值计量的持续以公允价值计量的负债总额"/>
                <w:tag w:val="_GBC_a53e998f76644e1da0f5b8da147d8dbe"/>
                <w:id w:val="24726739"/>
                <w:lock w:val="sdtLocked"/>
              </w:sdtPr>
              <w:sdtContent>
                <w:tc>
                  <w:tcPr>
                    <w:tcW w:w="944"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3,568,339,103.46</w:t>
                    </w:r>
                  </w:p>
                </w:tc>
              </w:sdtContent>
            </w:sdt>
            <w:sdt>
              <w:sdtPr>
                <w:rPr>
                  <w:rFonts w:asciiTheme="minorEastAsia" w:hAnsiTheme="minorEastAsia" w:cs="Cambria"/>
                  <w:sz w:val="18"/>
                  <w:szCs w:val="18"/>
                </w:rPr>
                <w:alias w:val="第三层次公允价值计量的持续以公允价值计量的负债总额"/>
                <w:tag w:val="_GBC_9f76e278009b4a739506f680ead5d017"/>
                <w:id w:val="24726740"/>
                <w:lock w:val="sdtLocked"/>
              </w:sdtPr>
              <w:sdtContent>
                <w:tc>
                  <w:tcPr>
                    <w:tcW w:w="981" w:type="pct"/>
                    <w:tcBorders>
                      <w:top w:val="single" w:sz="4" w:space="0" w:color="auto"/>
                      <w:left w:val="single" w:sz="4" w:space="0" w:color="auto"/>
                      <w:bottom w:val="single" w:sz="4" w:space="0" w:color="auto"/>
                      <w:right w:val="single" w:sz="4" w:space="0" w:color="auto"/>
                    </w:tcBorders>
                    <w:vAlign w:val="center"/>
                  </w:tcPr>
                  <w:p w:rsidR="00DE031E" w:rsidRPr="0083744D" w:rsidRDefault="00DE031E" w:rsidP="00DE031E">
                    <w:pPr>
                      <w:jc w:val="right"/>
                      <w:outlineLvl w:val="2"/>
                      <w:rPr>
                        <w:rFonts w:asciiTheme="minorEastAsia" w:hAnsiTheme="minorEastAsia" w:cs="Cambria"/>
                        <w:sz w:val="18"/>
                        <w:szCs w:val="18"/>
                      </w:rPr>
                    </w:pPr>
                  </w:p>
                </w:tc>
              </w:sdtContent>
            </w:sdt>
            <w:sdt>
              <w:sdtPr>
                <w:rPr>
                  <w:rFonts w:asciiTheme="minorEastAsia" w:hAnsiTheme="minorEastAsia" w:cs="Cambria"/>
                  <w:sz w:val="18"/>
                  <w:szCs w:val="18"/>
                </w:rPr>
                <w:alias w:val="持续以公允价值计量的负债总额合计"/>
                <w:tag w:val="_GBC_734e7cd912a146cbbac9a856194806ad"/>
                <w:id w:val="24726741"/>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E031E" w:rsidRPr="0083744D" w:rsidRDefault="001C1A59" w:rsidP="00DE031E">
                    <w:pPr>
                      <w:jc w:val="right"/>
                      <w:outlineLvl w:val="2"/>
                      <w:rPr>
                        <w:rFonts w:asciiTheme="minorEastAsia" w:hAnsiTheme="minorEastAsia" w:cs="Cambria"/>
                        <w:sz w:val="18"/>
                        <w:szCs w:val="18"/>
                      </w:rPr>
                    </w:pPr>
                    <w:r w:rsidRPr="0083744D">
                      <w:rPr>
                        <w:rFonts w:asciiTheme="minorEastAsia" w:hAnsiTheme="minorEastAsia" w:cs="Cambria"/>
                        <w:sz w:val="18"/>
                        <w:szCs w:val="18"/>
                      </w:rPr>
                      <w:t>3,968,489,469.15</w:t>
                    </w:r>
                  </w:p>
                </w:tc>
              </w:sdtContent>
            </w:sdt>
          </w:tr>
        </w:tbl>
        <w:p w:rsidR="00DE031E" w:rsidRDefault="001C1A59" w:rsidP="003A0284">
          <w:pPr>
            <w:tabs>
              <w:tab w:val="left" w:pos="1134"/>
            </w:tabs>
            <w:spacing w:beforeLines="50" w:line="360" w:lineRule="auto"/>
            <w:rPr>
              <w:rFonts w:cs="Cambria"/>
              <w:b/>
              <w:szCs w:val="21"/>
            </w:rPr>
          </w:pPr>
          <w:r w:rsidRPr="00437FB4">
            <w:rPr>
              <w:rFonts w:ascii="Arial" w:hAnsi="Arial" w:cs="Arial"/>
              <w:sz w:val="22"/>
              <w:szCs w:val="22"/>
            </w:rPr>
            <w:t>注：衍生金融资产</w:t>
          </w:r>
          <w:r w:rsidRPr="00437FB4">
            <w:rPr>
              <w:rFonts w:ascii="Arial" w:hAnsi="Arial" w:cs="Arial"/>
              <w:sz w:val="22"/>
              <w:szCs w:val="22"/>
            </w:rPr>
            <w:t>/</w:t>
          </w:r>
          <w:r w:rsidRPr="00437FB4">
            <w:rPr>
              <w:rFonts w:ascii="Arial" w:hAnsi="Arial" w:cs="Arial"/>
              <w:sz w:val="22"/>
              <w:szCs w:val="22"/>
            </w:rPr>
            <w:t>负债所列示金额为与</w:t>
          </w:r>
          <w:r w:rsidRPr="00437FB4">
            <w:rPr>
              <w:rFonts w:ascii="Arial" w:hAnsi="Arial" w:cs="Arial"/>
              <w:sz w:val="22"/>
              <w:szCs w:val="22"/>
            </w:rPr>
            <w:t>“</w:t>
          </w:r>
          <w:r w:rsidRPr="00437FB4">
            <w:rPr>
              <w:rFonts w:ascii="Arial" w:hAnsi="Arial" w:cs="Arial"/>
              <w:sz w:val="22"/>
              <w:szCs w:val="22"/>
            </w:rPr>
            <w:t>应付</w:t>
          </w:r>
          <w:r w:rsidRPr="00437FB4">
            <w:rPr>
              <w:rFonts w:ascii="Arial" w:hAnsi="Arial" w:cs="Arial"/>
              <w:sz w:val="22"/>
              <w:szCs w:val="22"/>
            </w:rPr>
            <w:t>/</w:t>
          </w:r>
          <w:r w:rsidRPr="00437FB4">
            <w:rPr>
              <w:rFonts w:ascii="Arial" w:hAnsi="Arial" w:cs="Arial"/>
              <w:sz w:val="22"/>
              <w:szCs w:val="22"/>
            </w:rPr>
            <w:t>应收款项每日无负债结算暂收暂付款</w:t>
          </w:r>
          <w:r w:rsidRPr="00437FB4">
            <w:rPr>
              <w:rFonts w:ascii="Arial" w:hAnsi="Arial" w:cs="Arial"/>
              <w:sz w:val="22"/>
              <w:szCs w:val="22"/>
            </w:rPr>
            <w:t>”</w:t>
          </w:r>
          <w:r w:rsidRPr="00437FB4">
            <w:rPr>
              <w:rFonts w:ascii="Arial" w:hAnsi="Arial" w:cs="Arial"/>
              <w:sz w:val="22"/>
              <w:szCs w:val="22"/>
            </w:rPr>
            <w:t>抵销前的金额。</w:t>
          </w:r>
        </w:p>
      </w:sdtContent>
    </w:sdt>
    <w:sdt>
      <w:sdtPr>
        <w:rPr>
          <w:rFonts w:ascii="宋体" w:hAnsi="宋体" w:cs="Arial" w:hint="eastAsia"/>
          <w:b w:val="0"/>
          <w:bCs w:val="0"/>
          <w:kern w:val="0"/>
          <w:szCs w:val="21"/>
        </w:rPr>
        <w:tag w:val="_GBC_9cf59ced96b14247921100dffef5784f"/>
        <w:id w:val="24726744"/>
        <w:lock w:val="sdtLocked"/>
        <w:placeholder>
          <w:docPart w:val="GBC22222222222222222222222222222"/>
        </w:placeholder>
      </w:sdtPr>
      <w:sdtEndPr>
        <w:rPr>
          <w:rFonts w:cs="Cambria"/>
          <w:b/>
        </w:rPr>
      </w:sdtEndPr>
      <w:sdtContent>
        <w:p w:rsidR="00DE031E" w:rsidRDefault="001C1A59" w:rsidP="009950AC">
          <w:pPr>
            <w:pStyle w:val="3"/>
            <w:numPr>
              <w:ilvl w:val="0"/>
              <w:numId w:val="69"/>
            </w:numPr>
            <w:spacing w:line="360" w:lineRule="auto"/>
            <w:rPr>
              <w:rFonts w:ascii="宋体" w:hAnsi="宋体" w:cs="Arial"/>
              <w:szCs w:val="21"/>
            </w:rPr>
          </w:pPr>
          <w:r>
            <w:rPr>
              <w:rFonts w:ascii="宋体" w:hAnsi="宋体" w:cs="Arial" w:hint="eastAsia"/>
              <w:szCs w:val="21"/>
            </w:rPr>
            <w:t>持续和非持续第一层次公允价值计量项目市价的确定依据</w:t>
          </w:r>
        </w:p>
        <w:p w:rsidR="00DE031E" w:rsidRPr="007075DA" w:rsidRDefault="00422DCA" w:rsidP="00DE031E">
          <w:pPr>
            <w:spacing w:line="360" w:lineRule="auto"/>
            <w:ind w:firstLineChars="200" w:firstLine="420"/>
            <w:rPr>
              <w:rFonts w:cs="Arial"/>
              <w:szCs w:val="21"/>
            </w:rPr>
          </w:pPr>
          <w:sdt>
            <w:sdtPr>
              <w:rPr>
                <w:rFonts w:cs="Arial" w:hint="eastAsia"/>
                <w:szCs w:val="21"/>
              </w:rPr>
              <w:alias w:val="持续和非持续第一层次公允价值计量项目市价的确定依据"/>
              <w:tag w:val="_GBC_8db65a2ca59047da919942f97cfc594e"/>
              <w:id w:val="24726743"/>
              <w:lock w:val="sdtLocked"/>
              <w:placeholder>
                <w:docPart w:val="GBC22222222222222222222222222222"/>
              </w:placeholder>
            </w:sdtPr>
            <w:sdtContent>
              <w:r w:rsidR="001C1A59" w:rsidRPr="00437FB4">
                <w:rPr>
                  <w:rFonts w:ascii="Arial" w:hAnsi="Arial" w:cs="Arial"/>
                  <w:sz w:val="22"/>
                  <w:szCs w:val="22"/>
                </w:rPr>
                <w:t>本公司将集中交易系统挂牌的股票、债券、基金等金融工具作为第一层次公允价值计量项目，其公允价值根据交易场所（或清算机构）公布的收盘价或结算价确定。</w:t>
              </w:r>
            </w:sdtContent>
          </w:sdt>
        </w:p>
      </w:sdtContent>
    </w:sdt>
    <w:sdt>
      <w:sdtPr>
        <w:rPr>
          <w:rFonts w:ascii="宋体" w:hAnsi="宋体" w:cs="Arial" w:hint="eastAsia"/>
          <w:b w:val="0"/>
          <w:bCs w:val="0"/>
          <w:kern w:val="0"/>
          <w:szCs w:val="21"/>
        </w:rPr>
        <w:tag w:val="_GBC_8e00be36ed6245f895b032b3059a4854"/>
        <w:id w:val="24726746"/>
        <w:lock w:val="sdtLocked"/>
        <w:placeholder>
          <w:docPart w:val="GBC22222222222222222222222222222"/>
        </w:placeholder>
      </w:sdtPr>
      <w:sdtEndPr>
        <w:rPr>
          <w:rFonts w:cs="Cambria" w:hint="default"/>
        </w:rPr>
      </w:sdtEndPr>
      <w:sdtContent>
        <w:p w:rsidR="00DE031E" w:rsidRDefault="001C1A59" w:rsidP="009950AC">
          <w:pPr>
            <w:pStyle w:val="3"/>
            <w:numPr>
              <w:ilvl w:val="0"/>
              <w:numId w:val="69"/>
            </w:numPr>
            <w:spacing w:line="360" w:lineRule="auto"/>
          </w:pPr>
          <w:r>
            <w:rPr>
              <w:rFonts w:ascii="宋体" w:hAnsi="宋体" w:cs="Arial" w:hint="eastAsia"/>
              <w:szCs w:val="21"/>
            </w:rPr>
            <w:t>持续和非持续第二层次公允价值计量项目，采用的估值技术和重要参数的定性及定量信息</w:t>
          </w:r>
        </w:p>
        <w:sdt>
          <w:sdtPr>
            <w:rPr>
              <w:rFonts w:cs="Cambria"/>
              <w:szCs w:val="21"/>
            </w:rPr>
            <w:alias w:val="持续和非持续第二层次公允价值计量项目，采用的估值技术和重要参数的定性及定量信息"/>
            <w:tag w:val="_GBC_406ac04d46a9411bb4890572e539e6ca"/>
            <w:id w:val="24726745"/>
            <w:lock w:val="sdtLocked"/>
            <w:placeholder>
              <w:docPart w:val="GBC22222222222222222222222222222"/>
            </w:placeholder>
          </w:sdtPr>
          <w:sdtContent>
            <w:p w:rsidR="00DE031E" w:rsidRPr="007075DA" w:rsidRDefault="001C1A59" w:rsidP="00DE031E">
              <w:pPr>
                <w:tabs>
                  <w:tab w:val="left" w:pos="1134"/>
                </w:tabs>
                <w:spacing w:line="360" w:lineRule="auto"/>
                <w:ind w:firstLineChars="200" w:firstLine="420"/>
                <w:rPr>
                  <w:rFonts w:cs="Cambria"/>
                  <w:szCs w:val="21"/>
                </w:rPr>
              </w:pPr>
              <w:r w:rsidRPr="00437FB4">
                <w:rPr>
                  <w:rFonts w:ascii="Arial" w:hAnsi="Arial" w:cs="Arial"/>
                  <w:sz w:val="22"/>
                  <w:szCs w:val="22"/>
                </w:rPr>
                <w:t>本公司将银行间市场债券、证券公司理财产品、限售股以及场外衍生工具等作为第二层次公允价值计量项目，本公司在确定公允价值时，优先选择权威第三方机构公布的推荐估值，如中国债券登记结算公司提供的债券估值，若无法直接获取权威第三方机构公布的推荐估值，本公司将采用管理人公布的估值、估值模型等估值</w:t>
              </w:r>
              <w:r w:rsidRPr="00437FB4">
                <w:rPr>
                  <w:rFonts w:ascii="Arial" w:hAnsi="Arial" w:cs="Arial" w:hint="eastAsia"/>
                  <w:sz w:val="22"/>
                  <w:szCs w:val="22"/>
                </w:rPr>
                <w:t>方法</w:t>
              </w:r>
              <w:r w:rsidRPr="00437FB4">
                <w:rPr>
                  <w:rFonts w:ascii="Arial" w:hAnsi="Arial" w:cs="Arial"/>
                  <w:sz w:val="22"/>
                  <w:szCs w:val="22"/>
                </w:rPr>
                <w:t>对第二层次公允价值计量项目进行估值。</w:t>
              </w:r>
            </w:p>
          </w:sdtContent>
        </w:sdt>
      </w:sdtContent>
    </w:sdt>
    <w:sdt>
      <w:sdtPr>
        <w:rPr>
          <w:rFonts w:ascii="宋体" w:hAnsi="宋体" w:cs="Arial" w:hint="eastAsia"/>
          <w:b w:val="0"/>
          <w:bCs w:val="0"/>
          <w:kern w:val="0"/>
          <w:szCs w:val="21"/>
        </w:rPr>
        <w:tag w:val="_GBC_5d389bac3ad747a292eb45fd87ce5896"/>
        <w:id w:val="24726748"/>
        <w:lock w:val="sdtLocked"/>
        <w:placeholder>
          <w:docPart w:val="GBC22222222222222222222222222222"/>
        </w:placeholder>
      </w:sdtPr>
      <w:sdtEndPr>
        <w:rPr>
          <w:rFonts w:cs="Cambria"/>
        </w:rPr>
      </w:sdtEndPr>
      <w:sdtContent>
        <w:p w:rsidR="00DE031E" w:rsidRDefault="001C1A59" w:rsidP="009950AC">
          <w:pPr>
            <w:pStyle w:val="3"/>
            <w:numPr>
              <w:ilvl w:val="0"/>
              <w:numId w:val="69"/>
            </w:numPr>
            <w:spacing w:line="360" w:lineRule="auto"/>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持续和非持续第三层次公允价值计量项目，采用的估值技术和重要参数的定性及定量信息"/>
            <w:tag w:val="_GBC_db2fdcfb26ce4ca9ac1e8da23b16aaaa"/>
            <w:id w:val="24726747"/>
            <w:lock w:val="sdtLocked"/>
            <w:placeholder>
              <w:docPart w:val="GBC22222222222222222222222222222"/>
            </w:placeholder>
          </w:sdtPr>
          <w:sdtContent>
            <w:p w:rsidR="00DE031E" w:rsidRPr="007075DA" w:rsidRDefault="001C1A59" w:rsidP="00DE031E">
              <w:pPr>
                <w:spacing w:line="360" w:lineRule="auto"/>
                <w:ind w:firstLineChars="200" w:firstLine="420"/>
                <w:rPr>
                  <w:szCs w:val="21"/>
                </w:rPr>
              </w:pPr>
              <w:r w:rsidRPr="00437FB4">
                <w:rPr>
                  <w:rFonts w:ascii="Arial" w:hAnsi="Arial" w:cs="Arial"/>
                  <w:sz w:val="22"/>
                  <w:szCs w:val="22"/>
                </w:rPr>
                <w:t>本公司将有限合伙私募股权投资、非上市股权等作为第三层级公允价值计量项目，在对有限合伙私募股权投资进行估值时，本公司采用管理人提供的净值作为其公允价值；在对非上市股权进行估值时，本公司对于能够取得实际交易价格的，采用实际交易价格作为其公允价值，对于公允价值不能可靠计量的非上市股权，本公司采用成本法进行计量。</w:t>
              </w:r>
            </w:p>
          </w:sdtContent>
        </w:sdt>
      </w:sdtContent>
    </w:sdt>
    <w:sdt>
      <w:sdtPr>
        <w:rPr>
          <w:rFonts w:ascii="宋体" w:hAnsi="宋体" w:cs="宋体" w:hint="eastAsia"/>
          <w:b w:val="0"/>
          <w:bCs w:val="0"/>
          <w:kern w:val="0"/>
          <w:szCs w:val="24"/>
        </w:rPr>
        <w:tag w:val="_GBC_353ab3e0cb19455ab2c2c2a397421afe"/>
        <w:id w:val="24726750"/>
        <w:lock w:val="sdtLocked"/>
        <w:placeholder>
          <w:docPart w:val="GBC22222222222222222222222222222"/>
        </w:placeholder>
      </w:sdtPr>
      <w:sdtEndPr>
        <w:rPr>
          <w:rFonts w:cs="Cambria"/>
          <w:szCs w:val="21"/>
        </w:rPr>
      </w:sdtEndPr>
      <w:sdtContent>
        <w:p w:rsidR="00DE031E" w:rsidRDefault="001C1A59" w:rsidP="009950AC">
          <w:pPr>
            <w:pStyle w:val="3"/>
            <w:numPr>
              <w:ilvl w:val="0"/>
              <w:numId w:val="69"/>
            </w:numPr>
            <w:spacing w:line="360" w:lineRule="auto"/>
          </w:pPr>
          <w:r>
            <w:rPr>
              <w:rFonts w:hint="eastAsia"/>
            </w:rPr>
            <w:t>持续的第三层次公允价值计量项目，期初与期末账面价值间的调节信息及不可观察参数敏感性分析</w:t>
          </w:r>
        </w:p>
        <w:sdt>
          <w:sdtPr>
            <w:rPr>
              <w:rFonts w:ascii="宋体" w:hAnsi="宋体" w:cs="宋体" w:hint="eastAsia"/>
              <w:kern w:val="0"/>
              <w:szCs w:val="21"/>
            </w:rPr>
            <w:alias w:val="持续的第三层次公允价值计量的项目期初与期末账面价值之间的调节信息及不可观察参数的敏感性分析"/>
            <w:tag w:val="_GBC_954b4040e118418f971665f0ac24c423"/>
            <w:id w:val="24726749"/>
            <w:lock w:val="sdtLocked"/>
            <w:placeholder>
              <w:docPart w:val="GBC22222222222222222222222222222"/>
            </w:placeholder>
          </w:sdtPr>
          <w:sdtContent>
            <w:p w:rsidR="00DE031E" w:rsidRPr="00C317E1" w:rsidRDefault="001C1A59" w:rsidP="009950AC">
              <w:pPr>
                <w:pStyle w:val="a9"/>
                <w:numPr>
                  <w:ilvl w:val="0"/>
                  <w:numId w:val="70"/>
                </w:numPr>
                <w:spacing w:line="360" w:lineRule="auto"/>
                <w:ind w:firstLineChars="0"/>
                <w:rPr>
                  <w:szCs w:val="21"/>
                </w:rPr>
              </w:pPr>
              <w:r w:rsidRPr="00BF58BF">
                <w:rPr>
                  <w:rFonts w:ascii="Arial" w:hAnsi="Arial" w:cs="Arial"/>
                  <w:sz w:val="22"/>
                </w:rPr>
                <w:t>下表列示了以公允价值计量的第三层级金融资产和负债年初、年末金额及本年度的变动情况：</w:t>
              </w:r>
            </w:p>
            <w:p w:rsidR="00DE031E" w:rsidRPr="00F76221" w:rsidRDefault="00DE031E" w:rsidP="00DE031E">
              <w:pPr>
                <w:spacing w:line="360" w:lineRule="auto"/>
                <w:rPr>
                  <w:szCs w:val="21"/>
                </w:rPr>
              </w:pPr>
            </w:p>
            <w:p w:rsidR="00DE031E" w:rsidRDefault="00DE031E" w:rsidP="00DE031E">
              <w:pPr>
                <w:pStyle w:val="a9"/>
                <w:spacing w:line="360" w:lineRule="auto"/>
                <w:ind w:left="360" w:firstLineChars="0" w:firstLine="0"/>
                <w:rPr>
                  <w:szCs w:val="21"/>
                </w:rPr>
              </w:pPr>
            </w:p>
            <w:p w:rsidR="00DE031E" w:rsidRDefault="00DE031E" w:rsidP="00DE031E">
              <w:pPr>
                <w:pStyle w:val="a9"/>
                <w:spacing w:line="360" w:lineRule="auto"/>
                <w:ind w:left="360" w:firstLineChars="0" w:firstLine="0"/>
                <w:rPr>
                  <w:szCs w:val="21"/>
                </w:rPr>
              </w:pPr>
            </w:p>
            <w:p w:rsidR="00DE031E" w:rsidRPr="00BF58BF" w:rsidRDefault="00DE031E" w:rsidP="00DE031E">
              <w:pPr>
                <w:pStyle w:val="a9"/>
                <w:spacing w:line="360" w:lineRule="auto"/>
                <w:ind w:left="360" w:firstLineChars="0" w:firstLine="0"/>
                <w:rPr>
                  <w:szCs w:val="21"/>
                </w:rPr>
              </w:pPr>
            </w:p>
            <w:tbl>
              <w:tblPr>
                <w:tblW w:w="9995" w:type="dxa"/>
                <w:jc w:val="center"/>
                <w:tblInd w:w="58" w:type="dxa"/>
                <w:tblLayout w:type="fixed"/>
                <w:tblLook w:val="04A0"/>
              </w:tblPr>
              <w:tblGrid>
                <w:gridCol w:w="1497"/>
                <w:gridCol w:w="1560"/>
                <w:gridCol w:w="1275"/>
                <w:gridCol w:w="851"/>
                <w:gridCol w:w="1276"/>
                <w:gridCol w:w="1275"/>
                <w:gridCol w:w="709"/>
                <w:gridCol w:w="1552"/>
              </w:tblGrid>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lastRenderedPageBreak/>
                      <w:t>项目</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center"/>
                      <w:rPr>
                        <w:rFonts w:asciiTheme="minorEastAsia" w:eastAsiaTheme="minorEastAsia" w:hAnsiTheme="minorEastAsia" w:cs="Arial"/>
                        <w:b/>
                        <w:bCs/>
                        <w:color w:val="000000"/>
                        <w:sz w:val="15"/>
                        <w:szCs w:val="15"/>
                      </w:rPr>
                    </w:pPr>
                    <w:r w:rsidRPr="00F76221">
                      <w:rPr>
                        <w:rFonts w:asciiTheme="minorEastAsia" w:eastAsiaTheme="minorEastAsia" w:hAnsiTheme="minorEastAsia" w:cs="Arial"/>
                        <w:b/>
                        <w:bCs/>
                        <w:color w:val="000000"/>
                        <w:sz w:val="15"/>
                        <w:szCs w:val="15"/>
                      </w:rPr>
                      <w:t>2014年12月31日</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center"/>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t>本年损益影响合计</w:t>
                    </w:r>
                  </w:p>
                </w:tc>
                <w:tc>
                  <w:tcPr>
                    <w:tcW w:w="851"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t>本年其他综合收益影响合计</w:t>
                    </w:r>
                  </w:p>
                </w:tc>
                <w:tc>
                  <w:tcPr>
                    <w:tcW w:w="1276"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t>本年购入</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t>本年售出</w:t>
                    </w:r>
                  </w:p>
                </w:tc>
                <w:tc>
                  <w:tcPr>
                    <w:tcW w:w="709"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t>转入</w:t>
                    </w:r>
                    <w:r w:rsidRPr="00F76221">
                      <w:rPr>
                        <w:rFonts w:asciiTheme="minorEastAsia" w:eastAsiaTheme="minorEastAsia" w:hAnsiTheme="minorEastAsia" w:cs="Arial"/>
                        <w:b/>
                        <w:bCs/>
                        <w:color w:val="000000"/>
                        <w:sz w:val="15"/>
                        <w:szCs w:val="15"/>
                      </w:rPr>
                      <w:t>/</w:t>
                    </w:r>
                    <w:r w:rsidRPr="00F76221">
                      <w:rPr>
                        <w:rFonts w:asciiTheme="minorEastAsia" w:eastAsiaTheme="minorEastAsia" w:hAnsiTheme="minorEastAsia" w:hint="eastAsia"/>
                        <w:b/>
                        <w:bCs/>
                        <w:color w:val="000000"/>
                        <w:sz w:val="15"/>
                        <w:szCs w:val="15"/>
                      </w:rPr>
                      <w:t>转出第三层级</w:t>
                    </w: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center"/>
                      <w:rPr>
                        <w:rFonts w:asciiTheme="minorEastAsia" w:eastAsiaTheme="minorEastAsia" w:hAnsiTheme="minorEastAsia" w:cs="Arial"/>
                        <w:b/>
                        <w:bCs/>
                        <w:color w:val="000000"/>
                        <w:sz w:val="15"/>
                        <w:szCs w:val="15"/>
                      </w:rPr>
                    </w:pPr>
                    <w:r w:rsidRPr="00F76221">
                      <w:rPr>
                        <w:rFonts w:asciiTheme="minorEastAsia" w:eastAsiaTheme="minorEastAsia" w:hAnsiTheme="minorEastAsia" w:cs="Arial"/>
                        <w:b/>
                        <w:bCs/>
                        <w:color w:val="000000"/>
                        <w:sz w:val="15"/>
                        <w:szCs w:val="15"/>
                      </w:rPr>
                      <w:t>2015年6月30日</w:t>
                    </w: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t>金融资产：</w:t>
                    </w:r>
                  </w:p>
                </w:tc>
                <w:tc>
                  <w:tcPr>
                    <w:tcW w:w="1560"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c>
                  <w:tcPr>
                    <w:tcW w:w="1275"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c>
                  <w:tcPr>
                    <w:tcW w:w="851"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c>
                  <w:tcPr>
                    <w:tcW w:w="1275"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c>
                  <w:tcPr>
                    <w:tcW w:w="709"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color w:val="000000"/>
                        <w:sz w:val="15"/>
                        <w:szCs w:val="15"/>
                      </w:rPr>
                    </w:pPr>
                    <w:r w:rsidRPr="00F76221">
                      <w:rPr>
                        <w:rFonts w:asciiTheme="minorEastAsia" w:eastAsiaTheme="minorEastAsia" w:hAnsiTheme="minorEastAsia" w:hint="eastAsia"/>
                        <w:color w:val="000000"/>
                        <w:sz w:val="15"/>
                        <w:szCs w:val="15"/>
                      </w:rPr>
                      <w:t>交易性金融资产</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97,448,235.26</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1,010,666.26</w:t>
                    </w: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130,660,568.88</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137,250,000.00</w:t>
                    </w: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89,067,806.21</w:t>
                    </w: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color w:val="000000"/>
                        <w:sz w:val="15"/>
                        <w:szCs w:val="15"/>
                      </w:rPr>
                    </w:pPr>
                    <w:r w:rsidRPr="00F76221">
                      <w:rPr>
                        <w:rFonts w:asciiTheme="minorEastAsia" w:eastAsiaTheme="minorEastAsia" w:hAnsiTheme="minorEastAsia" w:hint="eastAsia"/>
                        <w:color w:val="000000"/>
                        <w:sz w:val="15"/>
                        <w:szCs w:val="15"/>
                      </w:rPr>
                      <w:t>其中</w:t>
                    </w:r>
                    <w:r w:rsidRPr="00F76221">
                      <w:rPr>
                        <w:rFonts w:asciiTheme="minorEastAsia" w:eastAsiaTheme="minorEastAsia" w:hAnsiTheme="minorEastAsia" w:cs="Arial"/>
                        <w:color w:val="000000"/>
                        <w:sz w:val="15"/>
                        <w:szCs w:val="15"/>
                      </w:rPr>
                      <w:t>:</w:t>
                    </w:r>
                    <w:r w:rsidRPr="00F76221">
                      <w:rPr>
                        <w:rFonts w:asciiTheme="minorEastAsia" w:eastAsiaTheme="minorEastAsia" w:hAnsiTheme="minorEastAsia" w:hint="eastAsia"/>
                        <w:color w:val="000000"/>
                        <w:sz w:val="15"/>
                        <w:szCs w:val="15"/>
                      </w:rPr>
                      <w:t>权益工具投资</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97,448,235.26</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 xml:space="preserve">1,010,666.26 </w:t>
                    </w: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130,660,568.88</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137,250,000.00</w:t>
                    </w: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89,067,806.21</w:t>
                    </w: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color w:val="000000"/>
                        <w:sz w:val="15"/>
                        <w:szCs w:val="15"/>
                      </w:rPr>
                    </w:pPr>
                    <w:r w:rsidRPr="00F76221">
                      <w:rPr>
                        <w:rFonts w:asciiTheme="minorEastAsia" w:eastAsiaTheme="minorEastAsia" w:hAnsiTheme="minorEastAsia" w:hint="eastAsia"/>
                        <w:color w:val="000000"/>
                        <w:sz w:val="15"/>
                        <w:szCs w:val="15"/>
                      </w:rPr>
                      <w:t>指定以公允价值计量且其变动计入当期损益的金融资产</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1,158,600,898.55</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125,193,810.71</w:t>
                    </w: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209,654,331.93</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7,507,899.02</w:t>
                    </w: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1,476,998,892.17</w:t>
                    </w: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color w:val="000000"/>
                        <w:sz w:val="15"/>
                        <w:szCs w:val="15"/>
                      </w:rPr>
                    </w:pPr>
                    <w:r w:rsidRPr="00F76221">
                      <w:rPr>
                        <w:rFonts w:asciiTheme="minorEastAsia" w:eastAsiaTheme="minorEastAsia" w:hAnsiTheme="minorEastAsia" w:hint="eastAsia"/>
                        <w:color w:val="000000"/>
                        <w:sz w:val="15"/>
                        <w:szCs w:val="15"/>
                      </w:rPr>
                      <w:t>其中</w:t>
                    </w:r>
                    <w:r w:rsidRPr="00F76221">
                      <w:rPr>
                        <w:rFonts w:asciiTheme="minorEastAsia" w:eastAsiaTheme="minorEastAsia" w:hAnsiTheme="minorEastAsia" w:cs="Arial"/>
                        <w:color w:val="000000"/>
                        <w:sz w:val="15"/>
                        <w:szCs w:val="15"/>
                      </w:rPr>
                      <w:t>:</w:t>
                    </w:r>
                    <w:r w:rsidRPr="00F76221">
                      <w:rPr>
                        <w:rFonts w:asciiTheme="minorEastAsia" w:eastAsiaTheme="minorEastAsia" w:hAnsiTheme="minorEastAsia" w:hint="eastAsia"/>
                        <w:color w:val="000000"/>
                        <w:sz w:val="15"/>
                        <w:szCs w:val="15"/>
                      </w:rPr>
                      <w:t>权益工具投资</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1,158,600,898.55</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125,193,810.71</w:t>
                    </w: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209,654,331.93</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sz w:val="15"/>
                        <w:szCs w:val="15"/>
                      </w:rPr>
                    </w:pPr>
                    <w:r w:rsidRPr="00F76221">
                      <w:rPr>
                        <w:sz w:val="15"/>
                        <w:szCs w:val="15"/>
                      </w:rPr>
                      <w:t>7,507,899.02</w:t>
                    </w: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1,476,998,892.17</w:t>
                    </w: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color w:val="000000"/>
                        <w:sz w:val="15"/>
                        <w:szCs w:val="15"/>
                      </w:rPr>
                    </w:pPr>
                    <w:r w:rsidRPr="00F76221">
                      <w:rPr>
                        <w:rFonts w:asciiTheme="minorEastAsia" w:eastAsiaTheme="minorEastAsia" w:hAnsiTheme="minorEastAsia" w:hint="eastAsia"/>
                        <w:color w:val="000000"/>
                        <w:sz w:val="15"/>
                        <w:szCs w:val="15"/>
                      </w:rPr>
                      <w:t>衍生金融资产</w:t>
                    </w:r>
                  </w:p>
                </w:tc>
                <w:tc>
                  <w:tcPr>
                    <w:tcW w:w="1560" w:type="dxa"/>
                    <w:tcBorders>
                      <w:top w:val="nil"/>
                      <w:left w:val="nil"/>
                      <w:bottom w:val="nil"/>
                      <w:right w:val="nil"/>
                    </w:tcBorders>
                    <w:shd w:val="clear" w:color="auto" w:fill="auto"/>
                    <w:noWrap/>
                    <w:vAlign w:val="center"/>
                    <w:hideMark/>
                  </w:tcPr>
                  <w:p w:rsidR="00DE031E" w:rsidRPr="00F76221" w:rsidRDefault="00DE031E" w:rsidP="00DE031E">
                    <w:pPr>
                      <w:rPr>
                        <w:rFonts w:asciiTheme="minorEastAsia" w:eastAsiaTheme="minorEastAsia" w:hAnsiTheme="minorEastAsia" w:cs="Calibri"/>
                        <w:color w:val="000000"/>
                        <w:sz w:val="15"/>
                        <w:szCs w:val="15"/>
                      </w:rPr>
                    </w:pPr>
                  </w:p>
                </w:tc>
                <w:tc>
                  <w:tcPr>
                    <w:tcW w:w="1275"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5"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color w:val="000000"/>
                        <w:sz w:val="15"/>
                        <w:szCs w:val="15"/>
                      </w:rPr>
                    </w:pPr>
                    <w:r w:rsidRPr="00F76221">
                      <w:rPr>
                        <w:rFonts w:asciiTheme="minorEastAsia" w:eastAsiaTheme="minorEastAsia" w:hAnsiTheme="minorEastAsia" w:hint="eastAsia"/>
                        <w:color w:val="000000"/>
                        <w:sz w:val="15"/>
                        <w:szCs w:val="15"/>
                      </w:rPr>
                      <w:t>可供出售金融资产</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84,495,710.50</w:t>
                    </w:r>
                  </w:p>
                </w:tc>
                <w:tc>
                  <w:tcPr>
                    <w:tcW w:w="1275"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5"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84,495,710.50</w:t>
                    </w: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color w:val="000000"/>
                        <w:sz w:val="15"/>
                        <w:szCs w:val="15"/>
                      </w:rPr>
                    </w:pPr>
                    <w:r w:rsidRPr="00F76221">
                      <w:rPr>
                        <w:rFonts w:asciiTheme="minorEastAsia" w:eastAsiaTheme="minorEastAsia" w:hAnsiTheme="minorEastAsia" w:hint="eastAsia"/>
                        <w:color w:val="000000"/>
                        <w:sz w:val="15"/>
                        <w:szCs w:val="15"/>
                      </w:rPr>
                      <w:t>其中</w:t>
                    </w:r>
                    <w:r w:rsidRPr="00F76221">
                      <w:rPr>
                        <w:rFonts w:asciiTheme="minorEastAsia" w:eastAsiaTheme="minorEastAsia" w:hAnsiTheme="minorEastAsia" w:cs="Arial"/>
                        <w:color w:val="000000"/>
                        <w:sz w:val="15"/>
                        <w:szCs w:val="15"/>
                      </w:rPr>
                      <w:t>:</w:t>
                    </w:r>
                    <w:r w:rsidRPr="00F76221">
                      <w:rPr>
                        <w:rFonts w:asciiTheme="minorEastAsia" w:eastAsiaTheme="minorEastAsia" w:hAnsiTheme="minorEastAsia" w:hint="eastAsia"/>
                        <w:color w:val="000000"/>
                        <w:sz w:val="15"/>
                        <w:szCs w:val="15"/>
                      </w:rPr>
                      <w:t>权益工具投资</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84,495,710.50</w:t>
                    </w:r>
                  </w:p>
                </w:tc>
                <w:tc>
                  <w:tcPr>
                    <w:tcW w:w="1275"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275"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color w:val="000000"/>
                        <w:sz w:val="15"/>
                        <w:szCs w:val="15"/>
                      </w:rPr>
                    </w:pPr>
                    <w:r w:rsidRPr="00F76221">
                      <w:rPr>
                        <w:rFonts w:asciiTheme="minorEastAsia" w:eastAsiaTheme="minorEastAsia" w:hAnsiTheme="minorEastAsia" w:cs="Arial"/>
                        <w:color w:val="000000"/>
                        <w:sz w:val="15"/>
                        <w:szCs w:val="15"/>
                      </w:rPr>
                      <w:t>84,495,710.50</w:t>
                    </w:r>
                  </w:p>
                </w:tc>
              </w:tr>
              <w:tr w:rsidR="00DE031E" w:rsidRPr="00F76221" w:rsidTr="00DE031E">
                <w:trPr>
                  <w:trHeight w:val="270"/>
                  <w:jc w:val="center"/>
                </w:trPr>
                <w:tc>
                  <w:tcPr>
                    <w:tcW w:w="1497" w:type="dxa"/>
                    <w:tcBorders>
                      <w:top w:val="nil"/>
                      <w:left w:val="nil"/>
                      <w:bottom w:val="nil"/>
                      <w:right w:val="nil"/>
                    </w:tcBorders>
                    <w:shd w:val="clear" w:color="auto" w:fill="auto"/>
                    <w:noWrap/>
                    <w:vAlign w:val="center"/>
                    <w:hideMark/>
                  </w:tcPr>
                  <w:p w:rsidR="00DE031E" w:rsidRPr="00F76221" w:rsidRDefault="001C1A59" w:rsidP="00DE031E">
                    <w:pPr>
                      <w:rPr>
                        <w:rFonts w:asciiTheme="minorEastAsia" w:eastAsiaTheme="minorEastAsia" w:hAnsiTheme="minorEastAsia"/>
                        <w:b/>
                        <w:bCs/>
                        <w:color w:val="000000"/>
                        <w:sz w:val="15"/>
                        <w:szCs w:val="15"/>
                      </w:rPr>
                    </w:pPr>
                    <w:r w:rsidRPr="00F76221">
                      <w:rPr>
                        <w:rFonts w:asciiTheme="minorEastAsia" w:eastAsiaTheme="minorEastAsia" w:hAnsiTheme="minorEastAsia" w:hint="eastAsia"/>
                        <w:b/>
                        <w:bCs/>
                        <w:color w:val="000000"/>
                        <w:sz w:val="15"/>
                        <w:szCs w:val="15"/>
                      </w:rPr>
                      <w:t>合计</w:t>
                    </w:r>
                  </w:p>
                </w:tc>
                <w:tc>
                  <w:tcPr>
                    <w:tcW w:w="1560"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b/>
                        <w:bCs/>
                        <w:color w:val="000000"/>
                        <w:sz w:val="15"/>
                        <w:szCs w:val="15"/>
                      </w:rPr>
                    </w:pPr>
                    <w:r w:rsidRPr="00F76221">
                      <w:rPr>
                        <w:rFonts w:asciiTheme="minorEastAsia" w:eastAsiaTheme="minorEastAsia" w:hAnsiTheme="minorEastAsia" w:cs="Arial"/>
                        <w:b/>
                        <w:bCs/>
                        <w:color w:val="000000"/>
                        <w:sz w:val="15"/>
                        <w:szCs w:val="15"/>
                      </w:rPr>
                      <w:t>1,340,544,844.31</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b/>
                        <w:bCs/>
                        <w:color w:val="000000"/>
                        <w:sz w:val="15"/>
                        <w:szCs w:val="15"/>
                      </w:rPr>
                    </w:pPr>
                    <w:r w:rsidRPr="00F76221">
                      <w:rPr>
                        <w:rFonts w:asciiTheme="minorEastAsia" w:eastAsiaTheme="minorEastAsia" w:hAnsiTheme="minorEastAsia" w:cs="Arial"/>
                        <w:b/>
                        <w:bCs/>
                        <w:color w:val="000000"/>
                        <w:sz w:val="15"/>
                        <w:szCs w:val="15"/>
                      </w:rPr>
                      <w:t>126,204,476.97</w:t>
                    </w:r>
                  </w:p>
                </w:tc>
                <w:tc>
                  <w:tcPr>
                    <w:tcW w:w="851"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b/>
                        <w:bCs/>
                        <w:color w:val="000000"/>
                        <w:sz w:val="15"/>
                        <w:szCs w:val="15"/>
                      </w:rPr>
                    </w:pPr>
                  </w:p>
                </w:tc>
                <w:tc>
                  <w:tcPr>
                    <w:tcW w:w="1276"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b/>
                        <w:bCs/>
                        <w:color w:val="000000"/>
                        <w:sz w:val="15"/>
                        <w:szCs w:val="15"/>
                      </w:rPr>
                    </w:pPr>
                    <w:r w:rsidRPr="00F76221">
                      <w:rPr>
                        <w:rFonts w:asciiTheme="minorEastAsia" w:eastAsiaTheme="minorEastAsia" w:hAnsiTheme="minorEastAsia" w:cs="Arial"/>
                        <w:b/>
                        <w:bCs/>
                        <w:color w:val="000000"/>
                        <w:sz w:val="15"/>
                        <w:szCs w:val="15"/>
                      </w:rPr>
                      <w:t>340,314,900.81</w:t>
                    </w:r>
                  </w:p>
                </w:tc>
                <w:tc>
                  <w:tcPr>
                    <w:tcW w:w="1275"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b/>
                        <w:bCs/>
                        <w:color w:val="000000"/>
                        <w:sz w:val="15"/>
                        <w:szCs w:val="15"/>
                      </w:rPr>
                    </w:pPr>
                    <w:r w:rsidRPr="00F76221">
                      <w:rPr>
                        <w:rFonts w:asciiTheme="minorEastAsia" w:eastAsiaTheme="minorEastAsia" w:hAnsiTheme="minorEastAsia" w:cs="Arial"/>
                        <w:b/>
                        <w:bCs/>
                        <w:color w:val="000000"/>
                        <w:sz w:val="15"/>
                        <w:szCs w:val="15"/>
                      </w:rPr>
                      <w:t>144,757,899.02</w:t>
                    </w:r>
                  </w:p>
                </w:tc>
                <w:tc>
                  <w:tcPr>
                    <w:tcW w:w="709" w:type="dxa"/>
                    <w:tcBorders>
                      <w:top w:val="nil"/>
                      <w:left w:val="nil"/>
                      <w:bottom w:val="nil"/>
                      <w:right w:val="nil"/>
                    </w:tcBorders>
                    <w:shd w:val="clear" w:color="auto" w:fill="auto"/>
                    <w:noWrap/>
                    <w:vAlign w:val="center"/>
                    <w:hideMark/>
                  </w:tcPr>
                  <w:p w:rsidR="00DE031E" w:rsidRPr="00F76221" w:rsidRDefault="00DE031E" w:rsidP="00DE031E">
                    <w:pPr>
                      <w:jc w:val="right"/>
                      <w:rPr>
                        <w:rFonts w:asciiTheme="minorEastAsia" w:eastAsiaTheme="minorEastAsia" w:hAnsiTheme="minorEastAsia" w:cs="Arial"/>
                        <w:b/>
                        <w:bCs/>
                        <w:color w:val="000000"/>
                        <w:sz w:val="15"/>
                        <w:szCs w:val="15"/>
                      </w:rPr>
                    </w:pPr>
                  </w:p>
                </w:tc>
                <w:tc>
                  <w:tcPr>
                    <w:tcW w:w="1552" w:type="dxa"/>
                    <w:tcBorders>
                      <w:top w:val="nil"/>
                      <w:left w:val="nil"/>
                      <w:bottom w:val="nil"/>
                      <w:right w:val="nil"/>
                    </w:tcBorders>
                    <w:shd w:val="clear" w:color="auto" w:fill="auto"/>
                    <w:noWrap/>
                    <w:vAlign w:val="center"/>
                    <w:hideMark/>
                  </w:tcPr>
                  <w:p w:rsidR="00DE031E" w:rsidRPr="00F76221" w:rsidRDefault="001C1A59" w:rsidP="00DE031E">
                    <w:pPr>
                      <w:jc w:val="right"/>
                      <w:rPr>
                        <w:rFonts w:asciiTheme="minorEastAsia" w:eastAsiaTheme="minorEastAsia" w:hAnsiTheme="minorEastAsia" w:cs="Arial"/>
                        <w:b/>
                        <w:bCs/>
                        <w:color w:val="000000"/>
                        <w:sz w:val="15"/>
                        <w:szCs w:val="15"/>
                      </w:rPr>
                    </w:pPr>
                    <w:r w:rsidRPr="00F76221">
                      <w:rPr>
                        <w:rFonts w:asciiTheme="minorEastAsia" w:eastAsiaTheme="minorEastAsia" w:hAnsiTheme="minorEastAsia" w:cs="Arial"/>
                        <w:b/>
                        <w:bCs/>
                        <w:color w:val="000000"/>
                        <w:sz w:val="15"/>
                        <w:szCs w:val="15"/>
                      </w:rPr>
                      <w:t>1,650,562,408.88</w:t>
                    </w:r>
                  </w:p>
                </w:tc>
              </w:tr>
            </w:tbl>
            <w:p w:rsidR="00DE031E" w:rsidRPr="00BF58BF" w:rsidRDefault="00DE031E" w:rsidP="00DE031E">
              <w:pPr>
                <w:pStyle w:val="a9"/>
                <w:ind w:left="360" w:firstLineChars="0" w:firstLine="0"/>
                <w:rPr>
                  <w:szCs w:val="21"/>
                </w:rPr>
              </w:pPr>
            </w:p>
            <w:p w:rsidR="00DE031E" w:rsidRPr="00BF58BF" w:rsidRDefault="001C1A59" w:rsidP="009950AC">
              <w:pPr>
                <w:pStyle w:val="a9"/>
                <w:numPr>
                  <w:ilvl w:val="0"/>
                  <w:numId w:val="70"/>
                </w:numPr>
                <w:spacing w:line="360" w:lineRule="auto"/>
                <w:ind w:firstLineChars="0"/>
                <w:rPr>
                  <w:szCs w:val="21"/>
                </w:rPr>
              </w:pPr>
              <w:r w:rsidRPr="00437FB4">
                <w:rPr>
                  <w:rFonts w:ascii="Arial" w:hAnsi="Arial" w:cs="Arial"/>
                  <w:sz w:val="22"/>
                </w:rPr>
                <w:t>第三层级金融资产和负债的本期损益影响</w:t>
              </w:r>
            </w:p>
            <w:tbl>
              <w:tblPr>
                <w:tblW w:w="8798" w:type="dxa"/>
                <w:jc w:val="center"/>
                <w:tblInd w:w="1555" w:type="dxa"/>
                <w:tblLook w:val="04A0"/>
              </w:tblPr>
              <w:tblGrid>
                <w:gridCol w:w="1662"/>
                <w:gridCol w:w="2076"/>
                <w:gridCol w:w="2460"/>
                <w:gridCol w:w="2600"/>
              </w:tblGrid>
              <w:tr w:rsidR="00DE031E" w:rsidRPr="007B68DC" w:rsidTr="00DE031E">
                <w:trPr>
                  <w:trHeight w:val="285"/>
                  <w:jc w:val="center"/>
                </w:trPr>
                <w:tc>
                  <w:tcPr>
                    <w:tcW w:w="1662" w:type="dxa"/>
                    <w:vMerge w:val="restart"/>
                    <w:tcBorders>
                      <w:top w:val="nil"/>
                      <w:left w:val="nil"/>
                      <w:bottom w:val="nil"/>
                      <w:right w:val="nil"/>
                    </w:tcBorders>
                    <w:shd w:val="clear" w:color="auto" w:fill="auto"/>
                    <w:vAlign w:val="center"/>
                    <w:hideMark/>
                  </w:tcPr>
                  <w:p w:rsidR="00DE031E" w:rsidRPr="007B68DC" w:rsidRDefault="001C1A59" w:rsidP="00DE031E">
                    <w:pPr>
                      <w:rPr>
                        <w:b/>
                        <w:bCs/>
                        <w:color w:val="000000"/>
                        <w:szCs w:val="21"/>
                      </w:rPr>
                    </w:pPr>
                    <w:r w:rsidRPr="007B68DC">
                      <w:rPr>
                        <w:rFonts w:hint="eastAsia"/>
                        <w:b/>
                        <w:bCs/>
                        <w:color w:val="000000"/>
                        <w:szCs w:val="21"/>
                      </w:rPr>
                      <w:t>项目</w:t>
                    </w:r>
                  </w:p>
                </w:tc>
                <w:tc>
                  <w:tcPr>
                    <w:tcW w:w="7136" w:type="dxa"/>
                    <w:gridSpan w:val="3"/>
                    <w:tcBorders>
                      <w:top w:val="nil"/>
                      <w:left w:val="nil"/>
                      <w:bottom w:val="single" w:sz="8" w:space="0" w:color="auto"/>
                      <w:right w:val="nil"/>
                    </w:tcBorders>
                    <w:shd w:val="clear" w:color="auto" w:fill="auto"/>
                    <w:vAlign w:val="center"/>
                    <w:hideMark/>
                  </w:tcPr>
                  <w:p w:rsidR="00DE031E" w:rsidRPr="007B68DC" w:rsidRDefault="001C1A59" w:rsidP="00DE031E">
                    <w:pPr>
                      <w:jc w:val="center"/>
                      <w:rPr>
                        <w:rFonts w:ascii="Arial" w:hAnsi="Arial" w:cs="Arial"/>
                        <w:b/>
                        <w:bCs/>
                        <w:color w:val="000000"/>
                        <w:szCs w:val="21"/>
                      </w:rPr>
                    </w:pPr>
                    <w:r w:rsidRPr="007B68DC">
                      <w:rPr>
                        <w:rFonts w:ascii="Arial" w:hAnsi="Arial" w:cs="Arial"/>
                        <w:b/>
                        <w:bCs/>
                        <w:color w:val="000000"/>
                        <w:szCs w:val="21"/>
                      </w:rPr>
                      <w:t>2015</w:t>
                    </w:r>
                    <w:r w:rsidRPr="007B68DC">
                      <w:rPr>
                        <w:rFonts w:cs="Arial" w:hint="eastAsia"/>
                        <w:b/>
                        <w:bCs/>
                        <w:color w:val="000000"/>
                        <w:szCs w:val="21"/>
                      </w:rPr>
                      <w:t>年</w:t>
                    </w:r>
                    <w:r w:rsidRPr="007B68DC">
                      <w:rPr>
                        <w:rFonts w:ascii="Arial" w:hAnsi="Arial" w:cs="Arial"/>
                        <w:b/>
                        <w:bCs/>
                        <w:color w:val="000000"/>
                        <w:szCs w:val="21"/>
                      </w:rPr>
                      <w:t>1-6</w:t>
                    </w:r>
                    <w:r w:rsidRPr="007B68DC">
                      <w:rPr>
                        <w:rFonts w:cs="Arial" w:hint="eastAsia"/>
                        <w:b/>
                        <w:bCs/>
                        <w:color w:val="000000"/>
                        <w:szCs w:val="21"/>
                      </w:rPr>
                      <w:t>月</w:t>
                    </w:r>
                  </w:p>
                </w:tc>
              </w:tr>
              <w:tr w:rsidR="00DE031E" w:rsidRPr="007B68DC" w:rsidTr="00DE031E">
                <w:trPr>
                  <w:trHeight w:val="270"/>
                  <w:jc w:val="center"/>
                </w:trPr>
                <w:tc>
                  <w:tcPr>
                    <w:tcW w:w="1662" w:type="dxa"/>
                    <w:vMerge/>
                    <w:tcBorders>
                      <w:top w:val="nil"/>
                      <w:left w:val="nil"/>
                      <w:bottom w:val="nil"/>
                      <w:right w:val="nil"/>
                    </w:tcBorders>
                    <w:vAlign w:val="center"/>
                    <w:hideMark/>
                  </w:tcPr>
                  <w:p w:rsidR="00DE031E" w:rsidRPr="007B68DC" w:rsidRDefault="00DE031E" w:rsidP="00DE031E">
                    <w:pPr>
                      <w:rPr>
                        <w:b/>
                        <w:bCs/>
                        <w:color w:val="000000"/>
                        <w:szCs w:val="21"/>
                      </w:rPr>
                    </w:pPr>
                  </w:p>
                </w:tc>
                <w:tc>
                  <w:tcPr>
                    <w:tcW w:w="2076" w:type="dxa"/>
                    <w:tcBorders>
                      <w:top w:val="nil"/>
                      <w:left w:val="nil"/>
                      <w:bottom w:val="nil"/>
                      <w:right w:val="nil"/>
                    </w:tcBorders>
                    <w:shd w:val="clear" w:color="auto" w:fill="auto"/>
                    <w:vAlign w:val="center"/>
                    <w:hideMark/>
                  </w:tcPr>
                  <w:p w:rsidR="00DE031E" w:rsidRPr="007B68DC" w:rsidRDefault="001C1A59" w:rsidP="00DE031E">
                    <w:pPr>
                      <w:jc w:val="right"/>
                      <w:rPr>
                        <w:b/>
                        <w:bCs/>
                        <w:color w:val="000000"/>
                        <w:szCs w:val="21"/>
                      </w:rPr>
                    </w:pPr>
                    <w:r w:rsidRPr="007B68DC">
                      <w:rPr>
                        <w:rFonts w:hint="eastAsia"/>
                        <w:b/>
                        <w:bCs/>
                        <w:color w:val="000000"/>
                        <w:szCs w:val="21"/>
                      </w:rPr>
                      <w:t>已实现</w:t>
                    </w:r>
                  </w:p>
                </w:tc>
                <w:tc>
                  <w:tcPr>
                    <w:tcW w:w="2460" w:type="dxa"/>
                    <w:tcBorders>
                      <w:top w:val="nil"/>
                      <w:left w:val="nil"/>
                      <w:bottom w:val="nil"/>
                      <w:right w:val="nil"/>
                    </w:tcBorders>
                    <w:shd w:val="clear" w:color="auto" w:fill="auto"/>
                    <w:vAlign w:val="center"/>
                    <w:hideMark/>
                  </w:tcPr>
                  <w:p w:rsidR="00DE031E" w:rsidRPr="007B68DC" w:rsidRDefault="001C1A59" w:rsidP="00DE031E">
                    <w:pPr>
                      <w:jc w:val="right"/>
                      <w:rPr>
                        <w:b/>
                        <w:bCs/>
                        <w:color w:val="000000"/>
                        <w:szCs w:val="21"/>
                      </w:rPr>
                    </w:pPr>
                    <w:r w:rsidRPr="007B68DC">
                      <w:rPr>
                        <w:rFonts w:hint="eastAsia"/>
                        <w:b/>
                        <w:bCs/>
                        <w:color w:val="000000"/>
                        <w:szCs w:val="21"/>
                      </w:rPr>
                      <w:t>未实现</w:t>
                    </w:r>
                  </w:p>
                </w:tc>
                <w:tc>
                  <w:tcPr>
                    <w:tcW w:w="2600" w:type="dxa"/>
                    <w:tcBorders>
                      <w:top w:val="nil"/>
                      <w:left w:val="nil"/>
                      <w:bottom w:val="nil"/>
                      <w:right w:val="nil"/>
                    </w:tcBorders>
                    <w:shd w:val="clear" w:color="auto" w:fill="auto"/>
                    <w:vAlign w:val="center"/>
                    <w:hideMark/>
                  </w:tcPr>
                  <w:p w:rsidR="00DE031E" w:rsidRPr="007B68DC" w:rsidRDefault="001C1A59" w:rsidP="00DE031E">
                    <w:pPr>
                      <w:jc w:val="right"/>
                      <w:rPr>
                        <w:b/>
                        <w:bCs/>
                        <w:color w:val="000000"/>
                        <w:szCs w:val="21"/>
                      </w:rPr>
                    </w:pPr>
                    <w:r w:rsidRPr="007B68DC">
                      <w:rPr>
                        <w:rFonts w:hint="eastAsia"/>
                        <w:b/>
                        <w:bCs/>
                        <w:color w:val="000000"/>
                        <w:szCs w:val="21"/>
                      </w:rPr>
                      <w:t>合计</w:t>
                    </w:r>
                  </w:p>
                </w:tc>
              </w:tr>
              <w:tr w:rsidR="00DE031E" w:rsidRPr="007B68DC" w:rsidTr="00DE031E">
                <w:trPr>
                  <w:trHeight w:val="270"/>
                  <w:jc w:val="center"/>
                </w:trPr>
                <w:tc>
                  <w:tcPr>
                    <w:tcW w:w="1662" w:type="dxa"/>
                    <w:tcBorders>
                      <w:top w:val="nil"/>
                      <w:left w:val="nil"/>
                      <w:bottom w:val="nil"/>
                      <w:right w:val="nil"/>
                    </w:tcBorders>
                    <w:shd w:val="clear" w:color="auto" w:fill="auto"/>
                    <w:vAlign w:val="center"/>
                    <w:hideMark/>
                  </w:tcPr>
                  <w:p w:rsidR="00DE031E" w:rsidRPr="007B68DC" w:rsidRDefault="001C1A59" w:rsidP="00DE031E">
                    <w:pPr>
                      <w:rPr>
                        <w:color w:val="000000"/>
                        <w:szCs w:val="21"/>
                      </w:rPr>
                    </w:pPr>
                    <w:r w:rsidRPr="007B68DC">
                      <w:rPr>
                        <w:rFonts w:hint="eastAsia"/>
                        <w:color w:val="000000"/>
                        <w:szCs w:val="21"/>
                      </w:rPr>
                      <w:t>本期损益影响</w:t>
                    </w:r>
                  </w:p>
                </w:tc>
                <w:tc>
                  <w:tcPr>
                    <w:tcW w:w="2076" w:type="dxa"/>
                    <w:tcBorders>
                      <w:top w:val="nil"/>
                      <w:left w:val="nil"/>
                      <w:bottom w:val="nil"/>
                      <w:right w:val="nil"/>
                    </w:tcBorders>
                    <w:shd w:val="clear" w:color="auto" w:fill="auto"/>
                    <w:vAlign w:val="center"/>
                    <w:hideMark/>
                  </w:tcPr>
                  <w:p w:rsidR="00DE031E" w:rsidRPr="007B68DC" w:rsidRDefault="001C1A59" w:rsidP="00DE031E">
                    <w:pPr>
                      <w:jc w:val="right"/>
                      <w:rPr>
                        <w:rFonts w:ascii="Arial" w:hAnsi="Arial" w:cs="Arial"/>
                        <w:color w:val="000000"/>
                        <w:szCs w:val="21"/>
                      </w:rPr>
                    </w:pPr>
                    <w:r w:rsidRPr="007B68DC">
                      <w:rPr>
                        <w:rFonts w:ascii="Arial" w:hAnsi="Arial" w:cs="Arial"/>
                        <w:color w:val="000000"/>
                        <w:szCs w:val="21"/>
                      </w:rPr>
                      <w:t>11,743,914.19</w:t>
                    </w:r>
                  </w:p>
                </w:tc>
                <w:tc>
                  <w:tcPr>
                    <w:tcW w:w="2460" w:type="dxa"/>
                    <w:tcBorders>
                      <w:top w:val="nil"/>
                      <w:left w:val="nil"/>
                      <w:bottom w:val="nil"/>
                      <w:right w:val="nil"/>
                    </w:tcBorders>
                    <w:shd w:val="clear" w:color="auto" w:fill="auto"/>
                    <w:vAlign w:val="center"/>
                    <w:hideMark/>
                  </w:tcPr>
                  <w:p w:rsidR="00DE031E" w:rsidRPr="007B68DC" w:rsidRDefault="001C1A59" w:rsidP="00DE031E">
                    <w:pPr>
                      <w:jc w:val="right"/>
                      <w:rPr>
                        <w:rFonts w:ascii="Arial" w:hAnsi="Arial" w:cs="Arial"/>
                        <w:color w:val="000000"/>
                        <w:szCs w:val="21"/>
                      </w:rPr>
                    </w:pPr>
                    <w:r w:rsidRPr="007B68DC">
                      <w:rPr>
                        <w:rFonts w:ascii="Arial" w:hAnsi="Arial" w:cs="Arial"/>
                        <w:color w:val="000000"/>
                        <w:szCs w:val="21"/>
                      </w:rPr>
                      <w:t>114,460,562.78</w:t>
                    </w:r>
                  </w:p>
                </w:tc>
                <w:tc>
                  <w:tcPr>
                    <w:tcW w:w="2600" w:type="dxa"/>
                    <w:tcBorders>
                      <w:top w:val="nil"/>
                      <w:left w:val="nil"/>
                      <w:bottom w:val="nil"/>
                      <w:right w:val="nil"/>
                    </w:tcBorders>
                    <w:shd w:val="clear" w:color="auto" w:fill="auto"/>
                    <w:vAlign w:val="center"/>
                    <w:hideMark/>
                  </w:tcPr>
                  <w:p w:rsidR="00DE031E" w:rsidRPr="007B68DC" w:rsidRDefault="001C1A59" w:rsidP="00DE031E">
                    <w:pPr>
                      <w:jc w:val="right"/>
                      <w:rPr>
                        <w:rFonts w:ascii="Arial" w:hAnsi="Arial" w:cs="Arial"/>
                        <w:color w:val="000000"/>
                        <w:szCs w:val="21"/>
                      </w:rPr>
                    </w:pPr>
                    <w:r w:rsidRPr="007B68DC">
                      <w:rPr>
                        <w:rFonts w:ascii="Arial" w:hAnsi="Arial" w:cs="Arial"/>
                        <w:color w:val="000000"/>
                        <w:szCs w:val="21"/>
                      </w:rPr>
                      <w:t>126,204,476.97</w:t>
                    </w:r>
                  </w:p>
                </w:tc>
              </w:tr>
            </w:tbl>
          </w:sdtContent>
        </w:sdt>
      </w:sdtContent>
    </w:sdt>
    <w:sdt>
      <w:sdtPr>
        <w:rPr>
          <w:rFonts w:ascii="宋体" w:hAnsi="宋体" w:cs="宋体" w:hint="eastAsia"/>
          <w:b w:val="0"/>
          <w:bCs w:val="0"/>
          <w:kern w:val="0"/>
          <w:szCs w:val="24"/>
        </w:rPr>
        <w:tag w:val="_GBC_8e563310a4b84a5d9dfe74fdbc178926"/>
        <w:id w:val="24726752"/>
        <w:lock w:val="sdtLocked"/>
        <w:placeholder>
          <w:docPart w:val="GBC22222222222222222222222222222"/>
        </w:placeholder>
      </w:sdtPr>
      <w:sdtEndPr>
        <w:rPr>
          <w:rFonts w:cstheme="minorBidi"/>
          <w:szCs w:val="21"/>
        </w:rPr>
      </w:sdtEndPr>
      <w:sdtContent>
        <w:p w:rsidR="00DE031E" w:rsidRDefault="001C1A59" w:rsidP="009950AC">
          <w:pPr>
            <w:pStyle w:val="3"/>
            <w:numPr>
              <w:ilvl w:val="0"/>
              <w:numId w:val="69"/>
            </w:numPr>
            <w:spacing w:before="120" w:line="360" w:lineRule="auto"/>
            <w:ind w:left="424" w:hangingChars="202" w:hanging="424"/>
          </w:pPr>
          <w:r>
            <w:rPr>
              <w:rFonts w:hint="eastAsia"/>
            </w:rPr>
            <w:t>本期内发生的估值技术变更及变更原因</w:t>
          </w:r>
        </w:p>
        <w:sdt>
          <w:sdtPr>
            <w:rPr>
              <w:rFonts w:hint="eastAsia"/>
              <w:szCs w:val="21"/>
            </w:rPr>
            <w:alias w:val="本期内发生的估值技术变更及变更原因"/>
            <w:tag w:val="_GBC_855f22c3c85642f9b9d08ae1297a3a11"/>
            <w:id w:val="24726751"/>
            <w:lock w:val="sdtLocked"/>
            <w:placeholder>
              <w:docPart w:val="GBC22222222222222222222222222222"/>
            </w:placeholder>
          </w:sdtPr>
          <w:sdtContent>
            <w:p w:rsidR="00DE031E" w:rsidRDefault="001C1A59" w:rsidP="00DE031E">
              <w:pPr>
                <w:spacing w:line="360" w:lineRule="auto"/>
                <w:ind w:firstLineChars="200" w:firstLine="420"/>
                <w:rPr>
                  <w:szCs w:val="21"/>
                </w:rPr>
              </w:pPr>
              <w:r w:rsidRPr="00437FB4">
                <w:rPr>
                  <w:rFonts w:ascii="Arial" w:hAnsi="Arial" w:cs="Arial"/>
                  <w:sz w:val="22"/>
                  <w:szCs w:val="22"/>
                </w:rPr>
                <w:t>本公司在对</w:t>
              </w:r>
              <w:r>
                <w:rPr>
                  <w:rFonts w:ascii="Arial" w:hAnsi="Arial" w:cs="Arial" w:hint="eastAsia"/>
                  <w:sz w:val="22"/>
                  <w:szCs w:val="22"/>
                </w:rPr>
                <w:t>“</w:t>
              </w:r>
              <w:r w:rsidRPr="00437FB4">
                <w:rPr>
                  <w:rFonts w:ascii="Arial" w:hAnsi="Arial" w:cs="Arial"/>
                  <w:sz w:val="22"/>
                  <w:szCs w:val="22"/>
                </w:rPr>
                <w:t>出售或者使用存在限制</w:t>
              </w:r>
              <w:r>
                <w:rPr>
                  <w:rFonts w:ascii="Arial" w:hAnsi="Arial" w:cs="Arial" w:hint="eastAsia"/>
                  <w:sz w:val="22"/>
                  <w:szCs w:val="22"/>
                </w:rPr>
                <w:t>”</w:t>
              </w:r>
              <w:r w:rsidRPr="00437FB4">
                <w:rPr>
                  <w:rFonts w:ascii="Arial" w:hAnsi="Arial" w:cs="Arial"/>
                  <w:sz w:val="22"/>
                  <w:szCs w:val="22"/>
                </w:rPr>
                <w:t>的权益工具进行估值</w:t>
              </w:r>
              <w:r>
                <w:rPr>
                  <w:rFonts w:ascii="Arial" w:hAnsi="Arial" w:cs="Arial"/>
                  <w:sz w:val="22"/>
                  <w:szCs w:val="22"/>
                </w:rPr>
                <w:t>时，原来直接采用未受限制的相同权益工具的报价作为其公允价值。</w:t>
              </w:r>
              <w:r>
                <w:rPr>
                  <w:rFonts w:ascii="Arial" w:hAnsi="Arial" w:cs="Arial" w:hint="eastAsia"/>
                  <w:sz w:val="22"/>
                  <w:szCs w:val="22"/>
                </w:rPr>
                <w:t>2014</w:t>
              </w:r>
              <w:r>
                <w:rPr>
                  <w:rFonts w:ascii="Arial" w:hAnsi="Arial" w:cs="Arial" w:hint="eastAsia"/>
                  <w:sz w:val="22"/>
                  <w:szCs w:val="22"/>
                </w:rPr>
                <w:t>年</w:t>
              </w:r>
              <w:r w:rsidRPr="00437FB4">
                <w:rPr>
                  <w:rFonts w:ascii="Arial" w:hAnsi="Arial" w:cs="Arial"/>
                  <w:sz w:val="22"/>
                  <w:szCs w:val="22"/>
                </w:rPr>
                <w:t>公司按照财政部下发的《企业会计准则第</w:t>
              </w:r>
              <w:r w:rsidRPr="00437FB4">
                <w:rPr>
                  <w:rFonts w:ascii="Arial" w:hAnsi="Arial" w:cs="Arial"/>
                  <w:sz w:val="22"/>
                  <w:szCs w:val="22"/>
                </w:rPr>
                <w:t>39</w:t>
              </w:r>
              <w:r w:rsidRPr="00437FB4">
                <w:rPr>
                  <w:rFonts w:ascii="Arial" w:hAnsi="Arial" w:cs="Arial"/>
                  <w:sz w:val="22"/>
                  <w:szCs w:val="22"/>
                </w:rPr>
                <w:t>号</w:t>
              </w:r>
              <w:r w:rsidRPr="00437FB4">
                <w:rPr>
                  <w:rFonts w:ascii="Arial" w:hAnsi="Arial" w:cs="Arial"/>
                  <w:sz w:val="22"/>
                  <w:szCs w:val="22"/>
                </w:rPr>
                <w:t>——</w:t>
              </w:r>
              <w:r w:rsidRPr="00437FB4">
                <w:rPr>
                  <w:rFonts w:ascii="Arial" w:hAnsi="Arial" w:cs="Arial"/>
                  <w:sz w:val="22"/>
                  <w:szCs w:val="22"/>
                </w:rPr>
                <w:t>公允价值》规定，对上述权益工具的估值方法进行调整，调整之后新的估值方法为以未受限制的相同权益工具的报价扣除因出售或者使用限制成本后的价格作为其公允价值。</w:t>
              </w:r>
            </w:p>
          </w:sdtContent>
        </w:sdt>
      </w:sdtContent>
    </w:sdt>
    <w:sdt>
      <w:sdtPr>
        <w:rPr>
          <w:rFonts w:ascii="宋体" w:hAnsi="宋体" w:cstheme="minorBidi" w:hint="eastAsia"/>
          <w:b w:val="0"/>
          <w:bCs w:val="0"/>
          <w:kern w:val="0"/>
          <w:szCs w:val="21"/>
        </w:rPr>
        <w:tag w:val="_GBC_e354e1f41f824854b8f3345d52a9cfab"/>
        <w:id w:val="24726754"/>
        <w:lock w:val="sdtLocked"/>
        <w:placeholder>
          <w:docPart w:val="GBC22222222222222222222222222222"/>
        </w:placeholder>
      </w:sdtPr>
      <w:sdtContent>
        <w:p w:rsidR="00DE031E" w:rsidRDefault="001C1A59" w:rsidP="009950AC">
          <w:pPr>
            <w:pStyle w:val="3"/>
            <w:numPr>
              <w:ilvl w:val="0"/>
              <w:numId w:val="69"/>
            </w:numPr>
            <w:spacing w:line="360" w:lineRule="auto"/>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不以公允价值计量的金融资产和金融负债的公允价值情况"/>
            <w:tag w:val="_GBC_b98a8914aa7341d8811e287268440b08"/>
            <w:id w:val="24726753"/>
            <w:lock w:val="sdtLocked"/>
            <w:placeholder>
              <w:docPart w:val="GBC22222222222222222222222222222"/>
            </w:placeholder>
          </w:sdtPr>
          <w:sdtContent>
            <w:p w:rsidR="00DE031E" w:rsidRDefault="00DE031E">
              <w:pPr>
                <w:rPr>
                  <w:rFonts w:cstheme="minorBidi"/>
                  <w:szCs w:val="21"/>
                </w:rPr>
              </w:pPr>
            </w:p>
            <w:tbl>
              <w:tblPr>
                <w:tblW w:w="5000" w:type="pct"/>
                <w:tblLook w:val="04A0"/>
              </w:tblPr>
              <w:tblGrid>
                <w:gridCol w:w="1656"/>
                <w:gridCol w:w="1438"/>
                <w:gridCol w:w="1593"/>
                <w:gridCol w:w="1594"/>
                <w:gridCol w:w="1384"/>
                <w:gridCol w:w="1384"/>
              </w:tblGrid>
              <w:tr w:rsidR="00DE031E" w:rsidRPr="00C62126" w:rsidTr="00DE031E">
                <w:trPr>
                  <w:trHeight w:val="270"/>
                </w:trPr>
                <w:tc>
                  <w:tcPr>
                    <w:tcW w:w="853" w:type="pct"/>
                    <w:vMerge w:val="restart"/>
                    <w:tcBorders>
                      <w:top w:val="nil"/>
                      <w:left w:val="nil"/>
                      <w:bottom w:val="nil"/>
                      <w:right w:val="nil"/>
                    </w:tcBorders>
                    <w:shd w:val="clear" w:color="auto" w:fill="auto"/>
                    <w:noWrap/>
                    <w:vAlign w:val="center"/>
                    <w:hideMark/>
                  </w:tcPr>
                  <w:p w:rsidR="00DE031E" w:rsidRPr="00C62126" w:rsidRDefault="001C1A59" w:rsidP="00DE031E">
                    <w:pPr>
                      <w:rPr>
                        <w:b/>
                        <w:bCs/>
                        <w:color w:val="000000"/>
                        <w:sz w:val="18"/>
                        <w:szCs w:val="18"/>
                      </w:rPr>
                    </w:pPr>
                    <w:r w:rsidRPr="00C62126">
                      <w:rPr>
                        <w:rFonts w:hint="eastAsia"/>
                        <w:b/>
                        <w:bCs/>
                        <w:color w:val="000000"/>
                        <w:sz w:val="18"/>
                        <w:szCs w:val="18"/>
                      </w:rPr>
                      <w:t>项目</w:t>
                    </w:r>
                  </w:p>
                </w:tc>
                <w:tc>
                  <w:tcPr>
                    <w:tcW w:w="807" w:type="pct"/>
                    <w:vMerge w:val="restart"/>
                    <w:tcBorders>
                      <w:top w:val="nil"/>
                      <w:left w:val="nil"/>
                      <w:bottom w:val="nil"/>
                      <w:right w:val="nil"/>
                    </w:tcBorders>
                    <w:shd w:val="clear" w:color="auto" w:fill="auto"/>
                    <w:noWrap/>
                    <w:vAlign w:val="center"/>
                    <w:hideMark/>
                  </w:tcPr>
                  <w:p w:rsidR="00DE031E" w:rsidRPr="00C62126" w:rsidRDefault="001C1A59" w:rsidP="00DE031E">
                    <w:pPr>
                      <w:jc w:val="center"/>
                      <w:rPr>
                        <w:b/>
                        <w:bCs/>
                        <w:color w:val="000000"/>
                        <w:sz w:val="18"/>
                        <w:szCs w:val="18"/>
                        <w:u w:val="single"/>
                      </w:rPr>
                    </w:pPr>
                    <w:r w:rsidRPr="00C62126">
                      <w:rPr>
                        <w:rFonts w:hint="eastAsia"/>
                        <w:b/>
                        <w:bCs/>
                        <w:color w:val="000000"/>
                        <w:sz w:val="18"/>
                        <w:szCs w:val="18"/>
                        <w:u w:val="single"/>
                      </w:rPr>
                      <w:t>所属层级</w:t>
                    </w:r>
                  </w:p>
                </w:tc>
                <w:tc>
                  <w:tcPr>
                    <w:tcW w:w="1785" w:type="pct"/>
                    <w:gridSpan w:val="2"/>
                    <w:tcBorders>
                      <w:top w:val="nil"/>
                      <w:left w:val="nil"/>
                      <w:bottom w:val="nil"/>
                      <w:right w:val="nil"/>
                    </w:tcBorders>
                    <w:shd w:val="clear" w:color="auto" w:fill="auto"/>
                    <w:noWrap/>
                    <w:vAlign w:val="center"/>
                    <w:hideMark/>
                  </w:tcPr>
                  <w:p w:rsidR="00DE031E" w:rsidRPr="00C62126" w:rsidRDefault="001C1A59" w:rsidP="00DE031E">
                    <w:pPr>
                      <w:jc w:val="center"/>
                      <w:rPr>
                        <w:rFonts w:ascii="Arial" w:hAnsi="Arial" w:cs="Arial"/>
                        <w:b/>
                        <w:bCs/>
                        <w:color w:val="000000"/>
                        <w:sz w:val="18"/>
                        <w:szCs w:val="18"/>
                        <w:u w:val="single"/>
                      </w:rPr>
                    </w:pPr>
                    <w:r w:rsidRPr="00C62126">
                      <w:rPr>
                        <w:rFonts w:ascii="Arial" w:hAnsi="Arial" w:cs="Arial"/>
                        <w:b/>
                        <w:bCs/>
                        <w:color w:val="000000"/>
                        <w:sz w:val="18"/>
                        <w:szCs w:val="18"/>
                        <w:u w:val="single"/>
                      </w:rPr>
                      <w:t>2015</w:t>
                    </w:r>
                    <w:r w:rsidRPr="00C62126">
                      <w:rPr>
                        <w:rFonts w:ascii="Arial" w:hAnsi="Arial" w:cs="Arial"/>
                        <w:b/>
                        <w:bCs/>
                        <w:color w:val="000000"/>
                        <w:sz w:val="18"/>
                        <w:szCs w:val="18"/>
                        <w:u w:val="single"/>
                      </w:rPr>
                      <w:t>年</w:t>
                    </w:r>
                    <w:r w:rsidRPr="00C62126">
                      <w:rPr>
                        <w:rFonts w:ascii="Arial" w:hAnsi="Arial" w:cs="Arial"/>
                        <w:b/>
                        <w:bCs/>
                        <w:color w:val="000000"/>
                        <w:sz w:val="18"/>
                        <w:szCs w:val="18"/>
                        <w:u w:val="single"/>
                      </w:rPr>
                      <w:t>6</w:t>
                    </w:r>
                    <w:r w:rsidRPr="00C62126">
                      <w:rPr>
                        <w:rFonts w:ascii="Arial" w:hAnsi="Arial" w:cs="Arial"/>
                        <w:b/>
                        <w:bCs/>
                        <w:color w:val="000000"/>
                        <w:sz w:val="18"/>
                        <w:szCs w:val="18"/>
                        <w:u w:val="single"/>
                      </w:rPr>
                      <w:t>月</w:t>
                    </w:r>
                    <w:r w:rsidRPr="00C62126">
                      <w:rPr>
                        <w:rFonts w:ascii="Arial" w:hAnsi="Arial" w:cs="Arial"/>
                        <w:b/>
                        <w:bCs/>
                        <w:color w:val="000000"/>
                        <w:sz w:val="18"/>
                        <w:szCs w:val="18"/>
                        <w:u w:val="single"/>
                      </w:rPr>
                      <w:t>30</w:t>
                    </w:r>
                    <w:r w:rsidRPr="00C62126">
                      <w:rPr>
                        <w:rFonts w:ascii="Arial" w:hAnsi="Arial" w:cs="Arial"/>
                        <w:b/>
                        <w:bCs/>
                        <w:color w:val="000000"/>
                        <w:sz w:val="18"/>
                        <w:szCs w:val="18"/>
                        <w:u w:val="single"/>
                      </w:rPr>
                      <w:t>日</w:t>
                    </w:r>
                  </w:p>
                </w:tc>
                <w:tc>
                  <w:tcPr>
                    <w:tcW w:w="1554" w:type="pct"/>
                    <w:gridSpan w:val="2"/>
                    <w:tcBorders>
                      <w:top w:val="nil"/>
                      <w:left w:val="nil"/>
                      <w:bottom w:val="nil"/>
                      <w:right w:val="nil"/>
                    </w:tcBorders>
                    <w:shd w:val="clear" w:color="auto" w:fill="auto"/>
                    <w:noWrap/>
                    <w:vAlign w:val="center"/>
                    <w:hideMark/>
                  </w:tcPr>
                  <w:p w:rsidR="00DE031E" w:rsidRPr="00C62126" w:rsidRDefault="001C1A59" w:rsidP="00DE031E">
                    <w:pPr>
                      <w:jc w:val="center"/>
                      <w:rPr>
                        <w:rFonts w:ascii="Arial" w:hAnsi="Arial" w:cs="Arial"/>
                        <w:b/>
                        <w:bCs/>
                        <w:color w:val="000000"/>
                        <w:sz w:val="18"/>
                        <w:szCs w:val="18"/>
                        <w:u w:val="single"/>
                      </w:rPr>
                    </w:pPr>
                    <w:r w:rsidRPr="00C62126">
                      <w:rPr>
                        <w:rFonts w:ascii="Arial" w:hAnsi="Arial" w:cs="Arial"/>
                        <w:b/>
                        <w:bCs/>
                        <w:color w:val="000000"/>
                        <w:sz w:val="18"/>
                        <w:szCs w:val="18"/>
                        <w:u w:val="single"/>
                      </w:rPr>
                      <w:t>2014</w:t>
                    </w:r>
                    <w:r w:rsidRPr="00C62126">
                      <w:rPr>
                        <w:rFonts w:ascii="Arial" w:hAnsi="Arial" w:cs="Arial"/>
                        <w:b/>
                        <w:bCs/>
                        <w:color w:val="000000"/>
                        <w:sz w:val="18"/>
                        <w:szCs w:val="18"/>
                        <w:u w:val="single"/>
                      </w:rPr>
                      <w:t>年</w:t>
                    </w:r>
                    <w:r w:rsidRPr="00C62126">
                      <w:rPr>
                        <w:rFonts w:ascii="Arial" w:hAnsi="Arial" w:cs="Arial"/>
                        <w:b/>
                        <w:bCs/>
                        <w:color w:val="000000"/>
                        <w:sz w:val="18"/>
                        <w:szCs w:val="18"/>
                        <w:u w:val="single"/>
                      </w:rPr>
                      <w:t>12</w:t>
                    </w:r>
                    <w:r w:rsidRPr="00C62126">
                      <w:rPr>
                        <w:rFonts w:ascii="Arial" w:hAnsi="Arial" w:cs="Arial"/>
                        <w:b/>
                        <w:bCs/>
                        <w:color w:val="000000"/>
                        <w:sz w:val="18"/>
                        <w:szCs w:val="18"/>
                        <w:u w:val="single"/>
                      </w:rPr>
                      <w:t>月</w:t>
                    </w:r>
                    <w:r w:rsidRPr="00C62126">
                      <w:rPr>
                        <w:rFonts w:ascii="Arial" w:hAnsi="Arial" w:cs="Arial"/>
                        <w:b/>
                        <w:bCs/>
                        <w:color w:val="000000"/>
                        <w:sz w:val="18"/>
                        <w:szCs w:val="18"/>
                        <w:u w:val="single"/>
                      </w:rPr>
                      <w:t>31</w:t>
                    </w:r>
                    <w:r w:rsidRPr="00C62126">
                      <w:rPr>
                        <w:rFonts w:ascii="Arial" w:hAnsi="Arial" w:cs="Arial"/>
                        <w:b/>
                        <w:bCs/>
                        <w:color w:val="000000"/>
                        <w:sz w:val="18"/>
                        <w:szCs w:val="18"/>
                        <w:u w:val="single"/>
                      </w:rPr>
                      <w:t>日</w:t>
                    </w:r>
                  </w:p>
                </w:tc>
              </w:tr>
              <w:tr w:rsidR="00DE031E" w:rsidRPr="00C62126" w:rsidTr="00DE031E">
                <w:trPr>
                  <w:trHeight w:val="270"/>
                </w:trPr>
                <w:tc>
                  <w:tcPr>
                    <w:tcW w:w="853" w:type="pct"/>
                    <w:vMerge/>
                    <w:tcBorders>
                      <w:top w:val="nil"/>
                      <w:left w:val="nil"/>
                      <w:bottom w:val="nil"/>
                      <w:right w:val="nil"/>
                    </w:tcBorders>
                    <w:vAlign w:val="center"/>
                    <w:hideMark/>
                  </w:tcPr>
                  <w:p w:rsidR="00DE031E" w:rsidRPr="00C62126" w:rsidRDefault="00DE031E" w:rsidP="00DE031E">
                    <w:pPr>
                      <w:rPr>
                        <w:b/>
                        <w:bCs/>
                        <w:color w:val="000000"/>
                        <w:sz w:val="18"/>
                        <w:szCs w:val="18"/>
                      </w:rPr>
                    </w:pPr>
                  </w:p>
                </w:tc>
                <w:tc>
                  <w:tcPr>
                    <w:tcW w:w="807" w:type="pct"/>
                    <w:vMerge/>
                    <w:tcBorders>
                      <w:top w:val="nil"/>
                      <w:left w:val="nil"/>
                      <w:bottom w:val="nil"/>
                      <w:right w:val="nil"/>
                    </w:tcBorders>
                    <w:vAlign w:val="center"/>
                    <w:hideMark/>
                  </w:tcPr>
                  <w:p w:rsidR="00DE031E" w:rsidRPr="00C62126" w:rsidRDefault="00DE031E" w:rsidP="00DE031E">
                    <w:pPr>
                      <w:rPr>
                        <w:b/>
                        <w:bCs/>
                        <w:color w:val="000000"/>
                        <w:sz w:val="18"/>
                        <w:szCs w:val="18"/>
                        <w:u w:val="single"/>
                      </w:rPr>
                    </w:pPr>
                  </w:p>
                </w:tc>
                <w:tc>
                  <w:tcPr>
                    <w:tcW w:w="893" w:type="pct"/>
                    <w:tcBorders>
                      <w:top w:val="nil"/>
                      <w:left w:val="nil"/>
                      <w:bottom w:val="nil"/>
                      <w:right w:val="nil"/>
                    </w:tcBorders>
                    <w:shd w:val="clear" w:color="auto" w:fill="auto"/>
                    <w:noWrap/>
                    <w:vAlign w:val="center"/>
                    <w:hideMark/>
                  </w:tcPr>
                  <w:p w:rsidR="00DE031E" w:rsidRPr="00C62126" w:rsidRDefault="001C1A59" w:rsidP="00DE031E">
                    <w:pPr>
                      <w:jc w:val="center"/>
                      <w:rPr>
                        <w:b/>
                        <w:bCs/>
                        <w:color w:val="000000"/>
                        <w:sz w:val="18"/>
                        <w:szCs w:val="18"/>
                        <w:u w:val="single"/>
                      </w:rPr>
                    </w:pPr>
                    <w:r w:rsidRPr="00C62126">
                      <w:rPr>
                        <w:rFonts w:hint="eastAsia"/>
                        <w:b/>
                        <w:bCs/>
                        <w:color w:val="000000"/>
                        <w:sz w:val="18"/>
                        <w:szCs w:val="18"/>
                        <w:u w:val="single"/>
                      </w:rPr>
                      <w:t>公允价值</w:t>
                    </w:r>
                  </w:p>
                </w:tc>
                <w:tc>
                  <w:tcPr>
                    <w:tcW w:w="893" w:type="pct"/>
                    <w:tcBorders>
                      <w:top w:val="nil"/>
                      <w:left w:val="nil"/>
                      <w:bottom w:val="nil"/>
                      <w:right w:val="nil"/>
                    </w:tcBorders>
                    <w:shd w:val="clear" w:color="auto" w:fill="auto"/>
                    <w:noWrap/>
                    <w:vAlign w:val="center"/>
                    <w:hideMark/>
                  </w:tcPr>
                  <w:p w:rsidR="00DE031E" w:rsidRPr="00C62126" w:rsidRDefault="001C1A59" w:rsidP="00DE031E">
                    <w:pPr>
                      <w:jc w:val="center"/>
                      <w:rPr>
                        <w:b/>
                        <w:bCs/>
                        <w:color w:val="000000"/>
                        <w:sz w:val="18"/>
                        <w:szCs w:val="18"/>
                        <w:u w:val="single"/>
                      </w:rPr>
                    </w:pPr>
                    <w:r w:rsidRPr="00C62126">
                      <w:rPr>
                        <w:rFonts w:hint="eastAsia"/>
                        <w:b/>
                        <w:bCs/>
                        <w:color w:val="000000"/>
                        <w:sz w:val="18"/>
                        <w:szCs w:val="18"/>
                        <w:u w:val="single"/>
                      </w:rPr>
                      <w:t>初始成本</w:t>
                    </w:r>
                  </w:p>
                </w:tc>
                <w:tc>
                  <w:tcPr>
                    <w:tcW w:w="777" w:type="pct"/>
                    <w:tcBorders>
                      <w:top w:val="nil"/>
                      <w:left w:val="nil"/>
                      <w:bottom w:val="nil"/>
                      <w:right w:val="nil"/>
                    </w:tcBorders>
                    <w:shd w:val="clear" w:color="auto" w:fill="auto"/>
                    <w:noWrap/>
                    <w:vAlign w:val="center"/>
                    <w:hideMark/>
                  </w:tcPr>
                  <w:p w:rsidR="00DE031E" w:rsidRPr="00C62126" w:rsidRDefault="001C1A59" w:rsidP="00DE031E">
                    <w:pPr>
                      <w:jc w:val="center"/>
                      <w:rPr>
                        <w:b/>
                        <w:bCs/>
                        <w:color w:val="000000"/>
                        <w:sz w:val="18"/>
                        <w:szCs w:val="18"/>
                        <w:u w:val="single"/>
                      </w:rPr>
                    </w:pPr>
                    <w:r w:rsidRPr="00C62126">
                      <w:rPr>
                        <w:rFonts w:hint="eastAsia"/>
                        <w:b/>
                        <w:bCs/>
                        <w:color w:val="000000"/>
                        <w:sz w:val="18"/>
                        <w:szCs w:val="18"/>
                        <w:u w:val="single"/>
                      </w:rPr>
                      <w:t>公允价值</w:t>
                    </w:r>
                  </w:p>
                </w:tc>
                <w:tc>
                  <w:tcPr>
                    <w:tcW w:w="777" w:type="pct"/>
                    <w:tcBorders>
                      <w:top w:val="nil"/>
                      <w:left w:val="nil"/>
                      <w:bottom w:val="nil"/>
                      <w:right w:val="nil"/>
                    </w:tcBorders>
                    <w:shd w:val="clear" w:color="auto" w:fill="auto"/>
                    <w:noWrap/>
                    <w:vAlign w:val="center"/>
                    <w:hideMark/>
                  </w:tcPr>
                  <w:p w:rsidR="00DE031E" w:rsidRPr="00C62126" w:rsidRDefault="001C1A59" w:rsidP="00DE031E">
                    <w:pPr>
                      <w:jc w:val="center"/>
                      <w:rPr>
                        <w:b/>
                        <w:bCs/>
                        <w:color w:val="000000"/>
                        <w:sz w:val="18"/>
                        <w:szCs w:val="18"/>
                        <w:u w:val="single"/>
                      </w:rPr>
                    </w:pPr>
                    <w:r w:rsidRPr="00C62126">
                      <w:rPr>
                        <w:rFonts w:hint="eastAsia"/>
                        <w:b/>
                        <w:bCs/>
                        <w:color w:val="000000"/>
                        <w:sz w:val="18"/>
                        <w:szCs w:val="18"/>
                        <w:u w:val="single"/>
                      </w:rPr>
                      <w:t>公允价值</w:t>
                    </w:r>
                  </w:p>
                </w:tc>
              </w:tr>
              <w:tr w:rsidR="00DE031E" w:rsidRPr="00C62126" w:rsidTr="00DE031E">
                <w:trPr>
                  <w:trHeight w:val="270"/>
                </w:trPr>
                <w:tc>
                  <w:tcPr>
                    <w:tcW w:w="853" w:type="pct"/>
                    <w:tcBorders>
                      <w:top w:val="nil"/>
                      <w:left w:val="nil"/>
                      <w:bottom w:val="nil"/>
                      <w:right w:val="nil"/>
                    </w:tcBorders>
                    <w:shd w:val="clear" w:color="auto" w:fill="auto"/>
                    <w:noWrap/>
                    <w:vAlign w:val="center"/>
                    <w:hideMark/>
                  </w:tcPr>
                  <w:p w:rsidR="00DE031E" w:rsidRPr="00C62126" w:rsidRDefault="001C1A59" w:rsidP="00DE031E">
                    <w:pPr>
                      <w:rPr>
                        <w:color w:val="000000"/>
                        <w:sz w:val="18"/>
                        <w:szCs w:val="18"/>
                      </w:rPr>
                    </w:pPr>
                    <w:r w:rsidRPr="00C62126">
                      <w:rPr>
                        <w:rFonts w:hint="eastAsia"/>
                        <w:color w:val="000000"/>
                        <w:sz w:val="18"/>
                        <w:szCs w:val="18"/>
                      </w:rPr>
                      <w:t>可供出售金融资产</w:t>
                    </w:r>
                  </w:p>
                </w:tc>
                <w:tc>
                  <w:tcPr>
                    <w:tcW w:w="807" w:type="pct"/>
                    <w:tcBorders>
                      <w:top w:val="nil"/>
                      <w:left w:val="nil"/>
                      <w:bottom w:val="nil"/>
                      <w:right w:val="nil"/>
                    </w:tcBorders>
                    <w:shd w:val="clear" w:color="auto" w:fill="auto"/>
                    <w:noWrap/>
                    <w:vAlign w:val="center"/>
                    <w:hideMark/>
                  </w:tcPr>
                  <w:p w:rsidR="00DE031E" w:rsidRPr="00C62126" w:rsidRDefault="001C1A59" w:rsidP="00DE031E">
                    <w:pPr>
                      <w:rPr>
                        <w:color w:val="000000"/>
                        <w:sz w:val="18"/>
                        <w:szCs w:val="18"/>
                      </w:rPr>
                    </w:pPr>
                    <w:r w:rsidRPr="00C62126">
                      <w:rPr>
                        <w:rFonts w:hint="eastAsia"/>
                        <w:color w:val="000000"/>
                        <w:sz w:val="18"/>
                        <w:szCs w:val="18"/>
                      </w:rPr>
                      <w:t>第三层级</w:t>
                    </w:r>
                  </w:p>
                </w:tc>
                <w:tc>
                  <w:tcPr>
                    <w:tcW w:w="893" w:type="pct"/>
                    <w:tcBorders>
                      <w:top w:val="nil"/>
                      <w:left w:val="nil"/>
                      <w:bottom w:val="nil"/>
                      <w:right w:val="nil"/>
                    </w:tcBorders>
                    <w:shd w:val="clear" w:color="auto" w:fill="auto"/>
                    <w:noWrap/>
                    <w:vAlign w:val="center"/>
                    <w:hideMark/>
                  </w:tcPr>
                  <w:p w:rsidR="00DE031E" w:rsidRPr="00C62126" w:rsidRDefault="001C1A59" w:rsidP="00DE031E">
                    <w:pPr>
                      <w:jc w:val="right"/>
                      <w:rPr>
                        <w:rFonts w:ascii="Arial" w:hAnsi="Arial" w:cs="Arial"/>
                        <w:color w:val="000000"/>
                        <w:sz w:val="18"/>
                        <w:szCs w:val="18"/>
                      </w:rPr>
                    </w:pPr>
                    <w:r w:rsidRPr="00C62126">
                      <w:rPr>
                        <w:rFonts w:ascii="Arial" w:hAnsi="Arial" w:cs="Arial"/>
                        <w:color w:val="000000"/>
                        <w:sz w:val="18"/>
                        <w:szCs w:val="18"/>
                      </w:rPr>
                      <w:t>13,975,162.50</w:t>
                    </w:r>
                  </w:p>
                </w:tc>
                <w:tc>
                  <w:tcPr>
                    <w:tcW w:w="893" w:type="pct"/>
                    <w:tcBorders>
                      <w:top w:val="nil"/>
                      <w:left w:val="nil"/>
                      <w:bottom w:val="nil"/>
                      <w:right w:val="nil"/>
                    </w:tcBorders>
                    <w:shd w:val="clear" w:color="auto" w:fill="auto"/>
                    <w:noWrap/>
                    <w:vAlign w:val="center"/>
                    <w:hideMark/>
                  </w:tcPr>
                  <w:p w:rsidR="00DE031E" w:rsidRPr="00C62126" w:rsidRDefault="001C1A59" w:rsidP="00DE031E">
                    <w:pPr>
                      <w:jc w:val="right"/>
                      <w:rPr>
                        <w:rFonts w:ascii="Arial" w:hAnsi="Arial" w:cs="Arial"/>
                        <w:color w:val="000000"/>
                        <w:sz w:val="18"/>
                        <w:szCs w:val="18"/>
                      </w:rPr>
                    </w:pPr>
                    <w:r w:rsidRPr="00C62126">
                      <w:rPr>
                        <w:rFonts w:ascii="Arial" w:hAnsi="Arial" w:cs="Arial"/>
                        <w:color w:val="000000"/>
                        <w:sz w:val="18"/>
                        <w:szCs w:val="18"/>
                      </w:rPr>
                      <w:t>13,975,162.50</w:t>
                    </w:r>
                  </w:p>
                </w:tc>
                <w:tc>
                  <w:tcPr>
                    <w:tcW w:w="777" w:type="pct"/>
                    <w:tcBorders>
                      <w:top w:val="nil"/>
                      <w:left w:val="nil"/>
                      <w:bottom w:val="nil"/>
                      <w:right w:val="nil"/>
                    </w:tcBorders>
                    <w:shd w:val="clear" w:color="auto" w:fill="auto"/>
                    <w:noWrap/>
                    <w:vAlign w:val="center"/>
                    <w:hideMark/>
                  </w:tcPr>
                  <w:p w:rsidR="00DE031E" w:rsidRPr="00C62126" w:rsidRDefault="001C1A59" w:rsidP="00DE031E">
                    <w:pPr>
                      <w:jc w:val="right"/>
                      <w:rPr>
                        <w:rFonts w:ascii="Arial" w:hAnsi="Arial" w:cs="Arial"/>
                        <w:color w:val="000000"/>
                        <w:sz w:val="18"/>
                        <w:szCs w:val="18"/>
                      </w:rPr>
                    </w:pPr>
                    <w:r w:rsidRPr="00C62126">
                      <w:rPr>
                        <w:rFonts w:ascii="Arial" w:hAnsi="Arial" w:cs="Arial"/>
                        <w:color w:val="000000"/>
                        <w:sz w:val="18"/>
                        <w:szCs w:val="18"/>
                      </w:rPr>
                      <w:t>13,975,162.50</w:t>
                    </w:r>
                  </w:p>
                </w:tc>
                <w:tc>
                  <w:tcPr>
                    <w:tcW w:w="777" w:type="pct"/>
                    <w:tcBorders>
                      <w:top w:val="nil"/>
                      <w:left w:val="nil"/>
                      <w:bottom w:val="nil"/>
                      <w:right w:val="nil"/>
                    </w:tcBorders>
                    <w:shd w:val="clear" w:color="auto" w:fill="auto"/>
                    <w:noWrap/>
                    <w:vAlign w:val="center"/>
                    <w:hideMark/>
                  </w:tcPr>
                  <w:p w:rsidR="00DE031E" w:rsidRPr="00C62126" w:rsidRDefault="001C1A59" w:rsidP="00DE031E">
                    <w:pPr>
                      <w:jc w:val="right"/>
                      <w:rPr>
                        <w:rFonts w:ascii="Arial" w:hAnsi="Arial" w:cs="Arial"/>
                        <w:color w:val="000000"/>
                        <w:sz w:val="18"/>
                        <w:szCs w:val="18"/>
                      </w:rPr>
                    </w:pPr>
                    <w:r w:rsidRPr="00C62126">
                      <w:rPr>
                        <w:rFonts w:ascii="Arial" w:hAnsi="Arial" w:cs="Arial"/>
                        <w:color w:val="000000"/>
                        <w:sz w:val="18"/>
                        <w:szCs w:val="18"/>
                      </w:rPr>
                      <w:t>13,975,162.50</w:t>
                    </w:r>
                  </w:p>
                </w:tc>
              </w:tr>
            </w:tbl>
          </w:sdtContent>
        </w:sdt>
      </w:sdtContent>
    </w:sdt>
    <w:p w:rsidR="00DE031E" w:rsidRDefault="001C1A59" w:rsidP="009950AC">
      <w:pPr>
        <w:pStyle w:val="2"/>
        <w:numPr>
          <w:ilvl w:val="0"/>
          <w:numId w:val="30"/>
        </w:numPr>
        <w:spacing w:before="160" w:line="360" w:lineRule="auto"/>
        <w:ind w:left="426" w:hangingChars="202" w:hanging="426"/>
        <w:rPr>
          <w:rFonts w:ascii="宋体" w:hAnsi="宋体"/>
        </w:rPr>
      </w:pPr>
      <w:r>
        <w:rPr>
          <w:rFonts w:ascii="宋体" w:hAnsi="宋体" w:hint="eastAsia"/>
        </w:rPr>
        <w:t>关联方及关联交易</w:t>
      </w:r>
    </w:p>
    <w:sdt>
      <w:sdtPr>
        <w:rPr>
          <w:rFonts w:ascii="宋体" w:hAnsi="宋体" w:cs="宋体" w:hint="eastAsia"/>
          <w:b w:val="0"/>
          <w:bCs w:val="0"/>
          <w:kern w:val="0"/>
          <w:szCs w:val="24"/>
        </w:rPr>
        <w:tag w:val="_GBC_29e1f7491caa4c3e96eef8c84532de84"/>
        <w:id w:val="24726771"/>
        <w:lock w:val="sdtLocked"/>
        <w:placeholder>
          <w:docPart w:val="GBC22222222222222222222222222222"/>
        </w:placeholder>
      </w:sdtPr>
      <w:sdtEndPr>
        <w:rPr>
          <w:rFonts w:cs="Cambria"/>
          <w:szCs w:val="21"/>
        </w:rPr>
      </w:sdtEndPr>
      <w:sdtContent>
        <w:p w:rsidR="00DE031E" w:rsidRDefault="001C1A59" w:rsidP="009950AC">
          <w:pPr>
            <w:pStyle w:val="3"/>
            <w:numPr>
              <w:ilvl w:val="0"/>
              <w:numId w:val="71"/>
            </w:numPr>
            <w:spacing w:line="360" w:lineRule="auto"/>
          </w:pPr>
          <w:r>
            <w:rPr>
              <w:rFonts w:hint="eastAsia"/>
            </w:rPr>
            <w:t>本企业的母公司情况</w:t>
          </w:r>
        </w:p>
        <w:tbl>
          <w:tblPr>
            <w:tblW w:w="5419" w:type="pct"/>
            <w:jc w:val="center"/>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9"/>
            <w:gridCol w:w="840"/>
            <w:gridCol w:w="1975"/>
            <w:gridCol w:w="1746"/>
            <w:gridCol w:w="1332"/>
            <w:gridCol w:w="1275"/>
          </w:tblGrid>
          <w:tr w:rsidR="00DE031E" w:rsidRPr="00B2136C" w:rsidTr="00DE031E">
            <w:trPr>
              <w:trHeight w:val="842"/>
              <w:jc w:val="center"/>
            </w:trPr>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center"/>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母公司名称</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center"/>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注册地</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center"/>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业务性质</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center"/>
                  <w:rPr>
                    <w:rFonts w:asciiTheme="minorEastAsia" w:eastAsiaTheme="minorEastAsia" w:hAnsiTheme="minorEastAsia" w:cs="Cambria"/>
                    <w:sz w:val="18"/>
                    <w:szCs w:val="18"/>
                  </w:rPr>
                </w:pPr>
                <w:r w:rsidRPr="00DB7389">
                  <w:rPr>
                    <w:rFonts w:asciiTheme="minorEastAsia" w:eastAsiaTheme="minorEastAsia" w:hAnsiTheme="minorEastAsia" w:cs="Cambria" w:hint="eastAsia"/>
                    <w:sz w:val="18"/>
                    <w:szCs w:val="18"/>
                  </w:rPr>
                  <w:t>注册资本</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center"/>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母公司对本企业的持股比例</w:t>
                </w:r>
                <w:r w:rsidRPr="00B2136C">
                  <w:rPr>
                    <w:rFonts w:asciiTheme="minorEastAsia" w:eastAsiaTheme="minorEastAsia" w:hAnsiTheme="minorEastAsia" w:cs="Cambria"/>
                    <w:sz w:val="18"/>
                    <w:szCs w:val="18"/>
                  </w:rPr>
                  <w:t>(%)</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center"/>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母公司对本企业的表决权比例</w:t>
                </w:r>
                <w:r w:rsidRPr="00B2136C">
                  <w:rPr>
                    <w:rFonts w:asciiTheme="minorEastAsia" w:eastAsiaTheme="minorEastAsia" w:hAnsiTheme="minorEastAsia" w:cs="Cambria"/>
                    <w:sz w:val="18"/>
                    <w:szCs w:val="18"/>
                  </w:rPr>
                  <w:t>(%)</w:t>
                </w:r>
              </w:p>
            </w:tc>
          </w:tr>
          <w:sdt>
            <w:sdtPr>
              <w:rPr>
                <w:rFonts w:asciiTheme="minorEastAsia" w:eastAsiaTheme="minorEastAsia" w:hAnsiTheme="minorEastAsia" w:cs="Cambria"/>
                <w:sz w:val="18"/>
                <w:szCs w:val="18"/>
              </w:rPr>
              <w:alias w:val="本企业的母公司情况明细"/>
              <w:tag w:val="_GBC_e3a0ec4880544cc4ad472a056e28a2a2"/>
              <w:id w:val="24726761"/>
              <w:lock w:val="sdtLocked"/>
            </w:sdtPr>
            <w:sdtContent>
              <w:tr w:rsidR="00DE031E" w:rsidRPr="00B2136C" w:rsidTr="00DE031E">
                <w:trPr>
                  <w:trHeight w:val="255"/>
                  <w:jc w:val="center"/>
                </w:trPr>
                <w:sdt>
                  <w:sdtPr>
                    <w:rPr>
                      <w:rFonts w:asciiTheme="minorEastAsia" w:eastAsiaTheme="minorEastAsia" w:hAnsiTheme="minorEastAsia" w:cs="Cambria"/>
                      <w:sz w:val="18"/>
                      <w:szCs w:val="18"/>
                    </w:rPr>
                    <w:alias w:val="本企业的母公司情况明细－母公司名称"/>
                    <w:tag w:val="_GBC_ff01e9d3a09d465ba9ebd350c5a85d11"/>
                    <w:id w:val="24726755"/>
                    <w:lock w:val="sdtLocked"/>
                  </w:sdtPr>
                  <w:sdtContent>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招商局集团有限公司</w:t>
                        </w:r>
                      </w:p>
                    </w:tc>
                  </w:sdtContent>
                </w:sdt>
                <w:sdt>
                  <w:sdtPr>
                    <w:rPr>
                      <w:rFonts w:asciiTheme="minorEastAsia" w:eastAsiaTheme="minorEastAsia" w:hAnsiTheme="minorEastAsia" w:cs="Cambria"/>
                      <w:sz w:val="18"/>
                      <w:szCs w:val="18"/>
                    </w:rPr>
                    <w:alias w:val="本企业的母公司情况明细－注册地"/>
                    <w:tag w:val="_GBC_ef7c1fb8363d4da3914f4e1bd7dfac51"/>
                    <w:id w:val="24726756"/>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北京</w:t>
                        </w:r>
                      </w:p>
                    </w:tc>
                  </w:sdtContent>
                </w:sdt>
                <w:sdt>
                  <w:sdtPr>
                    <w:rPr>
                      <w:rFonts w:asciiTheme="minorEastAsia" w:eastAsiaTheme="minorEastAsia" w:hAnsiTheme="minorEastAsia" w:cs="Cambria"/>
                      <w:sz w:val="18"/>
                      <w:szCs w:val="18"/>
                    </w:rPr>
                    <w:alias w:val="本企业的母公司情况明细－业务性质"/>
                    <w:tag w:val="_GBC_12d20a71038a4dcd8c75fb5c37ef3a6b"/>
                    <w:id w:val="2472675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运输、金融、地产</w:t>
                        </w:r>
                      </w:p>
                    </w:tc>
                  </w:sdtContent>
                </w:sdt>
                <w:sdt>
                  <w:sdtPr>
                    <w:rPr>
                      <w:rFonts w:asciiTheme="minorEastAsia" w:eastAsiaTheme="minorEastAsia" w:hAnsiTheme="minorEastAsia" w:cs="Cambria"/>
                      <w:sz w:val="18"/>
                      <w:szCs w:val="18"/>
                    </w:rPr>
                    <w:alias w:val="本企业的母公司情况明细－注册资本"/>
                    <w:tag w:val="_GBC_58531a5f2fb54d41a49166c50c3b7feb"/>
                    <w:id w:val="24726758"/>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Pr>
                            <w:rFonts w:asciiTheme="minorEastAsia" w:eastAsiaTheme="minorEastAsia" w:hAnsiTheme="minorEastAsia" w:cs="Cambria"/>
                            <w:sz w:val="18"/>
                            <w:szCs w:val="18"/>
                          </w:rPr>
                          <w:t>1</w:t>
                        </w:r>
                        <w:r>
                          <w:rPr>
                            <w:rFonts w:asciiTheme="minorEastAsia" w:eastAsiaTheme="minorEastAsia" w:hAnsiTheme="minorEastAsia" w:cs="Cambria" w:hint="eastAsia"/>
                            <w:sz w:val="18"/>
                            <w:szCs w:val="18"/>
                          </w:rPr>
                          <w:t>3</w:t>
                        </w:r>
                        <w:r>
                          <w:rPr>
                            <w:rFonts w:asciiTheme="minorEastAsia" w:eastAsiaTheme="minorEastAsia" w:hAnsiTheme="minorEastAsia" w:cs="Cambria"/>
                            <w:sz w:val="18"/>
                            <w:szCs w:val="18"/>
                          </w:rPr>
                          <w:t>,</w:t>
                        </w:r>
                        <w:r>
                          <w:rPr>
                            <w:rFonts w:asciiTheme="minorEastAsia" w:eastAsiaTheme="minorEastAsia" w:hAnsiTheme="minorEastAsia" w:cs="Cambria" w:hint="eastAsia"/>
                            <w:sz w:val="18"/>
                            <w:szCs w:val="18"/>
                          </w:rPr>
                          <w:t>7</w:t>
                        </w:r>
                        <w:r>
                          <w:rPr>
                            <w:rFonts w:asciiTheme="minorEastAsia" w:eastAsiaTheme="minorEastAsia" w:hAnsiTheme="minorEastAsia" w:cs="Cambria"/>
                            <w:sz w:val="18"/>
                            <w:szCs w:val="18"/>
                          </w:rPr>
                          <w:t>50,000,000.00</w:t>
                        </w:r>
                      </w:p>
                    </w:tc>
                  </w:sdtContent>
                </w:sdt>
                <w:sdt>
                  <w:sdtPr>
                    <w:rPr>
                      <w:rFonts w:asciiTheme="minorEastAsia" w:eastAsiaTheme="minorEastAsia" w:hAnsiTheme="minorEastAsia" w:cs="Cambria"/>
                      <w:sz w:val="18"/>
                      <w:szCs w:val="18"/>
                    </w:rPr>
                    <w:alias w:val="本企业的母公司情况明细－母公司对本企业的持股比例"/>
                    <w:tag w:val="_GBC_96508be0c0954d5ba8d9189897f018e7"/>
                    <w:id w:val="24726759"/>
                    <w:lock w:val="sdtLocked"/>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cs="Cambria"/>
                            <w:sz w:val="18"/>
                            <w:szCs w:val="18"/>
                          </w:rPr>
                          <w:t>50.86%</w:t>
                        </w:r>
                      </w:p>
                    </w:tc>
                  </w:sdtContent>
                </w:sdt>
                <w:sdt>
                  <w:sdtPr>
                    <w:rPr>
                      <w:rFonts w:asciiTheme="minorEastAsia" w:eastAsiaTheme="minorEastAsia" w:hAnsiTheme="minorEastAsia" w:cs="Cambria"/>
                      <w:sz w:val="18"/>
                      <w:szCs w:val="18"/>
                    </w:rPr>
                    <w:alias w:val="本企业的母公司情况明细－母公司对本企业的表决权比例"/>
                    <w:tag w:val="_GBC_3687dfa048c7443badaa9e67fc8ed6b8"/>
                    <w:id w:val="24726760"/>
                    <w:lock w:val="sdtLocked"/>
                    <w:showingPlcHdr/>
                  </w:sdtPr>
                  <w:sdtConten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hint="eastAsia"/>
                            <w:color w:val="333399"/>
                            <w:sz w:val="18"/>
                            <w:szCs w:val="18"/>
                          </w:rPr>
                          <w:t xml:space="preserve">　</w:t>
                        </w:r>
                      </w:p>
                    </w:tc>
                  </w:sdtContent>
                </w:sdt>
              </w:tr>
            </w:sdtContent>
          </w:sdt>
          <w:sdt>
            <w:sdtPr>
              <w:rPr>
                <w:rFonts w:asciiTheme="minorEastAsia" w:eastAsiaTheme="minorEastAsia" w:hAnsiTheme="minorEastAsia" w:cs="Cambria"/>
                <w:sz w:val="18"/>
                <w:szCs w:val="18"/>
              </w:rPr>
              <w:alias w:val="本企业的母公司情况明细"/>
              <w:tag w:val="_GBC_e3a0ec4880544cc4ad472a056e28a2a2"/>
              <w:id w:val="24726768"/>
              <w:lock w:val="sdtLocked"/>
            </w:sdtPr>
            <w:sdtContent>
              <w:tr w:rsidR="00DE031E" w:rsidRPr="00B2136C" w:rsidTr="00DE031E">
                <w:trPr>
                  <w:trHeight w:val="255"/>
                  <w:jc w:val="center"/>
                </w:trPr>
                <w:sdt>
                  <w:sdtPr>
                    <w:rPr>
                      <w:rFonts w:asciiTheme="minorEastAsia" w:eastAsiaTheme="minorEastAsia" w:hAnsiTheme="minorEastAsia" w:cs="Cambria"/>
                      <w:sz w:val="18"/>
                      <w:szCs w:val="18"/>
                    </w:rPr>
                    <w:alias w:val="本企业的母公司情况明细－母公司名称"/>
                    <w:tag w:val="_GBC_ff01e9d3a09d465ba9ebd350c5a85d11"/>
                    <w:id w:val="24726762"/>
                    <w:lock w:val="sdtLocked"/>
                  </w:sdtPr>
                  <w:sdtContent>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深圳市招融投资控股有限公司</w:t>
                        </w:r>
                      </w:p>
                    </w:tc>
                  </w:sdtContent>
                </w:sdt>
                <w:sdt>
                  <w:sdtPr>
                    <w:rPr>
                      <w:rFonts w:asciiTheme="minorEastAsia" w:eastAsiaTheme="minorEastAsia" w:hAnsiTheme="minorEastAsia" w:cs="Cambria"/>
                      <w:sz w:val="18"/>
                      <w:szCs w:val="18"/>
                    </w:rPr>
                    <w:alias w:val="本企业的母公司情况明细－注册地"/>
                    <w:tag w:val="_GBC_ef7c1fb8363d4da3914f4e1bd7dfac51"/>
                    <w:id w:val="24726763"/>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深圳</w:t>
                        </w:r>
                      </w:p>
                    </w:tc>
                  </w:sdtContent>
                </w:sdt>
                <w:sdt>
                  <w:sdtPr>
                    <w:rPr>
                      <w:rFonts w:asciiTheme="minorEastAsia" w:eastAsiaTheme="minorEastAsia" w:hAnsiTheme="minorEastAsia" w:cs="Cambria"/>
                      <w:sz w:val="18"/>
                      <w:szCs w:val="18"/>
                    </w:rPr>
                    <w:alias w:val="本企业的母公司情况明细－业务性质"/>
                    <w:tag w:val="_GBC_12d20a71038a4dcd8c75fb5c37ef3a6b"/>
                    <w:id w:val="2472676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cs="Cambria" w:hint="eastAsia"/>
                            <w:sz w:val="18"/>
                            <w:szCs w:val="18"/>
                          </w:rPr>
                          <w:t>投资、商业、物资供销</w:t>
                        </w:r>
                      </w:p>
                    </w:tc>
                  </w:sdtContent>
                </w:sdt>
                <w:sdt>
                  <w:sdtPr>
                    <w:rPr>
                      <w:rFonts w:asciiTheme="minorEastAsia" w:eastAsiaTheme="minorEastAsia" w:hAnsiTheme="minorEastAsia" w:cs="Cambria"/>
                      <w:sz w:val="18"/>
                      <w:szCs w:val="18"/>
                    </w:rPr>
                    <w:alias w:val="本企业的母公司情况明细－注册资本"/>
                    <w:tag w:val="_GBC_58531a5f2fb54d41a49166c50c3b7feb"/>
                    <w:id w:val="24726765"/>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Pr>
                            <w:rFonts w:asciiTheme="minorEastAsia" w:eastAsiaTheme="minorEastAsia" w:hAnsiTheme="minorEastAsia" w:cs="Arial"/>
                            <w:sz w:val="18"/>
                            <w:szCs w:val="18"/>
                          </w:rPr>
                          <w:t>600,000,000.00</w:t>
                        </w:r>
                      </w:p>
                    </w:tc>
                  </w:sdtContent>
                </w:sdt>
                <w:sdt>
                  <w:sdtPr>
                    <w:rPr>
                      <w:rFonts w:asciiTheme="minorEastAsia" w:eastAsiaTheme="minorEastAsia" w:hAnsiTheme="minorEastAsia" w:cs="Cambria"/>
                      <w:sz w:val="18"/>
                      <w:szCs w:val="18"/>
                    </w:rPr>
                    <w:alias w:val="本企业的母公司情况明细－母公司对本企业的持股比例"/>
                    <w:tag w:val="_GBC_96508be0c0954d5ba8d9189897f018e7"/>
                    <w:id w:val="24726766"/>
                    <w:lock w:val="sdtLocked"/>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cs="Arial"/>
                            <w:sz w:val="18"/>
                            <w:szCs w:val="18"/>
                          </w:rPr>
                          <w:t>24.71%</w:t>
                        </w:r>
                      </w:p>
                    </w:tc>
                  </w:sdtContent>
                </w:sdt>
                <w:sdt>
                  <w:sdtPr>
                    <w:rPr>
                      <w:rFonts w:asciiTheme="minorEastAsia" w:eastAsiaTheme="minorEastAsia" w:hAnsiTheme="minorEastAsia" w:cs="Cambria"/>
                      <w:sz w:val="18"/>
                      <w:szCs w:val="18"/>
                    </w:rPr>
                    <w:alias w:val="本企业的母公司情况明细－母公司对本企业的表决权比例"/>
                    <w:tag w:val="_GBC_3687dfa048c7443badaa9e67fc8ed6b8"/>
                    <w:id w:val="24726767"/>
                    <w:lock w:val="sdtLocked"/>
                  </w:sdtPr>
                  <w:sdtContent>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Pr="00B2136C" w:rsidRDefault="001C1A59" w:rsidP="00DE031E">
                        <w:pPr>
                          <w:spacing w:line="360" w:lineRule="auto"/>
                          <w:jc w:val="right"/>
                          <w:rPr>
                            <w:rFonts w:asciiTheme="minorEastAsia" w:eastAsiaTheme="minorEastAsia" w:hAnsiTheme="minorEastAsia" w:cs="Cambria"/>
                            <w:sz w:val="18"/>
                            <w:szCs w:val="18"/>
                          </w:rPr>
                        </w:pPr>
                        <w:r w:rsidRPr="00B2136C">
                          <w:rPr>
                            <w:rFonts w:asciiTheme="minorEastAsia" w:eastAsiaTheme="minorEastAsia" w:hAnsiTheme="minorEastAsia" w:cs="Arial"/>
                            <w:sz w:val="18"/>
                            <w:szCs w:val="18"/>
                          </w:rPr>
                          <w:t>24.71%</w:t>
                        </w:r>
                      </w:p>
                    </w:tc>
                  </w:sdtContent>
                </w:sdt>
              </w:tr>
            </w:sdtContent>
          </w:sdt>
        </w:tbl>
        <w:sdt>
          <w:sdtPr>
            <w:rPr>
              <w:rFonts w:cs="Cambria"/>
              <w:szCs w:val="21"/>
            </w:rPr>
            <w:alias w:val="本企业的母公司情况的说明"/>
            <w:tag w:val="_GBC_23f67537c1df4d9d9ede9fbc78ad06a4"/>
            <w:id w:val="24726769"/>
            <w:lock w:val="sdtLocked"/>
            <w:placeholder>
              <w:docPart w:val="GBC22222222222222222222222222222"/>
            </w:placeholder>
          </w:sdtPr>
          <w:sdtContent>
            <w:p w:rsidR="00DE031E" w:rsidRDefault="001C1A59" w:rsidP="003A0284">
              <w:pPr>
                <w:tabs>
                  <w:tab w:val="left" w:pos="1134"/>
                </w:tabs>
                <w:spacing w:beforeLines="50" w:line="360" w:lineRule="auto"/>
                <w:rPr>
                  <w:rFonts w:cs="Cambria"/>
                  <w:szCs w:val="21"/>
                </w:rPr>
              </w:pPr>
              <w:r w:rsidRPr="000D56C4">
                <w:rPr>
                  <w:rFonts w:cs="Arial"/>
                  <w:szCs w:val="21"/>
                </w:rPr>
                <w:t>注：本公司的最终控制方为招商局集团有限公司，招商局集团直接及间接持有本公司第一大股东深圳市招融投资控股有限公司（持有本公司24.71%的股权）100%的股权、间接持有本公司股东深圳市集盛投资发展有限公司（持有本公司23.09%的股权）100%的股权，直接持有本公司股东招商局轮船股份有限公司（持有本公司3.05%的股权）100%的股权，招商局集团有限公司合计间接持有本公司50.86%的股权。</w:t>
              </w:r>
              <w:r w:rsidRPr="000D56C4">
                <w:rPr>
                  <w:rFonts w:cs="Arial"/>
                  <w:szCs w:val="21"/>
                </w:rPr>
                <w:tab/>
              </w:r>
            </w:p>
          </w:sdtContent>
        </w:sdt>
        <w:p w:rsidR="00DE031E" w:rsidRDefault="001C1A59" w:rsidP="00DE031E">
          <w:pPr>
            <w:spacing w:line="360" w:lineRule="auto"/>
            <w:rPr>
              <w:szCs w:val="21"/>
            </w:rPr>
          </w:pPr>
          <w:r>
            <w:rPr>
              <w:rFonts w:hint="eastAsia"/>
              <w:szCs w:val="21"/>
            </w:rPr>
            <w:lastRenderedPageBreak/>
            <w:t>本企业最终控制方是</w:t>
          </w:r>
          <w:sdt>
            <w:sdtPr>
              <w:rPr>
                <w:rFonts w:hint="eastAsia"/>
                <w:szCs w:val="21"/>
              </w:rPr>
              <w:alias w:val="本企业最终控制方"/>
              <w:tag w:val="_GBC_951a676520994ab7a3822c5f58c20b7d"/>
              <w:id w:val="24726770"/>
              <w:lock w:val="sdtLocked"/>
              <w:placeholder>
                <w:docPart w:val="GBC22222222222222222222222222222"/>
              </w:placeholder>
            </w:sdtPr>
            <w:sdtContent>
              <w:r w:rsidRPr="000D56C4">
                <w:rPr>
                  <w:rFonts w:cs="Arial"/>
                  <w:szCs w:val="21"/>
                </w:rPr>
                <w:t>招商局集团有限公司</w:t>
              </w:r>
            </w:sdtContent>
          </w:sdt>
        </w:p>
      </w:sdtContent>
    </w:sdt>
    <w:sdt>
      <w:sdtPr>
        <w:rPr>
          <w:rFonts w:ascii="宋体" w:hAnsi="宋体" w:cs="Arial" w:hint="eastAsia"/>
          <w:b w:val="0"/>
          <w:bCs w:val="0"/>
          <w:kern w:val="0"/>
          <w:szCs w:val="21"/>
        </w:rPr>
        <w:alias w:val="本企业的子公司情况  "/>
        <w:tag w:val="_GBC_244a434a920446c1838410fee0ac8ba8"/>
        <w:id w:val="24726772"/>
        <w:lock w:val="sdtLocked"/>
        <w:placeholder>
          <w:docPart w:val="GBC22222222222222222222222222222"/>
        </w:placeholder>
      </w:sdtPr>
      <w:sdtEndPr>
        <w:rPr>
          <w:rFonts w:cs="宋体"/>
          <w:szCs w:val="24"/>
        </w:rPr>
      </w:sdtEndPr>
      <w:sdtContent>
        <w:p w:rsidR="00D5527A" w:rsidRDefault="00D5527A" w:rsidP="009950AC">
          <w:pPr>
            <w:pStyle w:val="3"/>
            <w:numPr>
              <w:ilvl w:val="0"/>
              <w:numId w:val="71"/>
            </w:numPr>
            <w:rPr>
              <w:rFonts w:ascii="宋体" w:hAnsi="宋体" w:cs="Arial"/>
              <w:szCs w:val="21"/>
            </w:rPr>
          </w:pPr>
          <w:r>
            <w:rPr>
              <w:rFonts w:ascii="宋体" w:hAnsi="宋体" w:cs="Arial" w:hint="eastAsia"/>
              <w:szCs w:val="21"/>
            </w:rPr>
            <w:t>本企业的子公司情况</w:t>
          </w:r>
        </w:p>
        <w:sdt>
          <w:sdtPr>
            <w:rPr>
              <w:rFonts w:hint="eastAsia"/>
              <w:szCs w:val="21"/>
            </w:rPr>
            <w:alias w:val="本公司的子公司情况详见附注"/>
            <w:tag w:val="_GBC_bb3e2669c3cc45d0a6637b1809087708"/>
            <w:id w:val="-1464038270"/>
            <w:lock w:val="sdtLocked"/>
          </w:sdtPr>
          <w:sdtContent>
            <w:p w:rsidR="00DE031E" w:rsidRPr="00D5527A" w:rsidRDefault="00D5527A" w:rsidP="003A0284">
              <w:pPr>
                <w:spacing w:beforeLines="50" w:line="360" w:lineRule="auto"/>
                <w:rPr>
                  <w:szCs w:val="21"/>
                </w:rPr>
              </w:pPr>
              <w:r w:rsidRPr="00DB7389">
                <w:rPr>
                  <w:rFonts w:hint="eastAsia"/>
                  <w:szCs w:val="21"/>
                </w:rPr>
                <w:t>本企业子公司的情况详见附注</w:t>
              </w:r>
              <w:r>
                <w:rPr>
                  <w:rFonts w:ascii="Arial" w:hAnsi="Arial" w:cs="Arial" w:hint="eastAsia"/>
                  <w:sz w:val="22"/>
                  <w:szCs w:val="22"/>
                </w:rPr>
                <w:t>“十</w:t>
              </w:r>
              <w:r w:rsidRPr="00437FB4">
                <w:rPr>
                  <w:rFonts w:ascii="Arial" w:hAnsi="Arial" w:cs="Arial"/>
                  <w:sz w:val="22"/>
                  <w:szCs w:val="22"/>
                </w:rPr>
                <w:t>、</w:t>
              </w:r>
              <w:r w:rsidRPr="00437FB4">
                <w:rPr>
                  <w:rFonts w:ascii="Arial" w:hAnsi="Arial" w:cs="Arial"/>
                  <w:sz w:val="22"/>
                  <w:szCs w:val="22"/>
                </w:rPr>
                <w:t>1.</w:t>
              </w:r>
              <w:r w:rsidRPr="00437FB4">
                <w:rPr>
                  <w:rFonts w:ascii="Arial" w:hAnsi="Arial" w:cs="Arial"/>
                  <w:sz w:val="22"/>
                  <w:szCs w:val="22"/>
                </w:rPr>
                <w:t>（</w:t>
              </w:r>
              <w:r w:rsidRPr="00437FB4">
                <w:rPr>
                  <w:rFonts w:ascii="Arial" w:hAnsi="Arial" w:cs="Arial"/>
                  <w:sz w:val="22"/>
                  <w:szCs w:val="22"/>
                </w:rPr>
                <w:t>1</w:t>
              </w:r>
              <w:r w:rsidRPr="00437FB4">
                <w:rPr>
                  <w:rFonts w:ascii="Arial" w:hAnsi="Arial" w:cs="Arial"/>
                  <w:sz w:val="22"/>
                  <w:szCs w:val="22"/>
                </w:rPr>
                <w:t>）</w:t>
              </w:r>
              <w:r w:rsidRPr="00437FB4">
                <w:rPr>
                  <w:rFonts w:hint="eastAsia"/>
                  <w:sz w:val="22"/>
                  <w:szCs w:val="22"/>
                </w:rPr>
                <w:t>①</w:t>
              </w:r>
              <w:r w:rsidRPr="00437FB4">
                <w:rPr>
                  <w:rFonts w:ascii="Arial" w:hAnsi="Arial" w:cs="Arial"/>
                  <w:sz w:val="22"/>
                  <w:szCs w:val="22"/>
                </w:rPr>
                <w:t>子公司</w:t>
              </w:r>
              <w:r>
                <w:rPr>
                  <w:rFonts w:ascii="Arial" w:hAnsi="Arial" w:cs="Arial" w:hint="eastAsia"/>
                  <w:sz w:val="22"/>
                  <w:szCs w:val="22"/>
                </w:rPr>
                <w:t>”</w:t>
              </w:r>
              <w:r w:rsidRPr="00437FB4">
                <w:rPr>
                  <w:rFonts w:ascii="Arial" w:hAnsi="Arial" w:cs="Arial"/>
                  <w:sz w:val="22"/>
                  <w:szCs w:val="22"/>
                </w:rPr>
                <w:t>相关内容</w:t>
              </w:r>
              <w:r>
                <w:rPr>
                  <w:rFonts w:ascii="Arial" w:hAnsi="Arial" w:cs="Arial" w:hint="eastAsia"/>
                  <w:sz w:val="22"/>
                  <w:szCs w:val="22"/>
                </w:rPr>
                <w:t>。</w:t>
              </w:r>
            </w:p>
          </w:sdtContent>
        </w:sdt>
      </w:sdtContent>
    </w:sdt>
    <w:sdt>
      <w:sdtPr>
        <w:rPr>
          <w:rFonts w:ascii="宋体" w:hAnsi="宋体" w:cs="宋体" w:hint="eastAsia"/>
          <w:b w:val="0"/>
          <w:bCs w:val="0"/>
          <w:kern w:val="0"/>
          <w:szCs w:val="24"/>
        </w:rPr>
        <w:tag w:val="_GBC_a5638b7fd6a848a19564209060b6909a"/>
        <w:id w:val="24726780"/>
        <w:lock w:val="sdtLocked"/>
        <w:placeholder>
          <w:docPart w:val="GBC22222222222222222222222222222"/>
        </w:placeholder>
      </w:sdtPr>
      <w:sdtEndPr>
        <w:rPr>
          <w:rFonts w:cs="Cambria"/>
          <w:szCs w:val="21"/>
        </w:rPr>
      </w:sdtEndPr>
      <w:sdtContent>
        <w:p w:rsidR="00DE031E" w:rsidRDefault="001C1A59" w:rsidP="009950AC">
          <w:pPr>
            <w:pStyle w:val="3"/>
            <w:numPr>
              <w:ilvl w:val="0"/>
              <w:numId w:val="71"/>
            </w:numPr>
            <w:spacing w:line="360" w:lineRule="auto"/>
          </w:pPr>
          <w:r>
            <w:rPr>
              <w:rFonts w:hint="eastAsia"/>
            </w:rPr>
            <w:t>本企业合营和联营企业情况</w:t>
          </w:r>
        </w:p>
        <w:p w:rsidR="00DE031E" w:rsidRDefault="001C1A59" w:rsidP="00DE031E">
          <w:pPr>
            <w:spacing w:line="360" w:lineRule="auto"/>
          </w:pPr>
          <w:r w:rsidRPr="00DB7389">
            <w:rPr>
              <w:rFonts w:hint="eastAsia"/>
            </w:rPr>
            <w:t>本企业重要的合营或联营企业详见附注</w:t>
          </w:r>
          <w:r>
            <w:rPr>
              <w:rFonts w:ascii="Arial" w:hAnsi="Arial" w:cs="Arial" w:hint="eastAsia"/>
              <w:sz w:val="22"/>
              <w:szCs w:val="22"/>
            </w:rPr>
            <w:t>“七</w:t>
          </w:r>
          <w:r w:rsidRPr="00437FB4">
            <w:rPr>
              <w:rFonts w:ascii="Arial" w:hAnsi="Arial" w:cs="Arial"/>
              <w:sz w:val="22"/>
              <w:szCs w:val="22"/>
            </w:rPr>
            <w:t>、</w:t>
          </w:r>
          <w:r w:rsidRPr="00437FB4">
            <w:rPr>
              <w:rFonts w:ascii="Arial" w:hAnsi="Arial" w:cs="Arial"/>
              <w:sz w:val="22"/>
              <w:szCs w:val="22"/>
            </w:rPr>
            <w:t>1</w:t>
          </w:r>
          <w:r>
            <w:rPr>
              <w:rFonts w:ascii="Arial" w:hAnsi="Arial" w:cs="Arial" w:hint="eastAsia"/>
              <w:sz w:val="22"/>
              <w:szCs w:val="22"/>
            </w:rPr>
            <w:t>3</w:t>
          </w:r>
          <w:r w:rsidRPr="00437FB4">
            <w:rPr>
              <w:rFonts w:ascii="Arial" w:hAnsi="Arial" w:cs="Arial"/>
              <w:sz w:val="22"/>
              <w:szCs w:val="22"/>
            </w:rPr>
            <w:t>.</w:t>
          </w:r>
          <w:r w:rsidRPr="00437FB4">
            <w:rPr>
              <w:rFonts w:ascii="Arial" w:hAnsi="Arial" w:cs="Arial"/>
              <w:sz w:val="22"/>
              <w:szCs w:val="22"/>
            </w:rPr>
            <w:t>长期股权投资</w:t>
          </w:r>
          <w:r>
            <w:rPr>
              <w:rFonts w:ascii="Arial" w:hAnsi="Arial" w:cs="Arial" w:hint="eastAsia"/>
              <w:sz w:val="22"/>
              <w:szCs w:val="22"/>
            </w:rPr>
            <w:t>”</w:t>
          </w:r>
          <w:r w:rsidRPr="00437FB4">
            <w:rPr>
              <w:rFonts w:ascii="Arial" w:hAnsi="Arial" w:cs="Arial"/>
              <w:sz w:val="22"/>
              <w:szCs w:val="22"/>
            </w:rPr>
            <w:t>相关内容</w:t>
          </w:r>
          <w:r>
            <w:rPr>
              <w:rFonts w:ascii="Arial" w:hAnsi="Arial" w:cs="Arial" w:hint="eastAsia"/>
              <w:sz w:val="22"/>
              <w:szCs w:val="22"/>
            </w:rPr>
            <w:t>。</w:t>
          </w:r>
        </w:p>
        <w:p w:rsidR="00DE031E" w:rsidRDefault="001C1A59" w:rsidP="00DE031E">
          <w:pPr>
            <w:spacing w:line="360" w:lineRule="auto"/>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
            <w:tag w:val="_GBC_2fd104c94f8c45af8e898043499f4e55"/>
            <w:id w:val="24726773"/>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DE031E" w:rsidTr="00A77D13">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24726776"/>
              <w:lock w:val="sdtLocked"/>
            </w:sdtPr>
            <w:sdtContent>
              <w:tr w:rsidR="00DE031E" w:rsidTr="00A77D13">
                <w:trPr>
                  <w:trHeight w:val="250"/>
                </w:trPr>
                <w:sdt>
                  <w:sdtPr>
                    <w:rPr>
                      <w:szCs w:val="21"/>
                    </w:rPr>
                    <w:alias w:val="存在关联方交易或余额的合营和联营企业情况明细-合营或联营企业名称"/>
                    <w:tag w:val="_GBC_99574b2b8e7c438fbd89ef15dcc23d02"/>
                    <w:id w:val="24726774"/>
                    <w:lock w:val="sdtLocked"/>
                  </w:sdtPr>
                  <w:sdtContent>
                    <w:tc>
                      <w:tcPr>
                        <w:tcW w:w="2202" w:type="pct"/>
                        <w:tcBorders>
                          <w:top w:val="single" w:sz="4" w:space="0" w:color="auto"/>
                          <w:left w:val="single" w:sz="4" w:space="0" w:color="auto"/>
                          <w:bottom w:val="single" w:sz="4" w:space="0" w:color="auto"/>
                          <w:right w:val="single" w:sz="4" w:space="0" w:color="auto"/>
                        </w:tcBorders>
                      </w:tcPr>
                      <w:p w:rsidR="00DE031E" w:rsidRDefault="001C1A59">
                        <w:pPr>
                          <w:rPr>
                            <w:szCs w:val="21"/>
                          </w:rPr>
                        </w:pPr>
                        <w:r>
                          <w:rPr>
                            <w:rFonts w:hint="eastAsia"/>
                            <w:szCs w:val="21"/>
                          </w:rPr>
                          <w:t>博时基金管理有限公司</w:t>
                        </w:r>
                      </w:p>
                    </w:tc>
                  </w:sdtContent>
                </w:sdt>
                <w:sdt>
                  <w:sdtPr>
                    <w:rPr>
                      <w:szCs w:val="21"/>
                    </w:rPr>
                    <w:alias w:val="存在关联方交易或余额的合营和联营企业情况明细-与本集团关系"/>
                    <w:tag w:val="_GBC_cdb335cd22974656be08c7a7ff3cbc96"/>
                    <w:id w:val="24726775"/>
                    <w:lock w:val="sdtLocked"/>
                  </w:sdtPr>
                  <w:sdtContent>
                    <w:tc>
                      <w:tcPr>
                        <w:tcW w:w="2798" w:type="pct"/>
                        <w:tcBorders>
                          <w:top w:val="single" w:sz="4" w:space="0" w:color="auto"/>
                          <w:left w:val="single" w:sz="4" w:space="0" w:color="auto"/>
                          <w:bottom w:val="single" w:sz="4" w:space="0" w:color="auto"/>
                          <w:right w:val="single" w:sz="4" w:space="0" w:color="auto"/>
                        </w:tcBorders>
                      </w:tcPr>
                      <w:p w:rsidR="00DE031E" w:rsidRDefault="001C1A59" w:rsidP="00DE031E">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24726779"/>
              <w:lock w:val="sdtLocked"/>
            </w:sdtPr>
            <w:sdtContent>
              <w:tr w:rsidR="00DE031E" w:rsidTr="00A77D13">
                <w:trPr>
                  <w:trHeight w:val="250"/>
                </w:trPr>
                <w:sdt>
                  <w:sdtPr>
                    <w:rPr>
                      <w:szCs w:val="21"/>
                    </w:rPr>
                    <w:alias w:val="存在关联方交易或余额的合营和联营企业情况明细-合营或联营企业名称"/>
                    <w:tag w:val="_GBC_99574b2b8e7c438fbd89ef15dcc23d02"/>
                    <w:id w:val="24726777"/>
                    <w:lock w:val="sdtLocked"/>
                  </w:sdtPr>
                  <w:sdtContent>
                    <w:tc>
                      <w:tcPr>
                        <w:tcW w:w="2202" w:type="pct"/>
                        <w:tcBorders>
                          <w:top w:val="single" w:sz="4" w:space="0" w:color="auto"/>
                          <w:left w:val="single" w:sz="4" w:space="0" w:color="auto"/>
                          <w:bottom w:val="single" w:sz="4" w:space="0" w:color="auto"/>
                          <w:right w:val="single" w:sz="4" w:space="0" w:color="auto"/>
                        </w:tcBorders>
                      </w:tcPr>
                      <w:p w:rsidR="00DE031E" w:rsidRDefault="001C1A59">
                        <w:pPr>
                          <w:rPr>
                            <w:szCs w:val="21"/>
                          </w:rPr>
                        </w:pPr>
                        <w:r>
                          <w:rPr>
                            <w:rFonts w:hint="eastAsia"/>
                            <w:szCs w:val="21"/>
                          </w:rPr>
                          <w:t>招商基金管理有限公司</w:t>
                        </w:r>
                      </w:p>
                    </w:tc>
                  </w:sdtContent>
                </w:sdt>
                <w:sdt>
                  <w:sdtPr>
                    <w:rPr>
                      <w:szCs w:val="21"/>
                    </w:rPr>
                    <w:alias w:val="存在关联方交易或余额的合营和联营企业情况明细-与本集团关系"/>
                    <w:tag w:val="_GBC_cdb335cd22974656be08c7a7ff3cbc96"/>
                    <w:id w:val="24726778"/>
                    <w:lock w:val="sdtLocked"/>
                  </w:sdtPr>
                  <w:sdtContent>
                    <w:tc>
                      <w:tcPr>
                        <w:tcW w:w="2798" w:type="pct"/>
                        <w:tcBorders>
                          <w:top w:val="single" w:sz="4" w:space="0" w:color="auto"/>
                          <w:left w:val="single" w:sz="4" w:space="0" w:color="auto"/>
                          <w:bottom w:val="single" w:sz="4" w:space="0" w:color="auto"/>
                          <w:right w:val="single" w:sz="4" w:space="0" w:color="auto"/>
                        </w:tcBorders>
                      </w:tcPr>
                      <w:p w:rsidR="00DE031E" w:rsidRDefault="001C1A59">
                        <w:pPr>
                          <w:rPr>
                            <w:szCs w:val="21"/>
                          </w:rPr>
                        </w:pPr>
                        <w:r>
                          <w:rPr>
                            <w:rFonts w:hint="eastAsia"/>
                            <w:szCs w:val="21"/>
                          </w:rPr>
                          <w:t>联营企业</w:t>
                        </w:r>
                      </w:p>
                    </w:tc>
                  </w:sdtContent>
                </w:sdt>
              </w:tr>
            </w:sdtContent>
          </w:sdt>
        </w:tbl>
      </w:sdtContent>
    </w:sdt>
    <w:sdt>
      <w:sdtPr>
        <w:rPr>
          <w:rFonts w:ascii="宋体" w:hAnsi="宋体" w:cs="宋体" w:hint="eastAsia"/>
          <w:b w:val="0"/>
          <w:bCs w:val="0"/>
          <w:kern w:val="0"/>
          <w:szCs w:val="24"/>
        </w:rPr>
        <w:tag w:val="_GBC_047a0ce3dc594d779db6d4cbc1623727"/>
        <w:id w:val="24726791"/>
        <w:lock w:val="sdtLocked"/>
        <w:placeholder>
          <w:docPart w:val="GBC22222222222222222222222222222"/>
        </w:placeholder>
      </w:sdtPr>
      <w:sdtEndPr>
        <w:rPr>
          <w:rFonts w:cs="Cambria"/>
          <w:szCs w:val="21"/>
        </w:rPr>
      </w:sdtEndPr>
      <w:sdtContent>
        <w:p w:rsidR="00DE031E" w:rsidRDefault="001C1A59" w:rsidP="009950AC">
          <w:pPr>
            <w:pStyle w:val="3"/>
            <w:numPr>
              <w:ilvl w:val="0"/>
              <w:numId w:val="71"/>
            </w:numPr>
            <w:spacing w:line="360" w:lineRule="auto"/>
          </w:pPr>
          <w:r>
            <w:rPr>
              <w:rFonts w:hint="eastAsia"/>
            </w:rPr>
            <w:t>其他关联方情况</w:t>
          </w:r>
        </w:p>
        <w:sdt>
          <w:sdtPr>
            <w:alias w:val="是否适用：其他关联方情况"/>
            <w:tag w:val="_GBC_741ad5c8f7e7464397757438175c6c15"/>
            <w:id w:val="24726781"/>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DE031E" w:rsidTr="00DE031E">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24726784"/>
              <w:lock w:val="sdtLocked"/>
            </w:sdtPr>
            <w:sdtContent>
              <w:tr w:rsidR="00DE031E" w:rsidTr="00DE031E">
                <w:trPr>
                  <w:trHeight w:val="267"/>
                </w:trPr>
                <w:sdt>
                  <w:sdtPr>
                    <w:rPr>
                      <w:rFonts w:cs="Cambria"/>
                      <w:szCs w:val="21"/>
                    </w:rPr>
                    <w:alias w:val="本企业的其他关联方情况明细－其他关联方名称"/>
                    <w:tag w:val="_GBC_82d7a1b281b64889ba8c7ea32e982256"/>
                    <w:id w:val="2472678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rFonts w:cs="Cambria"/>
                            <w:szCs w:val="21"/>
                          </w:rPr>
                        </w:pPr>
                        <w:r>
                          <w:rPr>
                            <w:szCs w:val="21"/>
                          </w:rPr>
                          <w:t>招商局地产控股股份有限公司</w:t>
                        </w:r>
                      </w:p>
                    </w:tc>
                  </w:sdtContent>
                </w:sdt>
                <w:sdt>
                  <w:sdtPr>
                    <w:rPr>
                      <w:rFonts w:cs="Cambria"/>
                      <w:szCs w:val="21"/>
                    </w:rPr>
                    <w:alias w:val="本企业的其他关联方情况明细－其他关联方与本公司关系"/>
                    <w:tag w:val="_GBC_2205fb8ea5f648b5a0c9e8e3f8499f9f"/>
                    <w:id w:val="247267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E031E" w:rsidRDefault="001C1A59" w:rsidP="00DE031E">
                        <w:pPr>
                          <w:rPr>
                            <w:rFonts w:cs="Cambria"/>
                            <w:szCs w:val="21"/>
                          </w:rPr>
                        </w:pPr>
                        <w:r>
                          <w:rPr>
                            <w:rFonts w:cs="Cambria" w:hint="eastAsia"/>
                            <w:szCs w:val="21"/>
                          </w:rPr>
                          <w:t>集团兄弟公司</w:t>
                        </w:r>
                      </w:p>
                    </w:tc>
                  </w:sdtContent>
                </w:sdt>
              </w:tr>
            </w:sdtContent>
          </w:sdt>
          <w:sdt>
            <w:sdtPr>
              <w:rPr>
                <w:rFonts w:cs="Cambria"/>
                <w:szCs w:val="21"/>
              </w:rPr>
              <w:alias w:val="本企业的其他关联方情况明细"/>
              <w:tag w:val="_GBC_2ec4adf7a1ce48faaeba9536b2bf6d81"/>
              <w:id w:val="24726787"/>
              <w:lock w:val="sdtLocked"/>
            </w:sdtPr>
            <w:sdtContent>
              <w:tr w:rsidR="00DE031E" w:rsidTr="00DE031E">
                <w:trPr>
                  <w:trHeight w:val="267"/>
                </w:trPr>
                <w:sdt>
                  <w:sdtPr>
                    <w:rPr>
                      <w:rFonts w:cs="Cambria"/>
                      <w:szCs w:val="21"/>
                    </w:rPr>
                    <w:alias w:val="本企业的其他关联方情况明细－其他关联方名称"/>
                    <w:tag w:val="_GBC_82d7a1b281b64889ba8c7ea32e982256"/>
                    <w:id w:val="2472678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rFonts w:cs="Cambria"/>
                            <w:szCs w:val="21"/>
                          </w:rPr>
                        </w:pPr>
                        <w:r>
                          <w:rPr>
                            <w:szCs w:val="21"/>
                          </w:rPr>
                          <w:t>招商局工业集团有限公司</w:t>
                        </w:r>
                      </w:p>
                    </w:tc>
                  </w:sdtContent>
                </w:sdt>
                <w:sdt>
                  <w:sdtPr>
                    <w:rPr>
                      <w:rFonts w:cs="Cambria"/>
                      <w:szCs w:val="21"/>
                    </w:rPr>
                    <w:alias w:val="本企业的其他关联方情况明细－其他关联方与本公司关系"/>
                    <w:tag w:val="_GBC_2205fb8ea5f648b5a0c9e8e3f8499f9f"/>
                    <w:id w:val="247267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E031E" w:rsidRDefault="001C1A59" w:rsidP="00DE031E">
                        <w:pPr>
                          <w:rPr>
                            <w:rFonts w:cs="Cambria"/>
                            <w:szCs w:val="21"/>
                          </w:rPr>
                        </w:pPr>
                        <w:r>
                          <w:rPr>
                            <w:rFonts w:cs="Cambria" w:hint="eastAsia"/>
                            <w:szCs w:val="21"/>
                          </w:rPr>
                          <w:t>集团兄弟公司</w:t>
                        </w:r>
                      </w:p>
                    </w:tc>
                  </w:sdtContent>
                </w:sdt>
              </w:tr>
            </w:sdtContent>
          </w:sdt>
          <w:sdt>
            <w:sdtPr>
              <w:rPr>
                <w:rFonts w:cs="Cambria"/>
                <w:szCs w:val="21"/>
              </w:rPr>
              <w:alias w:val="本企业的其他关联方情况明细"/>
              <w:tag w:val="_GBC_2ec4adf7a1ce48faaeba9536b2bf6d81"/>
              <w:id w:val="24726790"/>
              <w:lock w:val="sdtLocked"/>
            </w:sdtPr>
            <w:sdtContent>
              <w:tr w:rsidR="00DE031E" w:rsidTr="00DE031E">
                <w:trPr>
                  <w:trHeight w:val="267"/>
                </w:trPr>
                <w:sdt>
                  <w:sdtPr>
                    <w:rPr>
                      <w:rFonts w:cs="Cambria"/>
                      <w:szCs w:val="21"/>
                    </w:rPr>
                    <w:alias w:val="本企业的其他关联方情况明细－其他关联方名称"/>
                    <w:tag w:val="_GBC_82d7a1b281b64889ba8c7ea32e982256"/>
                    <w:id w:val="2472678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rPr>
                            <w:rFonts w:cs="Cambria"/>
                            <w:szCs w:val="21"/>
                          </w:rPr>
                        </w:pPr>
                        <w:r>
                          <w:rPr>
                            <w:szCs w:val="21"/>
                          </w:rPr>
                          <w:t>招商银行股份有限公司</w:t>
                        </w:r>
                      </w:p>
                    </w:tc>
                  </w:sdtContent>
                </w:sdt>
                <w:sdt>
                  <w:sdtPr>
                    <w:rPr>
                      <w:rFonts w:cs="Cambria"/>
                      <w:szCs w:val="21"/>
                    </w:rPr>
                    <w:alias w:val="本企业的其他关联方情况明细－其他关联方与本公司关系"/>
                    <w:tag w:val="_GBC_2205fb8ea5f648b5a0c9e8e3f8499f9f"/>
                    <w:id w:val="247267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E031E" w:rsidRDefault="001C1A59" w:rsidP="00DE031E">
                        <w:pPr>
                          <w:rPr>
                            <w:rFonts w:cs="Cambria"/>
                            <w:szCs w:val="21"/>
                          </w:rPr>
                        </w:pPr>
                        <w:r>
                          <w:rPr>
                            <w:rFonts w:cs="Cambria" w:hint="eastAsia"/>
                            <w:szCs w:val="21"/>
                          </w:rPr>
                          <w:t>其他</w:t>
                        </w:r>
                      </w:p>
                    </w:tc>
                  </w:sdtContent>
                </w:sdt>
              </w:tr>
            </w:sdtContent>
          </w:sdt>
        </w:tbl>
      </w:sdtContent>
    </w:sdt>
    <w:p w:rsidR="00DE031E" w:rsidRDefault="001C1A59" w:rsidP="009950AC">
      <w:pPr>
        <w:pStyle w:val="3"/>
        <w:numPr>
          <w:ilvl w:val="0"/>
          <w:numId w:val="71"/>
        </w:numPr>
        <w:spacing w:line="360" w:lineRule="auto"/>
      </w:pPr>
      <w:r>
        <w:rPr>
          <w:rFonts w:hint="eastAsia"/>
        </w:rPr>
        <w:t>关联交易情况</w:t>
      </w:r>
    </w:p>
    <w:p w:rsidR="00DE031E" w:rsidRDefault="001C1A59" w:rsidP="009950AC">
      <w:pPr>
        <w:pStyle w:val="4"/>
        <w:numPr>
          <w:ilvl w:val="0"/>
          <w:numId w:val="72"/>
        </w:numPr>
        <w:tabs>
          <w:tab w:val="left" w:pos="616"/>
        </w:tabs>
        <w:spacing w:line="360" w:lineRule="auto"/>
      </w:pPr>
      <w:r>
        <w:rPr>
          <w:rFonts w:hint="eastAsia"/>
        </w:rPr>
        <w:t>购销商品、提供和接受劳务的关联交易</w:t>
      </w:r>
    </w:p>
    <w:sdt>
      <w:sdtPr>
        <w:alias w:val="是否适用：购销商品、提供和接受劳务的关联交易"/>
        <w:tag w:val="_GBC_745c3e9c99da4d04bd41830e453e5fe8"/>
        <w:id w:val="24726792"/>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hint="eastAsia"/>
        </w:rPr>
        <w:tag w:val="_GBC_52b26bf544924d819c9c6cf69488cd1f"/>
        <w:id w:val="24726825"/>
        <w:lock w:val="sdtLocked"/>
        <w:placeholder>
          <w:docPart w:val="GBC22222222222222222222222222222"/>
        </w:placeholder>
      </w:sdtPr>
      <w:sdtEndPr>
        <w:rPr>
          <w:rFonts w:hint="default"/>
        </w:rPr>
      </w:sdtEndPr>
      <w:sdtContent>
        <w:p w:rsidR="00DE031E" w:rsidRDefault="001C1A59" w:rsidP="00DE031E">
          <w:pPr>
            <w:spacing w:line="360" w:lineRule="auto"/>
          </w:pPr>
          <w:r>
            <w:rPr>
              <w:rFonts w:hint="eastAsia"/>
            </w:rPr>
            <w:t>采购商品/接受劳务情况表</w:t>
          </w:r>
        </w:p>
        <w:p w:rsidR="00DE031E" w:rsidRDefault="001C1A59">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24726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万元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24726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3413"/>
            <w:gridCol w:w="1565"/>
            <w:gridCol w:w="1492"/>
          </w:tblGrid>
          <w:tr w:rsidR="00DE031E" w:rsidTr="00DE031E">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关联方</w:t>
                </w:r>
              </w:p>
            </w:tc>
            <w:tc>
              <w:tcPr>
                <w:tcW w:w="1919"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关联交易内容</w:t>
                </w:r>
              </w:p>
            </w:tc>
            <w:tc>
              <w:tcPr>
                <w:tcW w:w="880" w:type="pct"/>
                <w:tcBorders>
                  <w:top w:val="single" w:sz="4" w:space="0" w:color="auto"/>
                  <w:left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本期发生额</w:t>
                </w:r>
              </w:p>
            </w:tc>
            <w:tc>
              <w:tcPr>
                <w:tcW w:w="839" w:type="pct"/>
                <w:tcBorders>
                  <w:top w:val="single" w:sz="4" w:space="0" w:color="auto"/>
                  <w:left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24726799"/>
              <w:lock w:val="sdtLocked"/>
            </w:sdtPr>
            <w:sdtContent>
              <w:tr w:rsidR="00DE031E" w:rsidTr="00DE031E">
                <w:trPr>
                  <w:cantSplit/>
                </w:trPr>
                <w:sdt>
                  <w:sdtPr>
                    <w:rPr>
                      <w:szCs w:val="21"/>
                    </w:rPr>
                    <w:alias w:val="采购商品接受劳务情况明细-关联方"/>
                    <w:tag w:val="_GBC_bc4eb4a455cb4683982b52fd68baedbf"/>
                    <w:id w:val="2472679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采购商品接受劳务情况明细-关联交易内容"/>
                    <w:tag w:val="_GBC_42addd9ef16845b68e716a5b498cd013"/>
                    <w:id w:val="24726796"/>
                    <w:lock w:val="sdtLocked"/>
                  </w:sdtPr>
                  <w:sdtContent>
                    <w:tc>
                      <w:tcPr>
                        <w:tcW w:w="19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客户资金三方存管费用</w:t>
                        </w:r>
                      </w:p>
                    </w:tc>
                  </w:sdtContent>
                </w:sdt>
                <w:sdt>
                  <w:sdtPr>
                    <w:rPr>
                      <w:szCs w:val="21"/>
                    </w:rPr>
                    <w:alias w:val="采购商品接受劳务情况明细-发生额"/>
                    <w:tag w:val="_GBC_51d916455e984678b83e9f0ec4cb14bd"/>
                    <w:id w:val="2472679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2,772.02</w:t>
                        </w:r>
                      </w:p>
                    </w:tc>
                  </w:sdtContent>
                </w:sdt>
                <w:sdt>
                  <w:sdtPr>
                    <w:rPr>
                      <w:szCs w:val="21"/>
                    </w:rPr>
                    <w:alias w:val="采购商品接受劳务情况明细-发生额"/>
                    <w:tag w:val="_GBC_2c42b1852c684e87aee4f148431ec7d8"/>
                    <w:id w:val="24726798"/>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1,000.71</w:t>
                        </w:r>
                      </w:p>
                    </w:tc>
                  </w:sdtContent>
                </w:sdt>
              </w:tr>
            </w:sdtContent>
          </w:sdt>
          <w:sdt>
            <w:sdtPr>
              <w:rPr>
                <w:szCs w:val="21"/>
              </w:rPr>
              <w:alias w:val="采购商品接受劳务情况明细"/>
              <w:tag w:val="_GBC_0c9767805cb8416eaba14f759181aa29"/>
              <w:id w:val="24726804"/>
              <w:lock w:val="sdtLocked"/>
            </w:sdtPr>
            <w:sdtContent>
              <w:tr w:rsidR="00DE031E" w:rsidTr="00DE031E">
                <w:trPr>
                  <w:cantSplit/>
                </w:trPr>
                <w:sdt>
                  <w:sdtPr>
                    <w:rPr>
                      <w:szCs w:val="21"/>
                    </w:rPr>
                    <w:alias w:val="采购商品接受劳务情况明细-关联方"/>
                    <w:tag w:val="_GBC_bc4eb4a455cb4683982b52fd68baedbf"/>
                    <w:id w:val="2472680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采购商品接受劳务情况明细-关联交易内容"/>
                    <w:tag w:val="_GBC_42addd9ef16845b68e716a5b498cd013"/>
                    <w:id w:val="24726801"/>
                    <w:lock w:val="sdtLocked"/>
                  </w:sdtPr>
                  <w:sdtContent>
                    <w:tc>
                      <w:tcPr>
                        <w:tcW w:w="19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理财产品托管等服务费</w:t>
                        </w:r>
                      </w:p>
                    </w:tc>
                  </w:sdtContent>
                </w:sdt>
                <w:sdt>
                  <w:sdtPr>
                    <w:rPr>
                      <w:szCs w:val="21"/>
                    </w:rPr>
                    <w:alias w:val="采购商品接受劳务情况明细-发生额"/>
                    <w:tag w:val="_GBC_51d916455e984678b83e9f0ec4cb14bd"/>
                    <w:id w:val="2472680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8,782.66</w:t>
                        </w:r>
                      </w:p>
                    </w:tc>
                  </w:sdtContent>
                </w:sdt>
                <w:sdt>
                  <w:sdtPr>
                    <w:rPr>
                      <w:szCs w:val="21"/>
                    </w:rPr>
                    <w:alias w:val="采购商品接受劳务情况明细-发生额"/>
                    <w:tag w:val="_GBC_2c42b1852c684e87aee4f148431ec7d8"/>
                    <w:id w:val="24726803"/>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3,869.63</w:t>
                        </w:r>
                      </w:p>
                    </w:tc>
                  </w:sdtContent>
                </w:sdt>
              </w:tr>
            </w:sdtContent>
          </w:sdt>
          <w:sdt>
            <w:sdtPr>
              <w:rPr>
                <w:szCs w:val="21"/>
              </w:rPr>
              <w:alias w:val="采购商品接受劳务情况明细"/>
              <w:tag w:val="_GBC_0c9767805cb8416eaba14f759181aa29"/>
              <w:id w:val="24726809"/>
              <w:lock w:val="sdtLocked"/>
            </w:sdtPr>
            <w:sdtContent>
              <w:tr w:rsidR="00DE031E" w:rsidTr="00DE031E">
                <w:trPr>
                  <w:cantSplit/>
                </w:trPr>
                <w:sdt>
                  <w:sdtPr>
                    <w:rPr>
                      <w:szCs w:val="21"/>
                    </w:rPr>
                    <w:alias w:val="采购商品接受劳务情况明细-关联方"/>
                    <w:tag w:val="_GBC_bc4eb4a455cb4683982b52fd68baedbf"/>
                    <w:id w:val="2472680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采购商品接受劳务情况明细-关联交易内容"/>
                    <w:tag w:val="_GBC_42addd9ef16845b68e716a5b498cd013"/>
                    <w:id w:val="24726806"/>
                    <w:lock w:val="sdtLocked"/>
                  </w:sdtPr>
                  <w:sdtContent>
                    <w:tc>
                      <w:tcPr>
                        <w:tcW w:w="19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借款利息支出</w:t>
                        </w:r>
                      </w:p>
                    </w:tc>
                  </w:sdtContent>
                </w:sdt>
                <w:sdt>
                  <w:sdtPr>
                    <w:rPr>
                      <w:szCs w:val="21"/>
                    </w:rPr>
                    <w:alias w:val="采购商品接受劳务情况明细-发生额"/>
                    <w:tag w:val="_GBC_51d916455e984678b83e9f0ec4cb14bd"/>
                    <w:id w:val="2472680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1,077.88</w:t>
                        </w:r>
                      </w:p>
                    </w:tc>
                  </w:sdtContent>
                </w:sdt>
                <w:sdt>
                  <w:sdtPr>
                    <w:rPr>
                      <w:szCs w:val="21"/>
                    </w:rPr>
                    <w:alias w:val="采购商品接受劳务情况明细-发生额"/>
                    <w:tag w:val="_GBC_2c42b1852c684e87aee4f148431ec7d8"/>
                    <w:id w:val="24726808"/>
                    <w:lock w:val="sdtLocked"/>
                    <w:showingPlcHdr/>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DE031E" w:rsidRDefault="00DE031E" w:rsidP="00DE031E">
                        <w:pPr>
                          <w:jc w:val="right"/>
                          <w:rPr>
                            <w:szCs w:val="21"/>
                          </w:rPr>
                        </w:pPr>
                      </w:p>
                    </w:tc>
                  </w:sdtContent>
                </w:sdt>
              </w:tr>
            </w:sdtContent>
          </w:sdt>
          <w:sdt>
            <w:sdtPr>
              <w:rPr>
                <w:szCs w:val="21"/>
              </w:rPr>
              <w:alias w:val="采购商品接受劳务情况明细"/>
              <w:tag w:val="_GBC_0c9767805cb8416eaba14f759181aa29"/>
              <w:id w:val="24726814"/>
              <w:lock w:val="sdtLocked"/>
            </w:sdtPr>
            <w:sdtContent>
              <w:tr w:rsidR="00DE031E" w:rsidTr="00DE031E">
                <w:trPr>
                  <w:cantSplit/>
                </w:trPr>
                <w:sdt>
                  <w:sdtPr>
                    <w:rPr>
                      <w:szCs w:val="21"/>
                    </w:rPr>
                    <w:alias w:val="采购商品接受劳务情况明细-关联方"/>
                    <w:tag w:val="_GBC_bc4eb4a455cb4683982b52fd68baedbf"/>
                    <w:id w:val="2472681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采购商品接受劳务情况明细-关联交易内容"/>
                    <w:tag w:val="_GBC_42addd9ef16845b68e716a5b498cd013"/>
                    <w:id w:val="24726811"/>
                    <w:lock w:val="sdtLocked"/>
                  </w:sdtPr>
                  <w:sdtContent>
                    <w:tc>
                      <w:tcPr>
                        <w:tcW w:w="19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拆入资金利息支出</w:t>
                        </w:r>
                      </w:p>
                    </w:tc>
                  </w:sdtContent>
                </w:sdt>
                <w:sdt>
                  <w:sdtPr>
                    <w:rPr>
                      <w:szCs w:val="21"/>
                    </w:rPr>
                    <w:alias w:val="采购商品接受劳务情况明细-发生额"/>
                    <w:tag w:val="_GBC_51d916455e984678b83e9f0ec4cb14bd"/>
                    <w:id w:val="2472681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899.11</w:t>
                        </w:r>
                      </w:p>
                    </w:tc>
                  </w:sdtContent>
                </w:sdt>
                <w:sdt>
                  <w:sdtPr>
                    <w:rPr>
                      <w:szCs w:val="21"/>
                    </w:rPr>
                    <w:alias w:val="采购商品接受劳务情况明细-发生额"/>
                    <w:tag w:val="_GBC_2c42b1852c684e87aee4f148431ec7d8"/>
                    <w:id w:val="24726813"/>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905.92</w:t>
                        </w:r>
                      </w:p>
                    </w:tc>
                  </w:sdtContent>
                </w:sdt>
              </w:tr>
            </w:sdtContent>
          </w:sdt>
          <w:sdt>
            <w:sdtPr>
              <w:rPr>
                <w:szCs w:val="21"/>
              </w:rPr>
              <w:alias w:val="采购商品接受劳务情况明细"/>
              <w:tag w:val="_GBC_0c9767805cb8416eaba14f759181aa29"/>
              <w:id w:val="24726819"/>
              <w:lock w:val="sdtLocked"/>
            </w:sdtPr>
            <w:sdtContent>
              <w:tr w:rsidR="00DE031E" w:rsidTr="00DE031E">
                <w:trPr>
                  <w:cantSplit/>
                </w:trPr>
                <w:sdt>
                  <w:sdtPr>
                    <w:rPr>
                      <w:szCs w:val="21"/>
                    </w:rPr>
                    <w:alias w:val="采购商品接受劳务情况明细-关联方"/>
                    <w:tag w:val="_GBC_bc4eb4a455cb4683982b52fd68baedbf"/>
                    <w:id w:val="2472681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采购商品接受劳务情况明细-关联交易内容"/>
                    <w:tag w:val="_GBC_42addd9ef16845b68e716a5b498cd013"/>
                    <w:id w:val="24726816"/>
                    <w:lock w:val="sdtLocked"/>
                  </w:sdtPr>
                  <w:sdtContent>
                    <w:tc>
                      <w:tcPr>
                        <w:tcW w:w="19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招商证券大厦专项借款利息支出</w:t>
                        </w:r>
                      </w:p>
                    </w:tc>
                  </w:sdtContent>
                </w:sdt>
                <w:sdt>
                  <w:sdtPr>
                    <w:rPr>
                      <w:szCs w:val="21"/>
                    </w:rPr>
                    <w:alias w:val="采购商品接受劳务情况明细-发生额"/>
                    <w:tag w:val="_GBC_51d916455e984678b83e9f0ec4cb14bd"/>
                    <w:id w:val="2472681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851.97</w:t>
                        </w:r>
                      </w:p>
                    </w:tc>
                  </w:sdtContent>
                </w:sdt>
                <w:sdt>
                  <w:sdtPr>
                    <w:rPr>
                      <w:szCs w:val="21"/>
                    </w:rPr>
                    <w:alias w:val="采购商品接受劳务情况明细-发生额"/>
                    <w:tag w:val="_GBC_2c42b1852c684e87aee4f148431ec7d8"/>
                    <w:id w:val="24726818"/>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12.41</w:t>
                        </w:r>
                      </w:p>
                    </w:tc>
                  </w:sdtContent>
                </w:sdt>
              </w:tr>
            </w:sdtContent>
          </w:sdt>
          <w:sdt>
            <w:sdtPr>
              <w:rPr>
                <w:szCs w:val="21"/>
              </w:rPr>
              <w:alias w:val="采购商品接受劳务情况明细"/>
              <w:tag w:val="_GBC_0c9767805cb8416eaba14f759181aa29"/>
              <w:id w:val="24726824"/>
              <w:lock w:val="sdtLocked"/>
            </w:sdtPr>
            <w:sdtContent>
              <w:tr w:rsidR="00DE031E" w:rsidTr="00DE031E">
                <w:trPr>
                  <w:cantSplit/>
                </w:trPr>
                <w:sdt>
                  <w:sdtPr>
                    <w:rPr>
                      <w:szCs w:val="21"/>
                    </w:rPr>
                    <w:alias w:val="采购商品接受劳务情况明细-关联方"/>
                    <w:tag w:val="_GBC_bc4eb4a455cb4683982b52fd68baedbf"/>
                    <w:id w:val="2472682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采购商品接受劳务情况明细-关联交易内容"/>
                    <w:tag w:val="_GBC_42addd9ef16845b68e716a5b498cd013"/>
                    <w:id w:val="24726821"/>
                    <w:lock w:val="sdtLocked"/>
                  </w:sdtPr>
                  <w:sdtContent>
                    <w:tc>
                      <w:tcPr>
                        <w:tcW w:w="19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财务顾问支出</w:t>
                        </w:r>
                      </w:p>
                    </w:tc>
                  </w:sdtContent>
                </w:sdt>
                <w:sdt>
                  <w:sdtPr>
                    <w:rPr>
                      <w:szCs w:val="21"/>
                    </w:rPr>
                    <w:alias w:val="采购商品接受劳务情况明细-发生额"/>
                    <w:tag w:val="_GBC_51d916455e984678b83e9f0ec4cb14bd"/>
                    <w:id w:val="2472682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4.5</w:t>
                        </w:r>
                      </w:p>
                    </w:tc>
                  </w:sdtContent>
                </w:sdt>
                <w:sdt>
                  <w:sdtPr>
                    <w:rPr>
                      <w:szCs w:val="21"/>
                    </w:rPr>
                    <w:alias w:val="采购商品接受劳务情况明细-发生额"/>
                    <w:tag w:val="_GBC_2c42b1852c684e87aee4f148431ec7d8"/>
                    <w:id w:val="24726823"/>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591.02</w:t>
                        </w:r>
                      </w:p>
                    </w:tc>
                  </w:sdtContent>
                </w:sdt>
              </w:tr>
            </w:sdtContent>
          </w:sdt>
        </w:tbl>
        <w:p w:rsidR="00DE031E" w:rsidRDefault="00422DCA"/>
      </w:sdtContent>
    </w:sdt>
    <w:sdt>
      <w:sdtPr>
        <w:rPr>
          <w:rFonts w:hint="eastAsia"/>
          <w:szCs w:val="21"/>
        </w:rPr>
        <w:tag w:val="_GBC_a4e1c0efe9f741ecbb648a33c9afb8fd"/>
        <w:id w:val="24726873"/>
        <w:lock w:val="sdtLocked"/>
        <w:placeholder>
          <w:docPart w:val="GBC22222222222222222222222222222"/>
        </w:placeholder>
      </w:sdtPr>
      <w:sdtEndPr>
        <w:rPr>
          <w:rFonts w:cs="Cambria"/>
        </w:rPr>
      </w:sdtEndPr>
      <w:sdtContent>
        <w:p w:rsidR="00DE031E" w:rsidRDefault="001C1A59">
          <w:pPr>
            <w:ind w:rightChars="-369" w:right="-775"/>
            <w:rPr>
              <w:szCs w:val="21"/>
            </w:rPr>
          </w:pPr>
          <w:r>
            <w:rPr>
              <w:rFonts w:hint="eastAsia"/>
              <w:szCs w:val="21"/>
            </w:rPr>
            <w:t>出售商品/提供劳务情况表</w:t>
          </w:r>
        </w:p>
        <w:p w:rsidR="00DE031E" w:rsidRDefault="001C1A5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247268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 xml:space="preserve">  币种：</w:t>
          </w:r>
          <w:sdt>
            <w:sdtPr>
              <w:rPr>
                <w:szCs w:val="21"/>
              </w:rPr>
              <w:alias w:val="币种：出售商品提供劳务情况表"/>
              <w:tag w:val="_GBC_d298f57687684d2eafef1d8c13d51722"/>
              <w:id w:val="24726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433"/>
            <w:gridCol w:w="2837"/>
            <w:gridCol w:w="1275"/>
            <w:gridCol w:w="1348"/>
          </w:tblGrid>
          <w:tr w:rsidR="00DE031E" w:rsidTr="00DE031E">
            <w:trPr>
              <w:cantSplit/>
              <w:trHeight w:val="273"/>
            </w:trPr>
            <w:tc>
              <w:tcPr>
                <w:tcW w:w="193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关联方</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关联交易内容</w:t>
                </w:r>
              </w:p>
            </w:tc>
            <w:tc>
              <w:tcPr>
                <w:tcW w:w="717" w:type="pct"/>
                <w:tcBorders>
                  <w:top w:val="single" w:sz="4" w:space="0" w:color="auto"/>
                  <w:left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本期发生额</w:t>
                </w:r>
              </w:p>
            </w:tc>
            <w:tc>
              <w:tcPr>
                <w:tcW w:w="758" w:type="pct"/>
                <w:tcBorders>
                  <w:top w:val="single" w:sz="4" w:space="0" w:color="auto"/>
                  <w:left w:val="single" w:sz="4" w:space="0" w:color="auto"/>
                  <w:right w:val="single" w:sz="4" w:space="0" w:color="auto"/>
                </w:tcBorders>
                <w:shd w:val="clear" w:color="auto" w:fill="auto"/>
                <w:vAlign w:val="center"/>
              </w:tcPr>
              <w:p w:rsidR="00DE031E" w:rsidRDefault="001C1A59" w:rsidP="00DE031E">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24726832"/>
              <w:lock w:val="sdtLocked"/>
            </w:sdtPr>
            <w:sdtContent>
              <w:tr w:rsidR="00DE031E" w:rsidTr="00DE031E">
                <w:trPr>
                  <w:cantSplit/>
                </w:trPr>
                <w:sdt>
                  <w:sdtPr>
                    <w:rPr>
                      <w:szCs w:val="21"/>
                    </w:rPr>
                    <w:alias w:val="出售商品提供劳务情况明细-关联方"/>
                    <w:tag w:val="_GBC_ea3a50f2f6084641a06e7e84b4f31731"/>
                    <w:id w:val="24726828"/>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出售商品提供劳务情况明细-关联交易内容"/>
                    <w:tag w:val="_GBC_820633d92aa642f9a0663a41087c1a83"/>
                    <w:id w:val="24726829"/>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银行存款利息收入</w:t>
                        </w:r>
                      </w:p>
                    </w:tc>
                  </w:sdtContent>
                </w:sdt>
                <w:sdt>
                  <w:sdtPr>
                    <w:rPr>
                      <w:szCs w:val="21"/>
                    </w:rPr>
                    <w:alias w:val="出售商品提供劳务情况明细-发生额"/>
                    <w:tag w:val="_GBC_d0ba92d7376d41f6904ea1020c85cc71"/>
                    <w:id w:val="2472683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33,881.41</w:t>
                        </w:r>
                      </w:p>
                    </w:tc>
                  </w:sdtContent>
                </w:sdt>
                <w:sdt>
                  <w:sdtPr>
                    <w:rPr>
                      <w:szCs w:val="21"/>
                    </w:rPr>
                    <w:alias w:val="出售商品提供劳务情况明细-发生额"/>
                    <w:tag w:val="_GBC_067bccb3948043628f4b1b4d765c2649"/>
                    <w:id w:val="24726831"/>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11,368.82</w:t>
                        </w:r>
                      </w:p>
                    </w:tc>
                  </w:sdtContent>
                </w:sdt>
              </w:tr>
            </w:sdtContent>
          </w:sdt>
          <w:sdt>
            <w:sdtPr>
              <w:rPr>
                <w:szCs w:val="21"/>
              </w:rPr>
              <w:alias w:val="出售商品提供劳务情况明细"/>
              <w:tag w:val="_GBC_d6e24b6ca62645f180ecf5d4621afdc6"/>
              <w:id w:val="24726837"/>
              <w:lock w:val="sdtLocked"/>
            </w:sdtPr>
            <w:sdtContent>
              <w:tr w:rsidR="00DE031E" w:rsidTr="00DE031E">
                <w:trPr>
                  <w:cantSplit/>
                </w:trPr>
                <w:sdt>
                  <w:sdtPr>
                    <w:rPr>
                      <w:szCs w:val="21"/>
                    </w:rPr>
                    <w:alias w:val="出售商品提供劳务情况明细-关联方"/>
                    <w:tag w:val="_GBC_ea3a50f2f6084641a06e7e84b4f31731"/>
                    <w:id w:val="24726833"/>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出售商品提供劳务情况明细-关联交易内容"/>
                    <w:tag w:val="_GBC_820633d92aa642f9a0663a41087c1a83"/>
                    <w:id w:val="24726834"/>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定向资产管理业务管理费收入</w:t>
                        </w:r>
                      </w:p>
                    </w:tc>
                  </w:sdtContent>
                </w:sdt>
                <w:sdt>
                  <w:sdtPr>
                    <w:rPr>
                      <w:szCs w:val="21"/>
                    </w:rPr>
                    <w:alias w:val="出售商品提供劳务情况明细-发生额"/>
                    <w:tag w:val="_GBC_d0ba92d7376d41f6904ea1020c85cc71"/>
                    <w:id w:val="2472683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727.25</w:t>
                        </w:r>
                      </w:p>
                    </w:tc>
                  </w:sdtContent>
                </w:sdt>
                <w:sdt>
                  <w:sdtPr>
                    <w:rPr>
                      <w:szCs w:val="21"/>
                    </w:rPr>
                    <w:alias w:val="出售商品提供劳务情况明细-发生额"/>
                    <w:tag w:val="_GBC_067bccb3948043628f4b1b4d765c2649"/>
                    <w:id w:val="24726836"/>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961.83</w:t>
                        </w:r>
                      </w:p>
                    </w:tc>
                  </w:sdtContent>
                </w:sdt>
              </w:tr>
            </w:sdtContent>
          </w:sdt>
          <w:sdt>
            <w:sdtPr>
              <w:rPr>
                <w:szCs w:val="21"/>
              </w:rPr>
              <w:alias w:val="出售商品提供劳务情况明细"/>
              <w:tag w:val="_GBC_d6e24b6ca62645f180ecf5d4621afdc6"/>
              <w:id w:val="24726842"/>
              <w:lock w:val="sdtLocked"/>
            </w:sdtPr>
            <w:sdtContent>
              <w:tr w:rsidR="00DE031E" w:rsidTr="00DE031E">
                <w:trPr>
                  <w:cantSplit/>
                </w:trPr>
                <w:sdt>
                  <w:sdtPr>
                    <w:rPr>
                      <w:szCs w:val="21"/>
                    </w:rPr>
                    <w:alias w:val="出售商品提供劳务情况明细-关联方"/>
                    <w:tag w:val="_GBC_ea3a50f2f6084641a06e7e84b4f31731"/>
                    <w:id w:val="24726838"/>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出售商品提供劳务情况明细-关联交易内容"/>
                    <w:tag w:val="_GBC_820633d92aa642f9a0663a41087c1a83"/>
                    <w:id w:val="24726839"/>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财务顾问收入</w:t>
                        </w:r>
                      </w:p>
                    </w:tc>
                  </w:sdtContent>
                </w:sdt>
                <w:sdt>
                  <w:sdtPr>
                    <w:rPr>
                      <w:szCs w:val="21"/>
                    </w:rPr>
                    <w:alias w:val="出售商品提供劳务情况明细-发生额"/>
                    <w:tag w:val="_GBC_d0ba92d7376d41f6904ea1020c85cc71"/>
                    <w:id w:val="2472684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DE031E" w:rsidP="00DE031E">
                        <w:pPr>
                          <w:jc w:val="right"/>
                          <w:rPr>
                            <w:szCs w:val="21"/>
                          </w:rPr>
                        </w:pPr>
                      </w:p>
                    </w:tc>
                  </w:sdtContent>
                </w:sdt>
                <w:sdt>
                  <w:sdtPr>
                    <w:rPr>
                      <w:szCs w:val="21"/>
                    </w:rPr>
                    <w:alias w:val="出售商品提供劳务情况明细-发生额"/>
                    <w:tag w:val="_GBC_067bccb3948043628f4b1b4d765c2649"/>
                    <w:id w:val="24726841"/>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263.62</w:t>
                        </w:r>
                      </w:p>
                    </w:tc>
                  </w:sdtContent>
                </w:sdt>
              </w:tr>
            </w:sdtContent>
          </w:sdt>
          <w:sdt>
            <w:sdtPr>
              <w:rPr>
                <w:szCs w:val="21"/>
              </w:rPr>
              <w:alias w:val="出售商品提供劳务情况明细"/>
              <w:tag w:val="_GBC_d6e24b6ca62645f180ecf5d4621afdc6"/>
              <w:id w:val="24726847"/>
              <w:lock w:val="sdtLocked"/>
            </w:sdtPr>
            <w:sdtContent>
              <w:tr w:rsidR="00DE031E" w:rsidTr="00DE031E">
                <w:trPr>
                  <w:cantSplit/>
                </w:trPr>
                <w:sdt>
                  <w:sdtPr>
                    <w:rPr>
                      <w:szCs w:val="21"/>
                    </w:rPr>
                    <w:alias w:val="出售商品提供劳务情况明细-关联方"/>
                    <w:tag w:val="_GBC_ea3a50f2f6084641a06e7e84b4f31731"/>
                    <w:id w:val="24726843"/>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招商银行股份有限公司</w:t>
                        </w:r>
                      </w:p>
                    </w:tc>
                  </w:sdtContent>
                </w:sdt>
                <w:sdt>
                  <w:sdtPr>
                    <w:rPr>
                      <w:szCs w:val="21"/>
                    </w:rPr>
                    <w:alias w:val="出售商品提供劳务情况明细-关联交易内容"/>
                    <w:tag w:val="_GBC_820633d92aa642f9a0663a41087c1a83"/>
                    <w:id w:val="24726844"/>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定向资产管理业务收入</w:t>
                        </w:r>
                      </w:p>
                    </w:tc>
                  </w:sdtContent>
                </w:sdt>
                <w:sdt>
                  <w:sdtPr>
                    <w:rPr>
                      <w:szCs w:val="21"/>
                    </w:rPr>
                    <w:alias w:val="出售商品提供劳务情况明细-发生额"/>
                    <w:tag w:val="_GBC_d0ba92d7376d41f6904ea1020c85cc71"/>
                    <w:id w:val="2472684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DE031E" w:rsidP="00DE031E">
                        <w:pPr>
                          <w:jc w:val="right"/>
                          <w:rPr>
                            <w:szCs w:val="21"/>
                          </w:rPr>
                        </w:pPr>
                      </w:p>
                    </w:tc>
                  </w:sdtContent>
                </w:sdt>
                <w:sdt>
                  <w:sdtPr>
                    <w:rPr>
                      <w:szCs w:val="21"/>
                    </w:rPr>
                    <w:alias w:val="出售商品提供劳务情况明细-发生额"/>
                    <w:tag w:val="_GBC_067bccb3948043628f4b1b4d765c2649"/>
                    <w:id w:val="24726846"/>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478.95</w:t>
                        </w:r>
                      </w:p>
                    </w:tc>
                  </w:sdtContent>
                </w:sdt>
              </w:tr>
            </w:sdtContent>
          </w:sdt>
          <w:sdt>
            <w:sdtPr>
              <w:rPr>
                <w:szCs w:val="21"/>
              </w:rPr>
              <w:alias w:val="出售商品提供劳务情况明细"/>
              <w:tag w:val="_GBC_d6e24b6ca62645f180ecf5d4621afdc6"/>
              <w:id w:val="24726852"/>
              <w:lock w:val="sdtLocked"/>
            </w:sdtPr>
            <w:sdtContent>
              <w:tr w:rsidR="00DE031E" w:rsidTr="00DE031E">
                <w:trPr>
                  <w:cantSplit/>
                </w:trPr>
                <w:sdt>
                  <w:sdtPr>
                    <w:rPr>
                      <w:szCs w:val="21"/>
                    </w:rPr>
                    <w:alias w:val="出售商品提供劳务情况明细-关联方"/>
                    <w:tag w:val="_GBC_ea3a50f2f6084641a06e7e84b4f31731"/>
                    <w:id w:val="24726848"/>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博时基金与招商基金管理的基金产品</w:t>
                        </w:r>
                      </w:p>
                    </w:tc>
                  </w:sdtContent>
                </w:sdt>
                <w:sdt>
                  <w:sdtPr>
                    <w:rPr>
                      <w:szCs w:val="21"/>
                    </w:rPr>
                    <w:alias w:val="出售商品提供劳务情况明细-关联交易内容"/>
                    <w:tag w:val="_GBC_820633d92aa642f9a0663a41087c1a83"/>
                    <w:id w:val="24726849"/>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基金分盘佣金收入</w:t>
                        </w:r>
                      </w:p>
                    </w:tc>
                  </w:sdtContent>
                </w:sdt>
                <w:sdt>
                  <w:sdtPr>
                    <w:rPr>
                      <w:szCs w:val="21"/>
                    </w:rPr>
                    <w:alias w:val="出售商品提供劳务情况明细-发生额"/>
                    <w:tag w:val="_GBC_d0ba92d7376d41f6904ea1020c85cc71"/>
                    <w:id w:val="2472685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3,886.66</w:t>
                        </w:r>
                      </w:p>
                    </w:tc>
                  </w:sdtContent>
                </w:sdt>
                <w:sdt>
                  <w:sdtPr>
                    <w:rPr>
                      <w:szCs w:val="21"/>
                    </w:rPr>
                    <w:alias w:val="出售商品提供劳务情况明细-发生额"/>
                    <w:tag w:val="_GBC_067bccb3948043628f4b1b4d765c2649"/>
                    <w:id w:val="24726851"/>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1,765.53</w:t>
                        </w:r>
                      </w:p>
                    </w:tc>
                  </w:sdtContent>
                </w:sdt>
              </w:tr>
            </w:sdtContent>
          </w:sdt>
          <w:sdt>
            <w:sdtPr>
              <w:rPr>
                <w:szCs w:val="21"/>
              </w:rPr>
              <w:alias w:val="出售商品提供劳务情况明细"/>
              <w:tag w:val="_GBC_d6e24b6ca62645f180ecf5d4621afdc6"/>
              <w:id w:val="24726857"/>
              <w:lock w:val="sdtLocked"/>
            </w:sdtPr>
            <w:sdtContent>
              <w:tr w:rsidR="00DE031E" w:rsidTr="00DE031E">
                <w:trPr>
                  <w:cantSplit/>
                </w:trPr>
                <w:sdt>
                  <w:sdtPr>
                    <w:rPr>
                      <w:szCs w:val="21"/>
                    </w:rPr>
                    <w:alias w:val="出售商品提供劳务情况明细-关联方"/>
                    <w:tag w:val="_GBC_ea3a50f2f6084641a06e7e84b4f31731"/>
                    <w:id w:val="24726853"/>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招商基金管理有限公司</w:t>
                        </w:r>
                      </w:p>
                    </w:tc>
                  </w:sdtContent>
                </w:sdt>
                <w:sdt>
                  <w:sdtPr>
                    <w:rPr>
                      <w:szCs w:val="21"/>
                    </w:rPr>
                    <w:alias w:val="出售商品提供劳务情况明细-关联交易内容"/>
                    <w:tag w:val="_GBC_820633d92aa642f9a0663a41087c1a83"/>
                    <w:id w:val="24726854"/>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代销金融产品收入</w:t>
                        </w:r>
                      </w:p>
                    </w:tc>
                  </w:sdtContent>
                </w:sdt>
                <w:sdt>
                  <w:sdtPr>
                    <w:rPr>
                      <w:szCs w:val="21"/>
                    </w:rPr>
                    <w:alias w:val="出售商品提供劳务情况明细-发生额"/>
                    <w:tag w:val="_GBC_d0ba92d7376d41f6904ea1020c85cc71"/>
                    <w:id w:val="2472685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92.64</w:t>
                        </w:r>
                      </w:p>
                    </w:tc>
                  </w:sdtContent>
                </w:sdt>
                <w:sdt>
                  <w:sdtPr>
                    <w:rPr>
                      <w:szCs w:val="21"/>
                    </w:rPr>
                    <w:alias w:val="出售商品提供劳务情况明细-发生额"/>
                    <w:tag w:val="_GBC_067bccb3948043628f4b1b4d765c2649"/>
                    <w:id w:val="24726856"/>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22.36</w:t>
                        </w:r>
                      </w:p>
                    </w:tc>
                  </w:sdtContent>
                </w:sdt>
              </w:tr>
            </w:sdtContent>
          </w:sdt>
          <w:sdt>
            <w:sdtPr>
              <w:rPr>
                <w:szCs w:val="21"/>
              </w:rPr>
              <w:alias w:val="出售商品提供劳务情况明细"/>
              <w:tag w:val="_GBC_d6e24b6ca62645f180ecf5d4621afdc6"/>
              <w:id w:val="24726862"/>
              <w:lock w:val="sdtLocked"/>
            </w:sdtPr>
            <w:sdtContent>
              <w:tr w:rsidR="00DE031E" w:rsidTr="00DE031E">
                <w:trPr>
                  <w:cantSplit/>
                </w:trPr>
                <w:sdt>
                  <w:sdtPr>
                    <w:rPr>
                      <w:szCs w:val="21"/>
                    </w:rPr>
                    <w:alias w:val="出售商品提供劳务情况明细-关联方"/>
                    <w:tag w:val="_GBC_ea3a50f2f6084641a06e7e84b4f31731"/>
                    <w:id w:val="24726858"/>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博时基金管理有限公司</w:t>
                        </w:r>
                      </w:p>
                    </w:tc>
                  </w:sdtContent>
                </w:sdt>
                <w:sdt>
                  <w:sdtPr>
                    <w:rPr>
                      <w:szCs w:val="21"/>
                    </w:rPr>
                    <w:alias w:val="出售商品提供劳务情况明细-关联交易内容"/>
                    <w:tag w:val="_GBC_820633d92aa642f9a0663a41087c1a83"/>
                    <w:id w:val="24726859"/>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代销金融产品收入</w:t>
                        </w:r>
                      </w:p>
                    </w:tc>
                  </w:sdtContent>
                </w:sdt>
                <w:sdt>
                  <w:sdtPr>
                    <w:rPr>
                      <w:szCs w:val="21"/>
                    </w:rPr>
                    <w:alias w:val="出售商品提供劳务情况明细-发生额"/>
                    <w:tag w:val="_GBC_d0ba92d7376d41f6904ea1020c85cc71"/>
                    <w:id w:val="2472686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325.53</w:t>
                        </w:r>
                      </w:p>
                    </w:tc>
                  </w:sdtContent>
                </w:sdt>
                <w:sdt>
                  <w:sdtPr>
                    <w:rPr>
                      <w:szCs w:val="21"/>
                    </w:rPr>
                    <w:alias w:val="出售商品提供劳务情况明细-发生额"/>
                    <w:tag w:val="_GBC_067bccb3948043628f4b1b4d765c2649"/>
                    <w:id w:val="24726861"/>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76.05</w:t>
                        </w:r>
                      </w:p>
                    </w:tc>
                  </w:sdtContent>
                </w:sdt>
              </w:tr>
            </w:sdtContent>
          </w:sdt>
          <w:sdt>
            <w:sdtPr>
              <w:rPr>
                <w:szCs w:val="21"/>
              </w:rPr>
              <w:alias w:val="出售商品提供劳务情况明细"/>
              <w:tag w:val="_GBC_d6e24b6ca62645f180ecf5d4621afdc6"/>
              <w:id w:val="24726867"/>
              <w:lock w:val="sdtLocked"/>
            </w:sdtPr>
            <w:sdtContent>
              <w:tr w:rsidR="00DE031E" w:rsidTr="00DE031E">
                <w:trPr>
                  <w:cantSplit/>
                </w:trPr>
                <w:sdt>
                  <w:sdtPr>
                    <w:rPr>
                      <w:szCs w:val="21"/>
                    </w:rPr>
                    <w:alias w:val="出售商品提供劳务情况明细-关联方"/>
                    <w:tag w:val="_GBC_ea3a50f2f6084641a06e7e84b4f31731"/>
                    <w:id w:val="24726863"/>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招商局地产控股股份有限公司</w:t>
                        </w:r>
                      </w:p>
                    </w:tc>
                  </w:sdtContent>
                </w:sdt>
                <w:sdt>
                  <w:sdtPr>
                    <w:rPr>
                      <w:szCs w:val="21"/>
                    </w:rPr>
                    <w:alias w:val="出售商品提供劳务情况明细-关联交易内容"/>
                    <w:tag w:val="_GBC_820633d92aa642f9a0663a41087c1a83"/>
                    <w:id w:val="24726864"/>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财务顾问收入</w:t>
                        </w:r>
                      </w:p>
                    </w:tc>
                  </w:sdtContent>
                </w:sdt>
                <w:sdt>
                  <w:sdtPr>
                    <w:rPr>
                      <w:szCs w:val="21"/>
                    </w:rPr>
                    <w:alias w:val="出售商品提供劳务情况明细-发生额"/>
                    <w:tag w:val="_GBC_d0ba92d7376d41f6904ea1020c85cc71"/>
                    <w:id w:val="2472686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23.76</w:t>
                        </w:r>
                      </w:p>
                    </w:tc>
                  </w:sdtContent>
                </w:sdt>
                <w:sdt>
                  <w:sdtPr>
                    <w:rPr>
                      <w:szCs w:val="21"/>
                    </w:rPr>
                    <w:alias w:val="出售商品提供劳务情况明细-发生额"/>
                    <w:tag w:val="_GBC_067bccb3948043628f4b1b4d765c2649"/>
                    <w:id w:val="24726866"/>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200</w:t>
                        </w:r>
                      </w:p>
                    </w:tc>
                  </w:sdtContent>
                </w:sdt>
              </w:tr>
            </w:sdtContent>
          </w:sdt>
          <w:sdt>
            <w:sdtPr>
              <w:rPr>
                <w:szCs w:val="21"/>
              </w:rPr>
              <w:alias w:val="出售商品提供劳务情况明细"/>
              <w:tag w:val="_GBC_d6e24b6ca62645f180ecf5d4621afdc6"/>
              <w:id w:val="24726872"/>
              <w:lock w:val="sdtLocked"/>
            </w:sdtPr>
            <w:sdtContent>
              <w:tr w:rsidR="00DE031E" w:rsidTr="00DE031E">
                <w:trPr>
                  <w:cantSplit/>
                </w:trPr>
                <w:sdt>
                  <w:sdtPr>
                    <w:rPr>
                      <w:szCs w:val="21"/>
                    </w:rPr>
                    <w:alias w:val="出售商品提供劳务情况明细-关联方"/>
                    <w:tag w:val="_GBC_ea3a50f2f6084641a06e7e84b4f31731"/>
                    <w:id w:val="24726868"/>
                    <w:lock w:val="sdtLocked"/>
                  </w:sdt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招商局工业集团有限公司</w:t>
                        </w:r>
                      </w:p>
                    </w:tc>
                  </w:sdtContent>
                </w:sdt>
                <w:sdt>
                  <w:sdtPr>
                    <w:rPr>
                      <w:szCs w:val="21"/>
                    </w:rPr>
                    <w:alias w:val="出售商品提供劳务情况明细-关联交易内容"/>
                    <w:tag w:val="_GBC_820633d92aa642f9a0663a41087c1a83"/>
                    <w:id w:val="24726869"/>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szCs w:val="21"/>
                          </w:rPr>
                        </w:pPr>
                        <w:r>
                          <w:rPr>
                            <w:szCs w:val="21"/>
                          </w:rPr>
                          <w:t>财务顾问收入</w:t>
                        </w:r>
                      </w:p>
                    </w:tc>
                  </w:sdtContent>
                </w:sdt>
                <w:sdt>
                  <w:sdtPr>
                    <w:rPr>
                      <w:szCs w:val="21"/>
                    </w:rPr>
                    <w:alias w:val="出售商品提供劳务情况明细-发生额"/>
                    <w:tag w:val="_GBC_d0ba92d7376d41f6904ea1020c85cc71"/>
                    <w:id w:val="2472687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15.77</w:t>
                        </w:r>
                      </w:p>
                    </w:tc>
                  </w:sdtContent>
                </w:sdt>
                <w:sdt>
                  <w:sdtPr>
                    <w:rPr>
                      <w:szCs w:val="21"/>
                    </w:rPr>
                    <w:alias w:val="出售商品提供劳务情况明细-发生额"/>
                    <w:tag w:val="_GBC_067bccb3948043628f4b1b4d765c2649"/>
                    <w:id w:val="24726871"/>
                    <w:lock w:val="sdtLocked"/>
                  </w:sdt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szCs w:val="21"/>
                          </w:rPr>
                        </w:pPr>
                        <w:r>
                          <w:rPr>
                            <w:szCs w:val="21"/>
                          </w:rPr>
                          <w:t>20</w:t>
                        </w:r>
                      </w:p>
                    </w:tc>
                  </w:sdtContent>
                </w:sdt>
              </w:tr>
            </w:sdtContent>
          </w:sdt>
        </w:tbl>
      </w:sdtContent>
    </w:sdt>
    <w:sdt>
      <w:sdtPr>
        <w:rPr>
          <w:rFonts w:ascii="宋体" w:hAnsi="宋体" w:cs="宋体" w:hint="eastAsia"/>
          <w:b w:val="0"/>
          <w:bCs w:val="0"/>
          <w:kern w:val="0"/>
          <w:szCs w:val="24"/>
        </w:rPr>
        <w:tag w:val="_GBC_6c7c3b5a05ab429faec9917f7b8dd9f6"/>
        <w:id w:val="24726907"/>
        <w:lock w:val="sdtLocked"/>
        <w:placeholder>
          <w:docPart w:val="GBC22222222222222222222222222222"/>
        </w:placeholder>
      </w:sdtPr>
      <w:sdtEndPr>
        <w:rPr>
          <w:rFonts w:cstheme="minorBidi" w:hint="default"/>
          <w:szCs w:val="21"/>
        </w:rPr>
      </w:sdtEndPr>
      <w:sdtContent>
        <w:p w:rsidR="00DE031E" w:rsidRDefault="001C1A59" w:rsidP="009950AC">
          <w:pPr>
            <w:pStyle w:val="4"/>
            <w:numPr>
              <w:ilvl w:val="0"/>
              <w:numId w:val="72"/>
            </w:numPr>
            <w:tabs>
              <w:tab w:val="left" w:pos="616"/>
            </w:tabs>
            <w:spacing w:line="360" w:lineRule="auto"/>
            <w:jc w:val="left"/>
          </w:pPr>
          <w:r>
            <w:rPr>
              <w:rFonts w:hint="eastAsia"/>
            </w:rPr>
            <w:t>关联方资金拆借</w:t>
          </w:r>
        </w:p>
        <w:sdt>
          <w:sdtPr>
            <w:alias w:val="是否适用：关联方资金拆借"/>
            <w:tag w:val="_GBC_563d504ceaee444ea2e2d0b6a49dbdcd"/>
            <w:id w:val="24726874"/>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89b3d5f87dd845f2bdc425cf637a91cb"/>
              <w:id w:val="247268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币种：</w:t>
          </w:r>
          <w:sdt>
            <w:sdtPr>
              <w:rPr>
                <w:rFonts w:ascii="Cambria" w:hAnsi="Cambria" w:cs="Cambria" w:hint="eastAsia"/>
              </w:rPr>
              <w:alias w:val="币种：关联方资金拆借"/>
              <w:tag w:val="_GBC_3cc40d243feb4ed7aac7a03146615d49"/>
              <w:id w:val="24726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332"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5"/>
            <w:gridCol w:w="1944"/>
            <w:gridCol w:w="1733"/>
            <w:gridCol w:w="1749"/>
            <w:gridCol w:w="1679"/>
          </w:tblGrid>
          <w:tr w:rsidR="00DE031E" w:rsidTr="00DE031E">
            <w:trPr>
              <w:jc w:val="center"/>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rPr>
                </w:pPr>
                <w:r>
                  <w:rPr>
                    <w:rFonts w:cs="Cambria" w:hint="eastAsia"/>
                  </w:rPr>
                  <w:t>关联方</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rPr>
                </w:pPr>
                <w:r>
                  <w:rPr>
                    <w:rFonts w:cs="Cambria" w:hint="eastAsia"/>
                  </w:rPr>
                  <w:t>拆借金额</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rPr>
                </w:pPr>
                <w:r>
                  <w:rPr>
                    <w:rFonts w:cs="Cambria" w:hint="eastAsia"/>
                  </w:rPr>
                  <w:t>起始日</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rPr>
                </w:pPr>
                <w:r>
                  <w:rPr>
                    <w:rFonts w:cs="Cambria" w:hint="eastAsia"/>
                  </w:rPr>
                  <w:t>到期日</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DE031E" w:rsidRDefault="001C1A59" w:rsidP="00DE031E">
                <w:pPr>
                  <w:jc w:val="center"/>
                  <w:rPr>
                    <w:rFonts w:cs="Cambria"/>
                  </w:rPr>
                </w:pPr>
                <w:r>
                  <w:rPr>
                    <w:rFonts w:cs="Cambria" w:hint="eastAsia"/>
                  </w:rPr>
                  <w:t>说明</w:t>
                </w:r>
              </w:p>
            </w:tc>
          </w:tr>
          <w:tr w:rsidR="00DE031E" w:rsidTr="00DE031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hint="eastAsia"/>
                  </w:rPr>
                  <w:t>拆入</w:t>
                </w:r>
              </w:p>
            </w:tc>
          </w:tr>
          <w:sdt>
            <w:sdtPr>
              <w:rPr>
                <w:rFonts w:cs="Cambria"/>
              </w:rPr>
              <w:alias w:val="关联方资金拆入明细"/>
              <w:tag w:val="_GBC_41199f69e9c1424bae98cb1682c7f6c7"/>
              <w:id w:val="24726882"/>
              <w:lock w:val="sdtLocked"/>
            </w:sdtPr>
            <w:sdtContent>
              <w:tr w:rsidR="00DE031E" w:rsidTr="00DE031E">
                <w:trPr>
                  <w:jc w:val="center"/>
                </w:trPr>
                <w:sdt>
                  <w:sdtPr>
                    <w:rPr>
                      <w:rFonts w:cs="Cambria"/>
                    </w:rPr>
                    <w:alias w:val="关联方资金拆入明细-关联方"/>
                    <w:tag w:val="_GBC_2f19baf1dbf64bcc842e45cfa8569bb9"/>
                    <w:id w:val="24726877"/>
                    <w:lock w:val="sdtLocked"/>
                  </w:sdtPr>
                  <w:sdtContent>
                    <w:tc>
                      <w:tcPr>
                        <w:tcW w:w="13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招商银行股份有限公司</w:t>
                        </w:r>
                      </w:p>
                    </w:tc>
                  </w:sdtContent>
                </w:sdt>
                <w:sdt>
                  <w:sdtPr>
                    <w:rPr>
                      <w:rFonts w:cs="Cambria"/>
                    </w:rPr>
                    <w:alias w:val="关联方资金拆入明细-金额"/>
                    <w:tag w:val="_GBC_da826505da674b6080bac5e4306007e6"/>
                    <w:id w:val="2472687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rFonts w:cs="Cambria"/>
                          </w:rPr>
                        </w:pPr>
                        <w:r>
                          <w:rPr>
                            <w:rFonts w:cs="Cambria"/>
                          </w:rPr>
                          <w:t>321,066,970.82</w:t>
                        </w:r>
                      </w:p>
                    </w:tc>
                  </w:sdtContent>
                </w:sdt>
                <w:sdt>
                  <w:sdtPr>
                    <w:rPr>
                      <w:rFonts w:cs="Cambria"/>
                    </w:rPr>
                    <w:alias w:val="关联方资金拆入明细-起始日"/>
                    <w:tag w:val="_GBC_6b1ba597e63e4fe1a4558b2c0fcde3f3"/>
                    <w:id w:val="24726879"/>
                    <w:lock w:val="sdtLocked"/>
                  </w:sdtPr>
                  <w:sdtContent>
                    <w:tc>
                      <w:tcPr>
                        <w:tcW w:w="89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2012-12-27</w:t>
                        </w:r>
                      </w:p>
                    </w:tc>
                  </w:sdtContent>
                </w:sdt>
                <w:sdt>
                  <w:sdtPr>
                    <w:rPr>
                      <w:rFonts w:cs="Cambria"/>
                    </w:rPr>
                    <w:alias w:val="关联方资金拆入明细-到期日"/>
                    <w:tag w:val="_GBC_16ddece372644ec58592cd03a0a8e22d"/>
                    <w:id w:val="24726880"/>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2017/10/30</w:t>
                        </w:r>
                      </w:p>
                    </w:tc>
                  </w:sdtContent>
                </w:sdt>
                <w:sdt>
                  <w:sdtPr>
                    <w:rPr>
                      <w:rFonts w:cs="Cambria"/>
                    </w:rPr>
                    <w:alias w:val="关联方资金拆入明细-说明"/>
                    <w:tag w:val="_GBC_9278a4bb205f4c08b5b158e312ac0970"/>
                    <w:id w:val="24726881"/>
                    <w:lock w:val="sdtLocked"/>
                    <w:showingPlcHdr/>
                  </w:sdtPr>
                  <w:sdtContent>
                    <w:tc>
                      <w:tcPr>
                        <w:tcW w:w="87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color w:val="333399"/>
                          </w:rPr>
                          <w:t xml:space="preserve">　</w:t>
                        </w:r>
                      </w:p>
                    </w:tc>
                  </w:sdtContent>
                </w:sdt>
              </w:tr>
            </w:sdtContent>
          </w:sdt>
          <w:sdt>
            <w:sdtPr>
              <w:rPr>
                <w:rFonts w:cs="Cambria"/>
              </w:rPr>
              <w:alias w:val="关联方资金拆入明细"/>
              <w:tag w:val="_GBC_41199f69e9c1424bae98cb1682c7f6c7"/>
              <w:id w:val="24726888"/>
              <w:lock w:val="sdtLocked"/>
            </w:sdtPr>
            <w:sdtContent>
              <w:tr w:rsidR="00DE031E" w:rsidTr="00DE031E">
                <w:trPr>
                  <w:jc w:val="center"/>
                </w:trPr>
                <w:sdt>
                  <w:sdtPr>
                    <w:rPr>
                      <w:rFonts w:cs="Cambria"/>
                    </w:rPr>
                    <w:alias w:val="关联方资金拆入明细-关联方"/>
                    <w:tag w:val="_GBC_2f19baf1dbf64bcc842e45cfa8569bb9"/>
                    <w:id w:val="24726883"/>
                    <w:lock w:val="sdtLocked"/>
                  </w:sdtPr>
                  <w:sdtContent>
                    <w:tc>
                      <w:tcPr>
                        <w:tcW w:w="13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招商银行股份有限公司</w:t>
                        </w:r>
                      </w:p>
                    </w:tc>
                  </w:sdtContent>
                </w:sdt>
                <w:sdt>
                  <w:sdtPr>
                    <w:rPr>
                      <w:rFonts w:cs="Cambria"/>
                    </w:rPr>
                    <w:alias w:val="关联方资金拆入明细-金额"/>
                    <w:tag w:val="_GBC_da826505da674b6080bac5e4306007e6"/>
                    <w:id w:val="2472688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rFonts w:cs="Cambria"/>
                          </w:rPr>
                        </w:pPr>
                        <w:r>
                          <w:rPr>
                            <w:rFonts w:cs="Cambria"/>
                          </w:rPr>
                          <w:t>78,861,000.00</w:t>
                        </w:r>
                      </w:p>
                    </w:tc>
                  </w:sdtContent>
                </w:sdt>
                <w:sdt>
                  <w:sdtPr>
                    <w:rPr>
                      <w:rFonts w:cs="Cambria"/>
                    </w:rPr>
                    <w:alias w:val="关联方资金拆入明细-起始日"/>
                    <w:tag w:val="_GBC_6b1ba597e63e4fe1a4558b2c0fcde3f3"/>
                    <w:id w:val="24726885"/>
                    <w:lock w:val="sdtLocked"/>
                  </w:sdtPr>
                  <w:sdtContent>
                    <w:tc>
                      <w:tcPr>
                        <w:tcW w:w="89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2015-4-13</w:t>
                        </w:r>
                      </w:p>
                    </w:tc>
                  </w:sdtContent>
                </w:sdt>
                <w:sdt>
                  <w:sdtPr>
                    <w:rPr>
                      <w:rFonts w:cs="Cambria"/>
                    </w:rPr>
                    <w:alias w:val="关联方资金拆入明细-到期日"/>
                    <w:tag w:val="_GBC_16ddece372644ec58592cd03a0a8e22d"/>
                    <w:id w:val="24726886"/>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2017/1/31</w:t>
                        </w:r>
                      </w:p>
                    </w:tc>
                  </w:sdtContent>
                </w:sdt>
                <w:sdt>
                  <w:sdtPr>
                    <w:rPr>
                      <w:rFonts w:cs="Cambria"/>
                    </w:rPr>
                    <w:alias w:val="关联方资金拆入明细-说明"/>
                    <w:tag w:val="_GBC_9278a4bb205f4c08b5b158e312ac0970"/>
                    <w:id w:val="24726887"/>
                    <w:lock w:val="sdtLocked"/>
                    <w:showingPlcHdr/>
                  </w:sdtPr>
                  <w:sdtContent>
                    <w:tc>
                      <w:tcPr>
                        <w:tcW w:w="87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24726894"/>
              <w:lock w:val="sdtLocked"/>
            </w:sdtPr>
            <w:sdtContent>
              <w:tr w:rsidR="00DE031E" w:rsidTr="00DE031E">
                <w:trPr>
                  <w:jc w:val="center"/>
                </w:trPr>
                <w:sdt>
                  <w:sdtPr>
                    <w:rPr>
                      <w:rFonts w:cs="Cambria"/>
                    </w:rPr>
                    <w:alias w:val="关联方资金拆入明细-关联方"/>
                    <w:tag w:val="_GBC_2f19baf1dbf64bcc842e45cfa8569bb9"/>
                    <w:id w:val="24726889"/>
                    <w:lock w:val="sdtLocked"/>
                  </w:sdtPr>
                  <w:sdtContent>
                    <w:tc>
                      <w:tcPr>
                        <w:tcW w:w="13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招商银行股份有限公司</w:t>
                        </w:r>
                      </w:p>
                    </w:tc>
                  </w:sdtContent>
                </w:sdt>
                <w:sdt>
                  <w:sdtPr>
                    <w:rPr>
                      <w:rFonts w:cs="Cambria"/>
                    </w:rPr>
                    <w:alias w:val="关联方资金拆入明细-金额"/>
                    <w:tag w:val="_GBC_da826505da674b6080bac5e4306007e6"/>
                    <w:id w:val="2472689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rFonts w:cs="Cambria"/>
                          </w:rPr>
                        </w:pPr>
                        <w:r>
                          <w:rPr>
                            <w:rFonts w:cs="Cambria"/>
                          </w:rPr>
                          <w:t>157,722,000.00</w:t>
                        </w:r>
                      </w:p>
                    </w:tc>
                  </w:sdtContent>
                </w:sdt>
                <w:sdt>
                  <w:sdtPr>
                    <w:rPr>
                      <w:rFonts w:cs="Cambria"/>
                    </w:rPr>
                    <w:alias w:val="关联方资金拆入明细-起始日"/>
                    <w:tag w:val="_GBC_6b1ba597e63e4fe1a4558b2c0fcde3f3"/>
                    <w:id w:val="24726891"/>
                    <w:lock w:val="sdtLocked"/>
                  </w:sdtPr>
                  <w:sdtContent>
                    <w:tc>
                      <w:tcPr>
                        <w:tcW w:w="89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2015-6-29</w:t>
                        </w:r>
                      </w:p>
                    </w:tc>
                  </w:sdtContent>
                </w:sdt>
                <w:sdt>
                  <w:sdtPr>
                    <w:rPr>
                      <w:rFonts w:cs="Cambria"/>
                    </w:rPr>
                    <w:alias w:val="关联方资金拆入明细-到期日"/>
                    <w:tag w:val="_GBC_16ddece372644ec58592cd03a0a8e22d"/>
                    <w:id w:val="24726892"/>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2015/7/29</w:t>
                        </w:r>
                      </w:p>
                    </w:tc>
                  </w:sdtContent>
                </w:sdt>
                <w:sdt>
                  <w:sdtPr>
                    <w:rPr>
                      <w:rFonts w:cs="Cambria"/>
                    </w:rPr>
                    <w:alias w:val="关联方资金拆入明细-说明"/>
                    <w:tag w:val="_GBC_9278a4bb205f4c08b5b158e312ac0970"/>
                    <w:id w:val="24726893"/>
                    <w:lock w:val="sdtLocked"/>
                    <w:showingPlcHdr/>
                  </w:sdtPr>
                  <w:sdtContent>
                    <w:tc>
                      <w:tcPr>
                        <w:tcW w:w="87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24726900"/>
              <w:lock w:val="sdtLocked"/>
            </w:sdtPr>
            <w:sdtContent>
              <w:tr w:rsidR="00DE031E" w:rsidTr="00DE031E">
                <w:trPr>
                  <w:jc w:val="center"/>
                </w:trPr>
                <w:sdt>
                  <w:sdtPr>
                    <w:rPr>
                      <w:rFonts w:cs="Cambria"/>
                    </w:rPr>
                    <w:alias w:val="关联方资金拆入明细-关联方"/>
                    <w:tag w:val="_GBC_2f19baf1dbf64bcc842e45cfa8569bb9"/>
                    <w:id w:val="24726895"/>
                    <w:lock w:val="sdtLocked"/>
                  </w:sdtPr>
                  <w:sdtContent>
                    <w:tc>
                      <w:tcPr>
                        <w:tcW w:w="13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招商银行股份有限公司</w:t>
                        </w:r>
                      </w:p>
                    </w:tc>
                  </w:sdtContent>
                </w:sdt>
                <w:sdt>
                  <w:sdtPr>
                    <w:rPr>
                      <w:rFonts w:cs="Cambria"/>
                    </w:rPr>
                    <w:alias w:val="关联方资金拆入明细-金额"/>
                    <w:tag w:val="_GBC_da826505da674b6080bac5e4306007e6"/>
                    <w:id w:val="2472689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rFonts w:cs="Cambria"/>
                          </w:rPr>
                        </w:pPr>
                        <w:r>
                          <w:rPr>
                            <w:rFonts w:cs="Cambria"/>
                          </w:rPr>
                          <w:t>370,646,700.00</w:t>
                        </w:r>
                      </w:p>
                    </w:tc>
                  </w:sdtContent>
                </w:sdt>
                <w:sdt>
                  <w:sdtPr>
                    <w:rPr>
                      <w:rFonts w:cs="Cambria"/>
                    </w:rPr>
                    <w:alias w:val="关联方资金拆入明细-起始日"/>
                    <w:tag w:val="_GBC_6b1ba597e63e4fe1a4558b2c0fcde3f3"/>
                    <w:id w:val="24726897"/>
                    <w:lock w:val="sdtLocked"/>
                  </w:sdtPr>
                  <w:sdtContent>
                    <w:tc>
                      <w:tcPr>
                        <w:tcW w:w="89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2015-6-30</w:t>
                        </w:r>
                      </w:p>
                    </w:tc>
                  </w:sdtContent>
                </w:sdt>
                <w:sdt>
                  <w:sdtPr>
                    <w:rPr>
                      <w:rFonts w:cs="Cambria"/>
                    </w:rPr>
                    <w:alias w:val="关联方资金拆入明细-到期日"/>
                    <w:tag w:val="_GBC_16ddece372644ec58592cd03a0a8e22d"/>
                    <w:id w:val="24726898"/>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rPr>
                          <w:t>2015/7/7</w:t>
                        </w:r>
                      </w:p>
                    </w:tc>
                  </w:sdtContent>
                </w:sdt>
                <w:sdt>
                  <w:sdtPr>
                    <w:rPr>
                      <w:rFonts w:cs="Cambria"/>
                    </w:rPr>
                    <w:alias w:val="关联方资金拆入明细-说明"/>
                    <w:tag w:val="_GBC_9278a4bb205f4c08b5b158e312ac0970"/>
                    <w:id w:val="24726899"/>
                    <w:lock w:val="sdtLocked"/>
                    <w:showingPlcHdr/>
                  </w:sdtPr>
                  <w:sdtContent>
                    <w:tc>
                      <w:tcPr>
                        <w:tcW w:w="87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color w:val="333399"/>
                          </w:rPr>
                          <w:t xml:space="preserve">　</w:t>
                        </w:r>
                      </w:p>
                    </w:tc>
                  </w:sdtContent>
                </w:sdt>
              </w:tr>
            </w:sdtContent>
          </w:sdt>
          <w:tr w:rsidR="00DE031E" w:rsidTr="00DE031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cs="Cambria" w:hint="eastAsia"/>
                  </w:rPr>
                  <w:t>拆出</w:t>
                </w:r>
              </w:p>
            </w:tc>
          </w:tr>
          <w:sdt>
            <w:sdtPr>
              <w:rPr>
                <w:rFonts w:cs="Cambria"/>
              </w:rPr>
              <w:alias w:val="关联方资金拆出明细"/>
              <w:tag w:val="_GBC_39f1bd1cfa734fd0baf39b809eb42b2c"/>
              <w:id w:val="24726906"/>
              <w:lock w:val="sdtLocked"/>
            </w:sdtPr>
            <w:sdtContent>
              <w:tr w:rsidR="00DE031E" w:rsidTr="00DE031E">
                <w:trPr>
                  <w:jc w:val="center"/>
                </w:trPr>
                <w:sdt>
                  <w:sdtPr>
                    <w:rPr>
                      <w:rFonts w:cs="Cambria"/>
                    </w:rPr>
                    <w:alias w:val="关联方资金拆出明细-关联方"/>
                    <w:tag w:val="_GBC_34ce606dfbb24512bccc8e96dbde0913"/>
                    <w:id w:val="24726901"/>
                    <w:lock w:val="sdtLocked"/>
                    <w:showingPlcHdr/>
                  </w:sdtPr>
                  <w:sdtContent>
                    <w:tc>
                      <w:tcPr>
                        <w:tcW w:w="1319"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color w:val="333399"/>
                          </w:rPr>
                          <w:t xml:space="preserve">　</w:t>
                        </w:r>
                      </w:p>
                    </w:tc>
                  </w:sdtContent>
                </w:sdt>
                <w:sdt>
                  <w:sdtPr>
                    <w:rPr>
                      <w:rFonts w:cs="Cambria"/>
                    </w:rPr>
                    <w:alias w:val="关联方资金拆出明细-金额"/>
                    <w:tag w:val="_GBC_a371140a332e4298ae6b9dda24569ca5"/>
                    <w:id w:val="24726902"/>
                    <w:lock w:val="sdtLocked"/>
                    <w:showingPlcHdr/>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jc w:val="right"/>
                          <w:rPr>
                            <w:rFonts w:cs="Cambria"/>
                          </w:rPr>
                        </w:pPr>
                        <w:r>
                          <w:rPr>
                            <w:rFonts w:hint="eastAsia"/>
                            <w:color w:val="333399"/>
                          </w:rPr>
                          <w:t xml:space="preserve">　</w:t>
                        </w:r>
                      </w:p>
                    </w:tc>
                  </w:sdtContent>
                </w:sdt>
                <w:sdt>
                  <w:sdtPr>
                    <w:rPr>
                      <w:rFonts w:cs="Cambria"/>
                    </w:rPr>
                    <w:alias w:val="关联方资金拆出明细-起始日"/>
                    <w:tag w:val="_GBC_83cbd159450a44989793edf3f37ab6eb"/>
                    <w:id w:val="24726903"/>
                    <w:lock w:val="sdtLocked"/>
                    <w:showingPlcHdr/>
                  </w:sdtPr>
                  <w:sdtContent>
                    <w:tc>
                      <w:tcPr>
                        <w:tcW w:w="898"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color w:val="333399"/>
                          </w:rPr>
                          <w:t xml:space="preserve">　</w:t>
                        </w:r>
                      </w:p>
                    </w:tc>
                  </w:sdtContent>
                </w:sdt>
                <w:sdt>
                  <w:sdtPr>
                    <w:rPr>
                      <w:rFonts w:cs="Cambria"/>
                    </w:rPr>
                    <w:alias w:val="关联方资金拆出明细-到期日"/>
                    <w:tag w:val="_GBC_e4c85dca8efd4abc93f9ed0ae2b36573"/>
                    <w:id w:val="24726904"/>
                    <w:lock w:val="sdtLocked"/>
                    <w:showingPlcHdr/>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color w:val="333399"/>
                          </w:rPr>
                          <w:t xml:space="preserve">　</w:t>
                        </w:r>
                      </w:p>
                    </w:tc>
                  </w:sdtContent>
                </w:sdt>
                <w:sdt>
                  <w:sdtPr>
                    <w:rPr>
                      <w:rFonts w:cs="Cambria"/>
                    </w:rPr>
                    <w:alias w:val="关联方资金拆出明细-说明"/>
                    <w:tag w:val="_GBC_af525200cb58497181a7f00aece01275"/>
                    <w:id w:val="24726905"/>
                    <w:lock w:val="sdtLocked"/>
                    <w:showingPlcHdr/>
                  </w:sdtPr>
                  <w:sdtContent>
                    <w:tc>
                      <w:tcPr>
                        <w:tcW w:w="870" w:type="pct"/>
                        <w:tcBorders>
                          <w:top w:val="single" w:sz="4" w:space="0" w:color="auto"/>
                          <w:left w:val="single" w:sz="4" w:space="0" w:color="auto"/>
                          <w:bottom w:val="single" w:sz="4" w:space="0" w:color="auto"/>
                          <w:right w:val="single" w:sz="4" w:space="0" w:color="auto"/>
                        </w:tcBorders>
                        <w:shd w:val="clear" w:color="auto" w:fill="auto"/>
                      </w:tcPr>
                      <w:p w:rsidR="00DE031E" w:rsidRDefault="001C1A59" w:rsidP="00DE031E">
                        <w:pPr>
                          <w:rPr>
                            <w:rFonts w:cs="Cambria"/>
                          </w:rPr>
                        </w:pPr>
                        <w:r>
                          <w:rPr>
                            <w:rFonts w:hint="eastAsia"/>
                            <w:color w:val="333399"/>
                          </w:rPr>
                          <w:t xml:space="preserve">　</w:t>
                        </w:r>
                      </w:p>
                    </w:tc>
                  </w:sdtContent>
                </w:sdt>
              </w:tr>
            </w:sdtContent>
          </w:sdt>
        </w:tbl>
      </w:sdtContent>
    </w:sdt>
    <w:p w:rsidR="00DE031E" w:rsidRDefault="001C1A59" w:rsidP="009950AC">
      <w:pPr>
        <w:pStyle w:val="3"/>
        <w:numPr>
          <w:ilvl w:val="0"/>
          <w:numId w:val="71"/>
        </w:numPr>
        <w:spacing w:before="120" w:line="360" w:lineRule="auto"/>
        <w:ind w:left="426" w:hangingChars="202" w:hanging="426"/>
        <w:rPr>
          <w:rFonts w:ascii="宋体" w:hAnsi="宋体" w:cs="Arial"/>
          <w:szCs w:val="21"/>
        </w:rPr>
      </w:pPr>
      <w:r>
        <w:rPr>
          <w:rFonts w:ascii="宋体" w:hAnsi="宋体" w:cs="Arial" w:hint="eastAsia"/>
          <w:szCs w:val="21"/>
        </w:rPr>
        <w:t>关联方应收应付款项</w:t>
      </w:r>
    </w:p>
    <w:sdt>
      <w:sdtPr>
        <w:alias w:val="是否适用：关联方应收应付款项"/>
        <w:tag w:val="_GBC_881f61e746c3476da433ea82a47ef4f2"/>
        <w:id w:val="24726908"/>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Arial" w:hint="eastAsia"/>
          <w:b w:val="0"/>
          <w:bCs w:val="0"/>
          <w:kern w:val="0"/>
          <w:szCs w:val="21"/>
        </w:rPr>
        <w:tag w:val="_GBC_a8ddb53cf3424889a48a1749b5a1d910"/>
        <w:id w:val="24726932"/>
        <w:lock w:val="sdtLocked"/>
        <w:placeholder>
          <w:docPart w:val="GBC22222222222222222222222222222"/>
        </w:placeholder>
      </w:sdtPr>
      <w:sdtEndPr>
        <w:rPr>
          <w:rFonts w:ascii="仿宋_GB2312" w:eastAsia="仿宋_GB2312" w:hAnsiTheme="minorHAnsi" w:cstheme="minorBidi"/>
        </w:rPr>
      </w:sdtEndPr>
      <w:sdtContent>
        <w:p w:rsidR="00DE031E" w:rsidRDefault="001C1A59" w:rsidP="009950AC">
          <w:pPr>
            <w:pStyle w:val="4"/>
            <w:numPr>
              <w:ilvl w:val="0"/>
              <w:numId w:val="73"/>
            </w:numPr>
            <w:tabs>
              <w:tab w:val="left" w:pos="616"/>
            </w:tabs>
            <w:spacing w:line="360" w:lineRule="auto"/>
            <w:rPr>
              <w:rFonts w:ascii="宋体" w:hAnsi="宋体" w:cs="Arial"/>
              <w:szCs w:val="21"/>
            </w:rPr>
          </w:pPr>
          <w:r>
            <w:rPr>
              <w:rFonts w:hint="eastAsia"/>
            </w:rPr>
            <w:t>应收项目</w:t>
          </w:r>
        </w:p>
        <w:p w:rsidR="00DE031E" w:rsidRDefault="001C1A59">
          <w:pPr>
            <w:jc w:val="right"/>
            <w:rPr>
              <w:szCs w:val="21"/>
            </w:rPr>
          </w:pPr>
          <w:r>
            <w:rPr>
              <w:rFonts w:hint="eastAsia"/>
              <w:szCs w:val="21"/>
            </w:rPr>
            <w:t>单位:</w:t>
          </w:r>
          <w:sdt>
            <w:sdtPr>
              <w:rPr>
                <w:rFonts w:hint="eastAsia"/>
                <w:szCs w:val="21"/>
              </w:rPr>
              <w:alias w:val="单位：上市公司应收关联方款项"/>
              <w:tag w:val="_GBC_04d0c208b4494e01aba7984c41905093"/>
              <w:id w:val="247269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247269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93" w:type="pct"/>
            <w:jc w:val="center"/>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36"/>
            <w:gridCol w:w="3560"/>
            <w:gridCol w:w="1983"/>
            <w:gridCol w:w="567"/>
            <w:gridCol w:w="1987"/>
            <w:gridCol w:w="637"/>
          </w:tblGrid>
          <w:tr w:rsidR="00DE031E" w:rsidTr="00DE031E">
            <w:trPr>
              <w:jc w:val="center"/>
            </w:trPr>
            <w:tc>
              <w:tcPr>
                <w:tcW w:w="530" w:type="pct"/>
                <w:vMerge w:val="restart"/>
                <w:tcBorders>
                  <w:top w:val="single" w:sz="4" w:space="0" w:color="auto"/>
                  <w:left w:val="single" w:sz="4" w:space="0" w:color="auto"/>
                  <w:right w:val="single" w:sz="4" w:space="0" w:color="auto"/>
                </w:tcBorders>
                <w:vAlign w:val="center"/>
              </w:tcPr>
              <w:p w:rsidR="00DE031E" w:rsidRDefault="001C1A59" w:rsidP="00DE031E">
                <w:pPr>
                  <w:jc w:val="center"/>
                  <w:rPr>
                    <w:szCs w:val="21"/>
                  </w:rPr>
                </w:pPr>
                <w:r>
                  <w:rPr>
                    <w:rFonts w:hint="eastAsia"/>
                    <w:szCs w:val="21"/>
                  </w:rPr>
                  <w:t>项目名称</w:t>
                </w:r>
              </w:p>
            </w:tc>
            <w:tc>
              <w:tcPr>
                <w:tcW w:w="1822" w:type="pct"/>
                <w:vMerge w:val="restart"/>
                <w:tcBorders>
                  <w:top w:val="single" w:sz="4" w:space="0" w:color="auto"/>
                  <w:left w:val="single" w:sz="4" w:space="0" w:color="auto"/>
                  <w:right w:val="single" w:sz="4" w:space="0" w:color="auto"/>
                </w:tcBorders>
                <w:vAlign w:val="center"/>
              </w:tcPr>
              <w:p w:rsidR="00DE031E" w:rsidRDefault="001C1A59" w:rsidP="00DE031E">
                <w:pPr>
                  <w:jc w:val="center"/>
                  <w:rPr>
                    <w:szCs w:val="21"/>
                  </w:rPr>
                </w:pPr>
                <w:r>
                  <w:rPr>
                    <w:rFonts w:hint="eastAsia"/>
                    <w:szCs w:val="21"/>
                  </w:rPr>
                  <w:t>关联方</w:t>
                </w:r>
              </w:p>
            </w:tc>
            <w:tc>
              <w:tcPr>
                <w:tcW w:w="1305" w:type="pct"/>
                <w:gridSpan w:val="2"/>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rFonts w:hint="eastAsia"/>
                    <w:szCs w:val="21"/>
                  </w:rPr>
                  <w:t>期末余额</w:t>
                </w:r>
              </w:p>
            </w:tc>
            <w:tc>
              <w:tcPr>
                <w:tcW w:w="1343" w:type="pct"/>
                <w:gridSpan w:val="2"/>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rFonts w:hint="eastAsia"/>
                    <w:szCs w:val="21"/>
                  </w:rPr>
                  <w:t>期初余额</w:t>
                </w:r>
              </w:p>
            </w:tc>
          </w:tr>
          <w:tr w:rsidR="00DE031E" w:rsidTr="00DE031E">
            <w:trPr>
              <w:jc w:val="center"/>
            </w:trPr>
            <w:tc>
              <w:tcPr>
                <w:tcW w:w="530" w:type="pct"/>
                <w:vMerge/>
                <w:tcBorders>
                  <w:left w:val="single" w:sz="4" w:space="0" w:color="auto"/>
                  <w:bottom w:val="single" w:sz="4" w:space="0" w:color="auto"/>
                  <w:right w:val="single" w:sz="4" w:space="0" w:color="auto"/>
                </w:tcBorders>
                <w:vAlign w:val="center"/>
              </w:tcPr>
              <w:p w:rsidR="00DE031E" w:rsidRDefault="00DE031E" w:rsidP="00DE031E">
                <w:pPr>
                  <w:jc w:val="center"/>
                  <w:rPr>
                    <w:szCs w:val="21"/>
                  </w:rPr>
                </w:pPr>
              </w:p>
            </w:tc>
            <w:tc>
              <w:tcPr>
                <w:tcW w:w="1822" w:type="pct"/>
                <w:vMerge/>
                <w:tcBorders>
                  <w:left w:val="single" w:sz="4" w:space="0" w:color="auto"/>
                  <w:bottom w:val="single" w:sz="4" w:space="0" w:color="auto"/>
                  <w:right w:val="single" w:sz="4" w:space="0" w:color="auto"/>
                </w:tcBorders>
                <w:vAlign w:val="center"/>
              </w:tcPr>
              <w:p w:rsidR="00DE031E" w:rsidRDefault="00DE031E" w:rsidP="00DE031E">
                <w:pPr>
                  <w:jc w:val="center"/>
                  <w:rPr>
                    <w:szCs w:val="21"/>
                  </w:rPr>
                </w:pPr>
              </w:p>
            </w:tc>
            <w:tc>
              <w:tcPr>
                <w:tcW w:w="1015"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rFonts w:hint="eastAsia"/>
                    <w:szCs w:val="21"/>
                  </w:rPr>
                  <w:t>账面余额</w:t>
                </w:r>
              </w:p>
            </w:tc>
            <w:tc>
              <w:tcPr>
                <w:tcW w:w="290"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rFonts w:hint="eastAsia"/>
                    <w:szCs w:val="21"/>
                  </w:rPr>
                  <w:t>坏账准备</w:t>
                </w:r>
              </w:p>
            </w:tc>
            <w:tc>
              <w:tcPr>
                <w:tcW w:w="1017"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rFonts w:hint="eastAsia"/>
                    <w:szCs w:val="21"/>
                  </w:rPr>
                  <w:t>账面余额</w:t>
                </w:r>
              </w:p>
            </w:tc>
            <w:tc>
              <w:tcPr>
                <w:tcW w:w="326"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24726917"/>
              <w:lock w:val="sdtLocked"/>
            </w:sdtPr>
            <w:sdtContent>
              <w:tr w:rsidR="00DE031E" w:rsidTr="00DE031E">
                <w:trPr>
                  <w:jc w:val="center"/>
                </w:trPr>
                <w:tc>
                  <w:tcPr>
                    <w:tcW w:w="53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4726911"/>
                      <w:lock w:val="sdtLocked"/>
                    </w:sdtPr>
                    <w:sdtContent>
                      <w:p w:rsidR="00DE031E" w:rsidRDefault="001C1A59" w:rsidP="00DE031E">
                        <w:pPr>
                          <w:autoSpaceDE w:val="0"/>
                          <w:autoSpaceDN w:val="0"/>
                          <w:adjustRightInd w:val="0"/>
                          <w:rPr>
                            <w:szCs w:val="21"/>
                          </w:rPr>
                        </w:pPr>
                        <w:r>
                          <w:rPr>
                            <w:rFonts w:hint="eastAsia"/>
                            <w:szCs w:val="21"/>
                          </w:rPr>
                          <w:t>银行存款</w:t>
                        </w:r>
                      </w:p>
                    </w:sdtContent>
                  </w:sdt>
                </w:tc>
                <w:sdt>
                  <w:sdtPr>
                    <w:rPr>
                      <w:szCs w:val="21"/>
                    </w:rPr>
                    <w:alias w:val="上市公司应收关联方款项明细-关联方"/>
                    <w:tag w:val="_GBC_2380079fc0d04ce4b3122fd1fd87f272"/>
                    <w:id w:val="24726912"/>
                    <w:lock w:val="sdtLocked"/>
                  </w:sdtPr>
                  <w:sdtContent>
                    <w:tc>
                      <w:tcPr>
                        <w:tcW w:w="1822"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招商银行股份有限公司</w:t>
                        </w:r>
                      </w:p>
                    </w:tc>
                  </w:sdtContent>
                </w:sdt>
                <w:sdt>
                  <w:sdtPr>
                    <w:rPr>
                      <w:szCs w:val="21"/>
                    </w:rPr>
                    <w:alias w:val="上市公司应收关联方款项明细-金额"/>
                    <w:tag w:val="_GBC_cc588a6f792141019f0d3e640cfbfc35"/>
                    <w:id w:val="24726913"/>
                    <w:lock w:val="sdtLocked"/>
                  </w:sdtPr>
                  <w:sdtContent>
                    <w:tc>
                      <w:tcPr>
                        <w:tcW w:w="1015"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52,415,641,218.41</w:t>
                        </w:r>
                      </w:p>
                    </w:tc>
                  </w:sdtContent>
                </w:sdt>
                <w:sdt>
                  <w:sdtPr>
                    <w:rPr>
                      <w:szCs w:val="21"/>
                    </w:rPr>
                    <w:alias w:val="上市公司应收关联方款项明细-计提减值金额"/>
                    <w:tag w:val="_GBC_bafd30cf7fb84997ba02375616bce0f8"/>
                    <w:id w:val="24726914"/>
                    <w:lock w:val="sdtLocked"/>
                  </w:sdtPr>
                  <w:sdtContent>
                    <w:tc>
                      <w:tcPr>
                        <w:tcW w:w="290" w:type="pct"/>
                        <w:tcBorders>
                          <w:top w:val="single" w:sz="4" w:space="0" w:color="auto"/>
                          <w:left w:val="single" w:sz="4" w:space="0" w:color="auto"/>
                          <w:bottom w:val="single" w:sz="4" w:space="0" w:color="auto"/>
                          <w:right w:val="single" w:sz="4" w:space="0" w:color="auto"/>
                        </w:tcBorders>
                      </w:tcPr>
                      <w:p w:rsidR="00DE031E" w:rsidRDefault="00DE031E" w:rsidP="00DE031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4726915"/>
                    <w:lock w:val="sdtLocked"/>
                  </w:sdtPr>
                  <w:sdtContent>
                    <w:tc>
                      <w:tcPr>
                        <w:tcW w:w="1017"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25,442,038,237.70</w:t>
                        </w:r>
                      </w:p>
                    </w:tc>
                  </w:sdtContent>
                </w:sdt>
                <w:sdt>
                  <w:sdtPr>
                    <w:rPr>
                      <w:szCs w:val="21"/>
                    </w:rPr>
                    <w:alias w:val="上市公司应收关联方款项明细-计提减值金额"/>
                    <w:tag w:val="_GBC_5863f5c59166487cb6350da179170e3b"/>
                    <w:id w:val="24726916"/>
                    <w:lock w:val="sdtLocked"/>
                    <w:showingPlcHdr/>
                  </w:sdtPr>
                  <w:sdtContent>
                    <w:tc>
                      <w:tcPr>
                        <w:tcW w:w="32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rFonts w:hint="eastAsia"/>
                            <w:color w:val="333399"/>
                            <w:szCs w:val="21"/>
                          </w:rPr>
                          <w:t xml:space="preserve">　</w:t>
                        </w:r>
                      </w:p>
                    </w:tc>
                  </w:sdtContent>
                </w:sdt>
              </w:tr>
            </w:sdtContent>
          </w:sdt>
          <w:sdt>
            <w:sdtPr>
              <w:rPr>
                <w:rFonts w:hint="eastAsia"/>
                <w:szCs w:val="21"/>
              </w:rPr>
              <w:alias w:val="上市公司应收关联方款项明细"/>
              <w:tag w:val="_GBC_203fd12dc6be4a978fe2a9d9f5ad1070"/>
              <w:id w:val="24726924"/>
              <w:lock w:val="sdtLocked"/>
            </w:sdtPr>
            <w:sdtContent>
              <w:tr w:rsidR="00DE031E" w:rsidTr="00DE031E">
                <w:trPr>
                  <w:jc w:val="center"/>
                </w:trPr>
                <w:tc>
                  <w:tcPr>
                    <w:tcW w:w="53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4726918"/>
                      <w:lock w:val="sdtLocked"/>
                    </w:sdtPr>
                    <w:sdtContent>
                      <w:p w:rsidR="00DE031E" w:rsidRDefault="001C1A59" w:rsidP="00DE031E">
                        <w:pPr>
                          <w:autoSpaceDE w:val="0"/>
                          <w:autoSpaceDN w:val="0"/>
                          <w:adjustRightInd w:val="0"/>
                          <w:rPr>
                            <w:szCs w:val="21"/>
                          </w:rPr>
                        </w:pPr>
                        <w:r>
                          <w:rPr>
                            <w:rFonts w:hint="eastAsia"/>
                            <w:szCs w:val="21"/>
                          </w:rPr>
                          <w:t>应收款项</w:t>
                        </w:r>
                      </w:p>
                    </w:sdtContent>
                  </w:sdt>
                </w:tc>
                <w:sdt>
                  <w:sdtPr>
                    <w:rPr>
                      <w:szCs w:val="21"/>
                    </w:rPr>
                    <w:alias w:val="上市公司应收关联方款项明细-关联方"/>
                    <w:tag w:val="_GBC_2380079fc0d04ce4b3122fd1fd87f272"/>
                    <w:id w:val="24726919"/>
                    <w:lock w:val="sdtLocked"/>
                  </w:sdtPr>
                  <w:sdtContent>
                    <w:tc>
                      <w:tcPr>
                        <w:tcW w:w="1822"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博时基金与招商基金管理的基金产品</w:t>
                        </w:r>
                      </w:p>
                    </w:tc>
                  </w:sdtContent>
                </w:sdt>
                <w:sdt>
                  <w:sdtPr>
                    <w:rPr>
                      <w:szCs w:val="21"/>
                    </w:rPr>
                    <w:alias w:val="上市公司应收关联方款项明细-金额"/>
                    <w:tag w:val="_GBC_cc588a6f792141019f0d3e640cfbfc35"/>
                    <w:id w:val="24726920"/>
                    <w:lock w:val="sdtLocked"/>
                  </w:sdtPr>
                  <w:sdtContent>
                    <w:tc>
                      <w:tcPr>
                        <w:tcW w:w="1015"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20,237,221.12</w:t>
                        </w:r>
                      </w:p>
                    </w:tc>
                  </w:sdtContent>
                </w:sdt>
                <w:sdt>
                  <w:sdtPr>
                    <w:rPr>
                      <w:szCs w:val="21"/>
                    </w:rPr>
                    <w:alias w:val="上市公司应收关联方款项明细-计提减值金额"/>
                    <w:tag w:val="_GBC_bafd30cf7fb84997ba02375616bce0f8"/>
                    <w:id w:val="24726921"/>
                    <w:lock w:val="sdtLocked"/>
                  </w:sdtPr>
                  <w:sdtContent>
                    <w:tc>
                      <w:tcPr>
                        <w:tcW w:w="290" w:type="pct"/>
                        <w:tcBorders>
                          <w:top w:val="single" w:sz="4" w:space="0" w:color="auto"/>
                          <w:left w:val="single" w:sz="4" w:space="0" w:color="auto"/>
                          <w:bottom w:val="single" w:sz="4" w:space="0" w:color="auto"/>
                          <w:right w:val="single" w:sz="4" w:space="0" w:color="auto"/>
                        </w:tcBorders>
                      </w:tcPr>
                      <w:p w:rsidR="00DE031E" w:rsidRDefault="00DE031E" w:rsidP="00DE031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4726922"/>
                    <w:lock w:val="sdtLocked"/>
                  </w:sdtPr>
                  <w:sdtContent>
                    <w:tc>
                      <w:tcPr>
                        <w:tcW w:w="1017"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30,375,011.90</w:t>
                        </w:r>
                      </w:p>
                    </w:tc>
                  </w:sdtContent>
                </w:sdt>
                <w:sdt>
                  <w:sdtPr>
                    <w:rPr>
                      <w:szCs w:val="21"/>
                    </w:rPr>
                    <w:alias w:val="上市公司应收关联方款项明细-计提减值金额"/>
                    <w:tag w:val="_GBC_5863f5c59166487cb6350da179170e3b"/>
                    <w:id w:val="24726923"/>
                    <w:lock w:val="sdtLocked"/>
                    <w:showingPlcHdr/>
                  </w:sdtPr>
                  <w:sdtContent>
                    <w:tc>
                      <w:tcPr>
                        <w:tcW w:w="32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rFonts w:hint="eastAsia"/>
                            <w:szCs w:val="21"/>
                          </w:rPr>
                          <w:t xml:space="preserve">　</w:t>
                        </w:r>
                      </w:p>
                    </w:tc>
                  </w:sdtContent>
                </w:sdt>
              </w:tr>
            </w:sdtContent>
          </w:sdt>
          <w:sdt>
            <w:sdtPr>
              <w:rPr>
                <w:rFonts w:hint="eastAsia"/>
                <w:szCs w:val="21"/>
              </w:rPr>
              <w:alias w:val="上市公司应收关联方款项明细"/>
              <w:tag w:val="_GBC_203fd12dc6be4a978fe2a9d9f5ad1070"/>
              <w:id w:val="24726931"/>
              <w:lock w:val="sdtLocked"/>
            </w:sdtPr>
            <w:sdtContent>
              <w:tr w:rsidR="00DE031E" w:rsidTr="00DE031E">
                <w:trPr>
                  <w:jc w:val="center"/>
                </w:trPr>
                <w:tc>
                  <w:tcPr>
                    <w:tcW w:w="53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4726925"/>
                      <w:lock w:val="sdtLocked"/>
                    </w:sdtPr>
                    <w:sdtContent>
                      <w:p w:rsidR="00DE031E" w:rsidRDefault="001C1A59" w:rsidP="00DE031E">
                        <w:pPr>
                          <w:autoSpaceDE w:val="0"/>
                          <w:autoSpaceDN w:val="0"/>
                          <w:adjustRightInd w:val="0"/>
                          <w:rPr>
                            <w:szCs w:val="21"/>
                          </w:rPr>
                        </w:pPr>
                        <w:r>
                          <w:rPr>
                            <w:rFonts w:hint="eastAsia"/>
                            <w:szCs w:val="21"/>
                          </w:rPr>
                          <w:t>应收款项</w:t>
                        </w:r>
                      </w:p>
                    </w:sdtContent>
                  </w:sdt>
                </w:tc>
                <w:sdt>
                  <w:sdtPr>
                    <w:rPr>
                      <w:szCs w:val="21"/>
                    </w:rPr>
                    <w:alias w:val="上市公司应收关联方款项明细-关联方"/>
                    <w:tag w:val="_GBC_2380079fc0d04ce4b3122fd1fd87f272"/>
                    <w:id w:val="24726926"/>
                    <w:lock w:val="sdtLocked"/>
                  </w:sdtPr>
                  <w:sdtContent>
                    <w:tc>
                      <w:tcPr>
                        <w:tcW w:w="1822"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招商局地产控股股份有限公司</w:t>
                        </w:r>
                      </w:p>
                    </w:tc>
                  </w:sdtContent>
                </w:sdt>
                <w:sdt>
                  <w:sdtPr>
                    <w:rPr>
                      <w:szCs w:val="21"/>
                    </w:rPr>
                    <w:alias w:val="上市公司应收关联方款项明细-金额"/>
                    <w:tag w:val="_GBC_cc588a6f792141019f0d3e640cfbfc35"/>
                    <w:id w:val="24726927"/>
                    <w:lock w:val="sdtLocked"/>
                  </w:sdtPr>
                  <w:sdtContent>
                    <w:tc>
                      <w:tcPr>
                        <w:tcW w:w="1015" w:type="pct"/>
                        <w:tcBorders>
                          <w:top w:val="single" w:sz="4" w:space="0" w:color="auto"/>
                          <w:left w:val="single" w:sz="4" w:space="0" w:color="auto"/>
                          <w:bottom w:val="single" w:sz="4" w:space="0" w:color="auto"/>
                          <w:right w:val="single" w:sz="4" w:space="0" w:color="auto"/>
                        </w:tcBorders>
                      </w:tcPr>
                      <w:p w:rsidR="00DE031E" w:rsidRDefault="00DE031E" w:rsidP="00DE031E">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24726928"/>
                    <w:lock w:val="sdtLocked"/>
                  </w:sdtPr>
                  <w:sdtContent>
                    <w:tc>
                      <w:tcPr>
                        <w:tcW w:w="290" w:type="pct"/>
                        <w:tcBorders>
                          <w:top w:val="single" w:sz="4" w:space="0" w:color="auto"/>
                          <w:left w:val="single" w:sz="4" w:space="0" w:color="auto"/>
                          <w:bottom w:val="single" w:sz="4" w:space="0" w:color="auto"/>
                          <w:right w:val="single" w:sz="4" w:space="0" w:color="auto"/>
                        </w:tcBorders>
                      </w:tcPr>
                      <w:p w:rsidR="00DE031E" w:rsidRDefault="00DE031E" w:rsidP="00DE031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4726929"/>
                    <w:lock w:val="sdtLocked"/>
                  </w:sdtPr>
                  <w:sdtContent>
                    <w:tc>
                      <w:tcPr>
                        <w:tcW w:w="1017"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236,661.00</w:t>
                        </w:r>
                      </w:p>
                    </w:tc>
                  </w:sdtContent>
                </w:sdt>
                <w:sdt>
                  <w:sdtPr>
                    <w:rPr>
                      <w:szCs w:val="21"/>
                    </w:rPr>
                    <w:alias w:val="上市公司应收关联方款项明细-计提减值金额"/>
                    <w:tag w:val="_GBC_5863f5c59166487cb6350da179170e3b"/>
                    <w:id w:val="24726930"/>
                    <w:lock w:val="sdtLocked"/>
                    <w:showingPlcHdr/>
                  </w:sdtPr>
                  <w:sdtContent>
                    <w:tc>
                      <w:tcPr>
                        <w:tcW w:w="326"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rFonts w:hint="eastAsia"/>
                            <w:color w:val="333399"/>
                            <w:szCs w:val="21"/>
                          </w:rPr>
                          <w:t xml:space="preserve">　</w:t>
                        </w:r>
                      </w:p>
                    </w:tc>
                  </w:sdtContent>
                </w:sdt>
              </w:tr>
            </w:sdtContent>
          </w:sdt>
        </w:tbl>
        <w:p w:rsidR="00DE031E" w:rsidRDefault="00422DCA">
          <w:pPr>
            <w:rPr>
              <w:rFonts w:ascii="仿宋_GB2312" w:eastAsia="仿宋_GB2312" w:hAnsiTheme="minorHAnsi" w:cstheme="minorBidi"/>
              <w:szCs w:val="21"/>
            </w:rPr>
          </w:pPr>
        </w:p>
      </w:sdtContent>
    </w:sdt>
    <w:sdt>
      <w:sdtPr>
        <w:rPr>
          <w:rFonts w:ascii="宋体" w:hAnsi="宋体" w:cs="宋体" w:hint="eastAsia"/>
          <w:b w:val="0"/>
          <w:bCs w:val="0"/>
          <w:kern w:val="0"/>
          <w:szCs w:val="24"/>
        </w:rPr>
        <w:tag w:val="_GBC_e7a5511f50dd4f05a897cdfaeac4023f"/>
        <w:id w:val="24726960"/>
        <w:lock w:val="sdtLocked"/>
        <w:placeholder>
          <w:docPart w:val="GBC22222222222222222222222222222"/>
        </w:placeholder>
      </w:sdtPr>
      <w:sdtEndPr>
        <w:rPr>
          <w:rFonts w:ascii="仿宋_GB2312" w:eastAsia="仿宋_GB2312" w:hAnsiTheme="minorHAnsi" w:cstheme="minorBidi"/>
          <w:szCs w:val="21"/>
        </w:rPr>
      </w:sdtEndPr>
      <w:sdtContent>
        <w:p w:rsidR="00DE031E" w:rsidRDefault="001C1A59" w:rsidP="009950AC">
          <w:pPr>
            <w:pStyle w:val="4"/>
            <w:numPr>
              <w:ilvl w:val="0"/>
              <w:numId w:val="73"/>
            </w:numPr>
            <w:tabs>
              <w:tab w:val="left" w:pos="616"/>
            </w:tabs>
            <w:spacing w:line="360" w:lineRule="auto"/>
          </w:pPr>
          <w:r>
            <w:rPr>
              <w:rFonts w:hint="eastAsia"/>
            </w:rPr>
            <w:t>应付项目</w:t>
          </w:r>
        </w:p>
        <w:p w:rsidR="00DE031E" w:rsidRDefault="001C1A59">
          <w:pPr>
            <w:jc w:val="right"/>
            <w:rPr>
              <w:szCs w:val="21"/>
            </w:rPr>
          </w:pPr>
          <w:r>
            <w:rPr>
              <w:rFonts w:hint="eastAsia"/>
              <w:szCs w:val="21"/>
            </w:rPr>
            <w:t>单位:</w:t>
          </w:r>
          <w:sdt>
            <w:sdtPr>
              <w:rPr>
                <w:rFonts w:hint="eastAsia"/>
                <w:szCs w:val="21"/>
              </w:rPr>
              <w:alias w:val="单位：上市公司应付关联方款项"/>
              <w:tag w:val="_GBC_08d04faee6a64768877db8f6ab14663e"/>
              <w:id w:val="247269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24726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64"/>
            <w:gridCol w:w="3261"/>
            <w:gridCol w:w="2126"/>
            <w:gridCol w:w="2342"/>
          </w:tblGrid>
          <w:tr w:rsidR="00DE031E" w:rsidTr="00DE031E">
            <w:tc>
              <w:tcPr>
                <w:tcW w:w="654" w:type="pct"/>
                <w:tcBorders>
                  <w:top w:val="single" w:sz="4" w:space="0" w:color="auto"/>
                  <w:left w:val="single" w:sz="4" w:space="0" w:color="auto"/>
                  <w:right w:val="single" w:sz="4" w:space="0" w:color="auto"/>
                </w:tcBorders>
              </w:tcPr>
              <w:p w:rsidR="00DE031E" w:rsidRDefault="001C1A59" w:rsidP="00DE031E">
                <w:pPr>
                  <w:jc w:val="center"/>
                  <w:rPr>
                    <w:szCs w:val="21"/>
                  </w:rPr>
                </w:pPr>
                <w:r>
                  <w:rPr>
                    <w:rFonts w:hint="eastAsia"/>
                    <w:szCs w:val="21"/>
                  </w:rPr>
                  <w:t>项目名称</w:t>
                </w:r>
              </w:p>
            </w:tc>
            <w:tc>
              <w:tcPr>
                <w:tcW w:w="1833" w:type="pct"/>
                <w:tcBorders>
                  <w:top w:val="single" w:sz="4" w:space="0" w:color="auto"/>
                  <w:left w:val="single" w:sz="4" w:space="0" w:color="auto"/>
                  <w:right w:val="single" w:sz="4" w:space="0" w:color="auto"/>
                </w:tcBorders>
              </w:tcPr>
              <w:p w:rsidR="00DE031E" w:rsidRDefault="001C1A59" w:rsidP="00DE031E">
                <w:pPr>
                  <w:jc w:val="center"/>
                  <w:rPr>
                    <w:szCs w:val="21"/>
                  </w:rPr>
                </w:pPr>
                <w:r>
                  <w:rPr>
                    <w:rFonts w:hint="eastAsia"/>
                    <w:szCs w:val="21"/>
                  </w:rPr>
                  <w:t>关联方</w:t>
                </w:r>
              </w:p>
            </w:tc>
            <w:tc>
              <w:tcPr>
                <w:tcW w:w="1195" w:type="pct"/>
                <w:tcBorders>
                  <w:top w:val="single" w:sz="4" w:space="0" w:color="auto"/>
                  <w:left w:val="single" w:sz="4" w:space="0" w:color="auto"/>
                  <w:bottom w:val="single" w:sz="4" w:space="0" w:color="auto"/>
                  <w:right w:val="single" w:sz="4" w:space="0" w:color="auto"/>
                </w:tcBorders>
              </w:tcPr>
              <w:p w:rsidR="00DE031E" w:rsidRDefault="001C1A59" w:rsidP="00DE031E">
                <w:pPr>
                  <w:jc w:val="center"/>
                  <w:rPr>
                    <w:szCs w:val="21"/>
                  </w:rPr>
                </w:pPr>
                <w:r>
                  <w:rPr>
                    <w:rFonts w:hint="eastAsia"/>
                    <w:szCs w:val="21"/>
                  </w:rPr>
                  <w:t>期末账面余额</w:t>
                </w:r>
              </w:p>
            </w:tc>
            <w:tc>
              <w:tcPr>
                <w:tcW w:w="1317" w:type="pct"/>
                <w:tcBorders>
                  <w:top w:val="single" w:sz="4" w:space="0" w:color="auto"/>
                  <w:left w:val="single" w:sz="4" w:space="0" w:color="auto"/>
                  <w:bottom w:val="single" w:sz="4" w:space="0" w:color="auto"/>
                  <w:right w:val="single" w:sz="4" w:space="0" w:color="auto"/>
                </w:tcBorders>
              </w:tcPr>
              <w:p w:rsidR="00DE031E" w:rsidRDefault="001C1A59" w:rsidP="00DE031E">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24726939"/>
              <w:lock w:val="sdtLocked"/>
            </w:sdtPr>
            <w:sdtContent>
              <w:tr w:rsidR="00DE031E" w:rsidTr="00DE031E">
                <w:sdt>
                  <w:sdtPr>
                    <w:rPr>
                      <w:rFonts w:hint="eastAsia"/>
                      <w:szCs w:val="21"/>
                    </w:rPr>
                    <w:alias w:val="上市公司应付关联方款项明细-项目名称"/>
                    <w:tag w:val="_GBC_6233adb0f6b54f128938af25d0d69653"/>
                    <w:id w:val="24726935"/>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rPr>
                            <w:strike/>
                            <w:szCs w:val="21"/>
                          </w:rPr>
                        </w:pPr>
                        <w:r>
                          <w:rPr>
                            <w:rFonts w:hint="eastAsia"/>
                            <w:szCs w:val="21"/>
                          </w:rPr>
                          <w:t>短期借款</w:t>
                        </w:r>
                      </w:p>
                    </w:tc>
                  </w:sdtContent>
                </w:sdt>
                <w:sdt>
                  <w:sdtPr>
                    <w:rPr>
                      <w:szCs w:val="21"/>
                    </w:rPr>
                    <w:alias w:val="上市公司应付关联方款项明细-关联方"/>
                    <w:tag w:val="_GBC_8f117d3e5aee4c22ad9a5df3b284d78f"/>
                    <w:id w:val="24726936"/>
                    <w:lock w:val="sdtLocked"/>
                  </w:sdtPr>
                  <w:sdtContent>
                    <w:tc>
                      <w:tcPr>
                        <w:tcW w:w="1833"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招商银行股份有限公司</w:t>
                        </w:r>
                      </w:p>
                    </w:tc>
                  </w:sdtContent>
                </w:sdt>
                <w:sdt>
                  <w:sdtPr>
                    <w:rPr>
                      <w:szCs w:val="21"/>
                    </w:rPr>
                    <w:alias w:val="上市公司应付关联方款项明细-金额"/>
                    <w:tag w:val="_GBC_c0b3b7a0b8574da2b1f8c7b47eb7dc95"/>
                    <w:id w:val="24726937"/>
                    <w:lock w:val="sdtLocked"/>
                  </w:sdtPr>
                  <w:sdtContent>
                    <w:tc>
                      <w:tcPr>
                        <w:tcW w:w="1195"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528,368,700.00</w:t>
                        </w:r>
                      </w:p>
                    </w:tc>
                  </w:sdtContent>
                </w:sdt>
                <w:sdt>
                  <w:sdtPr>
                    <w:rPr>
                      <w:szCs w:val="21"/>
                    </w:rPr>
                    <w:alias w:val="上市公司应付关联方款项明细-金额"/>
                    <w:tag w:val="_GBC_c2152582304d4e45a85f442e3a66d522"/>
                    <w:id w:val="24726938"/>
                    <w:lock w:val="sdtLocked"/>
                  </w:sdtPr>
                  <w:sdtContent>
                    <w:tc>
                      <w:tcPr>
                        <w:tcW w:w="1317"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552,209,000.00</w:t>
                        </w:r>
                      </w:p>
                    </w:tc>
                  </w:sdtContent>
                </w:sdt>
              </w:tr>
            </w:sdtContent>
          </w:sdt>
          <w:sdt>
            <w:sdtPr>
              <w:rPr>
                <w:rFonts w:hint="eastAsia"/>
                <w:szCs w:val="21"/>
              </w:rPr>
              <w:alias w:val="上市公司应付关联方款项明细"/>
              <w:tag w:val="_GBC_bb3d19486f2b460b856a135056bd0897"/>
              <w:id w:val="24726944"/>
              <w:lock w:val="sdtLocked"/>
            </w:sdtPr>
            <w:sdtContent>
              <w:tr w:rsidR="00DE031E" w:rsidTr="00DE031E">
                <w:sdt>
                  <w:sdtPr>
                    <w:rPr>
                      <w:rFonts w:hint="eastAsia"/>
                      <w:szCs w:val="21"/>
                    </w:rPr>
                    <w:alias w:val="上市公司应付关联方款项明细-项目名称"/>
                    <w:tag w:val="_GBC_6233adb0f6b54f128938af25d0d69653"/>
                    <w:id w:val="24726940"/>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rPr>
                            <w:strike/>
                            <w:szCs w:val="21"/>
                          </w:rPr>
                        </w:pPr>
                        <w:r>
                          <w:rPr>
                            <w:rFonts w:hint="eastAsia"/>
                            <w:szCs w:val="21"/>
                          </w:rPr>
                          <w:t>短期借款</w:t>
                        </w:r>
                      </w:p>
                    </w:tc>
                  </w:sdtContent>
                </w:sdt>
                <w:sdt>
                  <w:sdtPr>
                    <w:rPr>
                      <w:szCs w:val="21"/>
                    </w:rPr>
                    <w:alias w:val="上市公司应付关联方款项明细-关联方"/>
                    <w:tag w:val="_GBC_8f117d3e5aee4c22ad9a5df3b284d78f"/>
                    <w:id w:val="24726941"/>
                    <w:lock w:val="sdtLocked"/>
                  </w:sdtPr>
                  <w:sdtContent>
                    <w:tc>
                      <w:tcPr>
                        <w:tcW w:w="1833"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招商局集团（香港）有限公司</w:t>
                        </w:r>
                      </w:p>
                    </w:tc>
                  </w:sdtContent>
                </w:sdt>
                <w:sdt>
                  <w:sdtPr>
                    <w:rPr>
                      <w:szCs w:val="21"/>
                    </w:rPr>
                    <w:alias w:val="上市公司应付关联方款项明细-金额"/>
                    <w:tag w:val="_GBC_c0b3b7a0b8574da2b1f8c7b47eb7dc95"/>
                    <w:id w:val="24726942"/>
                    <w:lock w:val="sdtLocked"/>
                  </w:sdtPr>
                  <w:sdtContent>
                    <w:tc>
                      <w:tcPr>
                        <w:tcW w:w="1195" w:type="pct"/>
                        <w:tcBorders>
                          <w:top w:val="single" w:sz="4" w:space="0" w:color="auto"/>
                          <w:left w:val="single" w:sz="4" w:space="0" w:color="auto"/>
                          <w:bottom w:val="single" w:sz="4" w:space="0" w:color="auto"/>
                          <w:right w:val="single" w:sz="4" w:space="0" w:color="auto"/>
                        </w:tcBorders>
                      </w:tcPr>
                      <w:p w:rsidR="00DE031E" w:rsidRDefault="00DE031E" w:rsidP="00DE031E">
                        <w:pPr>
                          <w:autoSpaceDE w:val="0"/>
                          <w:autoSpaceDN w:val="0"/>
                          <w:adjustRightInd w:val="0"/>
                          <w:jc w:val="right"/>
                          <w:rPr>
                            <w:szCs w:val="21"/>
                          </w:rPr>
                        </w:pPr>
                      </w:p>
                    </w:tc>
                  </w:sdtContent>
                </w:sdt>
                <w:sdt>
                  <w:sdtPr>
                    <w:rPr>
                      <w:szCs w:val="21"/>
                    </w:rPr>
                    <w:alias w:val="上市公司应付关联方款项明细-金额"/>
                    <w:tag w:val="_GBC_c2152582304d4e45a85f442e3a66d522"/>
                    <w:id w:val="24726943"/>
                    <w:lock w:val="sdtLocked"/>
                  </w:sdtPr>
                  <w:sdtContent>
                    <w:tc>
                      <w:tcPr>
                        <w:tcW w:w="1317" w:type="pct"/>
                        <w:tcBorders>
                          <w:top w:val="single" w:sz="4" w:space="0" w:color="auto"/>
                          <w:left w:val="single" w:sz="4" w:space="0" w:color="auto"/>
                          <w:bottom w:val="single" w:sz="4" w:space="0" w:color="auto"/>
                          <w:right w:val="single" w:sz="4" w:space="0" w:color="auto"/>
                        </w:tcBorders>
                      </w:tcPr>
                      <w:p w:rsidR="00DE031E" w:rsidRDefault="00DE031E" w:rsidP="00DE031E">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24726949"/>
              <w:lock w:val="sdtLocked"/>
            </w:sdtPr>
            <w:sdtContent>
              <w:tr w:rsidR="00DE031E" w:rsidTr="00DE031E">
                <w:sdt>
                  <w:sdtPr>
                    <w:rPr>
                      <w:rFonts w:hint="eastAsia"/>
                      <w:szCs w:val="21"/>
                    </w:rPr>
                    <w:alias w:val="上市公司应付关联方款项明细-项目名称"/>
                    <w:tag w:val="_GBC_6233adb0f6b54f128938af25d0d69653"/>
                    <w:id w:val="24726945"/>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rPr>
                            <w:strike/>
                            <w:szCs w:val="21"/>
                          </w:rPr>
                        </w:pPr>
                        <w:r>
                          <w:rPr>
                            <w:rFonts w:hint="eastAsia"/>
                            <w:szCs w:val="21"/>
                          </w:rPr>
                          <w:t>长期借款</w:t>
                        </w:r>
                      </w:p>
                    </w:tc>
                  </w:sdtContent>
                </w:sdt>
                <w:sdt>
                  <w:sdtPr>
                    <w:rPr>
                      <w:szCs w:val="21"/>
                    </w:rPr>
                    <w:alias w:val="上市公司应付关联方款项明细-关联方"/>
                    <w:tag w:val="_GBC_8f117d3e5aee4c22ad9a5df3b284d78f"/>
                    <w:id w:val="24726946"/>
                    <w:lock w:val="sdtLocked"/>
                  </w:sdtPr>
                  <w:sdtContent>
                    <w:tc>
                      <w:tcPr>
                        <w:tcW w:w="1833"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招商银行股份有限公司</w:t>
                        </w:r>
                      </w:p>
                    </w:tc>
                  </w:sdtContent>
                </w:sdt>
                <w:sdt>
                  <w:sdtPr>
                    <w:rPr>
                      <w:szCs w:val="21"/>
                    </w:rPr>
                    <w:alias w:val="上市公司应付关联方款项明细-金额"/>
                    <w:tag w:val="_GBC_c0b3b7a0b8574da2b1f8c7b47eb7dc95"/>
                    <w:id w:val="24726947"/>
                    <w:lock w:val="sdtLocked"/>
                  </w:sdtPr>
                  <w:sdtContent>
                    <w:tc>
                      <w:tcPr>
                        <w:tcW w:w="1195"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399,927,970.82</w:t>
                        </w:r>
                      </w:p>
                    </w:tc>
                  </w:sdtContent>
                </w:sdt>
                <w:sdt>
                  <w:sdtPr>
                    <w:rPr>
                      <w:szCs w:val="21"/>
                    </w:rPr>
                    <w:alias w:val="上市公司应付关联方款项明细-金额"/>
                    <w:tag w:val="_GBC_c2152582304d4e45a85f442e3a66d522"/>
                    <w:id w:val="24726948"/>
                    <w:lock w:val="sdtLocked"/>
                  </w:sdtPr>
                  <w:sdtContent>
                    <w:tc>
                      <w:tcPr>
                        <w:tcW w:w="1317"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295,495,755.48</w:t>
                        </w:r>
                      </w:p>
                    </w:tc>
                  </w:sdtContent>
                </w:sdt>
              </w:tr>
            </w:sdtContent>
          </w:sdt>
          <w:sdt>
            <w:sdtPr>
              <w:rPr>
                <w:rFonts w:hint="eastAsia"/>
                <w:szCs w:val="21"/>
              </w:rPr>
              <w:alias w:val="上市公司应付关联方款项明细"/>
              <w:tag w:val="_GBC_bb3d19486f2b460b856a135056bd0897"/>
              <w:id w:val="24726954"/>
              <w:lock w:val="sdtLocked"/>
            </w:sdtPr>
            <w:sdtContent>
              <w:tr w:rsidR="00DE031E" w:rsidTr="00DE031E">
                <w:sdt>
                  <w:sdtPr>
                    <w:rPr>
                      <w:rFonts w:hint="eastAsia"/>
                      <w:szCs w:val="21"/>
                    </w:rPr>
                    <w:alias w:val="上市公司应付关联方款项明细-项目名称"/>
                    <w:tag w:val="_GBC_6233adb0f6b54f128938af25d0d69653"/>
                    <w:id w:val="24726950"/>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rPr>
                            <w:strike/>
                            <w:szCs w:val="21"/>
                          </w:rPr>
                        </w:pPr>
                        <w:r>
                          <w:rPr>
                            <w:rFonts w:hint="eastAsia"/>
                            <w:szCs w:val="21"/>
                          </w:rPr>
                          <w:t>应付利息</w:t>
                        </w:r>
                      </w:p>
                    </w:tc>
                  </w:sdtContent>
                </w:sdt>
                <w:sdt>
                  <w:sdtPr>
                    <w:rPr>
                      <w:szCs w:val="21"/>
                    </w:rPr>
                    <w:alias w:val="上市公司应付关联方款项明细-关联方"/>
                    <w:tag w:val="_GBC_8f117d3e5aee4c22ad9a5df3b284d78f"/>
                    <w:id w:val="24726951"/>
                    <w:lock w:val="sdtLocked"/>
                  </w:sdtPr>
                  <w:sdtContent>
                    <w:tc>
                      <w:tcPr>
                        <w:tcW w:w="1833"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招商银行股份有限公司</w:t>
                        </w:r>
                      </w:p>
                    </w:tc>
                  </w:sdtContent>
                </w:sdt>
                <w:sdt>
                  <w:sdtPr>
                    <w:rPr>
                      <w:szCs w:val="21"/>
                    </w:rPr>
                    <w:alias w:val="上市公司应付关联方款项明细-金额"/>
                    <w:tag w:val="_GBC_c0b3b7a0b8574da2b1f8c7b47eb7dc95"/>
                    <w:id w:val="24726952"/>
                    <w:lock w:val="sdtLocked"/>
                  </w:sdtPr>
                  <w:sdtContent>
                    <w:tc>
                      <w:tcPr>
                        <w:tcW w:w="1195"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475,177.59</w:t>
                        </w:r>
                      </w:p>
                    </w:tc>
                  </w:sdtContent>
                </w:sdt>
                <w:sdt>
                  <w:sdtPr>
                    <w:rPr>
                      <w:szCs w:val="21"/>
                    </w:rPr>
                    <w:alias w:val="上市公司应付关联方款项明细-金额"/>
                    <w:tag w:val="_GBC_c2152582304d4e45a85f442e3a66d522"/>
                    <w:id w:val="24726953"/>
                    <w:lock w:val="sdtLocked"/>
                  </w:sdtPr>
                  <w:sdtContent>
                    <w:tc>
                      <w:tcPr>
                        <w:tcW w:w="1317"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464,050.42</w:t>
                        </w:r>
                      </w:p>
                    </w:tc>
                  </w:sdtContent>
                </w:sdt>
              </w:tr>
            </w:sdtContent>
          </w:sdt>
          <w:sdt>
            <w:sdtPr>
              <w:rPr>
                <w:rFonts w:hint="eastAsia"/>
                <w:szCs w:val="21"/>
              </w:rPr>
              <w:alias w:val="上市公司应付关联方款项明细"/>
              <w:tag w:val="_GBC_bb3d19486f2b460b856a135056bd0897"/>
              <w:id w:val="24726959"/>
              <w:lock w:val="sdtLocked"/>
            </w:sdtPr>
            <w:sdtContent>
              <w:tr w:rsidR="00DE031E" w:rsidTr="00DE031E">
                <w:sdt>
                  <w:sdtPr>
                    <w:rPr>
                      <w:rFonts w:hint="eastAsia"/>
                      <w:szCs w:val="21"/>
                    </w:rPr>
                    <w:alias w:val="上市公司应付关联方款项明细-项目名称"/>
                    <w:tag w:val="_GBC_6233adb0f6b54f128938af25d0d69653"/>
                    <w:id w:val="24726955"/>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DE031E" w:rsidRDefault="001C1A59" w:rsidP="00DE031E">
                        <w:pPr>
                          <w:autoSpaceDE w:val="0"/>
                          <w:autoSpaceDN w:val="0"/>
                          <w:adjustRightInd w:val="0"/>
                          <w:rPr>
                            <w:strike/>
                            <w:szCs w:val="21"/>
                          </w:rPr>
                        </w:pPr>
                        <w:r>
                          <w:rPr>
                            <w:rFonts w:hint="eastAsia"/>
                            <w:szCs w:val="21"/>
                          </w:rPr>
                          <w:t>拆入资金</w:t>
                        </w:r>
                      </w:p>
                    </w:tc>
                  </w:sdtContent>
                </w:sdt>
                <w:sdt>
                  <w:sdtPr>
                    <w:rPr>
                      <w:szCs w:val="21"/>
                    </w:rPr>
                    <w:alias w:val="上市公司应付关联方款项明细-关联方"/>
                    <w:tag w:val="_GBC_8f117d3e5aee4c22ad9a5df3b284d78f"/>
                    <w:id w:val="24726956"/>
                    <w:lock w:val="sdtLocked"/>
                  </w:sdtPr>
                  <w:sdtContent>
                    <w:tc>
                      <w:tcPr>
                        <w:tcW w:w="1833"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rPr>
                            <w:szCs w:val="21"/>
                          </w:rPr>
                        </w:pPr>
                        <w:r>
                          <w:rPr>
                            <w:szCs w:val="21"/>
                          </w:rPr>
                          <w:t>招商银行股份有限公司</w:t>
                        </w:r>
                      </w:p>
                    </w:tc>
                  </w:sdtContent>
                </w:sdt>
                <w:sdt>
                  <w:sdtPr>
                    <w:rPr>
                      <w:szCs w:val="21"/>
                    </w:rPr>
                    <w:alias w:val="上市公司应付关联方款项明细-金额"/>
                    <w:tag w:val="_GBC_c0b3b7a0b8574da2b1f8c7b47eb7dc95"/>
                    <w:id w:val="24726957"/>
                    <w:lock w:val="sdtLocked"/>
                    <w:showingPlcHdr/>
                  </w:sdtPr>
                  <w:sdtContent>
                    <w:tc>
                      <w:tcPr>
                        <w:tcW w:w="1195" w:type="pct"/>
                        <w:tcBorders>
                          <w:top w:val="single" w:sz="4" w:space="0" w:color="auto"/>
                          <w:left w:val="single" w:sz="4" w:space="0" w:color="auto"/>
                          <w:bottom w:val="single" w:sz="4" w:space="0" w:color="auto"/>
                          <w:right w:val="single" w:sz="4" w:space="0" w:color="auto"/>
                        </w:tcBorders>
                      </w:tcPr>
                      <w:p w:rsidR="00DE031E" w:rsidRDefault="00DE031E" w:rsidP="00DE031E">
                        <w:pPr>
                          <w:autoSpaceDE w:val="0"/>
                          <w:autoSpaceDN w:val="0"/>
                          <w:adjustRightInd w:val="0"/>
                          <w:jc w:val="right"/>
                          <w:rPr>
                            <w:szCs w:val="21"/>
                          </w:rPr>
                        </w:pPr>
                      </w:p>
                    </w:tc>
                  </w:sdtContent>
                </w:sdt>
                <w:sdt>
                  <w:sdtPr>
                    <w:rPr>
                      <w:szCs w:val="21"/>
                    </w:rPr>
                    <w:alias w:val="上市公司应付关联方款项明细-金额"/>
                    <w:tag w:val="_GBC_c2152582304d4e45a85f442e3a66d522"/>
                    <w:id w:val="24726958"/>
                    <w:lock w:val="sdtLocked"/>
                  </w:sdtPr>
                  <w:sdtContent>
                    <w:tc>
                      <w:tcPr>
                        <w:tcW w:w="1317" w:type="pct"/>
                        <w:tcBorders>
                          <w:top w:val="single" w:sz="4" w:space="0" w:color="auto"/>
                          <w:left w:val="single" w:sz="4" w:space="0" w:color="auto"/>
                          <w:bottom w:val="single" w:sz="4" w:space="0" w:color="auto"/>
                          <w:right w:val="single" w:sz="4" w:space="0" w:color="auto"/>
                        </w:tcBorders>
                      </w:tcPr>
                      <w:p w:rsidR="00DE031E" w:rsidRDefault="001C1A59" w:rsidP="00DE031E">
                        <w:pPr>
                          <w:autoSpaceDE w:val="0"/>
                          <w:autoSpaceDN w:val="0"/>
                          <w:adjustRightInd w:val="0"/>
                          <w:jc w:val="right"/>
                          <w:rPr>
                            <w:szCs w:val="21"/>
                          </w:rPr>
                        </w:pPr>
                        <w:r>
                          <w:rPr>
                            <w:szCs w:val="21"/>
                          </w:rPr>
                          <w:t>1,400,000,000.00</w:t>
                        </w:r>
                      </w:p>
                    </w:tc>
                  </w:sdtContent>
                </w:sdt>
              </w:tr>
            </w:sdtContent>
          </w:sdt>
        </w:tbl>
        <w:p w:rsidR="00DE031E" w:rsidRDefault="00422DCA">
          <w:pPr>
            <w:rPr>
              <w:rFonts w:ascii="仿宋_GB2312" w:eastAsia="仿宋_GB2312"/>
              <w:szCs w:val="21"/>
            </w:rPr>
          </w:pPr>
        </w:p>
      </w:sdtContent>
    </w:sdt>
    <w:p w:rsidR="00DE031E" w:rsidRDefault="001C1A59" w:rsidP="009950AC">
      <w:pPr>
        <w:pStyle w:val="2"/>
        <w:numPr>
          <w:ilvl w:val="0"/>
          <w:numId w:val="30"/>
        </w:numPr>
        <w:spacing w:line="360" w:lineRule="auto"/>
      </w:pPr>
      <w:r>
        <w:rPr>
          <w:rFonts w:hint="eastAsia"/>
        </w:rPr>
        <w:t>承诺及或有事项</w:t>
      </w:r>
    </w:p>
    <w:p w:rsidR="00DE031E" w:rsidRDefault="001C1A59" w:rsidP="009950AC">
      <w:pPr>
        <w:pStyle w:val="3"/>
        <w:numPr>
          <w:ilvl w:val="0"/>
          <w:numId w:val="74"/>
        </w:numPr>
        <w:spacing w:line="360" w:lineRule="auto"/>
        <w:rPr>
          <w:rFonts w:ascii="宋体" w:hAnsi="宋体"/>
        </w:rPr>
      </w:pPr>
      <w:r>
        <w:rPr>
          <w:rFonts w:ascii="宋体" w:hAnsi="宋体" w:hint="eastAsia"/>
        </w:rPr>
        <w:t>重要承诺事项</w:t>
      </w:r>
    </w:p>
    <w:sdt>
      <w:sdtPr>
        <w:alias w:val="是否适用：重要承诺事项"/>
        <w:tag w:val="_GBC_31b5228cb1434d94b853b3399ac19e22"/>
        <w:id w:val="24726961"/>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hint="eastAsia"/>
          <w:b/>
          <w:bCs/>
        </w:rPr>
        <w:tag w:val="_GBC_bd716a4e356044ddb7c8207f0edef471"/>
        <w:id w:val="24726963"/>
        <w:lock w:val="sdtLocked"/>
        <w:placeholder>
          <w:docPart w:val="GBC22222222222222222222222222222"/>
        </w:placeholder>
      </w:sdtPr>
      <w:sdtEndPr>
        <w:rPr>
          <w:rFonts w:asciiTheme="minorHAnsi" w:hAnsiTheme="minorHAnsi" w:cstheme="minorBidi"/>
          <w:b w:val="0"/>
          <w:bCs w:val="0"/>
        </w:rPr>
      </w:sdtEndPr>
      <w:sdtContent>
        <w:sdt>
          <w:sdtPr>
            <w:rPr>
              <w:rFonts w:cs="Cambria"/>
              <w:bCs/>
            </w:rPr>
            <w:alias w:val="资产负债表日存在的重要承诺"/>
            <w:tag w:val="_GBC_b0cd6a8a93e142e5926c06e28f794da3"/>
            <w:id w:val="24726962"/>
            <w:lock w:val="sdtLocked"/>
            <w:placeholder>
              <w:docPart w:val="GBC22222222222222222222222222222"/>
            </w:placeholder>
          </w:sdtPr>
          <w:sdtContent>
            <w:p w:rsidR="00DE031E" w:rsidRPr="00437FB4" w:rsidRDefault="001C1A59" w:rsidP="00DE031E">
              <w:pPr>
                <w:spacing w:line="360" w:lineRule="auto"/>
                <w:rPr>
                  <w:rFonts w:ascii="Arial" w:hAnsi="Arial" w:cs="Arial"/>
                  <w:b/>
                  <w:sz w:val="22"/>
                  <w:szCs w:val="22"/>
                </w:rPr>
              </w:pPr>
              <w:r w:rsidRPr="00CD1DA6">
                <w:rPr>
                  <w:rFonts w:cs="Cambria" w:hint="eastAsia"/>
                  <w:b/>
                  <w:bCs/>
                </w:rPr>
                <w:t>（1）</w:t>
              </w:r>
              <w:r w:rsidRPr="00437FB4">
                <w:rPr>
                  <w:rFonts w:ascii="Arial" w:hAnsi="Arial" w:cs="Arial"/>
                  <w:b/>
                  <w:sz w:val="22"/>
                  <w:szCs w:val="22"/>
                </w:rPr>
                <w:t>．已签订的尚未履行或尚未完全履行的对外投资合同</w:t>
              </w:r>
            </w:p>
            <w:p w:rsidR="00DE031E" w:rsidRDefault="001C1A59" w:rsidP="003A0284">
              <w:pPr>
                <w:pStyle w:val="afb"/>
                <w:spacing w:beforeLines="100" w:after="120" w:line="360" w:lineRule="auto"/>
                <w:ind w:rightChars="20" w:right="42" w:firstLine="440"/>
                <w:outlineLvl w:val="9"/>
                <w:rPr>
                  <w:rFonts w:ascii="Arial" w:hAnsi="Arial" w:cs="Arial"/>
                  <w:sz w:val="22"/>
                  <w:szCs w:val="22"/>
                </w:rPr>
              </w:pPr>
              <w:r w:rsidRPr="00437FB4">
                <w:rPr>
                  <w:rFonts w:ascii="Arial" w:hAnsi="Arial" w:cs="Arial"/>
                  <w:sz w:val="22"/>
                  <w:szCs w:val="22"/>
                </w:rPr>
                <w:t>截至</w:t>
              </w:r>
              <w:r w:rsidRPr="00437FB4">
                <w:rPr>
                  <w:rFonts w:ascii="Arial" w:hAnsi="Arial" w:cs="Arial"/>
                  <w:sz w:val="22"/>
                  <w:szCs w:val="22"/>
                </w:rPr>
                <w:t>201</w:t>
              </w:r>
              <w:r>
                <w:rPr>
                  <w:rFonts w:ascii="Arial" w:hAnsi="Arial" w:cs="Arial" w:hint="eastAsia"/>
                  <w:sz w:val="22"/>
                  <w:szCs w:val="22"/>
                </w:rPr>
                <w:t>5</w:t>
              </w:r>
              <w:r w:rsidRPr="00437FB4">
                <w:rPr>
                  <w:rFonts w:ascii="Arial" w:hAnsi="Arial" w:cs="Arial"/>
                  <w:sz w:val="22"/>
                  <w:szCs w:val="22"/>
                </w:rPr>
                <w:t>年</w:t>
              </w:r>
              <w:r>
                <w:rPr>
                  <w:rFonts w:ascii="Arial" w:hAnsi="Arial" w:cs="Arial" w:hint="eastAsia"/>
                  <w:sz w:val="22"/>
                  <w:szCs w:val="22"/>
                </w:rPr>
                <w:t>6</w:t>
              </w:r>
              <w:r w:rsidRPr="00437FB4">
                <w:rPr>
                  <w:rFonts w:ascii="Arial" w:hAnsi="Arial" w:cs="Arial"/>
                  <w:sz w:val="22"/>
                  <w:szCs w:val="22"/>
                </w:rPr>
                <w:t>月</w:t>
              </w:r>
              <w:r w:rsidRPr="00437FB4">
                <w:rPr>
                  <w:rFonts w:ascii="Arial" w:hAnsi="Arial" w:cs="Arial"/>
                  <w:sz w:val="22"/>
                  <w:szCs w:val="22"/>
                </w:rPr>
                <w:t>3</w:t>
              </w:r>
              <w:r>
                <w:rPr>
                  <w:rFonts w:ascii="Arial" w:hAnsi="Arial" w:cs="Arial" w:hint="eastAsia"/>
                  <w:sz w:val="22"/>
                  <w:szCs w:val="22"/>
                </w:rPr>
                <w:t>0</w:t>
              </w:r>
              <w:r w:rsidRPr="00437FB4">
                <w:rPr>
                  <w:rFonts w:ascii="Arial" w:hAnsi="Arial" w:cs="Arial"/>
                  <w:sz w:val="22"/>
                  <w:szCs w:val="22"/>
                </w:rPr>
                <w:t>日，本公司已签订合同但未在财务报表中确认的资本性承诺情况如下：</w:t>
              </w:r>
            </w:p>
            <w:p w:rsidR="00A80CD6" w:rsidRPr="00437FB4" w:rsidRDefault="00A80CD6" w:rsidP="003A0284">
              <w:pPr>
                <w:pStyle w:val="afb"/>
                <w:spacing w:beforeLines="100" w:after="120" w:line="240" w:lineRule="auto"/>
                <w:ind w:rightChars="20" w:right="42"/>
                <w:jc w:val="right"/>
                <w:outlineLvl w:val="9"/>
                <w:rPr>
                  <w:rFonts w:ascii="Arial" w:hAnsi="Arial" w:cs="Arial"/>
                  <w:sz w:val="22"/>
                  <w:szCs w:val="22"/>
                </w:rPr>
              </w:pPr>
              <w:r>
                <w:rPr>
                  <w:rFonts w:hint="eastAsia"/>
                </w:rPr>
                <w:t>单位：元  币种：人民币</w:t>
              </w:r>
            </w:p>
            <w:tbl>
              <w:tblPr>
                <w:tblW w:w="5000" w:type="pct"/>
                <w:tblLook w:val="04A0"/>
              </w:tblPr>
              <w:tblGrid>
                <w:gridCol w:w="2996"/>
                <w:gridCol w:w="3373"/>
                <w:gridCol w:w="2680"/>
              </w:tblGrid>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b/>
                        <w:bCs/>
                        <w:color w:val="000000"/>
                        <w:sz w:val="18"/>
                        <w:szCs w:val="18"/>
                      </w:rPr>
                    </w:pPr>
                    <w:r w:rsidRPr="0072229A">
                      <w:rPr>
                        <w:rFonts w:hint="eastAsia"/>
                        <w:b/>
                        <w:bCs/>
                        <w:color w:val="000000"/>
                        <w:sz w:val="18"/>
                        <w:szCs w:val="18"/>
                      </w:rPr>
                      <w:t>项目</w:t>
                    </w:r>
                  </w:p>
                </w:tc>
                <w:tc>
                  <w:tcPr>
                    <w:tcW w:w="1864"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b/>
                        <w:bCs/>
                        <w:color w:val="000000"/>
                        <w:sz w:val="18"/>
                        <w:szCs w:val="18"/>
                      </w:rPr>
                    </w:pPr>
                    <w:r w:rsidRPr="0072229A">
                      <w:rPr>
                        <w:rFonts w:ascii="Arial" w:hAnsi="Arial" w:cs="Arial"/>
                        <w:b/>
                        <w:bCs/>
                        <w:color w:val="000000"/>
                        <w:sz w:val="18"/>
                        <w:szCs w:val="18"/>
                      </w:rPr>
                      <w:t>2015</w:t>
                    </w:r>
                    <w:r w:rsidRPr="0072229A">
                      <w:rPr>
                        <w:rFonts w:ascii="Arial" w:hAnsi="Arial" w:cs="Arial"/>
                        <w:b/>
                        <w:bCs/>
                        <w:color w:val="000000"/>
                        <w:sz w:val="18"/>
                        <w:szCs w:val="18"/>
                      </w:rPr>
                      <w:t>年</w:t>
                    </w:r>
                    <w:r w:rsidRPr="0072229A">
                      <w:rPr>
                        <w:rFonts w:ascii="Arial" w:hAnsi="Arial" w:cs="Arial"/>
                        <w:b/>
                        <w:bCs/>
                        <w:color w:val="000000"/>
                        <w:sz w:val="18"/>
                        <w:szCs w:val="18"/>
                      </w:rPr>
                      <w:t>6</w:t>
                    </w:r>
                    <w:r w:rsidRPr="0072229A">
                      <w:rPr>
                        <w:rFonts w:ascii="Arial" w:hAnsi="Arial" w:cs="Arial"/>
                        <w:b/>
                        <w:bCs/>
                        <w:color w:val="000000"/>
                        <w:sz w:val="18"/>
                        <w:szCs w:val="18"/>
                      </w:rPr>
                      <w:t>月</w:t>
                    </w:r>
                    <w:r w:rsidRPr="0072229A">
                      <w:rPr>
                        <w:rFonts w:ascii="Arial" w:hAnsi="Arial" w:cs="Arial"/>
                        <w:b/>
                        <w:bCs/>
                        <w:color w:val="000000"/>
                        <w:sz w:val="18"/>
                        <w:szCs w:val="18"/>
                      </w:rPr>
                      <w:t>30</w:t>
                    </w:r>
                    <w:r w:rsidRPr="0072229A">
                      <w:rPr>
                        <w:rFonts w:ascii="Arial" w:hAnsi="Arial" w:cs="Arial"/>
                        <w:b/>
                        <w:bCs/>
                        <w:color w:val="000000"/>
                        <w:sz w:val="18"/>
                        <w:szCs w:val="18"/>
                      </w:rPr>
                      <w:t>日</w:t>
                    </w:r>
                  </w:p>
                </w:tc>
                <w:tc>
                  <w:tcPr>
                    <w:tcW w:w="1481" w:type="pct"/>
                    <w:tcBorders>
                      <w:top w:val="nil"/>
                      <w:left w:val="nil"/>
                      <w:bottom w:val="nil"/>
                      <w:right w:val="nil"/>
                    </w:tcBorders>
                    <w:shd w:val="clear" w:color="auto" w:fill="auto"/>
                    <w:noWrap/>
                    <w:vAlign w:val="center"/>
                    <w:hideMark/>
                  </w:tcPr>
                  <w:p w:rsidR="00DE031E" w:rsidRPr="0072229A" w:rsidRDefault="001C1A59" w:rsidP="00DE031E">
                    <w:pPr>
                      <w:jc w:val="right"/>
                      <w:rPr>
                        <w:rFonts w:ascii="Arial" w:hAnsi="Arial" w:cs="Arial"/>
                        <w:b/>
                        <w:bCs/>
                        <w:color w:val="000000"/>
                        <w:sz w:val="18"/>
                        <w:szCs w:val="18"/>
                      </w:rPr>
                    </w:pPr>
                    <w:r w:rsidRPr="0072229A">
                      <w:rPr>
                        <w:rFonts w:ascii="Arial" w:hAnsi="Arial" w:cs="Arial"/>
                        <w:b/>
                        <w:bCs/>
                        <w:color w:val="000000"/>
                        <w:sz w:val="18"/>
                        <w:szCs w:val="18"/>
                      </w:rPr>
                      <w:t>2014</w:t>
                    </w:r>
                    <w:r w:rsidRPr="0072229A">
                      <w:rPr>
                        <w:rFonts w:ascii="Arial" w:hAnsi="Arial" w:cs="Arial"/>
                        <w:b/>
                        <w:bCs/>
                        <w:color w:val="000000"/>
                        <w:sz w:val="18"/>
                        <w:szCs w:val="18"/>
                      </w:rPr>
                      <w:t>年</w:t>
                    </w:r>
                    <w:r w:rsidRPr="0072229A">
                      <w:rPr>
                        <w:rFonts w:ascii="Arial" w:hAnsi="Arial" w:cs="Arial"/>
                        <w:b/>
                        <w:bCs/>
                        <w:color w:val="000000"/>
                        <w:sz w:val="18"/>
                        <w:szCs w:val="18"/>
                      </w:rPr>
                      <w:t>12</w:t>
                    </w:r>
                    <w:r w:rsidRPr="0072229A">
                      <w:rPr>
                        <w:rFonts w:ascii="Arial" w:hAnsi="Arial" w:cs="Arial"/>
                        <w:b/>
                        <w:bCs/>
                        <w:color w:val="000000"/>
                        <w:sz w:val="18"/>
                        <w:szCs w:val="18"/>
                      </w:rPr>
                      <w:t>月</w:t>
                    </w:r>
                    <w:r w:rsidRPr="0072229A">
                      <w:rPr>
                        <w:rFonts w:ascii="Arial" w:hAnsi="Arial" w:cs="Arial"/>
                        <w:b/>
                        <w:bCs/>
                        <w:color w:val="000000"/>
                        <w:sz w:val="18"/>
                        <w:szCs w:val="18"/>
                      </w:rPr>
                      <w:t>31</w:t>
                    </w:r>
                    <w:r w:rsidRPr="0072229A">
                      <w:rPr>
                        <w:rFonts w:ascii="Arial" w:hAnsi="Arial" w:cs="Arial"/>
                        <w:b/>
                        <w:bCs/>
                        <w:color w:val="000000"/>
                        <w:sz w:val="18"/>
                        <w:szCs w:val="18"/>
                      </w:rPr>
                      <w:t>日</w:t>
                    </w:r>
                  </w:p>
                </w:tc>
              </w:tr>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color w:val="000000"/>
                        <w:sz w:val="18"/>
                        <w:szCs w:val="18"/>
                      </w:rPr>
                    </w:pPr>
                    <w:r w:rsidRPr="0072229A">
                      <w:rPr>
                        <w:rFonts w:hint="eastAsia"/>
                        <w:color w:val="000000"/>
                        <w:sz w:val="18"/>
                        <w:szCs w:val="18"/>
                      </w:rPr>
                      <w:t>招商证券大厦办公楼工程</w:t>
                    </w:r>
                  </w:p>
                </w:tc>
                <w:tc>
                  <w:tcPr>
                    <w:tcW w:w="1864"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219,578,032.04</w:t>
                    </w:r>
                  </w:p>
                </w:tc>
                <w:tc>
                  <w:tcPr>
                    <w:tcW w:w="1481" w:type="pct"/>
                    <w:tcBorders>
                      <w:top w:val="nil"/>
                      <w:left w:val="nil"/>
                      <w:bottom w:val="nil"/>
                      <w:right w:val="nil"/>
                    </w:tcBorders>
                    <w:shd w:val="clear" w:color="auto" w:fill="auto"/>
                    <w:noWrap/>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249,259,766.70</w:t>
                    </w:r>
                  </w:p>
                </w:tc>
              </w:tr>
            </w:tbl>
            <w:p w:rsidR="00DE031E" w:rsidRPr="00437FB4" w:rsidRDefault="001C1A59" w:rsidP="003A0284">
              <w:pPr>
                <w:pStyle w:val="31"/>
                <w:spacing w:beforeLines="50" w:afterLines="50"/>
                <w:ind w:firstLineChars="0" w:firstLine="0"/>
                <w:rPr>
                  <w:rFonts w:ascii="Arial" w:hAnsi="Arial" w:cs="Arial"/>
                  <w:sz w:val="22"/>
                  <w:szCs w:val="22"/>
                </w:rPr>
              </w:pPr>
              <w:r>
                <w:rPr>
                  <w:rFonts w:ascii="Arial" w:hAnsi="Arial" w:cs="Arial" w:hint="eastAsia"/>
                  <w:b/>
                  <w:sz w:val="22"/>
                  <w:szCs w:val="22"/>
                </w:rPr>
                <w:t>（</w:t>
              </w:r>
              <w:r>
                <w:rPr>
                  <w:rFonts w:ascii="Arial" w:hAnsi="Arial" w:cs="Arial" w:hint="eastAsia"/>
                  <w:b/>
                  <w:sz w:val="22"/>
                  <w:szCs w:val="22"/>
                </w:rPr>
                <w:t>2</w:t>
              </w:r>
              <w:r>
                <w:rPr>
                  <w:rFonts w:ascii="Arial" w:hAnsi="Arial" w:cs="Arial" w:hint="eastAsia"/>
                  <w:b/>
                  <w:sz w:val="22"/>
                  <w:szCs w:val="22"/>
                </w:rPr>
                <w:t>）</w:t>
              </w:r>
              <w:r w:rsidRPr="00437FB4">
                <w:rPr>
                  <w:rFonts w:ascii="Arial" w:hAnsi="Arial" w:cs="Arial"/>
                  <w:b/>
                  <w:sz w:val="22"/>
                  <w:szCs w:val="22"/>
                </w:rPr>
                <w:t>．已签订的正在或准备履行的租赁合同及财务影响</w:t>
              </w:r>
            </w:p>
            <w:p w:rsidR="00DE031E" w:rsidRDefault="001C1A59" w:rsidP="003A0284">
              <w:pPr>
                <w:pStyle w:val="afb"/>
                <w:spacing w:beforeLines="50" w:after="120" w:line="360" w:lineRule="auto"/>
                <w:ind w:rightChars="20" w:right="42" w:firstLine="440"/>
                <w:outlineLvl w:val="9"/>
                <w:rPr>
                  <w:rFonts w:ascii="Arial" w:hAnsi="Arial" w:cs="Arial"/>
                  <w:sz w:val="22"/>
                  <w:szCs w:val="22"/>
                </w:rPr>
              </w:pPr>
              <w:r w:rsidRPr="00437FB4">
                <w:rPr>
                  <w:rFonts w:ascii="Arial" w:hAnsi="Arial" w:cs="Arial"/>
                  <w:sz w:val="22"/>
                  <w:szCs w:val="22"/>
                </w:rPr>
                <w:lastRenderedPageBreak/>
                <w:t>本公司对外签订的不可撤销的经营租赁合约情况如下：</w:t>
              </w:r>
            </w:p>
            <w:p w:rsidR="00A80CD6" w:rsidRPr="00437FB4" w:rsidRDefault="00A80CD6" w:rsidP="003A0284">
              <w:pPr>
                <w:pStyle w:val="afb"/>
                <w:spacing w:beforeLines="50" w:after="120" w:line="240" w:lineRule="auto"/>
                <w:ind w:rightChars="20" w:right="42"/>
                <w:jc w:val="right"/>
                <w:outlineLvl w:val="9"/>
                <w:rPr>
                  <w:rFonts w:ascii="Arial" w:hAnsi="Arial" w:cs="Arial"/>
                  <w:sz w:val="22"/>
                  <w:szCs w:val="22"/>
                </w:rPr>
              </w:pPr>
              <w:r>
                <w:rPr>
                  <w:rFonts w:hint="eastAsia"/>
                </w:rPr>
                <w:t>单位：元  币种：人民币</w:t>
              </w:r>
            </w:p>
            <w:tbl>
              <w:tblPr>
                <w:tblW w:w="5000" w:type="pct"/>
                <w:tblLook w:val="04A0"/>
              </w:tblPr>
              <w:tblGrid>
                <w:gridCol w:w="2995"/>
                <w:gridCol w:w="3399"/>
                <w:gridCol w:w="2655"/>
              </w:tblGrid>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b/>
                        <w:bCs/>
                        <w:color w:val="000000"/>
                        <w:sz w:val="18"/>
                        <w:szCs w:val="18"/>
                      </w:rPr>
                    </w:pPr>
                    <w:r w:rsidRPr="0072229A">
                      <w:rPr>
                        <w:rFonts w:hint="eastAsia"/>
                        <w:b/>
                        <w:bCs/>
                        <w:color w:val="000000"/>
                        <w:sz w:val="18"/>
                        <w:szCs w:val="18"/>
                      </w:rPr>
                      <w:t>期间</w:t>
                    </w:r>
                  </w:p>
                </w:tc>
                <w:tc>
                  <w:tcPr>
                    <w:tcW w:w="1878"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b/>
                        <w:bCs/>
                        <w:color w:val="000000"/>
                        <w:sz w:val="18"/>
                        <w:szCs w:val="18"/>
                      </w:rPr>
                    </w:pPr>
                    <w:r w:rsidRPr="0072229A">
                      <w:rPr>
                        <w:rFonts w:ascii="Arial" w:hAnsi="Arial" w:cs="Arial"/>
                        <w:b/>
                        <w:bCs/>
                        <w:color w:val="000000"/>
                        <w:sz w:val="18"/>
                        <w:szCs w:val="18"/>
                      </w:rPr>
                      <w:t>2015</w:t>
                    </w:r>
                    <w:r w:rsidRPr="0072229A">
                      <w:rPr>
                        <w:rFonts w:ascii="Arial" w:hAnsi="Arial" w:cs="Arial"/>
                        <w:b/>
                        <w:bCs/>
                        <w:color w:val="000000"/>
                        <w:sz w:val="18"/>
                        <w:szCs w:val="18"/>
                      </w:rPr>
                      <w:t>年</w:t>
                    </w:r>
                    <w:r w:rsidRPr="0072229A">
                      <w:rPr>
                        <w:rFonts w:ascii="Arial" w:hAnsi="Arial" w:cs="Arial"/>
                        <w:b/>
                        <w:bCs/>
                        <w:color w:val="000000"/>
                        <w:sz w:val="18"/>
                        <w:szCs w:val="18"/>
                      </w:rPr>
                      <w:t>6</w:t>
                    </w:r>
                    <w:r w:rsidRPr="0072229A">
                      <w:rPr>
                        <w:rFonts w:ascii="Arial" w:hAnsi="Arial" w:cs="Arial"/>
                        <w:b/>
                        <w:bCs/>
                        <w:color w:val="000000"/>
                        <w:sz w:val="18"/>
                        <w:szCs w:val="18"/>
                      </w:rPr>
                      <w:t>月</w:t>
                    </w:r>
                    <w:r w:rsidRPr="0072229A">
                      <w:rPr>
                        <w:rFonts w:ascii="Arial" w:hAnsi="Arial" w:cs="Arial"/>
                        <w:b/>
                        <w:bCs/>
                        <w:color w:val="000000"/>
                        <w:sz w:val="18"/>
                        <w:szCs w:val="18"/>
                      </w:rPr>
                      <w:t>30</w:t>
                    </w:r>
                    <w:r w:rsidRPr="0072229A">
                      <w:rPr>
                        <w:rFonts w:ascii="Arial" w:hAnsi="Arial" w:cs="Arial"/>
                        <w:b/>
                        <w:bCs/>
                        <w:color w:val="000000"/>
                        <w:sz w:val="18"/>
                        <w:szCs w:val="18"/>
                      </w:rPr>
                      <w:t>日</w:t>
                    </w:r>
                  </w:p>
                </w:tc>
                <w:tc>
                  <w:tcPr>
                    <w:tcW w:w="1467"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b/>
                        <w:bCs/>
                        <w:color w:val="000000"/>
                        <w:sz w:val="18"/>
                        <w:szCs w:val="18"/>
                      </w:rPr>
                    </w:pPr>
                    <w:r w:rsidRPr="0072229A">
                      <w:rPr>
                        <w:rFonts w:ascii="Arial" w:hAnsi="Arial" w:cs="Arial"/>
                        <w:b/>
                        <w:bCs/>
                        <w:color w:val="000000"/>
                        <w:sz w:val="18"/>
                        <w:szCs w:val="18"/>
                      </w:rPr>
                      <w:t>2014</w:t>
                    </w:r>
                    <w:r w:rsidRPr="0072229A">
                      <w:rPr>
                        <w:rFonts w:ascii="Arial" w:hAnsi="Arial" w:cs="Arial"/>
                        <w:b/>
                        <w:bCs/>
                        <w:color w:val="000000"/>
                        <w:sz w:val="18"/>
                        <w:szCs w:val="18"/>
                      </w:rPr>
                      <w:t>年</w:t>
                    </w:r>
                    <w:r w:rsidRPr="0072229A">
                      <w:rPr>
                        <w:rFonts w:ascii="Arial" w:hAnsi="Arial" w:cs="Arial"/>
                        <w:b/>
                        <w:bCs/>
                        <w:color w:val="000000"/>
                        <w:sz w:val="18"/>
                        <w:szCs w:val="18"/>
                      </w:rPr>
                      <w:t>12</w:t>
                    </w:r>
                    <w:r w:rsidRPr="0072229A">
                      <w:rPr>
                        <w:rFonts w:ascii="Arial" w:hAnsi="Arial" w:cs="Arial"/>
                        <w:b/>
                        <w:bCs/>
                        <w:color w:val="000000"/>
                        <w:sz w:val="18"/>
                        <w:szCs w:val="18"/>
                      </w:rPr>
                      <w:t>月</w:t>
                    </w:r>
                    <w:r w:rsidRPr="0072229A">
                      <w:rPr>
                        <w:rFonts w:ascii="Arial" w:hAnsi="Arial" w:cs="Arial"/>
                        <w:b/>
                        <w:bCs/>
                        <w:color w:val="000000"/>
                        <w:sz w:val="18"/>
                        <w:szCs w:val="18"/>
                      </w:rPr>
                      <w:t>31</w:t>
                    </w:r>
                    <w:r w:rsidRPr="0072229A">
                      <w:rPr>
                        <w:rFonts w:ascii="Arial" w:hAnsi="Arial" w:cs="Arial"/>
                        <w:b/>
                        <w:bCs/>
                        <w:color w:val="000000"/>
                        <w:sz w:val="18"/>
                        <w:szCs w:val="18"/>
                      </w:rPr>
                      <w:t>日</w:t>
                    </w:r>
                  </w:p>
                </w:tc>
              </w:tr>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color w:val="000000"/>
                        <w:sz w:val="18"/>
                        <w:szCs w:val="18"/>
                      </w:rPr>
                    </w:pPr>
                    <w:r w:rsidRPr="0072229A">
                      <w:rPr>
                        <w:rFonts w:hint="eastAsia"/>
                        <w:color w:val="000000"/>
                        <w:sz w:val="18"/>
                        <w:szCs w:val="18"/>
                      </w:rPr>
                      <w:t>一年以内</w:t>
                    </w:r>
                  </w:p>
                </w:tc>
                <w:tc>
                  <w:tcPr>
                    <w:tcW w:w="1878"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177,034,854.85</w:t>
                    </w:r>
                  </w:p>
                </w:tc>
                <w:tc>
                  <w:tcPr>
                    <w:tcW w:w="1467"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207,655,565.63</w:t>
                    </w:r>
                  </w:p>
                </w:tc>
              </w:tr>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color w:val="000000"/>
                        <w:sz w:val="18"/>
                        <w:szCs w:val="18"/>
                      </w:rPr>
                    </w:pPr>
                    <w:r w:rsidRPr="0072229A">
                      <w:rPr>
                        <w:rFonts w:hint="eastAsia"/>
                        <w:color w:val="000000"/>
                        <w:sz w:val="18"/>
                        <w:szCs w:val="18"/>
                      </w:rPr>
                      <w:t>一至二年</w:t>
                    </w:r>
                  </w:p>
                </w:tc>
                <w:tc>
                  <w:tcPr>
                    <w:tcW w:w="1878"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143,584,131.98</w:t>
                    </w:r>
                  </w:p>
                </w:tc>
                <w:tc>
                  <w:tcPr>
                    <w:tcW w:w="1467"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159,633,272.83</w:t>
                    </w:r>
                  </w:p>
                </w:tc>
              </w:tr>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color w:val="000000"/>
                        <w:sz w:val="18"/>
                        <w:szCs w:val="18"/>
                      </w:rPr>
                    </w:pPr>
                    <w:r w:rsidRPr="0072229A">
                      <w:rPr>
                        <w:rFonts w:hint="eastAsia"/>
                        <w:color w:val="000000"/>
                        <w:sz w:val="18"/>
                        <w:szCs w:val="18"/>
                      </w:rPr>
                      <w:t>二至三年</w:t>
                    </w:r>
                  </w:p>
                </w:tc>
                <w:tc>
                  <w:tcPr>
                    <w:tcW w:w="1878"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114,434,285.75</w:t>
                    </w:r>
                  </w:p>
                </w:tc>
                <w:tc>
                  <w:tcPr>
                    <w:tcW w:w="1467"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124,677,578.49</w:t>
                    </w:r>
                  </w:p>
                </w:tc>
              </w:tr>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color w:val="000000"/>
                        <w:sz w:val="18"/>
                        <w:szCs w:val="18"/>
                      </w:rPr>
                    </w:pPr>
                    <w:r w:rsidRPr="0072229A">
                      <w:rPr>
                        <w:rFonts w:hint="eastAsia"/>
                        <w:color w:val="000000"/>
                        <w:sz w:val="18"/>
                        <w:szCs w:val="18"/>
                      </w:rPr>
                      <w:t>三年以上</w:t>
                    </w:r>
                  </w:p>
                </w:tc>
                <w:tc>
                  <w:tcPr>
                    <w:tcW w:w="1878"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384,346,024.48</w:t>
                    </w:r>
                  </w:p>
                </w:tc>
                <w:tc>
                  <w:tcPr>
                    <w:tcW w:w="1467"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color w:val="000000"/>
                        <w:sz w:val="18"/>
                        <w:szCs w:val="18"/>
                      </w:rPr>
                    </w:pPr>
                    <w:r w:rsidRPr="0072229A">
                      <w:rPr>
                        <w:rFonts w:ascii="Arial" w:hAnsi="Arial" w:cs="Arial"/>
                        <w:color w:val="000000"/>
                        <w:sz w:val="18"/>
                        <w:szCs w:val="18"/>
                      </w:rPr>
                      <w:t>206,548,846.38</w:t>
                    </w:r>
                  </w:p>
                </w:tc>
              </w:tr>
              <w:tr w:rsidR="00DE031E" w:rsidRPr="0072229A" w:rsidTr="00DE031E">
                <w:trPr>
                  <w:trHeight w:val="270"/>
                </w:trPr>
                <w:tc>
                  <w:tcPr>
                    <w:tcW w:w="1655" w:type="pct"/>
                    <w:tcBorders>
                      <w:top w:val="nil"/>
                      <w:left w:val="nil"/>
                      <w:bottom w:val="nil"/>
                      <w:right w:val="nil"/>
                    </w:tcBorders>
                    <w:shd w:val="clear" w:color="auto" w:fill="auto"/>
                    <w:noWrap/>
                    <w:vAlign w:val="center"/>
                    <w:hideMark/>
                  </w:tcPr>
                  <w:p w:rsidR="00DE031E" w:rsidRPr="0072229A" w:rsidRDefault="001C1A59" w:rsidP="00DE031E">
                    <w:pPr>
                      <w:rPr>
                        <w:b/>
                        <w:bCs/>
                        <w:color w:val="000000"/>
                        <w:sz w:val="18"/>
                        <w:szCs w:val="18"/>
                      </w:rPr>
                    </w:pPr>
                    <w:r w:rsidRPr="0072229A">
                      <w:rPr>
                        <w:rFonts w:hint="eastAsia"/>
                        <w:b/>
                        <w:bCs/>
                        <w:color w:val="000000"/>
                        <w:sz w:val="18"/>
                        <w:szCs w:val="18"/>
                      </w:rPr>
                      <w:t>合计</w:t>
                    </w:r>
                  </w:p>
                </w:tc>
                <w:tc>
                  <w:tcPr>
                    <w:tcW w:w="1878"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b/>
                        <w:bCs/>
                        <w:color w:val="000000"/>
                        <w:sz w:val="18"/>
                        <w:szCs w:val="18"/>
                      </w:rPr>
                    </w:pPr>
                    <w:r w:rsidRPr="0072229A">
                      <w:rPr>
                        <w:rFonts w:ascii="Arial" w:hAnsi="Arial" w:cs="Arial"/>
                        <w:b/>
                        <w:bCs/>
                        <w:color w:val="000000"/>
                        <w:sz w:val="18"/>
                        <w:szCs w:val="18"/>
                      </w:rPr>
                      <w:t>819,399,297.06</w:t>
                    </w:r>
                  </w:p>
                </w:tc>
                <w:tc>
                  <w:tcPr>
                    <w:tcW w:w="1467" w:type="pct"/>
                    <w:tcBorders>
                      <w:top w:val="nil"/>
                      <w:left w:val="nil"/>
                      <w:bottom w:val="nil"/>
                      <w:right w:val="nil"/>
                    </w:tcBorders>
                    <w:shd w:val="clear" w:color="auto" w:fill="auto"/>
                    <w:vAlign w:val="center"/>
                    <w:hideMark/>
                  </w:tcPr>
                  <w:p w:rsidR="00DE031E" w:rsidRPr="0072229A" w:rsidRDefault="001C1A59" w:rsidP="00DE031E">
                    <w:pPr>
                      <w:jc w:val="right"/>
                      <w:rPr>
                        <w:rFonts w:ascii="Arial" w:hAnsi="Arial" w:cs="Arial"/>
                        <w:b/>
                        <w:bCs/>
                        <w:color w:val="000000"/>
                        <w:sz w:val="18"/>
                        <w:szCs w:val="18"/>
                      </w:rPr>
                    </w:pPr>
                    <w:r w:rsidRPr="0072229A">
                      <w:rPr>
                        <w:rFonts w:ascii="Arial" w:hAnsi="Arial" w:cs="Arial"/>
                        <w:b/>
                        <w:bCs/>
                        <w:color w:val="000000"/>
                        <w:sz w:val="18"/>
                        <w:szCs w:val="18"/>
                      </w:rPr>
                      <w:t>698,515,263.33</w:t>
                    </w:r>
                  </w:p>
                </w:tc>
              </w:tr>
            </w:tbl>
            <w:p w:rsidR="00DE031E" w:rsidRPr="00437FB4" w:rsidRDefault="001C1A59" w:rsidP="003A0284">
              <w:pPr>
                <w:pStyle w:val="31"/>
                <w:spacing w:beforeLines="50" w:afterLines="50"/>
                <w:ind w:firstLineChars="0" w:firstLine="0"/>
                <w:rPr>
                  <w:rFonts w:ascii="Arial" w:hAnsi="Arial" w:cs="Arial"/>
                  <w:sz w:val="22"/>
                  <w:szCs w:val="22"/>
                </w:rPr>
              </w:pPr>
              <w:r>
                <w:rPr>
                  <w:rFonts w:ascii="Arial" w:hAnsi="Arial" w:cs="Arial" w:hint="eastAsia"/>
                  <w:b/>
                  <w:sz w:val="22"/>
                  <w:szCs w:val="22"/>
                </w:rPr>
                <w:t>（</w:t>
              </w:r>
              <w:r>
                <w:rPr>
                  <w:rFonts w:ascii="Arial" w:hAnsi="Arial" w:cs="Arial" w:hint="eastAsia"/>
                  <w:b/>
                  <w:sz w:val="22"/>
                  <w:szCs w:val="22"/>
                </w:rPr>
                <w:t>3</w:t>
              </w:r>
              <w:r>
                <w:rPr>
                  <w:rFonts w:ascii="Arial" w:hAnsi="Arial" w:cs="Arial" w:hint="eastAsia"/>
                  <w:b/>
                  <w:sz w:val="22"/>
                  <w:szCs w:val="22"/>
                </w:rPr>
                <w:t>）</w:t>
              </w:r>
              <w:r w:rsidRPr="00437FB4">
                <w:rPr>
                  <w:rFonts w:ascii="Arial" w:hAnsi="Arial" w:cs="Arial"/>
                  <w:b/>
                  <w:sz w:val="22"/>
                  <w:szCs w:val="22"/>
                </w:rPr>
                <w:t>．前期承诺履行情况</w:t>
              </w:r>
            </w:p>
            <w:p w:rsidR="00DE031E" w:rsidRPr="00437FB4" w:rsidRDefault="001C1A59" w:rsidP="00DE031E">
              <w:pPr>
                <w:spacing w:line="360" w:lineRule="auto"/>
                <w:ind w:firstLineChars="200" w:firstLine="440"/>
                <w:rPr>
                  <w:rFonts w:ascii="Arial" w:hAnsi="Arial" w:cs="Arial"/>
                  <w:lang w:val="en-GB"/>
                </w:rPr>
              </w:pPr>
              <w:r w:rsidRPr="00437FB4">
                <w:rPr>
                  <w:rFonts w:ascii="Arial" w:hAnsi="Arial" w:cs="Arial"/>
                  <w:sz w:val="22"/>
                </w:rPr>
                <w:t>本公</w:t>
              </w:r>
              <w:r w:rsidRPr="00437FB4">
                <w:rPr>
                  <w:rFonts w:ascii="Arial" w:hAnsi="Arial" w:cs="Arial"/>
                  <w:sz w:val="22"/>
                  <w:szCs w:val="22"/>
                </w:rPr>
                <w:t>司</w:t>
              </w:r>
              <w:r w:rsidRPr="00437FB4">
                <w:rPr>
                  <w:rFonts w:ascii="Arial" w:hAnsi="Arial" w:cs="Arial"/>
                  <w:sz w:val="22"/>
                  <w:szCs w:val="22"/>
                </w:rPr>
                <w:t xml:space="preserve"> 201</w:t>
              </w:r>
              <w:r>
                <w:rPr>
                  <w:rFonts w:ascii="Arial" w:hAnsi="Arial" w:cs="Arial" w:hint="eastAsia"/>
                  <w:sz w:val="22"/>
                  <w:szCs w:val="22"/>
                </w:rPr>
                <w:t>5</w:t>
              </w:r>
              <w:r w:rsidRPr="00437FB4">
                <w:rPr>
                  <w:rFonts w:ascii="Arial" w:hAnsi="Arial" w:cs="Arial"/>
                  <w:sz w:val="22"/>
                  <w:szCs w:val="22"/>
                </w:rPr>
                <w:t>年</w:t>
              </w:r>
              <w:r>
                <w:rPr>
                  <w:rFonts w:ascii="Arial" w:hAnsi="Arial" w:cs="Arial" w:hint="eastAsia"/>
                  <w:sz w:val="22"/>
                  <w:szCs w:val="22"/>
                </w:rPr>
                <w:t>6</w:t>
              </w:r>
              <w:r w:rsidRPr="00437FB4">
                <w:rPr>
                  <w:rFonts w:ascii="Arial" w:hAnsi="Arial" w:cs="Arial"/>
                  <w:sz w:val="22"/>
                  <w:szCs w:val="22"/>
                </w:rPr>
                <w:t>月</w:t>
              </w:r>
              <w:r w:rsidRPr="00437FB4">
                <w:rPr>
                  <w:rFonts w:ascii="Arial" w:hAnsi="Arial" w:cs="Arial"/>
                  <w:sz w:val="22"/>
                  <w:szCs w:val="22"/>
                </w:rPr>
                <w:t>3</w:t>
              </w:r>
              <w:r>
                <w:rPr>
                  <w:rFonts w:ascii="Arial" w:hAnsi="Arial" w:cs="Arial" w:hint="eastAsia"/>
                  <w:sz w:val="22"/>
                  <w:szCs w:val="22"/>
                </w:rPr>
                <w:t>0</w:t>
              </w:r>
              <w:r w:rsidRPr="00437FB4">
                <w:rPr>
                  <w:rFonts w:ascii="Arial" w:hAnsi="Arial" w:cs="Arial"/>
                  <w:sz w:val="22"/>
                  <w:szCs w:val="22"/>
                </w:rPr>
                <w:t>日之资</w:t>
              </w:r>
              <w:r w:rsidRPr="00437FB4">
                <w:rPr>
                  <w:rFonts w:ascii="Arial" w:hAnsi="Arial" w:cs="Arial"/>
                  <w:sz w:val="22"/>
                </w:rPr>
                <w:t>本性支出承诺、经营租赁承诺均按照之前承诺履行。</w:t>
              </w:r>
            </w:p>
            <w:p w:rsidR="00DE031E" w:rsidRPr="00732A8B" w:rsidRDefault="001C1A59" w:rsidP="00DE031E">
              <w:pPr>
                <w:spacing w:line="360" w:lineRule="auto"/>
                <w:rPr>
                  <w:rFonts w:cs="Cambria"/>
                  <w:bCs/>
                </w:rPr>
              </w:pPr>
              <w:r>
                <w:rPr>
                  <w:rFonts w:ascii="Arial" w:hAnsi="Arial" w:cs="Arial" w:hint="eastAsia"/>
                  <w:b/>
                  <w:sz w:val="22"/>
                  <w:szCs w:val="22"/>
                  <w:lang w:val="en-GB"/>
                </w:rPr>
                <w:t>（</w:t>
              </w:r>
              <w:r>
                <w:rPr>
                  <w:rFonts w:ascii="Arial" w:hAnsi="Arial" w:cs="Arial" w:hint="eastAsia"/>
                  <w:b/>
                  <w:sz w:val="22"/>
                  <w:szCs w:val="22"/>
                  <w:lang w:val="en-GB"/>
                </w:rPr>
                <w:t>4</w:t>
              </w:r>
              <w:r>
                <w:rPr>
                  <w:rFonts w:ascii="Arial" w:hAnsi="Arial" w:cs="Arial" w:hint="eastAsia"/>
                  <w:b/>
                  <w:sz w:val="22"/>
                  <w:szCs w:val="22"/>
                  <w:lang w:val="en-GB"/>
                </w:rPr>
                <w:t>）</w:t>
              </w:r>
              <w:r w:rsidRPr="00437FB4">
                <w:rPr>
                  <w:rFonts w:ascii="Arial" w:hAnsi="Arial" w:cs="Arial"/>
                  <w:b/>
                  <w:sz w:val="22"/>
                  <w:szCs w:val="22"/>
                </w:rPr>
                <w:t>．除上述承诺事项外，截至</w:t>
              </w:r>
              <w:r w:rsidRPr="00437FB4">
                <w:rPr>
                  <w:rFonts w:ascii="Arial" w:hAnsi="Arial" w:cs="Arial"/>
                  <w:b/>
                  <w:sz w:val="22"/>
                  <w:szCs w:val="22"/>
                </w:rPr>
                <w:t>201</w:t>
              </w:r>
              <w:r>
                <w:rPr>
                  <w:rFonts w:ascii="Arial" w:hAnsi="Arial" w:cs="Arial" w:hint="eastAsia"/>
                  <w:b/>
                  <w:sz w:val="22"/>
                  <w:szCs w:val="22"/>
                </w:rPr>
                <w:t>5</w:t>
              </w:r>
              <w:r w:rsidRPr="00437FB4">
                <w:rPr>
                  <w:rFonts w:ascii="Arial" w:hAnsi="Arial" w:cs="Arial"/>
                  <w:b/>
                  <w:sz w:val="22"/>
                  <w:szCs w:val="22"/>
                </w:rPr>
                <w:t>年</w:t>
              </w:r>
              <w:r>
                <w:rPr>
                  <w:rFonts w:ascii="Arial" w:hAnsi="Arial" w:cs="Arial" w:hint="eastAsia"/>
                  <w:b/>
                  <w:sz w:val="22"/>
                  <w:szCs w:val="22"/>
                </w:rPr>
                <w:t>6</w:t>
              </w:r>
              <w:r w:rsidRPr="00437FB4">
                <w:rPr>
                  <w:rFonts w:ascii="Arial" w:hAnsi="Arial" w:cs="Arial"/>
                  <w:b/>
                  <w:sz w:val="22"/>
                  <w:szCs w:val="22"/>
                </w:rPr>
                <w:t>月</w:t>
              </w:r>
              <w:r w:rsidRPr="00437FB4">
                <w:rPr>
                  <w:rFonts w:ascii="Arial" w:hAnsi="Arial" w:cs="Arial"/>
                  <w:b/>
                  <w:sz w:val="22"/>
                  <w:szCs w:val="22"/>
                </w:rPr>
                <w:t>3</w:t>
              </w:r>
              <w:r>
                <w:rPr>
                  <w:rFonts w:ascii="Arial" w:hAnsi="Arial" w:cs="Arial" w:hint="eastAsia"/>
                  <w:b/>
                  <w:sz w:val="22"/>
                  <w:szCs w:val="22"/>
                </w:rPr>
                <w:t>0</w:t>
              </w:r>
              <w:r w:rsidRPr="00437FB4">
                <w:rPr>
                  <w:rFonts w:ascii="Arial" w:hAnsi="Arial" w:cs="Arial"/>
                  <w:b/>
                  <w:sz w:val="22"/>
                  <w:szCs w:val="22"/>
                </w:rPr>
                <w:t>日，本公司无其他重大承诺事项。</w:t>
              </w:r>
            </w:p>
          </w:sdtContent>
        </w:sdt>
      </w:sdtContent>
    </w:sdt>
    <w:p w:rsidR="00DE031E" w:rsidRDefault="001C1A59" w:rsidP="009950AC">
      <w:pPr>
        <w:pStyle w:val="3"/>
        <w:numPr>
          <w:ilvl w:val="0"/>
          <w:numId w:val="74"/>
        </w:numPr>
        <w:spacing w:line="360" w:lineRule="auto"/>
      </w:pPr>
      <w:r>
        <w:rPr>
          <w:rFonts w:hint="eastAsia"/>
        </w:rPr>
        <w:t>或有事项</w:t>
      </w:r>
    </w:p>
    <w:sdt>
      <w:sdtPr>
        <w:alias w:val="是否适用：或有事项"/>
        <w:tag w:val="_GBC_201e1a257f3443328088b5a648cdef31"/>
        <w:id w:val="24726964"/>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sdt>
      <w:sdtPr>
        <w:rPr>
          <w:rFonts w:ascii="宋体" w:hAnsi="宋体" w:cs="宋体" w:hint="eastAsia"/>
          <w:bCs w:val="0"/>
          <w:szCs w:val="24"/>
        </w:rPr>
        <w:alias w:val="公司没有需要披露的或有事项，也应予以说明"/>
        <w:tag w:val="_GBC_428b07d001974f7390d8bb4142377be9"/>
        <w:id w:val="24726965"/>
        <w:lock w:val="sdtLocked"/>
        <w:placeholder>
          <w:docPart w:val="GBC22222222222222222222222222222"/>
        </w:placeholder>
      </w:sdtPr>
      <w:sdtEndPr>
        <w:rPr>
          <w:rFonts w:ascii="Times New Roman" w:hAnsi="Times New Roman" w:cs="Times New Roman"/>
          <w:bCs/>
          <w:szCs w:val="20"/>
        </w:rPr>
      </w:sdtEndPr>
      <w:sdtContent>
        <w:sdt>
          <w:sdtPr>
            <w:alias w:val="公司没有需要披露的重要或有事项的说明"/>
            <w:tag w:val="_GBC_1e05c633c4cd4e74a64494260267ab03"/>
            <w:id w:val="-1316334567"/>
            <w:lock w:val="sdtLocked"/>
          </w:sdtPr>
          <w:sdtEndPr>
            <w:rPr>
              <w:b/>
            </w:rPr>
          </w:sdtEndPr>
          <w:sdtContent>
            <w:p w:rsidR="00D5527A" w:rsidRPr="00C01AB1" w:rsidRDefault="00D5527A" w:rsidP="003A0284">
              <w:pPr>
                <w:pStyle w:val="31"/>
                <w:numPr>
                  <w:ilvl w:val="0"/>
                  <w:numId w:val="75"/>
                </w:numPr>
                <w:spacing w:beforeLines="50" w:afterLines="50"/>
                <w:ind w:firstLineChars="0"/>
                <w:rPr>
                  <w:rFonts w:ascii="Arial" w:hAnsi="Arial" w:cs="Arial"/>
                  <w:b/>
                  <w:kern w:val="2"/>
                  <w:sz w:val="22"/>
                  <w:szCs w:val="22"/>
                </w:rPr>
              </w:pPr>
              <w:r w:rsidRPr="00C01AB1">
                <w:rPr>
                  <w:rFonts w:ascii="Arial" w:hAnsi="Arial" w:cs="Arial"/>
                  <w:b/>
                  <w:kern w:val="2"/>
                  <w:sz w:val="22"/>
                  <w:szCs w:val="22"/>
                </w:rPr>
                <w:t>对外提供担保形成的或有负债</w:t>
              </w:r>
            </w:p>
            <w:p w:rsidR="00D5527A" w:rsidRPr="00CD1DA6" w:rsidRDefault="00D5527A" w:rsidP="00D5527A">
              <w:pPr>
                <w:spacing w:line="360" w:lineRule="auto"/>
              </w:pPr>
              <w:r w:rsidRPr="00B9094D">
                <w:t>关于借款及担保情况参见本附注</w:t>
              </w:r>
              <w:r w:rsidRPr="00B9094D">
                <w:rPr>
                  <w:rFonts w:hint="eastAsia"/>
                </w:rPr>
                <w:t>“七</w:t>
              </w:r>
              <w:r w:rsidRPr="00B9094D">
                <w:t>、2</w:t>
              </w:r>
              <w:r w:rsidRPr="00B9094D">
                <w:rPr>
                  <w:rFonts w:hint="eastAsia"/>
                </w:rPr>
                <w:t>3</w:t>
              </w:r>
              <w:r w:rsidRPr="00B9094D">
                <w:t>.短期借款</w:t>
              </w:r>
              <w:r w:rsidRPr="00B9094D">
                <w:rPr>
                  <w:rFonts w:hint="eastAsia"/>
                </w:rPr>
                <w:t>”</w:t>
              </w:r>
              <w:r w:rsidRPr="00B9094D">
                <w:t>。</w:t>
              </w:r>
            </w:p>
            <w:p w:rsidR="00DE031E" w:rsidRPr="00455914" w:rsidRDefault="00D5527A" w:rsidP="003A0284">
              <w:pPr>
                <w:pStyle w:val="31"/>
                <w:numPr>
                  <w:ilvl w:val="0"/>
                  <w:numId w:val="75"/>
                </w:numPr>
                <w:spacing w:beforeLines="50" w:afterLines="50"/>
                <w:ind w:firstLineChars="0"/>
                <w:rPr>
                  <w:b/>
                </w:rPr>
              </w:pPr>
              <w:r w:rsidRPr="00D5527A">
                <w:rPr>
                  <w:b/>
                </w:rPr>
                <w:t>除上述或有事项外，截至</w:t>
              </w:r>
              <w:r w:rsidRPr="00D5527A">
                <w:rPr>
                  <w:b/>
                </w:rPr>
                <w:t>201</w:t>
              </w:r>
              <w:r w:rsidRPr="00D5527A">
                <w:rPr>
                  <w:rFonts w:hint="eastAsia"/>
                  <w:b/>
                </w:rPr>
                <w:t>5</w:t>
              </w:r>
              <w:r w:rsidRPr="00D5527A">
                <w:rPr>
                  <w:b/>
                </w:rPr>
                <w:t>年</w:t>
              </w:r>
              <w:r w:rsidRPr="00D5527A">
                <w:rPr>
                  <w:rFonts w:hint="eastAsia"/>
                  <w:b/>
                </w:rPr>
                <w:t>6</w:t>
              </w:r>
              <w:r w:rsidRPr="00D5527A">
                <w:rPr>
                  <w:b/>
                </w:rPr>
                <w:t>月</w:t>
              </w:r>
              <w:r w:rsidRPr="00D5527A">
                <w:rPr>
                  <w:b/>
                </w:rPr>
                <w:t>3</w:t>
              </w:r>
              <w:r w:rsidRPr="00D5527A">
                <w:rPr>
                  <w:rFonts w:hint="eastAsia"/>
                  <w:b/>
                </w:rPr>
                <w:t>0</w:t>
              </w:r>
              <w:r w:rsidRPr="00D5527A">
                <w:rPr>
                  <w:b/>
                </w:rPr>
                <w:t>日，本公司无其他重大或有事项</w:t>
              </w:r>
              <w:r w:rsidRPr="00D5527A">
                <w:rPr>
                  <w:rFonts w:hint="eastAsia"/>
                  <w:b/>
                </w:rPr>
                <w:t>。</w:t>
              </w:r>
            </w:p>
          </w:sdtContent>
        </w:sdt>
      </w:sdtContent>
    </w:sdt>
    <w:p w:rsidR="00DE031E" w:rsidRDefault="001C1A59" w:rsidP="009950AC">
      <w:pPr>
        <w:pStyle w:val="2"/>
        <w:numPr>
          <w:ilvl w:val="0"/>
          <w:numId w:val="30"/>
        </w:numPr>
        <w:spacing w:line="360" w:lineRule="auto"/>
      </w:pPr>
      <w:r>
        <w:rPr>
          <w:rFonts w:hint="eastAsia"/>
        </w:rPr>
        <w:t>资产负债表日后事项</w:t>
      </w:r>
    </w:p>
    <w:sdt>
      <w:sdtPr>
        <w:rPr>
          <w:rFonts w:ascii="宋体" w:hAnsi="宋体" w:cs="宋体" w:hint="eastAsia"/>
          <w:b w:val="0"/>
          <w:bCs w:val="0"/>
          <w:kern w:val="0"/>
          <w:szCs w:val="24"/>
        </w:rPr>
        <w:tag w:val="_GBC_0fa3d44599d34674894cec144baccd50"/>
        <w:id w:val="-447543954"/>
        <w:lock w:val="sdtLocked"/>
      </w:sdtPr>
      <w:sdtEndPr>
        <w:rPr>
          <w:rFonts w:asciiTheme="minorHAnsi" w:eastAsiaTheme="minorEastAsia" w:hAnsiTheme="minorHAnsi" w:cstheme="minorBidi" w:hint="default"/>
          <w:szCs w:val="21"/>
        </w:rPr>
      </w:sdtEndPr>
      <w:sdtContent>
        <w:p w:rsidR="00823816" w:rsidRDefault="00823816" w:rsidP="009950AC">
          <w:pPr>
            <w:pStyle w:val="3"/>
            <w:numPr>
              <w:ilvl w:val="0"/>
              <w:numId w:val="82"/>
            </w:numPr>
          </w:pPr>
          <w:r>
            <w:rPr>
              <w:rFonts w:hint="eastAsia"/>
            </w:rPr>
            <w:t>利润分配情况</w:t>
          </w:r>
        </w:p>
        <w:sdt>
          <w:sdtPr>
            <w:alias w:val="是否适用：利润分配情况"/>
            <w:tag w:val="_GBC_6575f4d326fb4db497f6a6c330810972"/>
            <w:id w:val="1820072386"/>
            <w:lock w:val="sdtContentLocked"/>
          </w:sdtPr>
          <w:sdtContent>
            <w:p w:rsidR="00823816" w:rsidRDefault="00422DCA">
              <w:r>
                <w:fldChar w:fldCharType="begin"/>
              </w:r>
              <w:r w:rsidR="00823816">
                <w:instrText xml:space="preserve"> MACROBUTTON  SnrToggleCheckbox √适用 </w:instrText>
              </w:r>
              <w:r>
                <w:fldChar w:fldCharType="end"/>
              </w:r>
              <w:r>
                <w:fldChar w:fldCharType="begin"/>
              </w:r>
              <w:r w:rsidR="00823816">
                <w:instrText xml:space="preserve"> MACROBUTTON  SnrToggleCheckbox □不适用 </w:instrText>
              </w:r>
              <w:r>
                <w:fldChar w:fldCharType="end"/>
              </w:r>
            </w:p>
          </w:sdtContent>
        </w:sdt>
        <w:p w:rsidR="00823816" w:rsidRDefault="00823816">
          <w:pPr>
            <w:jc w:val="right"/>
            <w:rPr>
              <w:szCs w:val="21"/>
            </w:rPr>
          </w:pPr>
          <w:r>
            <w:rPr>
              <w:rFonts w:hint="eastAsia"/>
              <w:szCs w:val="21"/>
            </w:rPr>
            <w:t>单位：</w:t>
          </w:r>
          <w:sdt>
            <w:sdtPr>
              <w:rPr>
                <w:rFonts w:hint="eastAsia"/>
                <w:szCs w:val="21"/>
              </w:rPr>
              <w:alias w:val="单位：财务附注：资产负债表日后利润分配情况说明"/>
              <w:tag w:val="_GBC_2cd50742f31e450d918c4d757ac95355"/>
              <w:id w:val="7608078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3cd32df399a942d9a0192661fd8c3923"/>
              <w:id w:val="-20329520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823816" w:rsidTr="00A77D13">
            <w:tc>
              <w:tcPr>
                <w:tcW w:w="2057" w:type="pct"/>
                <w:tcBorders>
                  <w:top w:val="single" w:sz="4" w:space="0" w:color="auto"/>
                  <w:left w:val="single" w:sz="4" w:space="0" w:color="auto"/>
                  <w:bottom w:val="single" w:sz="4" w:space="0" w:color="auto"/>
                  <w:right w:val="single" w:sz="4" w:space="0" w:color="auto"/>
                </w:tcBorders>
              </w:tcPr>
              <w:p w:rsidR="00823816" w:rsidRDefault="00823816">
                <w:pPr>
                  <w:rPr>
                    <w:szCs w:val="21"/>
                  </w:rPr>
                </w:pPr>
                <w:r>
                  <w:rPr>
                    <w:rFonts w:hint="eastAsia"/>
                    <w:szCs w:val="21"/>
                  </w:rPr>
                  <w:t>拟分配的利润或股利</w:t>
                </w:r>
              </w:p>
            </w:tc>
            <w:sdt>
              <w:sdtPr>
                <w:rPr>
                  <w:szCs w:val="21"/>
                </w:rPr>
                <w:alias w:val="资产负债表日后拟分配的利润或股利"/>
                <w:tag w:val="_GBC_0673339193f94043bd739ad6bed78c34"/>
                <w:id w:val="1677063291"/>
                <w:lock w:val="sdtLocked"/>
              </w:sdtPr>
              <w:sdtContent>
                <w:tc>
                  <w:tcPr>
                    <w:tcW w:w="2943" w:type="pct"/>
                    <w:tcBorders>
                      <w:top w:val="single" w:sz="4" w:space="0" w:color="auto"/>
                      <w:left w:val="single" w:sz="4" w:space="0" w:color="auto"/>
                      <w:bottom w:val="single" w:sz="4" w:space="0" w:color="auto"/>
                      <w:right w:val="single" w:sz="4" w:space="0" w:color="auto"/>
                    </w:tcBorders>
                  </w:tcPr>
                  <w:p w:rsidR="00823816" w:rsidRDefault="00823816" w:rsidP="00823816">
                    <w:pPr>
                      <w:jc w:val="right"/>
                      <w:rPr>
                        <w:szCs w:val="21"/>
                      </w:rPr>
                    </w:pPr>
                    <w:r>
                      <w:rPr>
                        <w:szCs w:val="21"/>
                      </w:rPr>
                      <w:t>2,927,300,306.62</w:t>
                    </w:r>
                  </w:p>
                </w:tc>
              </w:sdtContent>
            </w:sdt>
          </w:tr>
          <w:tr w:rsidR="00823816" w:rsidTr="00A77D13">
            <w:tc>
              <w:tcPr>
                <w:tcW w:w="2057" w:type="pct"/>
                <w:tcBorders>
                  <w:top w:val="single" w:sz="4" w:space="0" w:color="auto"/>
                  <w:left w:val="single" w:sz="4" w:space="0" w:color="auto"/>
                  <w:bottom w:val="single" w:sz="4" w:space="0" w:color="auto"/>
                  <w:right w:val="single" w:sz="4" w:space="0" w:color="auto"/>
                </w:tcBorders>
              </w:tcPr>
              <w:p w:rsidR="00823816" w:rsidRDefault="00823816">
                <w:pPr>
                  <w:rPr>
                    <w:szCs w:val="21"/>
                  </w:rPr>
                </w:pPr>
                <w:r>
                  <w:rPr>
                    <w:rFonts w:hint="eastAsia"/>
                    <w:szCs w:val="21"/>
                  </w:rPr>
                  <w:t>经审议批准宣告发放的利润或股利</w:t>
                </w:r>
              </w:p>
            </w:tc>
            <w:sdt>
              <w:sdtPr>
                <w:rPr>
                  <w:szCs w:val="21"/>
                </w:rPr>
                <w:alias w:val="资产负债表日后经审议批准宣告发放的利润或股利"/>
                <w:tag w:val="_GBC_aef887f57e264fb99cad3a01d98b8409"/>
                <w:id w:val="1957375774"/>
                <w:lock w:val="sdtLocked"/>
              </w:sdtPr>
              <w:sdtContent>
                <w:tc>
                  <w:tcPr>
                    <w:tcW w:w="2943" w:type="pct"/>
                    <w:tcBorders>
                      <w:top w:val="single" w:sz="4" w:space="0" w:color="auto"/>
                      <w:left w:val="single" w:sz="4" w:space="0" w:color="auto"/>
                      <w:bottom w:val="single" w:sz="4" w:space="0" w:color="auto"/>
                      <w:right w:val="single" w:sz="4" w:space="0" w:color="auto"/>
                    </w:tcBorders>
                  </w:tcPr>
                  <w:p w:rsidR="00823816" w:rsidRDefault="00823816">
                    <w:pPr>
                      <w:jc w:val="right"/>
                      <w:rPr>
                        <w:szCs w:val="21"/>
                      </w:rPr>
                    </w:pPr>
                    <w:r>
                      <w:rPr>
                        <w:szCs w:val="21"/>
                      </w:rPr>
                      <w:t>2,927,300,306.62</w:t>
                    </w:r>
                  </w:p>
                </w:tc>
              </w:sdtContent>
            </w:sdt>
          </w:tr>
        </w:tbl>
      </w:sdtContent>
    </w:sdt>
    <w:sdt>
      <w:sdtPr>
        <w:rPr>
          <w:rFonts w:ascii="宋体" w:hAnsi="宋体" w:cs="宋体" w:hint="eastAsia"/>
          <w:b w:val="0"/>
          <w:bCs w:val="0"/>
          <w:kern w:val="0"/>
          <w:szCs w:val="24"/>
        </w:rPr>
        <w:tag w:val="_GBC_90d185c72bfe452398767dd3a98447a5"/>
        <w:id w:val="-2062393570"/>
        <w:lock w:val="sdtLocked"/>
      </w:sdtPr>
      <w:sdtEndPr>
        <w:rPr>
          <w:rFonts w:ascii="Times New Roman" w:hAnsi="Times New Roman" w:cs="Times New Roman"/>
          <w:bCs/>
          <w:szCs w:val="20"/>
        </w:rPr>
      </w:sdtEndPr>
      <w:sdtContent>
        <w:p w:rsidR="00823816" w:rsidRDefault="00823816" w:rsidP="009950AC">
          <w:pPr>
            <w:pStyle w:val="3"/>
            <w:numPr>
              <w:ilvl w:val="0"/>
              <w:numId w:val="82"/>
            </w:numPr>
            <w:spacing w:before="240"/>
          </w:pPr>
          <w:r>
            <w:rPr>
              <w:rFonts w:hint="eastAsia"/>
            </w:rPr>
            <w:t>其他资产负债表日后事项说明</w:t>
          </w:r>
        </w:p>
        <w:sdt>
          <w:sdtPr>
            <w:alias w:val="资产负债表日后事项的说明"/>
            <w:tag w:val="_GBC_b095fb5e765c447f82bb8e8b5a26cbea"/>
            <w:id w:val="1039408882"/>
            <w:lock w:val="sdtLocked"/>
          </w:sdtPr>
          <w:sdtContent>
            <w:p w:rsidR="00823816" w:rsidRPr="00455914" w:rsidRDefault="00823816" w:rsidP="003A0284">
              <w:pPr>
                <w:pStyle w:val="31"/>
                <w:numPr>
                  <w:ilvl w:val="0"/>
                  <w:numId w:val="84"/>
                </w:numPr>
                <w:spacing w:beforeLines="50" w:afterLines="50"/>
                <w:ind w:firstLineChars="0"/>
                <w:rPr>
                  <w:rFonts w:ascii="Arial" w:hAnsi="Arial" w:cs="Arial"/>
                  <w:b/>
                  <w:bCs w:val="0"/>
                  <w:sz w:val="22"/>
                </w:rPr>
              </w:pPr>
              <w:r w:rsidRPr="00455914">
                <w:rPr>
                  <w:rFonts w:ascii="宋体" w:hAnsi="宋体" w:cs="宋体" w:hint="eastAsia"/>
                  <w:b/>
                  <w:szCs w:val="24"/>
                </w:rPr>
                <w:t>利润分配</w:t>
              </w:r>
            </w:p>
            <w:p w:rsidR="00455914" w:rsidRPr="00455914" w:rsidRDefault="00455914" w:rsidP="003A0284">
              <w:pPr>
                <w:pStyle w:val="31"/>
                <w:spacing w:beforeLines="50" w:afterLines="50"/>
                <w:ind w:leftChars="68" w:left="143" w:firstLineChars="196" w:firstLine="412"/>
                <w:rPr>
                  <w:rFonts w:asciiTheme="minorEastAsia" w:eastAsiaTheme="minorEastAsia" w:hAnsiTheme="minorEastAsia" w:cs="Arial"/>
                  <w:bCs w:val="0"/>
                  <w:sz w:val="22"/>
                </w:rPr>
              </w:pPr>
              <w:r w:rsidRPr="00455914">
                <w:rPr>
                  <w:rFonts w:asciiTheme="minorEastAsia" w:eastAsiaTheme="minorEastAsia" w:hAnsiTheme="minorEastAsia" w:cs="宋体" w:hint="eastAsia"/>
                  <w:szCs w:val="24"/>
                </w:rPr>
                <w:t>经2015年8月7日公司第五届董事会第二十六次会议审议通过，公司2015年度中期利润分配预案为：以总股本5,808,135,529.00股为基数，每10股派发现金红利5.04元（含税），实际分配现金利润总额为</w:t>
              </w:r>
              <w:r w:rsidRPr="00455914">
                <w:rPr>
                  <w:rFonts w:asciiTheme="minorEastAsia" w:eastAsiaTheme="minorEastAsia" w:hAnsiTheme="minorEastAsia"/>
                  <w:szCs w:val="21"/>
                </w:rPr>
                <w:t>2,927,300,306.62</w:t>
              </w:r>
              <w:r w:rsidRPr="00455914">
                <w:rPr>
                  <w:rFonts w:asciiTheme="minorEastAsia" w:eastAsiaTheme="minorEastAsia" w:hAnsiTheme="minorEastAsia" w:hint="eastAsia"/>
                  <w:szCs w:val="21"/>
                </w:rPr>
                <w:t>元。该项议案尚需提交公司股东大会审议。</w:t>
              </w:r>
            </w:p>
            <w:p w:rsidR="00823816" w:rsidRDefault="00823816" w:rsidP="003A0284">
              <w:pPr>
                <w:pStyle w:val="31"/>
                <w:numPr>
                  <w:ilvl w:val="0"/>
                  <w:numId w:val="84"/>
                </w:numPr>
                <w:spacing w:beforeLines="50" w:afterLines="50"/>
                <w:ind w:firstLineChars="0"/>
                <w:rPr>
                  <w:rFonts w:ascii="宋体" w:hAnsi="宋体" w:cs="宋体"/>
                  <w:b/>
                  <w:bCs w:val="0"/>
                  <w:szCs w:val="24"/>
                </w:rPr>
              </w:pPr>
              <w:r w:rsidRPr="00455914">
                <w:rPr>
                  <w:rFonts w:ascii="宋体" w:hAnsi="宋体" w:cs="宋体" w:hint="eastAsia"/>
                  <w:b/>
                  <w:bCs w:val="0"/>
                  <w:szCs w:val="24"/>
                </w:rPr>
                <w:t>参与出资认购蓝筹股</w:t>
              </w:r>
              <w:r w:rsidRPr="00455914">
                <w:rPr>
                  <w:rFonts w:ascii="宋体" w:hAnsi="宋体" w:cs="宋体"/>
                  <w:b/>
                  <w:bCs w:val="0"/>
                  <w:szCs w:val="24"/>
                </w:rPr>
                <w:t>ETF</w:t>
              </w:r>
            </w:p>
            <w:p w:rsidR="00455914" w:rsidRPr="00455914" w:rsidRDefault="00455914" w:rsidP="003A0284">
              <w:pPr>
                <w:pStyle w:val="31"/>
                <w:spacing w:beforeLines="50" w:afterLines="50"/>
                <w:ind w:leftChars="68" w:left="143" w:firstLineChars="200" w:firstLine="440"/>
                <w:rPr>
                  <w:rFonts w:ascii="宋体" w:hAnsi="宋体" w:cs="宋体"/>
                  <w:b/>
                  <w:bCs w:val="0"/>
                  <w:szCs w:val="24"/>
                </w:rPr>
              </w:pPr>
              <w:r>
                <w:rPr>
                  <w:rFonts w:ascii="Arial" w:eastAsiaTheme="majorEastAsia" w:hAnsi="Arial" w:cs="Arial"/>
                  <w:sz w:val="22"/>
                  <w:szCs w:val="22"/>
                </w:rPr>
                <w:t>2015</w:t>
              </w:r>
              <w:r>
                <w:rPr>
                  <w:rFonts w:ascii="Arial" w:eastAsiaTheme="majorEastAsia" w:hAnsi="Arial" w:cs="Arial" w:hint="eastAsia"/>
                  <w:sz w:val="22"/>
                  <w:szCs w:val="22"/>
                </w:rPr>
                <w:t>年</w:t>
              </w:r>
              <w:r>
                <w:rPr>
                  <w:rFonts w:ascii="Arial" w:eastAsiaTheme="majorEastAsia" w:hAnsi="Arial" w:cs="Arial"/>
                  <w:sz w:val="22"/>
                  <w:szCs w:val="22"/>
                </w:rPr>
                <w:t>7</w:t>
              </w:r>
              <w:r>
                <w:rPr>
                  <w:rFonts w:ascii="Arial" w:eastAsiaTheme="majorEastAsia" w:hAnsi="Arial" w:cs="Arial" w:hint="eastAsia"/>
                  <w:sz w:val="22"/>
                  <w:szCs w:val="22"/>
                </w:rPr>
                <w:t>月</w:t>
              </w:r>
              <w:r>
                <w:rPr>
                  <w:rFonts w:ascii="Arial" w:eastAsiaTheme="majorEastAsia" w:hAnsi="Arial" w:cs="Arial"/>
                  <w:sz w:val="22"/>
                  <w:szCs w:val="22"/>
                </w:rPr>
                <w:t>7</w:t>
              </w:r>
              <w:r>
                <w:rPr>
                  <w:rFonts w:ascii="Arial" w:eastAsiaTheme="majorEastAsia" w:hAnsi="Arial" w:cs="Arial" w:hint="eastAsia"/>
                  <w:sz w:val="22"/>
                  <w:szCs w:val="22"/>
                </w:rPr>
                <w:t>日公司第五届董事会第二十三次会议审议通过《关于参与出资认购蓝筹股</w:t>
              </w:r>
              <w:r>
                <w:rPr>
                  <w:rFonts w:ascii="Arial" w:eastAsiaTheme="majorEastAsia" w:hAnsi="Arial" w:cs="Arial"/>
                  <w:sz w:val="22"/>
                  <w:szCs w:val="22"/>
                </w:rPr>
                <w:t>ETF</w:t>
              </w:r>
              <w:r>
                <w:rPr>
                  <w:rFonts w:ascii="Arial" w:eastAsiaTheme="majorEastAsia" w:hAnsi="Arial" w:cs="Arial" w:hint="eastAsia"/>
                  <w:sz w:val="22"/>
                  <w:szCs w:val="22"/>
                </w:rPr>
                <w:t>的议案》，同意公司与中国证券金融股份有限公司签署《中国证券期货市场场外衍生品交易主协议》及《收益互换交易确认书》，在公司</w:t>
              </w:r>
              <w:r>
                <w:rPr>
                  <w:rFonts w:ascii="Arial" w:eastAsiaTheme="majorEastAsia" w:hAnsi="Arial" w:cs="Arial"/>
                  <w:sz w:val="22"/>
                  <w:szCs w:val="22"/>
                </w:rPr>
                <w:t>2014</w:t>
              </w:r>
              <w:r>
                <w:rPr>
                  <w:rFonts w:ascii="Arial" w:eastAsiaTheme="majorEastAsia" w:hAnsi="Arial" w:cs="Arial" w:hint="eastAsia"/>
                  <w:sz w:val="22"/>
                  <w:szCs w:val="22"/>
                </w:rPr>
                <w:t>年度股东大会对自营投资额度的授权范围内，以</w:t>
              </w:r>
              <w:r>
                <w:rPr>
                  <w:rFonts w:ascii="Arial" w:eastAsiaTheme="majorEastAsia" w:hAnsi="Arial" w:cs="Arial"/>
                  <w:sz w:val="22"/>
                  <w:szCs w:val="22"/>
                </w:rPr>
                <w:t>2015</w:t>
              </w:r>
              <w:r>
                <w:rPr>
                  <w:rFonts w:ascii="Arial" w:eastAsiaTheme="majorEastAsia" w:hAnsi="Arial" w:cs="Arial" w:hint="eastAsia"/>
                  <w:sz w:val="22"/>
                  <w:szCs w:val="22"/>
                </w:rPr>
                <w:t>年</w:t>
              </w:r>
              <w:r>
                <w:rPr>
                  <w:rFonts w:ascii="Arial" w:eastAsiaTheme="majorEastAsia" w:hAnsi="Arial" w:cs="Arial"/>
                  <w:sz w:val="22"/>
                  <w:szCs w:val="22"/>
                </w:rPr>
                <w:t>6</w:t>
              </w:r>
              <w:r>
                <w:rPr>
                  <w:rFonts w:ascii="Arial" w:eastAsiaTheme="majorEastAsia" w:hAnsi="Arial" w:cs="Arial" w:hint="eastAsia"/>
                  <w:sz w:val="22"/>
                  <w:szCs w:val="22"/>
                </w:rPr>
                <w:t>月</w:t>
              </w:r>
              <w:r>
                <w:rPr>
                  <w:rFonts w:ascii="Arial" w:eastAsiaTheme="majorEastAsia" w:hAnsi="Arial" w:cs="Arial"/>
                  <w:sz w:val="22"/>
                  <w:szCs w:val="22"/>
                </w:rPr>
                <w:t>30</w:t>
              </w:r>
              <w:r>
                <w:rPr>
                  <w:rFonts w:ascii="Arial" w:eastAsiaTheme="majorEastAsia" w:hAnsi="Arial" w:cs="Arial" w:hint="eastAsia"/>
                  <w:sz w:val="22"/>
                  <w:szCs w:val="22"/>
                </w:rPr>
                <w:t>日净资产的</w:t>
              </w:r>
              <w:r>
                <w:rPr>
                  <w:rFonts w:ascii="Arial" w:eastAsiaTheme="majorEastAsia" w:hAnsi="Arial" w:cs="Arial"/>
                  <w:sz w:val="22"/>
                  <w:szCs w:val="22"/>
                </w:rPr>
                <w:t>15%</w:t>
              </w:r>
              <w:r>
                <w:rPr>
                  <w:rFonts w:ascii="Arial" w:eastAsiaTheme="majorEastAsia" w:hAnsi="Arial" w:cs="Arial" w:hint="eastAsia"/>
                  <w:sz w:val="22"/>
                  <w:szCs w:val="22"/>
                </w:rPr>
                <w:t>出资，专项用于包括本公司在内的</w:t>
              </w:r>
              <w:r>
                <w:rPr>
                  <w:rFonts w:ascii="Arial" w:eastAsiaTheme="majorEastAsia" w:hAnsi="Arial" w:cs="Arial"/>
                  <w:sz w:val="22"/>
                  <w:szCs w:val="22"/>
                </w:rPr>
                <w:t>21</w:t>
              </w:r>
              <w:r>
                <w:rPr>
                  <w:rFonts w:ascii="Arial" w:eastAsiaTheme="majorEastAsia" w:hAnsi="Arial" w:cs="Arial" w:hint="eastAsia"/>
                  <w:sz w:val="22"/>
                  <w:szCs w:val="22"/>
                </w:rPr>
                <w:lastRenderedPageBreak/>
                <w:t>家证券公司共同出资购买蓝筹股</w:t>
              </w:r>
              <w:r>
                <w:rPr>
                  <w:rFonts w:ascii="Arial" w:eastAsiaTheme="majorEastAsia" w:hAnsi="Arial" w:cs="Arial"/>
                  <w:sz w:val="22"/>
                  <w:szCs w:val="22"/>
                </w:rPr>
                <w:t>ETF</w:t>
              </w:r>
              <w:r>
                <w:rPr>
                  <w:rFonts w:ascii="Arial" w:eastAsiaTheme="majorEastAsia" w:hAnsi="Arial" w:cs="Arial" w:hint="eastAsia"/>
                  <w:sz w:val="22"/>
                  <w:szCs w:val="22"/>
                </w:rPr>
                <w:t>。本次投资将由中国证券金融股份有限公司专户统一运作，公司将按投资比例分担投资风险、分享投资收益；公司实际出资</w:t>
              </w:r>
              <w:r>
                <w:rPr>
                  <w:rFonts w:ascii="Arial" w:eastAsiaTheme="majorEastAsia" w:hAnsi="Arial" w:cs="Arial"/>
                  <w:sz w:val="22"/>
                  <w:szCs w:val="22"/>
                </w:rPr>
                <w:t>68.83</w:t>
              </w:r>
              <w:r>
                <w:rPr>
                  <w:rFonts w:ascii="Arial" w:eastAsiaTheme="majorEastAsia" w:hAnsi="Arial" w:cs="Arial" w:hint="eastAsia"/>
                  <w:sz w:val="22"/>
                  <w:szCs w:val="22"/>
                </w:rPr>
                <w:t>亿元人民币。</w:t>
              </w:r>
            </w:p>
            <w:p w:rsidR="00823816" w:rsidRDefault="00823816" w:rsidP="003A0284">
              <w:pPr>
                <w:pStyle w:val="31"/>
                <w:numPr>
                  <w:ilvl w:val="0"/>
                  <w:numId w:val="84"/>
                </w:numPr>
                <w:spacing w:beforeLines="50" w:afterLines="50"/>
                <w:ind w:firstLineChars="0"/>
                <w:rPr>
                  <w:b/>
                </w:rPr>
              </w:pPr>
              <w:r w:rsidRPr="00823816">
                <w:rPr>
                  <w:rFonts w:hint="eastAsia"/>
                  <w:b/>
                </w:rPr>
                <w:t>员工持股计划</w:t>
              </w:r>
            </w:p>
            <w:p w:rsidR="00455914" w:rsidRPr="00823816" w:rsidRDefault="00455914" w:rsidP="003A0284">
              <w:pPr>
                <w:pStyle w:val="31"/>
                <w:spacing w:beforeLines="50" w:afterLines="50"/>
                <w:ind w:leftChars="68" w:left="143" w:firstLineChars="200" w:firstLine="440"/>
                <w:rPr>
                  <w:b/>
                </w:rPr>
              </w:pPr>
              <w:r>
                <w:rPr>
                  <w:rFonts w:ascii="Arial" w:eastAsiaTheme="majorEastAsia" w:hAnsi="Arial" w:cs="Arial"/>
                  <w:sz w:val="22"/>
                  <w:szCs w:val="22"/>
                </w:rPr>
                <w:t>2015</w:t>
              </w:r>
              <w:r>
                <w:rPr>
                  <w:rFonts w:ascii="Arial" w:eastAsiaTheme="majorEastAsia" w:hAnsi="Arial" w:cs="Arial" w:hint="eastAsia"/>
                  <w:sz w:val="22"/>
                  <w:szCs w:val="22"/>
                </w:rPr>
                <w:t>年</w:t>
              </w:r>
              <w:r>
                <w:rPr>
                  <w:rFonts w:ascii="Arial" w:eastAsiaTheme="majorEastAsia" w:hAnsi="Arial" w:cs="Arial"/>
                  <w:sz w:val="22"/>
                  <w:szCs w:val="22"/>
                </w:rPr>
                <w:t>7</w:t>
              </w:r>
              <w:r>
                <w:rPr>
                  <w:rFonts w:ascii="Arial" w:eastAsiaTheme="majorEastAsia" w:hAnsi="Arial" w:cs="Arial" w:hint="eastAsia"/>
                  <w:sz w:val="22"/>
                  <w:szCs w:val="22"/>
                </w:rPr>
                <w:t>月</w:t>
              </w:r>
              <w:r>
                <w:rPr>
                  <w:rFonts w:ascii="Arial" w:eastAsiaTheme="majorEastAsia" w:hAnsi="Arial" w:cs="Arial"/>
                  <w:sz w:val="22"/>
                  <w:szCs w:val="22"/>
                </w:rPr>
                <w:t>9</w:t>
              </w:r>
              <w:r>
                <w:rPr>
                  <w:rFonts w:ascii="Arial" w:eastAsiaTheme="majorEastAsia" w:hAnsi="Arial" w:cs="Arial" w:hint="eastAsia"/>
                  <w:sz w:val="22"/>
                  <w:szCs w:val="22"/>
                </w:rPr>
                <w:t>日公司董事会发布《关于公司及主要股东坚定支持中国资本市场稳定健康发展的公告》，公司积极推动员工持股计划，预计总金额不超过</w:t>
              </w:r>
              <w:r>
                <w:rPr>
                  <w:rFonts w:ascii="Arial" w:eastAsiaTheme="majorEastAsia" w:hAnsi="Arial" w:cs="Arial"/>
                  <w:sz w:val="22"/>
                  <w:szCs w:val="22"/>
                </w:rPr>
                <w:t>20</w:t>
              </w:r>
              <w:r>
                <w:rPr>
                  <w:rFonts w:ascii="Arial" w:eastAsiaTheme="majorEastAsia" w:hAnsi="Arial" w:cs="Arial" w:hint="eastAsia"/>
                  <w:sz w:val="22"/>
                  <w:szCs w:val="22"/>
                </w:rPr>
                <w:t>亿元；公司将根据相关法律、法规和交易所规定履行审批程序并及时披露相关情况。</w:t>
              </w:r>
            </w:p>
            <w:p w:rsidR="00823816" w:rsidRDefault="00823816" w:rsidP="003A0284">
              <w:pPr>
                <w:pStyle w:val="31"/>
                <w:numPr>
                  <w:ilvl w:val="0"/>
                  <w:numId w:val="84"/>
                </w:numPr>
                <w:spacing w:beforeLines="50" w:afterLines="50"/>
                <w:ind w:firstLineChars="0"/>
                <w:rPr>
                  <w:b/>
                </w:rPr>
              </w:pPr>
              <w:r w:rsidRPr="00823816">
                <w:rPr>
                  <w:rFonts w:hint="eastAsia"/>
                  <w:b/>
                </w:rPr>
                <w:t>获准试点发行永续次级债券</w:t>
              </w:r>
            </w:p>
            <w:p w:rsidR="00455914" w:rsidRPr="00823816" w:rsidRDefault="00455914" w:rsidP="003A0284">
              <w:pPr>
                <w:pStyle w:val="31"/>
                <w:spacing w:beforeLines="50" w:afterLines="50"/>
                <w:ind w:leftChars="68" w:left="143" w:firstLineChars="200" w:firstLine="440"/>
                <w:rPr>
                  <w:b/>
                </w:rPr>
              </w:pPr>
              <w:r>
                <w:rPr>
                  <w:rFonts w:ascii="Arial" w:eastAsiaTheme="majorEastAsia" w:hAnsi="Arial" w:cs="Arial"/>
                  <w:sz w:val="22"/>
                  <w:szCs w:val="22"/>
                </w:rPr>
                <w:t xml:space="preserve">2015 </w:t>
              </w:r>
              <w:r>
                <w:rPr>
                  <w:rFonts w:ascii="Arial" w:eastAsiaTheme="majorEastAsia" w:hAnsi="Arial" w:cs="Arial" w:hint="eastAsia"/>
                  <w:sz w:val="22"/>
                  <w:szCs w:val="22"/>
                </w:rPr>
                <w:t>年</w:t>
              </w:r>
              <w:r>
                <w:rPr>
                  <w:rFonts w:ascii="Arial" w:eastAsiaTheme="majorEastAsia" w:hAnsi="Arial" w:cs="Arial"/>
                  <w:sz w:val="22"/>
                  <w:szCs w:val="22"/>
                </w:rPr>
                <w:t xml:space="preserve"> 6 </w:t>
              </w:r>
              <w:r>
                <w:rPr>
                  <w:rFonts w:ascii="Arial" w:eastAsiaTheme="majorEastAsia" w:hAnsi="Arial" w:cs="Arial" w:hint="eastAsia"/>
                  <w:sz w:val="22"/>
                  <w:szCs w:val="22"/>
                </w:rPr>
                <w:t>月</w:t>
              </w:r>
              <w:r>
                <w:rPr>
                  <w:rFonts w:ascii="Arial" w:eastAsiaTheme="majorEastAsia" w:hAnsi="Arial" w:cs="Arial"/>
                  <w:sz w:val="22"/>
                  <w:szCs w:val="22"/>
                </w:rPr>
                <w:t xml:space="preserve"> 24 </w:t>
              </w:r>
              <w:r>
                <w:rPr>
                  <w:rFonts w:ascii="Arial" w:eastAsiaTheme="majorEastAsia" w:hAnsi="Arial" w:cs="Arial" w:hint="eastAsia"/>
                  <w:sz w:val="22"/>
                  <w:szCs w:val="22"/>
                </w:rPr>
                <w:t>日，公司</w:t>
              </w:r>
              <w:r>
                <w:rPr>
                  <w:rFonts w:ascii="Arial" w:eastAsiaTheme="majorEastAsia" w:hAnsi="Arial" w:cs="Arial"/>
                  <w:sz w:val="22"/>
                  <w:szCs w:val="22"/>
                </w:rPr>
                <w:t xml:space="preserve">2015 </w:t>
              </w:r>
              <w:r>
                <w:rPr>
                  <w:rFonts w:ascii="Arial" w:eastAsiaTheme="majorEastAsia" w:hAnsi="Arial" w:cs="Arial" w:hint="eastAsia"/>
                  <w:sz w:val="22"/>
                  <w:szCs w:val="22"/>
                </w:rPr>
                <w:t>年第三次临时股东大会审议通过了《关于发行普通次级债券及永续次级债券的议案》。</w:t>
              </w:r>
              <w:r>
                <w:rPr>
                  <w:rFonts w:ascii="Arial" w:eastAsiaTheme="majorEastAsia" w:hAnsi="Arial" w:cs="Arial"/>
                  <w:sz w:val="22"/>
                  <w:szCs w:val="22"/>
                </w:rPr>
                <w:t>2015</w:t>
              </w:r>
              <w:r>
                <w:rPr>
                  <w:rFonts w:ascii="Arial" w:eastAsiaTheme="majorEastAsia" w:hAnsi="Arial" w:cs="Arial" w:hint="eastAsia"/>
                  <w:sz w:val="22"/>
                  <w:szCs w:val="22"/>
                </w:rPr>
                <w:t>年</w:t>
              </w:r>
              <w:r>
                <w:rPr>
                  <w:rFonts w:ascii="Arial" w:eastAsiaTheme="majorEastAsia" w:hAnsi="Arial" w:cs="Arial"/>
                  <w:sz w:val="22"/>
                  <w:szCs w:val="22"/>
                </w:rPr>
                <w:t>7</w:t>
              </w:r>
              <w:r>
                <w:rPr>
                  <w:rFonts w:ascii="Arial" w:eastAsiaTheme="majorEastAsia" w:hAnsi="Arial" w:cs="Arial" w:hint="eastAsia"/>
                  <w:sz w:val="22"/>
                  <w:szCs w:val="22"/>
                </w:rPr>
                <w:t>月，公司收到中国证券监督管理委员会《关于招商证券股份有限公司试点发行永续次级债券的无异议函》（机构部函</w:t>
              </w:r>
              <w:r>
                <w:rPr>
                  <w:rFonts w:ascii="Arial" w:eastAsiaTheme="majorEastAsia" w:hAnsi="Arial" w:cs="Arial"/>
                  <w:sz w:val="22"/>
                  <w:szCs w:val="22"/>
                </w:rPr>
                <w:t xml:space="preserve">[2015]2150 </w:t>
              </w:r>
              <w:r>
                <w:rPr>
                  <w:rFonts w:ascii="Arial" w:eastAsiaTheme="majorEastAsia" w:hAnsi="Arial" w:cs="Arial" w:hint="eastAsia"/>
                  <w:sz w:val="22"/>
                  <w:szCs w:val="22"/>
                </w:rPr>
                <w:t>号），中国证监会对公司试点非公开发行永续次级债券事项无异议；公司将严格按照中国证监会的相关要求完成永续次级债券的发行工作。</w:t>
              </w:r>
            </w:p>
            <w:p w:rsidR="00823816" w:rsidRDefault="00823816" w:rsidP="003A0284">
              <w:pPr>
                <w:pStyle w:val="31"/>
                <w:numPr>
                  <w:ilvl w:val="0"/>
                  <w:numId w:val="84"/>
                </w:numPr>
                <w:spacing w:beforeLines="50" w:afterLines="50"/>
                <w:ind w:firstLineChars="0"/>
                <w:rPr>
                  <w:rFonts w:ascii="宋体" w:hAnsi="宋体" w:cs="宋体"/>
                  <w:b/>
                  <w:bCs w:val="0"/>
                  <w:szCs w:val="24"/>
                </w:rPr>
              </w:pPr>
              <w:r w:rsidRPr="00823816">
                <w:rPr>
                  <w:rFonts w:ascii="宋体" w:hAnsi="宋体" w:cs="宋体" w:hint="eastAsia"/>
                  <w:b/>
                  <w:bCs w:val="0"/>
                  <w:szCs w:val="24"/>
                </w:rPr>
                <w:t>为境外全资子公司获取银行授信提供反担保</w:t>
              </w:r>
            </w:p>
            <w:p w:rsidR="00823816" w:rsidRPr="00455914" w:rsidRDefault="00455914" w:rsidP="003A0284">
              <w:pPr>
                <w:pStyle w:val="31"/>
                <w:spacing w:beforeLines="50" w:afterLines="50"/>
                <w:ind w:leftChars="68" w:left="143" w:firstLineChars="200" w:firstLine="420"/>
                <w:rPr>
                  <w:rFonts w:ascii="宋体" w:hAnsi="宋体" w:cs="宋体"/>
                  <w:b/>
                  <w:bCs w:val="0"/>
                  <w:szCs w:val="24"/>
                </w:rPr>
              </w:pPr>
              <w:r w:rsidRPr="00F36A68">
                <w:rPr>
                  <w:rFonts w:cs="宋体" w:hint="eastAsia"/>
                  <w:bCs w:val="0"/>
                  <w:szCs w:val="24"/>
                </w:rPr>
                <w:t>为促进本公司境外业务转型与发展，补充招证国际日常营运资金，公司以反担保的方式向招商银行股份有限公司申请为招证国际获取境外银行授信开具保函。</w:t>
              </w:r>
              <w:r w:rsidRPr="00F36A68">
                <w:rPr>
                  <w:rFonts w:cs="宋体"/>
                  <w:bCs w:val="0"/>
                  <w:szCs w:val="24"/>
                </w:rPr>
                <w:t xml:space="preserve">2015 </w:t>
              </w:r>
              <w:r w:rsidRPr="00F36A68">
                <w:rPr>
                  <w:rFonts w:cs="宋体" w:hint="eastAsia"/>
                  <w:bCs w:val="0"/>
                  <w:szCs w:val="24"/>
                </w:rPr>
                <w:t>年</w:t>
              </w:r>
              <w:r w:rsidRPr="00F36A68">
                <w:rPr>
                  <w:rFonts w:cs="宋体"/>
                  <w:bCs w:val="0"/>
                  <w:szCs w:val="24"/>
                </w:rPr>
                <w:t xml:space="preserve"> 7 </w:t>
              </w:r>
              <w:r w:rsidRPr="00F36A68">
                <w:rPr>
                  <w:rFonts w:cs="宋体" w:hint="eastAsia"/>
                  <w:bCs w:val="0"/>
                  <w:szCs w:val="24"/>
                </w:rPr>
                <w:t>月</w:t>
              </w:r>
              <w:r w:rsidRPr="00F36A68">
                <w:rPr>
                  <w:rFonts w:cs="宋体"/>
                  <w:bCs w:val="0"/>
                  <w:szCs w:val="24"/>
                </w:rPr>
                <w:t xml:space="preserve"> 23 </w:t>
              </w:r>
              <w:r w:rsidRPr="00F36A68">
                <w:rPr>
                  <w:rFonts w:cs="宋体" w:hint="eastAsia"/>
                  <w:bCs w:val="0"/>
                  <w:szCs w:val="24"/>
                </w:rPr>
                <w:t>日已签署有关保函协议</w:t>
              </w:r>
              <w:r w:rsidRPr="00F36A68">
                <w:rPr>
                  <w:rFonts w:cs="宋体"/>
                  <w:bCs w:val="0"/>
                  <w:szCs w:val="24"/>
                </w:rPr>
                <w:t>,</w:t>
              </w:r>
              <w:r w:rsidRPr="00F36A68">
                <w:rPr>
                  <w:rFonts w:cs="宋体" w:hint="eastAsia"/>
                  <w:bCs w:val="0"/>
                  <w:szCs w:val="24"/>
                </w:rPr>
                <w:t>公司将向招商银行香港分行开具保函人民币</w:t>
              </w:r>
              <w:r w:rsidRPr="00F36A68">
                <w:rPr>
                  <w:rFonts w:cs="宋体"/>
                  <w:bCs w:val="0"/>
                  <w:szCs w:val="24"/>
                </w:rPr>
                <w:t xml:space="preserve"> 1.7 </w:t>
              </w:r>
              <w:r w:rsidRPr="00F36A68">
                <w:rPr>
                  <w:rFonts w:cs="宋体" w:hint="eastAsia"/>
                  <w:bCs w:val="0"/>
                  <w:szCs w:val="24"/>
                </w:rPr>
                <w:t>亿元，招商银行香港分行据此向招证国际提供银行授信。</w:t>
              </w:r>
            </w:p>
          </w:sdtContent>
        </w:sdt>
      </w:sdtContent>
    </w:sdt>
    <w:p w:rsidR="00DE031E" w:rsidRDefault="001C1A59" w:rsidP="009950AC">
      <w:pPr>
        <w:pStyle w:val="2"/>
        <w:numPr>
          <w:ilvl w:val="0"/>
          <w:numId w:val="30"/>
        </w:numPr>
      </w:pPr>
      <w:r>
        <w:rPr>
          <w:rFonts w:hint="eastAsia"/>
        </w:rPr>
        <w:t>风险管理</w:t>
      </w:r>
    </w:p>
    <w:p w:rsidR="00DE031E" w:rsidRDefault="001C1A59" w:rsidP="003A0284">
      <w:pPr>
        <w:pStyle w:val="3"/>
        <w:numPr>
          <w:ilvl w:val="0"/>
          <w:numId w:val="76"/>
        </w:numPr>
        <w:spacing w:beforeLines="50" w:afterLines="50" w:line="360" w:lineRule="auto"/>
        <w:ind w:leftChars="50" w:left="527" w:hangingChars="200" w:hanging="422"/>
      </w:pPr>
      <w:r>
        <w:rPr>
          <w:rFonts w:hint="eastAsia"/>
        </w:rPr>
        <w:t>风险管理架构</w:t>
      </w:r>
    </w:p>
    <w:sdt>
      <w:sdtPr>
        <w:rPr>
          <w:rFonts w:cs="宋体"/>
          <w:b/>
          <w:bCs/>
          <w:kern w:val="0"/>
          <w:szCs w:val="24"/>
        </w:rPr>
        <w:tag w:val="_GBC_a7eb40d79f1342df970cdee61365aff4"/>
        <w:id w:val="24726968"/>
        <w:lock w:val="sdtLocked"/>
        <w:placeholder>
          <w:docPart w:val="GBC22222222222222222222222222222"/>
        </w:placeholder>
      </w:sdtPr>
      <w:sdtEndPr>
        <w:rPr>
          <w:rFonts w:cs="Times New Roman" w:hint="eastAsia"/>
          <w:b w:val="0"/>
          <w:bCs w:val="0"/>
          <w:kern w:val="2"/>
          <w:szCs w:val="21"/>
        </w:rPr>
      </w:sdtEndPr>
      <w:sdtContent>
        <w:sdt>
          <w:sdtPr>
            <w:rPr>
              <w:rFonts w:hint="eastAsia"/>
            </w:rPr>
            <w:alias w:val="风险管理政策的说明"/>
            <w:tag w:val="_GBC_2ee4c53970fd47678a1e772cf857cceb"/>
            <w:id w:val="24726967"/>
            <w:lock w:val="sdtLocked"/>
            <w:placeholder>
              <w:docPart w:val="GBC22222222222222222222222222222"/>
            </w:placeholder>
          </w:sdtPr>
          <w:sdtContent>
            <w:p w:rsidR="00DE031E" w:rsidRPr="005222C9" w:rsidRDefault="001C1A59" w:rsidP="003A0284">
              <w:pPr>
                <w:pStyle w:val="afb"/>
                <w:snapToGrid w:val="0"/>
                <w:spacing w:beforeLines="50" w:after="120" w:line="360" w:lineRule="auto"/>
                <w:ind w:firstLine="422"/>
                <w:outlineLvl w:val="9"/>
                <w:rPr>
                  <w:rFonts w:ascii="Arial" w:eastAsiaTheme="majorEastAsia" w:hAnsi="Arial" w:cs="Arial"/>
                  <w:sz w:val="22"/>
                  <w:szCs w:val="22"/>
                </w:rPr>
              </w:pPr>
              <w:r w:rsidRPr="005222C9">
                <w:rPr>
                  <w:rFonts w:ascii="Arial" w:eastAsiaTheme="majorEastAsia" w:hAnsi="Arial" w:cs="Arial" w:hint="eastAsia"/>
                  <w:sz w:val="22"/>
                  <w:szCs w:val="22"/>
                </w:rPr>
                <w:t>公司自成立伊始就致力于建立与自身经营战略相一致的、全面的、深入业务一线并富于创造性和前瞻性的风险管理体系。公司风险管理的组织体系由五个层次构成，分别为：董事会的战略性安排，监事会的监督检查，高级管理层及风险管理委员会的风险管理决策，风险管理相关职能部门的风控制衡，其他各部门、分支机构及全资子公司的直接管理。</w:t>
              </w:r>
            </w:p>
            <w:p w:rsidR="00DE031E" w:rsidRDefault="001C1A59" w:rsidP="003A0284">
              <w:pPr>
                <w:pStyle w:val="afb"/>
                <w:snapToGrid w:val="0"/>
                <w:spacing w:beforeLines="50" w:after="120" w:line="360" w:lineRule="auto"/>
                <w:ind w:firstLine="440"/>
                <w:outlineLvl w:val="9"/>
                <w:rPr>
                  <w:rFonts w:ascii="Arial" w:eastAsiaTheme="majorEastAsia" w:hAnsi="Arial" w:cs="Arial"/>
                  <w:sz w:val="22"/>
                  <w:szCs w:val="22"/>
                </w:rPr>
              </w:pPr>
              <w:r w:rsidRPr="005222C9">
                <w:rPr>
                  <w:rFonts w:ascii="Arial" w:eastAsiaTheme="majorEastAsia" w:hAnsi="Arial" w:cs="Arial" w:hint="eastAsia"/>
                  <w:sz w:val="22"/>
                  <w:szCs w:val="22"/>
                </w:rPr>
                <w:t>公司确立了风险管理的三道防线，即各部门及分支机构实施有效的风险管理自我控制为第一道防线，风险管理相关职能部门实施专业的风险管理工作为第二道防线，稽核检查部实施事后监督、评价为第三道防线。</w:t>
              </w:r>
            </w:p>
            <w:p w:rsidR="00DE031E" w:rsidRPr="005222C9" w:rsidRDefault="001C1A59" w:rsidP="003A0284">
              <w:pPr>
                <w:pStyle w:val="afb"/>
                <w:snapToGrid w:val="0"/>
                <w:spacing w:beforeLines="50" w:after="120" w:line="360" w:lineRule="auto"/>
                <w:ind w:firstLine="440"/>
                <w:outlineLvl w:val="9"/>
              </w:pPr>
              <w:r w:rsidRPr="005222C9">
                <w:rPr>
                  <w:rFonts w:ascii="Arial" w:eastAsiaTheme="majorEastAsia" w:hAnsi="Arial" w:cs="Arial" w:hint="eastAsia"/>
                  <w:sz w:val="22"/>
                  <w:szCs w:val="22"/>
                </w:rPr>
                <w:t>公司风险管理组织架构中各部门或岗位履行全面风险管理职责如下：①董事会及董事会风险管理委员会负责审批公司风险偏好、风险容忍度及各类风险限额指标，审批公司经济资本分配方案，每季度召开会议，审议季度风险报告，全面审议公司的风险管理情况。②公司监事会负责对公司全面风险管理体系运行的监督检查。③公司总裁和副总裁所组成的高级管</w:t>
              </w:r>
              <w:r w:rsidRPr="005222C9">
                <w:rPr>
                  <w:rFonts w:ascii="Arial" w:eastAsiaTheme="majorEastAsia" w:hAnsi="Arial" w:cs="Arial" w:hint="eastAsia"/>
                  <w:sz w:val="22"/>
                  <w:szCs w:val="22"/>
                </w:rPr>
                <w:lastRenderedPageBreak/>
                <w:t>理层全面负责业务经营中的风险管理，并定期听取风险评估报告，确定风险控制措施，制定风险限额指标。高级管理层设立风险管理委员会，作为经营层面最高风险决策机构。公司首席风险官职责为推动全面风险管理体系建设，监测、评估、报告公司整体风险水平，并为业务决策提供风险管理建议。④风险管理部作为公司市场、信用、操作风险管理工作的牵头部门，履行市场风险、信用风险管理工作职责，并协助、指导各单位开展操作风险管理工作。公司财务部履行流动性风险管理职能，推进流动性风险管理体系、制度、政策的建立。⑤公司各部门、分支机构及全资子公司对各自所辖的业务及管理领域履行直接的风险管理、监督职能。</w:t>
              </w:r>
            </w:p>
          </w:sdtContent>
        </w:sdt>
      </w:sdtContent>
    </w:sdt>
    <w:sdt>
      <w:sdtPr>
        <w:rPr>
          <w:rFonts w:ascii="宋体" w:hAnsi="宋体" w:cs="宋体"/>
          <w:b w:val="0"/>
          <w:bCs w:val="0"/>
          <w:kern w:val="0"/>
          <w:szCs w:val="24"/>
        </w:rPr>
        <w:tag w:val="_GBC_5a0e36c6f534460c9ffe0042b9e3b0e4"/>
        <w:id w:val="24726970"/>
        <w:lock w:val="sdtLocked"/>
        <w:placeholder>
          <w:docPart w:val="GBC22222222222222222222222222222"/>
        </w:placeholder>
      </w:sdtPr>
      <w:sdtEndPr>
        <w:rPr>
          <w:rFonts w:hint="eastAsia"/>
          <w:szCs w:val="21"/>
        </w:rPr>
      </w:sdtEndPr>
      <w:sdtContent>
        <w:p w:rsidR="00DE031E" w:rsidRDefault="001C1A59" w:rsidP="003A0284">
          <w:pPr>
            <w:pStyle w:val="3"/>
            <w:numPr>
              <w:ilvl w:val="0"/>
              <w:numId w:val="76"/>
            </w:numPr>
            <w:spacing w:beforeLines="50" w:afterLines="50" w:line="360" w:lineRule="auto"/>
            <w:rPr>
              <w:szCs w:val="21"/>
            </w:rPr>
          </w:pPr>
          <w:r>
            <w:t>信用风险</w:t>
          </w:r>
          <w:r w:rsidRPr="00CB58A2">
            <w:rPr>
              <w:rFonts w:ascii="Arial" w:hAnsi="Arial" w:cs="Arial"/>
              <w:sz w:val="22"/>
              <w:szCs w:val="22"/>
            </w:rPr>
            <w:t>及其应对措施</w:t>
          </w:r>
        </w:p>
        <w:sdt>
          <w:sdtPr>
            <w:rPr>
              <w:rFonts w:cs="宋体" w:hint="eastAsia"/>
              <w:kern w:val="0"/>
              <w:szCs w:val="24"/>
            </w:rPr>
            <w:alias w:val="金融企业信用风险状况的说明"/>
            <w:tag w:val="_GBC_aca5b5dec4414c64842013fc49d892a7"/>
            <w:id w:val="24726969"/>
            <w:lock w:val="sdtLocked"/>
            <w:placeholder>
              <w:docPart w:val="GBC22222222222222222222222222222"/>
            </w:placeholder>
          </w:sdtPr>
          <w:sdtContent>
            <w:p w:rsidR="00DE031E" w:rsidRDefault="001C1A59" w:rsidP="003A0284">
              <w:pPr>
                <w:pStyle w:val="afb"/>
                <w:snapToGrid w:val="0"/>
                <w:spacing w:beforeLines="50" w:after="120" w:line="360" w:lineRule="auto"/>
                <w:outlineLvl w:val="9"/>
                <w:rPr>
                  <w:rFonts w:ascii="Arial" w:hAnsi="Arial" w:cs="Arial"/>
                  <w:sz w:val="22"/>
                  <w:szCs w:val="22"/>
                </w:rPr>
              </w:pPr>
              <w:r w:rsidRPr="002656F0">
                <w:rPr>
                  <w:rFonts w:ascii="Arial" w:hAnsi="Arial" w:cs="Arial"/>
                  <w:sz w:val="22"/>
                  <w:szCs w:val="22"/>
                </w:rPr>
                <w:t>公司面临的信用风险是指借款人或交易对手未能履行约定契约中的义务而造成经济损失的风险。主要来自于以下四个方面：（</w:t>
              </w:r>
              <w:r w:rsidRPr="002656F0">
                <w:rPr>
                  <w:rFonts w:ascii="Arial" w:hAnsi="Arial" w:cs="Arial"/>
                  <w:sz w:val="22"/>
                  <w:szCs w:val="22"/>
                </w:rPr>
                <w:t>1</w:t>
              </w:r>
              <w:r w:rsidRPr="002656F0">
                <w:rPr>
                  <w:rFonts w:ascii="Arial" w:hAnsi="Arial" w:cs="Arial"/>
                  <w:sz w:val="22"/>
                  <w:szCs w:val="22"/>
                </w:rPr>
                <w:t>）融资融券、股票质押式回购交易、约定购回式证券交易等业务的客户出现违约，不能偿还对本公司所欠债务的风险；（</w:t>
              </w:r>
              <w:r w:rsidRPr="002656F0">
                <w:rPr>
                  <w:rFonts w:ascii="Arial" w:hAnsi="Arial" w:cs="Arial"/>
                  <w:sz w:val="22"/>
                  <w:szCs w:val="22"/>
                </w:rPr>
                <w:t>2</w:t>
              </w:r>
              <w:r w:rsidRPr="002656F0">
                <w:rPr>
                  <w:rFonts w:ascii="Arial" w:hAnsi="Arial" w:cs="Arial"/>
                  <w:sz w:val="22"/>
                  <w:szCs w:val="22"/>
                </w:rPr>
                <w:t>）债券、信托产品以及其他信用类产品投资业务由于发行人或融资人出现违约，所带来的交易品种不能兑付本息的风险；（</w:t>
              </w:r>
              <w:r w:rsidRPr="002656F0">
                <w:rPr>
                  <w:rFonts w:ascii="Arial" w:hAnsi="Arial" w:cs="Arial"/>
                  <w:sz w:val="22"/>
                  <w:szCs w:val="22"/>
                </w:rPr>
                <w:t>3</w:t>
              </w:r>
              <w:r w:rsidRPr="002656F0">
                <w:rPr>
                  <w:rFonts w:ascii="Arial" w:hAnsi="Arial" w:cs="Arial"/>
                  <w:sz w:val="22"/>
                  <w:szCs w:val="22"/>
                </w:rPr>
                <w:t>）权益互换、利率互换、场外期权等场外衍生品交易中的交易对手不履行支付义务的风险；（</w:t>
              </w:r>
              <w:r w:rsidRPr="002656F0">
                <w:rPr>
                  <w:rFonts w:ascii="Arial" w:hAnsi="Arial" w:cs="Arial"/>
                  <w:sz w:val="22"/>
                  <w:szCs w:val="22"/>
                </w:rPr>
                <w:t>4</w:t>
              </w:r>
              <w:r w:rsidRPr="002656F0">
                <w:rPr>
                  <w:rFonts w:ascii="Arial" w:hAnsi="Arial" w:cs="Arial"/>
                  <w:sz w:val="22"/>
                  <w:szCs w:val="22"/>
                </w:rPr>
                <w:t>）经纪业务代理客户买卖证券、期货及其他金融产品，在结算当日客户资金不足时，代客户进行结算后客户违约而形成的损失。</w:t>
              </w:r>
            </w:p>
            <w:p w:rsidR="00DE031E" w:rsidRPr="00B0399D" w:rsidRDefault="001C1A59" w:rsidP="003A0284">
              <w:pPr>
                <w:pStyle w:val="afb"/>
                <w:snapToGrid w:val="0"/>
                <w:spacing w:beforeLines="50" w:after="120" w:line="360" w:lineRule="auto"/>
                <w:ind w:firstLine="440"/>
                <w:outlineLvl w:val="9"/>
                <w:rPr>
                  <w:rFonts w:ascii="Arial" w:hAnsi="Arial" w:cs="Arial"/>
                  <w:sz w:val="22"/>
                  <w:szCs w:val="22"/>
                </w:rPr>
              </w:pPr>
              <w:r w:rsidRPr="00B0399D">
                <w:rPr>
                  <w:rFonts w:ascii="Arial" w:hAnsi="Arial" w:cs="Arial" w:hint="eastAsia"/>
                  <w:sz w:val="22"/>
                  <w:szCs w:val="22"/>
                </w:rPr>
                <w:t>在融资融券、股票质押式回购交易、约定购回式证券交易等融资类业务方面，公司构建了多层级的业务授权管理体系，并通过客户尽职调查、授信审批、授信后检查、担保品准入与动态调整、逐日盯市、强制平仓、违约处置等方式，建立了完善的事前、事中、事后全流程风险管理体系。</w:t>
              </w:r>
            </w:p>
            <w:p w:rsidR="00DE031E" w:rsidRPr="00B0399D" w:rsidRDefault="001C1A59" w:rsidP="003A0284">
              <w:pPr>
                <w:pStyle w:val="afb"/>
                <w:snapToGrid w:val="0"/>
                <w:spacing w:beforeLines="50" w:after="120" w:line="360" w:lineRule="auto"/>
                <w:ind w:firstLine="440"/>
                <w:outlineLvl w:val="9"/>
                <w:rPr>
                  <w:rFonts w:ascii="Arial" w:hAnsi="Arial" w:cs="Arial"/>
                  <w:sz w:val="22"/>
                  <w:szCs w:val="22"/>
                </w:rPr>
              </w:pPr>
              <w:r w:rsidRPr="00B0399D">
                <w:rPr>
                  <w:rFonts w:ascii="Arial" w:hAnsi="Arial" w:cs="Arial"/>
                  <w:sz w:val="22"/>
                  <w:szCs w:val="22"/>
                </w:rPr>
                <w:t>在</w:t>
              </w:r>
              <w:r w:rsidRPr="00B0399D">
                <w:rPr>
                  <w:rFonts w:ascii="Arial" w:hAnsi="Arial" w:cs="Arial" w:hint="eastAsia"/>
                  <w:sz w:val="22"/>
                  <w:szCs w:val="22"/>
                </w:rPr>
                <w:t>债券</w:t>
              </w:r>
              <w:r w:rsidRPr="00B0399D">
                <w:rPr>
                  <w:rFonts w:ascii="Arial" w:hAnsi="Arial" w:cs="Arial"/>
                  <w:sz w:val="22"/>
                  <w:szCs w:val="22"/>
                </w:rPr>
                <w:t>投资业务方面</w:t>
              </w:r>
              <w:r w:rsidRPr="00B0399D">
                <w:rPr>
                  <w:rFonts w:ascii="Arial" w:hAnsi="Arial" w:cs="Arial" w:hint="eastAsia"/>
                  <w:sz w:val="22"/>
                  <w:szCs w:val="22"/>
                </w:rPr>
                <w:t>，</w:t>
              </w:r>
              <w:r w:rsidRPr="00B0399D">
                <w:rPr>
                  <w:rFonts w:ascii="Arial" w:hAnsi="Arial" w:cs="Arial"/>
                  <w:sz w:val="22"/>
                  <w:szCs w:val="22"/>
                </w:rPr>
                <w:t>公司建立内部信用评级机制来控制债券违约和降级风险以及投资对手的违约风险，通过业务授权限定投资品种和交易对手的最低等级要求，并通过分散化策略降低投资品种和交易对手违约带来的损失程度。</w:t>
              </w:r>
            </w:p>
            <w:p w:rsidR="00DE031E" w:rsidRPr="00B0399D" w:rsidRDefault="001C1A59" w:rsidP="003A0284">
              <w:pPr>
                <w:pStyle w:val="afb"/>
                <w:snapToGrid w:val="0"/>
                <w:spacing w:beforeLines="50" w:after="120" w:line="360" w:lineRule="auto"/>
                <w:ind w:firstLine="440"/>
                <w:outlineLvl w:val="9"/>
                <w:rPr>
                  <w:rFonts w:ascii="Arial" w:hAnsi="Arial" w:cs="Arial"/>
                  <w:sz w:val="22"/>
                  <w:szCs w:val="22"/>
                </w:rPr>
              </w:pPr>
              <w:r w:rsidRPr="00B0399D">
                <w:rPr>
                  <w:rFonts w:ascii="Arial" w:hAnsi="Arial" w:cs="Arial" w:hint="eastAsia"/>
                  <w:sz w:val="22"/>
                  <w:szCs w:val="22"/>
                </w:rPr>
                <w:t>在场外衍生品交易业务方面，公司逐步建立了包括投资者适当性、客户尽职调研、交易对手授信、标的证券折算率规则、有效资产负债比监控、履约担保品管理和客户违约处理等多个方面的管理办法和配套细则，从事前、事中、事后三个环节加强重点管理。</w:t>
              </w:r>
            </w:p>
            <w:p w:rsidR="00DE031E" w:rsidRPr="002656F0" w:rsidRDefault="001C1A59" w:rsidP="003A0284">
              <w:pPr>
                <w:pStyle w:val="afb"/>
                <w:snapToGrid w:val="0"/>
                <w:spacing w:beforeLines="50" w:after="120" w:line="360" w:lineRule="auto"/>
                <w:ind w:firstLine="440"/>
                <w:outlineLvl w:val="9"/>
                <w:rPr>
                  <w:rFonts w:ascii="Arial" w:hAnsi="Arial" w:cs="Arial"/>
                  <w:sz w:val="22"/>
                  <w:szCs w:val="22"/>
                </w:rPr>
              </w:pPr>
              <w:r w:rsidRPr="00B0399D">
                <w:rPr>
                  <w:rFonts w:ascii="Arial" w:hAnsi="Arial" w:cs="Arial" w:hint="eastAsia"/>
                  <w:sz w:val="22"/>
                  <w:szCs w:val="22"/>
                </w:rPr>
                <w:t>在经纪业务方面，境内代理客户的证券交易以全额保证金结算，境外代理客户的证券及其他金融产品交易，通过加</w:t>
              </w:r>
              <w:r w:rsidRPr="002656F0">
                <w:rPr>
                  <w:rFonts w:ascii="Arial" w:hAnsi="Arial" w:cs="Arial" w:hint="eastAsia"/>
                  <w:sz w:val="22"/>
                  <w:szCs w:val="22"/>
                </w:rPr>
                <w:t>强客户授信和保证金管理，有效控制了相关的信用风险。</w:t>
              </w:r>
            </w:p>
            <w:p w:rsidR="00DE031E" w:rsidRPr="00CB58A2" w:rsidRDefault="001C1A59" w:rsidP="003A0284">
              <w:pPr>
                <w:pStyle w:val="afb"/>
                <w:snapToGrid w:val="0"/>
                <w:spacing w:beforeLines="50" w:after="120" w:line="360" w:lineRule="auto"/>
                <w:ind w:firstLine="440"/>
                <w:outlineLvl w:val="9"/>
                <w:rPr>
                  <w:rFonts w:ascii="Arial" w:eastAsiaTheme="majorEastAsia" w:hAnsi="Arial" w:cs="Arial"/>
                  <w:sz w:val="22"/>
                  <w:szCs w:val="22"/>
                </w:rPr>
              </w:pPr>
              <w:r w:rsidRPr="00CB58A2">
                <w:rPr>
                  <w:rFonts w:ascii="Arial" w:eastAsiaTheme="majorEastAsia" w:hAnsi="Arial" w:cs="Arial"/>
                  <w:sz w:val="22"/>
                  <w:szCs w:val="22"/>
                </w:rPr>
                <w:t>报告期末，公司不考虑任何担保物及其他信用增级措施的最大信用风险敞口如下：</w:t>
              </w:r>
            </w:p>
            <w:p w:rsidR="00DE031E" w:rsidRDefault="001C1A59" w:rsidP="009950AC">
              <w:pPr>
                <w:pStyle w:val="afb"/>
                <w:numPr>
                  <w:ilvl w:val="0"/>
                  <w:numId w:val="77"/>
                </w:numPr>
                <w:snapToGrid w:val="0"/>
                <w:spacing w:afterLines="0" w:line="360" w:lineRule="auto"/>
                <w:ind w:firstLineChars="0"/>
                <w:outlineLvl w:val="9"/>
                <w:rPr>
                  <w:rFonts w:ascii="Arial" w:eastAsiaTheme="majorEastAsia" w:hAnsi="Arial" w:cs="Arial"/>
                  <w:sz w:val="22"/>
                  <w:szCs w:val="22"/>
                </w:rPr>
              </w:pPr>
              <w:r w:rsidRPr="00CB58A2">
                <w:rPr>
                  <w:rFonts w:ascii="Arial" w:eastAsiaTheme="majorEastAsia" w:hAnsi="Arial" w:cs="Arial"/>
                  <w:sz w:val="22"/>
                  <w:szCs w:val="22"/>
                </w:rPr>
                <w:t>合并口径</w:t>
              </w:r>
            </w:p>
            <w:p w:rsidR="00DE031E" w:rsidRDefault="00A80CD6" w:rsidP="00DE031E">
              <w:pPr>
                <w:pStyle w:val="afb"/>
                <w:snapToGrid w:val="0"/>
                <w:spacing w:afterLines="0" w:line="360" w:lineRule="auto"/>
                <w:ind w:firstLineChars="0" w:firstLine="0"/>
                <w:jc w:val="right"/>
                <w:outlineLvl w:val="9"/>
                <w:rPr>
                  <w:rFonts w:ascii="Arial" w:eastAsiaTheme="majorEastAsia" w:hAnsi="Arial" w:cs="Arial"/>
                  <w:sz w:val="22"/>
                  <w:szCs w:val="22"/>
                </w:rPr>
              </w:pPr>
              <w:r>
                <w:rPr>
                  <w:rFonts w:hint="eastAsia"/>
                </w:rPr>
                <w:lastRenderedPageBreak/>
                <w:t>单位：元  币种：人民币</w:t>
              </w:r>
            </w:p>
            <w:tbl>
              <w:tblPr>
                <w:tblW w:w="9298" w:type="dxa"/>
                <w:jc w:val="center"/>
                <w:tblLayout w:type="fixed"/>
                <w:tblLook w:val="0000"/>
              </w:tblPr>
              <w:tblGrid>
                <w:gridCol w:w="5211"/>
                <w:gridCol w:w="1740"/>
                <w:gridCol w:w="363"/>
                <w:gridCol w:w="1583"/>
                <w:gridCol w:w="401"/>
              </w:tblGrid>
              <w:tr w:rsidR="00DE031E" w:rsidRPr="007C4560" w:rsidTr="00DA6624">
                <w:trPr>
                  <w:gridAfter w:val="1"/>
                  <w:wAfter w:w="401" w:type="dxa"/>
                  <w:trHeight w:val="340"/>
                  <w:tblHeader/>
                  <w:jc w:val="center"/>
                </w:trPr>
                <w:tc>
                  <w:tcPr>
                    <w:tcW w:w="5211" w:type="dxa"/>
                    <w:vAlign w:val="center"/>
                  </w:tcPr>
                  <w:p w:rsidR="00DE031E" w:rsidRPr="007C4560" w:rsidRDefault="001C1A59" w:rsidP="00DE031E">
                    <w:pPr>
                      <w:pStyle w:val="Default"/>
                      <w:spacing w:line="360" w:lineRule="auto"/>
                      <w:jc w:val="both"/>
                      <w:rPr>
                        <w:rFonts w:asciiTheme="minorEastAsia" w:eastAsiaTheme="minorEastAsia" w:hAnsiTheme="minorEastAsia" w:cs="Arial"/>
                        <w:b/>
                        <w:sz w:val="18"/>
                        <w:szCs w:val="18"/>
                      </w:rPr>
                    </w:pPr>
                    <w:r w:rsidRPr="007C4560">
                      <w:rPr>
                        <w:rFonts w:asciiTheme="minorEastAsia" w:eastAsiaTheme="minorEastAsia" w:hAnsiTheme="minorEastAsia" w:cs="Arial"/>
                        <w:b/>
                        <w:sz w:val="18"/>
                        <w:szCs w:val="18"/>
                      </w:rPr>
                      <w:t>项目</w:t>
                    </w:r>
                  </w:p>
                </w:tc>
                <w:tc>
                  <w:tcPr>
                    <w:tcW w:w="1740" w:type="dxa"/>
                    <w:vAlign w:val="center"/>
                  </w:tcPr>
                  <w:p w:rsidR="00DE031E" w:rsidRPr="007C4560" w:rsidRDefault="001C1A59" w:rsidP="00DE031E">
                    <w:pPr>
                      <w:pStyle w:val="Default"/>
                      <w:spacing w:line="360" w:lineRule="auto"/>
                      <w:jc w:val="right"/>
                      <w:rPr>
                        <w:rFonts w:asciiTheme="minorEastAsia" w:eastAsiaTheme="minorEastAsia" w:hAnsiTheme="minorEastAsia" w:cs="Arial"/>
                        <w:b/>
                        <w:sz w:val="18"/>
                        <w:szCs w:val="18"/>
                        <w:u w:val="single"/>
                      </w:rPr>
                    </w:pPr>
                    <w:r w:rsidRPr="007C4560">
                      <w:rPr>
                        <w:rFonts w:asciiTheme="minorEastAsia" w:eastAsiaTheme="minorEastAsia" w:hAnsiTheme="minorEastAsia" w:cs="Arial"/>
                        <w:b/>
                        <w:sz w:val="18"/>
                        <w:szCs w:val="18"/>
                        <w:u w:val="single"/>
                      </w:rPr>
                      <w:t>201</w:t>
                    </w:r>
                    <w:r w:rsidRPr="007C4560">
                      <w:rPr>
                        <w:rFonts w:asciiTheme="minorEastAsia" w:eastAsiaTheme="minorEastAsia" w:hAnsiTheme="minorEastAsia" w:cs="Arial" w:hint="eastAsia"/>
                        <w:b/>
                        <w:sz w:val="18"/>
                        <w:szCs w:val="18"/>
                        <w:u w:val="single"/>
                      </w:rPr>
                      <w:t>5</w:t>
                    </w:r>
                    <w:r w:rsidRPr="007C4560">
                      <w:rPr>
                        <w:rFonts w:asciiTheme="minorEastAsia" w:eastAsiaTheme="minorEastAsia" w:hAnsiTheme="minorEastAsia" w:cs="Arial"/>
                        <w:b/>
                        <w:sz w:val="18"/>
                        <w:szCs w:val="18"/>
                        <w:u w:val="single"/>
                      </w:rPr>
                      <w:t>年</w:t>
                    </w:r>
                    <w:r w:rsidRPr="007C4560">
                      <w:rPr>
                        <w:rFonts w:asciiTheme="minorEastAsia" w:eastAsiaTheme="minorEastAsia" w:hAnsiTheme="minorEastAsia" w:cs="Arial" w:hint="eastAsia"/>
                        <w:b/>
                        <w:sz w:val="18"/>
                        <w:szCs w:val="18"/>
                        <w:u w:val="single"/>
                      </w:rPr>
                      <w:t>6</w:t>
                    </w:r>
                    <w:r w:rsidRPr="007C4560">
                      <w:rPr>
                        <w:rFonts w:asciiTheme="minorEastAsia" w:eastAsiaTheme="minorEastAsia" w:hAnsiTheme="minorEastAsia" w:cs="Arial"/>
                        <w:b/>
                        <w:sz w:val="18"/>
                        <w:szCs w:val="18"/>
                        <w:u w:val="single"/>
                      </w:rPr>
                      <w:t>月3</w:t>
                    </w:r>
                    <w:r w:rsidRPr="007C4560">
                      <w:rPr>
                        <w:rFonts w:asciiTheme="minorEastAsia" w:eastAsiaTheme="minorEastAsia" w:hAnsiTheme="minorEastAsia" w:cs="Arial" w:hint="eastAsia"/>
                        <w:b/>
                        <w:sz w:val="18"/>
                        <w:szCs w:val="18"/>
                        <w:u w:val="single"/>
                      </w:rPr>
                      <w:t>0</w:t>
                    </w:r>
                    <w:r w:rsidRPr="007C4560">
                      <w:rPr>
                        <w:rFonts w:asciiTheme="minorEastAsia" w:eastAsiaTheme="minorEastAsia" w:hAnsiTheme="minorEastAsia" w:cs="Arial"/>
                        <w:b/>
                        <w:sz w:val="18"/>
                        <w:szCs w:val="18"/>
                        <w:u w:val="single"/>
                      </w:rPr>
                      <w:t>日</w:t>
                    </w:r>
                  </w:p>
                </w:tc>
                <w:tc>
                  <w:tcPr>
                    <w:tcW w:w="1946" w:type="dxa"/>
                    <w:gridSpan w:val="2"/>
                    <w:vAlign w:val="center"/>
                  </w:tcPr>
                  <w:p w:rsidR="00DE031E" w:rsidRPr="007C4560" w:rsidRDefault="001C1A59" w:rsidP="00DE031E">
                    <w:pPr>
                      <w:pStyle w:val="Default"/>
                      <w:spacing w:line="360" w:lineRule="auto"/>
                      <w:jc w:val="right"/>
                      <w:rPr>
                        <w:rFonts w:asciiTheme="minorEastAsia" w:eastAsiaTheme="minorEastAsia" w:hAnsiTheme="minorEastAsia" w:cs="Arial"/>
                        <w:b/>
                        <w:sz w:val="18"/>
                        <w:szCs w:val="18"/>
                        <w:u w:val="single"/>
                      </w:rPr>
                    </w:pPr>
                    <w:r w:rsidRPr="007C4560">
                      <w:rPr>
                        <w:rFonts w:asciiTheme="minorEastAsia" w:eastAsiaTheme="minorEastAsia" w:hAnsiTheme="minorEastAsia" w:cs="Arial"/>
                        <w:b/>
                        <w:sz w:val="18"/>
                        <w:szCs w:val="18"/>
                        <w:u w:val="single"/>
                      </w:rPr>
                      <w:t>2014年12月31日</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可供出售金融资产（注1）</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12,379,042,762.39</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13,094,200,925.96</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以公允价值计量且其变动计入当期损益的金融资产（注2）</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22,506,323,760.57</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17,443,510,519.73</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衍生金融资产</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855,196,391.76</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12,015,035.74</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融出资金</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114,825,448,408.34</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58,595,164,547.26</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买入返售金融资产</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13,032,488,250.70</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7,544,698,525.53</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应收款项</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3,799,156,931.51</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2,066,943,222.53</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应收利息</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863,096,647.83</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399,423,388.12</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存出保证金</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693,286,364.58</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244,680,057.67</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结算备付金</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24,774,448,840.92</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12,191,800,738.04</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firstLineChars="150" w:firstLine="270"/>
                      <w:rPr>
                        <w:rFonts w:asciiTheme="minorEastAsia" w:eastAsiaTheme="minorEastAsia" w:hAnsiTheme="minorEastAsia"/>
                        <w:color w:val="000000"/>
                        <w:sz w:val="18"/>
                        <w:szCs w:val="18"/>
                      </w:rPr>
                    </w:pPr>
                    <w:r w:rsidRPr="007C4560">
                      <w:rPr>
                        <w:rFonts w:asciiTheme="minorEastAsia" w:eastAsiaTheme="minorEastAsia" w:hAnsiTheme="minorEastAsia" w:hint="eastAsia"/>
                        <w:color w:val="000000"/>
                        <w:sz w:val="18"/>
                        <w:szCs w:val="18"/>
                      </w:rPr>
                      <w:t>其中：客户备付金</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22,855,353,410.25</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11,033,050,511.03</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货币资金</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129,225,249,570.04</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54,866,893,638.48</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ind w:leftChars="135" w:left="283" w:firstLineChars="150" w:firstLine="270"/>
                      <w:rPr>
                        <w:rFonts w:asciiTheme="minorEastAsia" w:eastAsiaTheme="minorEastAsia" w:hAnsiTheme="minorEastAsia"/>
                        <w:sz w:val="18"/>
                        <w:szCs w:val="18"/>
                      </w:rPr>
                    </w:pPr>
                    <w:r w:rsidRPr="007C4560">
                      <w:rPr>
                        <w:rFonts w:asciiTheme="minorEastAsia" w:eastAsiaTheme="minorEastAsia" w:hAnsiTheme="minorEastAsia" w:hint="eastAsia"/>
                        <w:sz w:val="18"/>
                        <w:szCs w:val="18"/>
                      </w:rPr>
                      <w:t>其中：客户资金</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112,520,512,161.13</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sz w:val="18"/>
                        <w:szCs w:val="18"/>
                      </w:rPr>
                    </w:pPr>
                    <w:r w:rsidRPr="007C4560">
                      <w:rPr>
                        <w:rFonts w:asciiTheme="minorEastAsia" w:eastAsiaTheme="minorEastAsia" w:hAnsiTheme="minorEastAsia" w:cs="Arial"/>
                        <w:sz w:val="18"/>
                        <w:szCs w:val="18"/>
                      </w:rPr>
                      <w:t>47,486,938,045.51</w:t>
                    </w:r>
                  </w:p>
                </w:tc>
              </w:tr>
              <w:tr w:rsidR="00DE031E" w:rsidRPr="007C4560" w:rsidTr="00DA6624">
                <w:trPr>
                  <w:trHeight w:val="340"/>
                  <w:jc w:val="center"/>
                </w:trPr>
                <w:tc>
                  <w:tcPr>
                    <w:tcW w:w="5211" w:type="dxa"/>
                    <w:vAlign w:val="center"/>
                  </w:tcPr>
                  <w:p w:rsidR="00DE031E" w:rsidRPr="007C4560" w:rsidRDefault="001C1A59" w:rsidP="00DE031E">
                    <w:pPr>
                      <w:spacing w:line="360" w:lineRule="auto"/>
                      <w:rPr>
                        <w:rFonts w:asciiTheme="minorEastAsia" w:eastAsiaTheme="minorEastAsia" w:hAnsiTheme="minorEastAsia"/>
                        <w:b/>
                        <w:sz w:val="18"/>
                        <w:szCs w:val="18"/>
                      </w:rPr>
                    </w:pPr>
                    <w:r w:rsidRPr="007C4560">
                      <w:rPr>
                        <w:rFonts w:asciiTheme="minorEastAsia" w:eastAsiaTheme="minorEastAsia" w:hAnsiTheme="minorEastAsia" w:hint="eastAsia"/>
                        <w:b/>
                        <w:sz w:val="18"/>
                        <w:szCs w:val="18"/>
                      </w:rPr>
                      <w:t>最大信用风险敞口</w:t>
                    </w:r>
                  </w:p>
                </w:tc>
                <w:tc>
                  <w:tcPr>
                    <w:tcW w:w="2103" w:type="dxa"/>
                    <w:gridSpan w:val="2"/>
                    <w:vAlign w:val="center"/>
                  </w:tcPr>
                  <w:p w:rsidR="00DE031E" w:rsidRPr="007C4560" w:rsidRDefault="001C1A59" w:rsidP="00DE031E">
                    <w:pPr>
                      <w:spacing w:line="360" w:lineRule="auto"/>
                      <w:jc w:val="right"/>
                      <w:rPr>
                        <w:rFonts w:asciiTheme="minorEastAsia" w:eastAsiaTheme="minorEastAsia" w:hAnsiTheme="minorEastAsia" w:cs="Arial"/>
                        <w:b/>
                        <w:sz w:val="18"/>
                        <w:szCs w:val="18"/>
                      </w:rPr>
                    </w:pPr>
                    <w:r w:rsidRPr="007C4560">
                      <w:rPr>
                        <w:rFonts w:asciiTheme="minorEastAsia" w:eastAsiaTheme="minorEastAsia" w:hAnsiTheme="minorEastAsia" w:cs="Arial"/>
                        <w:b/>
                        <w:sz w:val="18"/>
                        <w:szCs w:val="18"/>
                      </w:rPr>
                      <w:t>322,953,737,928.64</w:t>
                    </w:r>
                  </w:p>
                </w:tc>
                <w:tc>
                  <w:tcPr>
                    <w:tcW w:w="1984" w:type="dxa"/>
                    <w:gridSpan w:val="2"/>
                    <w:vAlign w:val="center"/>
                  </w:tcPr>
                  <w:p w:rsidR="00DE031E" w:rsidRPr="007C4560" w:rsidRDefault="001C1A59" w:rsidP="00DE031E">
                    <w:pPr>
                      <w:spacing w:line="360" w:lineRule="auto"/>
                      <w:jc w:val="right"/>
                      <w:rPr>
                        <w:rFonts w:asciiTheme="minorEastAsia" w:eastAsiaTheme="minorEastAsia" w:hAnsiTheme="minorEastAsia" w:cs="Arial"/>
                        <w:b/>
                        <w:sz w:val="18"/>
                        <w:szCs w:val="18"/>
                      </w:rPr>
                    </w:pPr>
                    <w:r w:rsidRPr="007C4560">
                      <w:rPr>
                        <w:rFonts w:asciiTheme="minorEastAsia" w:eastAsiaTheme="minorEastAsia" w:hAnsiTheme="minorEastAsia" w:cs="Arial"/>
                        <w:b/>
                        <w:sz w:val="18"/>
                        <w:szCs w:val="18"/>
                      </w:rPr>
                      <w:t>166,459,330,599.06</w:t>
                    </w:r>
                  </w:p>
                </w:tc>
              </w:tr>
            </w:tbl>
            <w:p w:rsidR="00DE031E" w:rsidRDefault="001C1A59" w:rsidP="009950AC">
              <w:pPr>
                <w:pStyle w:val="afb"/>
                <w:numPr>
                  <w:ilvl w:val="0"/>
                  <w:numId w:val="77"/>
                </w:numPr>
                <w:snapToGrid w:val="0"/>
                <w:spacing w:afterLines="0" w:line="360" w:lineRule="auto"/>
                <w:ind w:firstLineChars="0"/>
                <w:outlineLvl w:val="9"/>
                <w:rPr>
                  <w:rFonts w:ascii="Arial" w:eastAsiaTheme="majorEastAsia" w:hAnsi="Arial" w:cs="Arial"/>
                  <w:sz w:val="22"/>
                  <w:szCs w:val="22"/>
                </w:rPr>
              </w:pPr>
              <w:r w:rsidRPr="00CB58A2">
                <w:rPr>
                  <w:rFonts w:ascii="Arial" w:eastAsiaTheme="majorEastAsia" w:hAnsi="Arial" w:cs="Arial"/>
                  <w:sz w:val="22"/>
                  <w:szCs w:val="22"/>
                </w:rPr>
                <w:t>母公司</w:t>
              </w:r>
            </w:p>
            <w:p w:rsidR="00DE031E" w:rsidRDefault="00A80CD6" w:rsidP="00DE031E">
              <w:pPr>
                <w:pStyle w:val="afb"/>
                <w:snapToGrid w:val="0"/>
                <w:spacing w:afterLines="0" w:line="360" w:lineRule="auto"/>
                <w:ind w:left="1160" w:right="110" w:firstLineChars="0" w:firstLine="0"/>
                <w:jc w:val="right"/>
                <w:outlineLvl w:val="9"/>
                <w:rPr>
                  <w:rFonts w:ascii="Arial" w:eastAsiaTheme="majorEastAsia" w:hAnsi="Arial" w:cs="Arial"/>
                  <w:sz w:val="22"/>
                  <w:szCs w:val="22"/>
                </w:rPr>
              </w:pPr>
              <w:r>
                <w:rPr>
                  <w:rFonts w:hint="eastAsia"/>
                </w:rPr>
                <w:t>单位：元  币种：人民币</w:t>
              </w:r>
            </w:p>
            <w:tbl>
              <w:tblPr>
                <w:tblW w:w="9180" w:type="dxa"/>
                <w:jc w:val="center"/>
                <w:tblLayout w:type="fixed"/>
                <w:tblLook w:val="0000"/>
              </w:tblPr>
              <w:tblGrid>
                <w:gridCol w:w="5211"/>
                <w:gridCol w:w="1985"/>
                <w:gridCol w:w="1701"/>
                <w:gridCol w:w="283"/>
              </w:tblGrid>
              <w:tr w:rsidR="00DE031E" w:rsidRPr="002817C1" w:rsidTr="00DE031E">
                <w:trPr>
                  <w:gridAfter w:val="1"/>
                  <w:wAfter w:w="283" w:type="dxa"/>
                  <w:trHeight w:val="340"/>
                  <w:tblHeader/>
                  <w:jc w:val="center"/>
                </w:trPr>
                <w:tc>
                  <w:tcPr>
                    <w:tcW w:w="5211" w:type="dxa"/>
                    <w:vAlign w:val="center"/>
                  </w:tcPr>
                  <w:p w:rsidR="00DE031E" w:rsidRPr="002817C1" w:rsidRDefault="001C1A59" w:rsidP="00DE031E">
                    <w:pPr>
                      <w:pStyle w:val="Default"/>
                      <w:spacing w:line="360" w:lineRule="auto"/>
                      <w:jc w:val="both"/>
                      <w:rPr>
                        <w:rFonts w:asciiTheme="minorEastAsia" w:eastAsiaTheme="minorEastAsia" w:hAnsiTheme="minorEastAsia" w:cs="Arial"/>
                        <w:b/>
                        <w:sz w:val="18"/>
                        <w:szCs w:val="18"/>
                      </w:rPr>
                    </w:pPr>
                    <w:r w:rsidRPr="002817C1">
                      <w:rPr>
                        <w:rFonts w:asciiTheme="minorEastAsia" w:eastAsiaTheme="minorEastAsia" w:hAnsiTheme="minorEastAsia" w:cs="Arial"/>
                        <w:b/>
                        <w:sz w:val="18"/>
                        <w:szCs w:val="18"/>
                      </w:rPr>
                      <w:t>项目</w:t>
                    </w:r>
                  </w:p>
                </w:tc>
                <w:tc>
                  <w:tcPr>
                    <w:tcW w:w="1985" w:type="dxa"/>
                    <w:vAlign w:val="center"/>
                  </w:tcPr>
                  <w:p w:rsidR="00DE031E" w:rsidRPr="002817C1" w:rsidRDefault="001C1A59" w:rsidP="00DE031E">
                    <w:pPr>
                      <w:pStyle w:val="Default"/>
                      <w:spacing w:line="360" w:lineRule="auto"/>
                      <w:jc w:val="right"/>
                      <w:rPr>
                        <w:rFonts w:asciiTheme="minorEastAsia" w:eastAsiaTheme="minorEastAsia" w:hAnsiTheme="minorEastAsia" w:cs="Arial"/>
                        <w:b/>
                        <w:sz w:val="18"/>
                        <w:szCs w:val="18"/>
                        <w:u w:val="single"/>
                      </w:rPr>
                    </w:pPr>
                    <w:r w:rsidRPr="002817C1">
                      <w:rPr>
                        <w:rFonts w:asciiTheme="minorEastAsia" w:eastAsiaTheme="minorEastAsia" w:hAnsiTheme="minorEastAsia" w:cs="Arial"/>
                        <w:b/>
                        <w:sz w:val="18"/>
                        <w:szCs w:val="18"/>
                        <w:u w:val="single"/>
                      </w:rPr>
                      <w:t>201</w:t>
                    </w:r>
                    <w:r w:rsidRPr="002817C1">
                      <w:rPr>
                        <w:rFonts w:asciiTheme="minorEastAsia" w:eastAsiaTheme="minorEastAsia" w:hAnsiTheme="minorEastAsia" w:cs="Arial" w:hint="eastAsia"/>
                        <w:b/>
                        <w:sz w:val="18"/>
                        <w:szCs w:val="18"/>
                        <w:u w:val="single"/>
                      </w:rPr>
                      <w:t>5</w:t>
                    </w:r>
                    <w:r w:rsidRPr="002817C1">
                      <w:rPr>
                        <w:rFonts w:asciiTheme="minorEastAsia" w:eastAsiaTheme="minorEastAsia" w:hAnsiTheme="minorEastAsia" w:cs="Arial"/>
                        <w:b/>
                        <w:sz w:val="18"/>
                        <w:szCs w:val="18"/>
                        <w:u w:val="single"/>
                      </w:rPr>
                      <w:t>年</w:t>
                    </w:r>
                    <w:r w:rsidRPr="002817C1">
                      <w:rPr>
                        <w:rFonts w:asciiTheme="minorEastAsia" w:eastAsiaTheme="minorEastAsia" w:hAnsiTheme="minorEastAsia" w:cs="Arial" w:hint="eastAsia"/>
                        <w:b/>
                        <w:sz w:val="18"/>
                        <w:szCs w:val="18"/>
                        <w:u w:val="single"/>
                      </w:rPr>
                      <w:t>6</w:t>
                    </w:r>
                    <w:r w:rsidRPr="002817C1">
                      <w:rPr>
                        <w:rFonts w:asciiTheme="minorEastAsia" w:eastAsiaTheme="minorEastAsia" w:hAnsiTheme="minorEastAsia" w:cs="Arial"/>
                        <w:b/>
                        <w:sz w:val="18"/>
                        <w:szCs w:val="18"/>
                        <w:u w:val="single"/>
                      </w:rPr>
                      <w:t>月3</w:t>
                    </w:r>
                    <w:r w:rsidRPr="002817C1">
                      <w:rPr>
                        <w:rFonts w:asciiTheme="minorEastAsia" w:eastAsiaTheme="minorEastAsia" w:hAnsiTheme="minorEastAsia" w:cs="Arial" w:hint="eastAsia"/>
                        <w:b/>
                        <w:sz w:val="18"/>
                        <w:szCs w:val="18"/>
                        <w:u w:val="single"/>
                      </w:rPr>
                      <w:t>0</w:t>
                    </w:r>
                    <w:r w:rsidRPr="002817C1">
                      <w:rPr>
                        <w:rFonts w:asciiTheme="minorEastAsia" w:eastAsiaTheme="minorEastAsia" w:hAnsiTheme="minorEastAsia" w:cs="Arial"/>
                        <w:b/>
                        <w:sz w:val="18"/>
                        <w:szCs w:val="18"/>
                        <w:u w:val="single"/>
                      </w:rPr>
                      <w:t>日</w:t>
                    </w:r>
                  </w:p>
                </w:tc>
                <w:tc>
                  <w:tcPr>
                    <w:tcW w:w="1701" w:type="dxa"/>
                    <w:vAlign w:val="center"/>
                  </w:tcPr>
                  <w:p w:rsidR="00DE031E" w:rsidRPr="002817C1" w:rsidRDefault="001C1A59" w:rsidP="00DE031E">
                    <w:pPr>
                      <w:pStyle w:val="Default"/>
                      <w:spacing w:line="360" w:lineRule="auto"/>
                      <w:jc w:val="right"/>
                      <w:rPr>
                        <w:rFonts w:asciiTheme="minorEastAsia" w:eastAsiaTheme="minorEastAsia" w:hAnsiTheme="minorEastAsia" w:cs="Arial"/>
                        <w:b/>
                        <w:sz w:val="18"/>
                        <w:szCs w:val="18"/>
                        <w:u w:val="single"/>
                      </w:rPr>
                    </w:pPr>
                    <w:r w:rsidRPr="002817C1">
                      <w:rPr>
                        <w:rFonts w:asciiTheme="minorEastAsia" w:eastAsiaTheme="minorEastAsia" w:hAnsiTheme="minorEastAsia" w:cs="Arial"/>
                        <w:b/>
                        <w:sz w:val="18"/>
                        <w:szCs w:val="18"/>
                        <w:u w:val="single"/>
                      </w:rPr>
                      <w:t>2014年12月31日</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可供出售金融资产（注1）</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12,379,042,762.39</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13,094,200,926.36</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以公允价值计量且其变动计入当期损益的金融资产（注2）</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21,403,666,943.95</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15,685,808,033.42</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衍生金融资产</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823,974,828.38</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4,860,096.20</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融出资金</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112,177,470,744.80</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56,850,714,608.73</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买入返售金融资产</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12,301,032,250.70</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6,506,532,525.53</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应收款项</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538,104,182.01</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276,095,104.60</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应收利息</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814,004,217.25</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368,675,259.92</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存出保证金</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1,356,728,239.11</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591,685,937.85</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结算备付金</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21,829,264,015.71</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9,999,553,557.25</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firstLineChars="150" w:firstLine="270"/>
                      <w:rPr>
                        <w:rFonts w:asciiTheme="minorEastAsia" w:eastAsiaTheme="minorEastAsia" w:hAnsiTheme="minorEastAsia"/>
                        <w:color w:val="000000"/>
                        <w:sz w:val="18"/>
                        <w:szCs w:val="18"/>
                      </w:rPr>
                    </w:pPr>
                    <w:r w:rsidRPr="002817C1">
                      <w:rPr>
                        <w:rFonts w:asciiTheme="minorEastAsia" w:eastAsiaTheme="minorEastAsia" w:hAnsiTheme="minorEastAsia" w:hint="eastAsia"/>
                        <w:color w:val="000000"/>
                        <w:sz w:val="18"/>
                        <w:szCs w:val="18"/>
                      </w:rPr>
                      <w:t>其中：客户备付金</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20,017,216,801.04</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9,045,857,528.66</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货币资金</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116,876,493,001.24</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cs="Arial"/>
                        <w:sz w:val="18"/>
                        <w:szCs w:val="18"/>
                      </w:rPr>
                    </w:pPr>
                    <w:r w:rsidRPr="002817C1">
                      <w:rPr>
                        <w:rFonts w:asciiTheme="minorEastAsia" w:eastAsiaTheme="minorEastAsia" w:hAnsiTheme="minorEastAsia" w:cs="Arial"/>
                        <w:sz w:val="18"/>
                        <w:szCs w:val="18"/>
                      </w:rPr>
                      <w:t>46,249,156,044.23</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ind w:leftChars="135" w:left="283" w:firstLineChars="150" w:firstLine="270"/>
                      <w:rPr>
                        <w:rFonts w:asciiTheme="minorEastAsia" w:eastAsiaTheme="minorEastAsia" w:hAnsiTheme="minorEastAsia"/>
                        <w:sz w:val="18"/>
                        <w:szCs w:val="18"/>
                      </w:rPr>
                    </w:pPr>
                    <w:r w:rsidRPr="002817C1">
                      <w:rPr>
                        <w:rFonts w:asciiTheme="minorEastAsia" w:eastAsiaTheme="minorEastAsia" w:hAnsiTheme="minorEastAsia" w:hint="eastAsia"/>
                        <w:sz w:val="18"/>
                        <w:szCs w:val="18"/>
                      </w:rPr>
                      <w:t>其中：客户资金</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sz w:val="18"/>
                        <w:szCs w:val="18"/>
                      </w:rPr>
                    </w:pPr>
                    <w:r w:rsidRPr="002817C1">
                      <w:rPr>
                        <w:rFonts w:asciiTheme="minorEastAsia" w:eastAsiaTheme="minorEastAsia" w:hAnsiTheme="minorEastAsia"/>
                        <w:sz w:val="18"/>
                        <w:szCs w:val="18"/>
                      </w:rPr>
                      <w:t>102,110,416,067.82</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sz w:val="18"/>
                        <w:szCs w:val="18"/>
                      </w:rPr>
                    </w:pPr>
                    <w:r w:rsidRPr="002817C1">
                      <w:rPr>
                        <w:rFonts w:asciiTheme="minorEastAsia" w:eastAsiaTheme="minorEastAsia" w:hAnsiTheme="minorEastAsia"/>
                        <w:sz w:val="18"/>
                        <w:szCs w:val="18"/>
                      </w:rPr>
                      <w:t>40,518,992,257.79</w:t>
                    </w:r>
                  </w:p>
                </w:tc>
              </w:tr>
              <w:tr w:rsidR="00DE031E" w:rsidRPr="002817C1" w:rsidTr="00DE031E">
                <w:trPr>
                  <w:trHeight w:val="340"/>
                  <w:jc w:val="center"/>
                </w:trPr>
                <w:tc>
                  <w:tcPr>
                    <w:tcW w:w="5211" w:type="dxa"/>
                    <w:vAlign w:val="center"/>
                  </w:tcPr>
                  <w:p w:rsidR="00DE031E" w:rsidRPr="002817C1" w:rsidRDefault="001C1A59" w:rsidP="00DE031E">
                    <w:pPr>
                      <w:spacing w:line="360" w:lineRule="auto"/>
                      <w:rPr>
                        <w:rFonts w:asciiTheme="minorEastAsia" w:eastAsiaTheme="minorEastAsia" w:hAnsiTheme="minorEastAsia"/>
                        <w:b/>
                        <w:sz w:val="18"/>
                        <w:szCs w:val="18"/>
                      </w:rPr>
                    </w:pPr>
                    <w:r w:rsidRPr="002817C1">
                      <w:rPr>
                        <w:rFonts w:asciiTheme="minorEastAsia" w:eastAsiaTheme="minorEastAsia" w:hAnsiTheme="minorEastAsia" w:hint="eastAsia"/>
                        <w:b/>
                        <w:sz w:val="18"/>
                        <w:szCs w:val="18"/>
                      </w:rPr>
                      <w:t>最大信用风险敞口</w:t>
                    </w:r>
                  </w:p>
                </w:tc>
                <w:tc>
                  <w:tcPr>
                    <w:tcW w:w="1985" w:type="dxa"/>
                    <w:vAlign w:val="center"/>
                  </w:tcPr>
                  <w:p w:rsidR="00DE031E" w:rsidRPr="002817C1" w:rsidRDefault="001C1A59" w:rsidP="00DE031E">
                    <w:pPr>
                      <w:spacing w:line="360" w:lineRule="auto"/>
                      <w:jc w:val="right"/>
                      <w:rPr>
                        <w:rFonts w:asciiTheme="minorEastAsia" w:eastAsiaTheme="minorEastAsia" w:hAnsiTheme="minorEastAsia"/>
                        <w:b/>
                        <w:sz w:val="18"/>
                        <w:szCs w:val="18"/>
                      </w:rPr>
                    </w:pPr>
                    <w:r w:rsidRPr="002817C1">
                      <w:rPr>
                        <w:rFonts w:asciiTheme="minorEastAsia" w:eastAsiaTheme="minorEastAsia" w:hAnsiTheme="minorEastAsia"/>
                        <w:b/>
                        <w:sz w:val="18"/>
                        <w:szCs w:val="18"/>
                      </w:rPr>
                      <w:t>300,499,781,1</w:t>
                    </w:r>
                    <w:r w:rsidRPr="002817C1">
                      <w:rPr>
                        <w:rFonts w:asciiTheme="minorEastAsia" w:eastAsiaTheme="minorEastAsia" w:hAnsiTheme="minorEastAsia" w:hint="eastAsia"/>
                        <w:b/>
                        <w:sz w:val="18"/>
                        <w:szCs w:val="18"/>
                      </w:rPr>
                      <w:t xml:space="preserve">85.54     </w:t>
                    </w:r>
                  </w:p>
                </w:tc>
                <w:tc>
                  <w:tcPr>
                    <w:tcW w:w="1984" w:type="dxa"/>
                    <w:gridSpan w:val="2"/>
                    <w:vAlign w:val="center"/>
                  </w:tcPr>
                  <w:p w:rsidR="00DE031E" w:rsidRPr="002817C1" w:rsidRDefault="001C1A59" w:rsidP="00DE031E">
                    <w:pPr>
                      <w:spacing w:line="360" w:lineRule="auto"/>
                      <w:jc w:val="right"/>
                      <w:rPr>
                        <w:rFonts w:asciiTheme="minorEastAsia" w:eastAsiaTheme="minorEastAsia" w:hAnsiTheme="minorEastAsia"/>
                        <w:b/>
                        <w:sz w:val="18"/>
                        <w:szCs w:val="18"/>
                      </w:rPr>
                    </w:pPr>
                    <w:r w:rsidRPr="002817C1">
                      <w:rPr>
                        <w:rFonts w:asciiTheme="minorEastAsia" w:eastAsiaTheme="minorEastAsia" w:hAnsiTheme="minorEastAsia"/>
                        <w:b/>
                        <w:sz w:val="18"/>
                        <w:szCs w:val="18"/>
                      </w:rPr>
                      <w:t>149,627,282,094.09</w:t>
                    </w:r>
                  </w:p>
                </w:tc>
              </w:tr>
            </w:tbl>
            <w:p w:rsidR="00DE031E" w:rsidRDefault="001C1A59" w:rsidP="00DE031E">
              <w:pPr>
                <w:pStyle w:val="afb"/>
                <w:spacing w:afterLines="0" w:line="360" w:lineRule="auto"/>
                <w:ind w:firstLine="440"/>
                <w:outlineLvl w:val="9"/>
                <w:rPr>
                  <w:rFonts w:ascii="Arial" w:eastAsiaTheme="majorEastAsia" w:hAnsi="Arial" w:cs="Arial"/>
                  <w:sz w:val="22"/>
                  <w:szCs w:val="22"/>
                </w:rPr>
              </w:pPr>
              <w:r w:rsidRPr="001C5B75">
                <w:rPr>
                  <w:rFonts w:ascii="Arial" w:eastAsiaTheme="majorEastAsia" w:hAnsi="Arial" w:cs="Arial" w:hint="eastAsia"/>
                  <w:sz w:val="22"/>
                  <w:szCs w:val="22"/>
                </w:rPr>
                <w:t>注</w:t>
              </w:r>
              <w:r>
                <w:rPr>
                  <w:rFonts w:ascii="Arial" w:eastAsiaTheme="majorEastAsia" w:hAnsi="Arial" w:cs="Arial" w:hint="eastAsia"/>
                  <w:sz w:val="22"/>
                  <w:szCs w:val="22"/>
                </w:rPr>
                <w:t>1</w:t>
              </w:r>
              <w:r w:rsidRPr="001C5B75">
                <w:rPr>
                  <w:rFonts w:ascii="Arial" w:eastAsiaTheme="majorEastAsia" w:hAnsi="Arial" w:cs="Arial" w:hint="eastAsia"/>
                  <w:sz w:val="22"/>
                  <w:szCs w:val="22"/>
                </w:rPr>
                <w:t>：可供出售金融资产中的信用风险敞口包括债券、永续债、</w:t>
              </w:r>
              <w:r>
                <w:rPr>
                  <w:rFonts w:ascii="Arial" w:eastAsiaTheme="majorEastAsia" w:hAnsi="Arial" w:cs="Arial" w:hint="eastAsia"/>
                  <w:sz w:val="22"/>
                  <w:szCs w:val="22"/>
                </w:rPr>
                <w:t>融出证券、</w:t>
              </w:r>
              <w:r w:rsidRPr="001C5B75">
                <w:rPr>
                  <w:rFonts w:ascii="Arial" w:eastAsiaTheme="majorEastAsia" w:hAnsi="Arial" w:cs="Arial" w:hint="eastAsia"/>
                  <w:sz w:val="22"/>
                  <w:szCs w:val="22"/>
                </w:rPr>
                <w:t>信托计划等资产</w:t>
              </w:r>
              <w:r>
                <w:rPr>
                  <w:rFonts w:ascii="Arial" w:eastAsiaTheme="majorEastAsia" w:hAnsi="Arial" w:cs="Arial" w:hint="eastAsia"/>
                  <w:sz w:val="22"/>
                  <w:szCs w:val="22"/>
                </w:rPr>
                <w:t>；</w:t>
              </w:r>
            </w:p>
            <w:p w:rsidR="00DE031E" w:rsidRDefault="001C1A59" w:rsidP="00DE031E">
              <w:pPr>
                <w:pStyle w:val="afb"/>
                <w:spacing w:afterLines="0" w:line="360" w:lineRule="auto"/>
                <w:ind w:firstLine="440"/>
                <w:outlineLvl w:val="9"/>
              </w:pPr>
              <w:r w:rsidRPr="00C00553">
                <w:rPr>
                  <w:rFonts w:ascii="Arial" w:eastAsiaTheme="majorEastAsia" w:hAnsi="Arial" w:cs="Arial" w:hint="eastAsia"/>
                  <w:sz w:val="22"/>
                  <w:szCs w:val="22"/>
                </w:rPr>
                <w:t>注</w:t>
              </w:r>
              <w:r w:rsidRPr="00C00553">
                <w:rPr>
                  <w:rFonts w:ascii="Arial" w:eastAsiaTheme="majorEastAsia" w:hAnsi="Arial" w:cs="Arial" w:hint="eastAsia"/>
                  <w:sz w:val="22"/>
                  <w:szCs w:val="22"/>
                </w:rPr>
                <w:t>2</w:t>
              </w:r>
              <w:r w:rsidRPr="00C00553">
                <w:rPr>
                  <w:rFonts w:ascii="Arial" w:eastAsiaTheme="majorEastAsia" w:hAnsi="Arial" w:cs="Arial" w:hint="eastAsia"/>
                  <w:sz w:val="22"/>
                  <w:szCs w:val="22"/>
                </w:rPr>
                <w:t>：以公允价值计量且变动计入当期损益的金融资产中的信用风险敞口包括债券、融出证券等资产。</w:t>
              </w:r>
            </w:p>
            <w:p w:rsidR="00DE031E" w:rsidRPr="00CB58A2" w:rsidRDefault="001C1A59" w:rsidP="00DE031E">
              <w:pPr>
                <w:pStyle w:val="afb"/>
                <w:snapToGrid w:val="0"/>
                <w:spacing w:afterLines="0" w:line="360" w:lineRule="auto"/>
                <w:ind w:firstLine="440"/>
                <w:outlineLvl w:val="9"/>
                <w:rPr>
                  <w:rFonts w:ascii="Arial" w:eastAsiaTheme="majorEastAsia" w:hAnsi="Arial" w:cs="Arial"/>
                  <w:sz w:val="22"/>
                  <w:szCs w:val="22"/>
                </w:rPr>
              </w:pPr>
              <w:r w:rsidRPr="00CB58A2">
                <w:rPr>
                  <w:rFonts w:ascii="Arial" w:eastAsiaTheme="majorEastAsia" w:hAnsi="Arial" w:cs="Arial"/>
                  <w:sz w:val="22"/>
                  <w:szCs w:val="22"/>
                </w:rPr>
                <w:t>公司在融资融券、股票质押、约定购回业务的信用风险敞口如下：</w:t>
              </w:r>
            </w:p>
            <w:p w:rsidR="00DE031E" w:rsidRDefault="001C1A59" w:rsidP="009950AC">
              <w:pPr>
                <w:pStyle w:val="afb"/>
                <w:numPr>
                  <w:ilvl w:val="0"/>
                  <w:numId w:val="77"/>
                </w:numPr>
                <w:snapToGrid w:val="0"/>
                <w:spacing w:afterLines="0" w:line="360" w:lineRule="auto"/>
                <w:ind w:firstLineChars="0"/>
                <w:outlineLvl w:val="9"/>
                <w:rPr>
                  <w:rFonts w:ascii="Arial" w:eastAsiaTheme="majorEastAsia" w:hAnsi="Arial" w:cs="Arial"/>
                  <w:sz w:val="22"/>
                  <w:szCs w:val="22"/>
                </w:rPr>
              </w:pPr>
              <w:r w:rsidRPr="00CB58A2">
                <w:rPr>
                  <w:rFonts w:ascii="Arial" w:eastAsiaTheme="majorEastAsia" w:hAnsi="Arial" w:cs="Arial"/>
                  <w:sz w:val="22"/>
                  <w:szCs w:val="22"/>
                </w:rPr>
                <w:t>合并口径</w:t>
              </w:r>
            </w:p>
            <w:p w:rsidR="00DE031E" w:rsidRDefault="00A80CD6" w:rsidP="00DE031E">
              <w:pPr>
                <w:pStyle w:val="afb"/>
                <w:snapToGrid w:val="0"/>
                <w:spacing w:afterLines="0" w:line="360" w:lineRule="auto"/>
                <w:ind w:left="1160" w:right="110" w:firstLineChars="0" w:firstLine="0"/>
                <w:jc w:val="right"/>
                <w:outlineLvl w:val="9"/>
                <w:rPr>
                  <w:rFonts w:ascii="Arial" w:eastAsiaTheme="majorEastAsia" w:hAnsi="Arial" w:cs="Arial"/>
                  <w:sz w:val="22"/>
                  <w:szCs w:val="22"/>
                </w:rPr>
              </w:pPr>
              <w:r>
                <w:rPr>
                  <w:rFonts w:hint="eastAsia"/>
                </w:rPr>
                <w:lastRenderedPageBreak/>
                <w:t>单位：元  币种：人民币</w:t>
              </w:r>
            </w:p>
            <w:tbl>
              <w:tblPr>
                <w:tblStyle w:val="g2"/>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3888"/>
                <w:gridCol w:w="2207"/>
              </w:tblGrid>
              <w:tr w:rsidR="00DE031E" w:rsidRPr="00CB58A2" w:rsidTr="00A80CD6">
                <w:trPr>
                  <w:trHeight w:val="340"/>
                  <w:tblHeader/>
                </w:trPr>
                <w:tc>
                  <w:tcPr>
                    <w:tcW w:w="2518" w:type="dxa"/>
                    <w:vAlign w:val="center"/>
                  </w:tcPr>
                  <w:p w:rsidR="00DE031E" w:rsidRPr="00CB58A2" w:rsidRDefault="001C1A59" w:rsidP="00DE031E">
                    <w:pPr>
                      <w:spacing w:line="360" w:lineRule="auto"/>
                      <w:rPr>
                        <w:rFonts w:ascii="Arial" w:hAnsi="Arial" w:cs="Arial"/>
                        <w:b/>
                        <w:sz w:val="18"/>
                        <w:szCs w:val="18"/>
                      </w:rPr>
                    </w:pPr>
                    <w:r w:rsidRPr="00CB58A2">
                      <w:rPr>
                        <w:rFonts w:ascii="Arial" w:hAnsi="Arial" w:cs="Arial"/>
                        <w:b/>
                        <w:sz w:val="18"/>
                        <w:szCs w:val="18"/>
                      </w:rPr>
                      <w:t>业务类别</w:t>
                    </w:r>
                  </w:p>
                </w:tc>
                <w:tc>
                  <w:tcPr>
                    <w:tcW w:w="3888" w:type="dxa"/>
                    <w:vAlign w:val="center"/>
                  </w:tcPr>
                  <w:p w:rsidR="00DE031E" w:rsidRPr="00CB58A2" w:rsidRDefault="001C1A59" w:rsidP="00DE031E">
                    <w:pPr>
                      <w:pStyle w:val="Default"/>
                      <w:spacing w:line="360" w:lineRule="auto"/>
                      <w:jc w:val="right"/>
                      <w:rPr>
                        <w:rFonts w:ascii="Arial" w:eastAsiaTheme="minorEastAsia" w:hAnsi="Arial" w:cs="Arial"/>
                        <w:b/>
                        <w:sz w:val="18"/>
                        <w:szCs w:val="18"/>
                        <w:u w:val="single"/>
                      </w:rPr>
                    </w:pPr>
                    <w:r>
                      <w:rPr>
                        <w:rFonts w:ascii="Arial" w:eastAsiaTheme="minorEastAsia" w:hAnsi="Arial" w:cs="Arial"/>
                        <w:b/>
                        <w:sz w:val="18"/>
                        <w:szCs w:val="18"/>
                        <w:u w:val="single"/>
                      </w:rPr>
                      <w:t>201</w:t>
                    </w:r>
                    <w:r>
                      <w:rPr>
                        <w:rFonts w:ascii="Arial" w:eastAsiaTheme="minorEastAsia" w:hAnsi="Arial" w:cs="Arial" w:hint="eastAsia"/>
                        <w:b/>
                        <w:sz w:val="18"/>
                        <w:szCs w:val="18"/>
                        <w:u w:val="single"/>
                      </w:rPr>
                      <w:t>5</w:t>
                    </w:r>
                    <w:r w:rsidRPr="00CB58A2">
                      <w:rPr>
                        <w:rFonts w:ascii="Arial" w:eastAsiaTheme="minorEastAsia" w:hAnsi="Arial" w:cs="Arial"/>
                        <w:b/>
                        <w:sz w:val="18"/>
                        <w:szCs w:val="18"/>
                        <w:u w:val="single"/>
                      </w:rPr>
                      <w:t>年</w:t>
                    </w:r>
                    <w:r>
                      <w:rPr>
                        <w:rFonts w:ascii="Arial" w:eastAsiaTheme="minorEastAsia" w:hAnsi="Arial" w:cs="Arial" w:hint="eastAsia"/>
                        <w:b/>
                        <w:sz w:val="18"/>
                        <w:szCs w:val="18"/>
                        <w:u w:val="single"/>
                      </w:rPr>
                      <w:t>6</w:t>
                    </w:r>
                    <w:r w:rsidRPr="00CB58A2">
                      <w:rPr>
                        <w:rFonts w:ascii="Arial" w:eastAsiaTheme="minorEastAsia" w:hAnsi="Arial" w:cs="Arial"/>
                        <w:b/>
                        <w:sz w:val="18"/>
                        <w:szCs w:val="18"/>
                        <w:u w:val="single"/>
                      </w:rPr>
                      <w:t>月</w:t>
                    </w:r>
                    <w:r w:rsidRPr="00CB58A2">
                      <w:rPr>
                        <w:rFonts w:ascii="Arial" w:eastAsiaTheme="minorEastAsia" w:hAnsi="Arial" w:cs="Arial"/>
                        <w:b/>
                        <w:sz w:val="18"/>
                        <w:szCs w:val="18"/>
                        <w:u w:val="single"/>
                      </w:rPr>
                      <w:t>3</w:t>
                    </w:r>
                    <w:r>
                      <w:rPr>
                        <w:rFonts w:ascii="Arial" w:eastAsiaTheme="minorEastAsia" w:hAnsi="Arial" w:cs="Arial" w:hint="eastAsia"/>
                        <w:b/>
                        <w:sz w:val="18"/>
                        <w:szCs w:val="18"/>
                        <w:u w:val="single"/>
                      </w:rPr>
                      <w:t>0</w:t>
                    </w:r>
                    <w:r w:rsidRPr="00CB58A2">
                      <w:rPr>
                        <w:rFonts w:ascii="Arial" w:eastAsiaTheme="minorEastAsia" w:hAnsi="Arial" w:cs="Arial"/>
                        <w:b/>
                        <w:sz w:val="18"/>
                        <w:szCs w:val="18"/>
                        <w:u w:val="single"/>
                      </w:rPr>
                      <w:t>日</w:t>
                    </w:r>
                  </w:p>
                </w:tc>
                <w:tc>
                  <w:tcPr>
                    <w:tcW w:w="2207" w:type="dxa"/>
                    <w:vAlign w:val="center"/>
                  </w:tcPr>
                  <w:p w:rsidR="00DE031E" w:rsidRPr="00CB58A2" w:rsidRDefault="001C1A59" w:rsidP="00DE031E">
                    <w:pPr>
                      <w:pStyle w:val="Default"/>
                      <w:spacing w:line="360" w:lineRule="auto"/>
                      <w:jc w:val="right"/>
                      <w:rPr>
                        <w:rFonts w:ascii="Arial" w:eastAsiaTheme="minorEastAsia" w:hAnsi="Arial" w:cs="Arial"/>
                        <w:b/>
                        <w:sz w:val="18"/>
                        <w:szCs w:val="18"/>
                        <w:u w:val="single"/>
                      </w:rPr>
                    </w:pPr>
                    <w:r w:rsidRPr="00CB58A2">
                      <w:rPr>
                        <w:rFonts w:ascii="Arial" w:eastAsiaTheme="minorEastAsia" w:hAnsi="Arial" w:cs="Arial"/>
                        <w:b/>
                        <w:sz w:val="18"/>
                        <w:szCs w:val="18"/>
                        <w:u w:val="single"/>
                      </w:rPr>
                      <w:t>2014</w:t>
                    </w:r>
                    <w:r w:rsidRPr="00CB58A2">
                      <w:rPr>
                        <w:rFonts w:ascii="Arial" w:eastAsiaTheme="minorEastAsia" w:hAnsi="Arial" w:cs="Arial"/>
                        <w:b/>
                        <w:sz w:val="18"/>
                        <w:szCs w:val="18"/>
                        <w:u w:val="single"/>
                      </w:rPr>
                      <w:t>年</w:t>
                    </w:r>
                    <w:r w:rsidRPr="00CB58A2">
                      <w:rPr>
                        <w:rFonts w:ascii="Arial" w:eastAsiaTheme="minorEastAsia" w:hAnsi="Arial" w:cs="Arial"/>
                        <w:b/>
                        <w:sz w:val="18"/>
                        <w:szCs w:val="18"/>
                        <w:u w:val="single"/>
                      </w:rPr>
                      <w:t>12</w:t>
                    </w:r>
                    <w:r w:rsidRPr="00CB58A2">
                      <w:rPr>
                        <w:rFonts w:ascii="Arial" w:eastAsiaTheme="minorEastAsia" w:hAnsi="Arial" w:cs="Arial"/>
                        <w:b/>
                        <w:sz w:val="18"/>
                        <w:szCs w:val="18"/>
                        <w:u w:val="single"/>
                      </w:rPr>
                      <w:t>月</w:t>
                    </w:r>
                    <w:r w:rsidRPr="00CB58A2">
                      <w:rPr>
                        <w:rFonts w:ascii="Arial" w:eastAsiaTheme="minorEastAsia" w:hAnsi="Arial" w:cs="Arial"/>
                        <w:b/>
                        <w:sz w:val="18"/>
                        <w:szCs w:val="18"/>
                        <w:u w:val="single"/>
                      </w:rPr>
                      <w:t>31</w:t>
                    </w:r>
                    <w:r w:rsidRPr="00CB58A2">
                      <w:rPr>
                        <w:rFonts w:ascii="Arial" w:eastAsiaTheme="minorEastAsia" w:hAnsi="Arial" w:cs="Arial"/>
                        <w:b/>
                        <w:sz w:val="18"/>
                        <w:szCs w:val="18"/>
                        <w:u w:val="single"/>
                      </w:rPr>
                      <w:t>日</w:t>
                    </w:r>
                  </w:p>
                </w:tc>
              </w:tr>
              <w:tr w:rsidR="00DE031E" w:rsidRPr="00BA01F1" w:rsidTr="00DE031E">
                <w:trPr>
                  <w:trHeight w:val="340"/>
                </w:trPr>
                <w:tc>
                  <w:tcPr>
                    <w:tcW w:w="2518" w:type="dxa"/>
                    <w:vAlign w:val="center"/>
                  </w:tcPr>
                  <w:p w:rsidR="00DE031E" w:rsidRPr="00BA01F1" w:rsidRDefault="001C1A59" w:rsidP="00DE031E">
                    <w:pPr>
                      <w:spacing w:line="360" w:lineRule="auto"/>
                      <w:rPr>
                        <w:rFonts w:ascii="Arial" w:hAnsi="Arial" w:cs="Arial"/>
                        <w:sz w:val="18"/>
                        <w:szCs w:val="18"/>
                      </w:rPr>
                    </w:pPr>
                    <w:r w:rsidRPr="00BA01F1">
                      <w:rPr>
                        <w:rFonts w:ascii="Arial" w:hAnsi="Arial" w:cs="Arial"/>
                        <w:sz w:val="18"/>
                        <w:szCs w:val="18"/>
                      </w:rPr>
                      <w:t>融资融券业务</w:t>
                    </w:r>
                  </w:p>
                </w:tc>
                <w:tc>
                  <w:tcPr>
                    <w:tcW w:w="3888" w:type="dxa"/>
                    <w:vAlign w:val="center"/>
                  </w:tcPr>
                  <w:p w:rsidR="00DE031E" w:rsidRPr="00BA01F1" w:rsidRDefault="00A9773C" w:rsidP="00DE031E">
                    <w:pPr>
                      <w:spacing w:line="360" w:lineRule="auto"/>
                      <w:jc w:val="right"/>
                      <w:rPr>
                        <w:rFonts w:ascii="Arial" w:hAnsi="Arial" w:cs="Arial"/>
                        <w:sz w:val="18"/>
                        <w:szCs w:val="18"/>
                      </w:rPr>
                    </w:pPr>
                    <w:r>
                      <w:rPr>
                        <w:rFonts w:ascii="Arial" w:hAnsi="Arial" w:cs="Arial"/>
                        <w:sz w:val="18"/>
                        <w:szCs w:val="18"/>
                      </w:rPr>
                      <w:t>115,484,972,58</w:t>
                    </w:r>
                    <w:r>
                      <w:rPr>
                        <w:rFonts w:ascii="Arial" w:hAnsi="Arial" w:cs="Arial" w:hint="eastAsia"/>
                        <w:sz w:val="18"/>
                        <w:szCs w:val="18"/>
                      </w:rPr>
                      <w:t>3.30</w:t>
                    </w:r>
                  </w:p>
                </w:tc>
                <w:tc>
                  <w:tcPr>
                    <w:tcW w:w="2207"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sz w:val="18"/>
                        <w:szCs w:val="18"/>
                      </w:rPr>
                      <w:t>59,595,589,857.22</w:t>
                    </w:r>
                  </w:p>
                </w:tc>
              </w:tr>
              <w:tr w:rsidR="00DE031E" w:rsidRPr="00BA01F1" w:rsidTr="00DE031E">
                <w:trPr>
                  <w:trHeight w:val="340"/>
                </w:trPr>
                <w:tc>
                  <w:tcPr>
                    <w:tcW w:w="2518" w:type="dxa"/>
                    <w:vAlign w:val="center"/>
                  </w:tcPr>
                  <w:p w:rsidR="00DE031E" w:rsidRPr="00BA01F1" w:rsidRDefault="001C1A59" w:rsidP="00DE031E">
                    <w:pPr>
                      <w:spacing w:line="360" w:lineRule="auto"/>
                      <w:rPr>
                        <w:rFonts w:ascii="Arial" w:hAnsi="Arial" w:cs="Arial"/>
                        <w:sz w:val="18"/>
                        <w:szCs w:val="18"/>
                      </w:rPr>
                    </w:pPr>
                    <w:r w:rsidRPr="00BA01F1">
                      <w:rPr>
                        <w:rFonts w:ascii="Arial" w:hAnsi="Arial" w:cs="Arial"/>
                        <w:sz w:val="18"/>
                        <w:szCs w:val="18"/>
                      </w:rPr>
                      <w:t>股票质押业务</w:t>
                    </w:r>
                  </w:p>
                </w:tc>
                <w:tc>
                  <w:tcPr>
                    <w:tcW w:w="3888"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sz w:val="18"/>
                        <w:szCs w:val="18"/>
                      </w:rPr>
                      <w:t>8,968,853,12</w:t>
                    </w:r>
                    <w:r w:rsidR="00A9773C">
                      <w:rPr>
                        <w:rFonts w:ascii="Arial" w:hAnsi="Arial" w:cs="Arial" w:hint="eastAsia"/>
                        <w:sz w:val="18"/>
                        <w:szCs w:val="18"/>
                      </w:rPr>
                      <w:t>9.33</w:t>
                    </w:r>
                  </w:p>
                </w:tc>
                <w:tc>
                  <w:tcPr>
                    <w:tcW w:w="2207"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color w:val="000000"/>
                        <w:sz w:val="18"/>
                        <w:szCs w:val="18"/>
                      </w:rPr>
                      <w:t>6,799,601,475.24</w:t>
                    </w:r>
                  </w:p>
                </w:tc>
              </w:tr>
              <w:tr w:rsidR="00DE031E" w:rsidRPr="00BA01F1" w:rsidTr="00DE031E">
                <w:trPr>
                  <w:trHeight w:val="340"/>
                </w:trPr>
                <w:tc>
                  <w:tcPr>
                    <w:tcW w:w="2518" w:type="dxa"/>
                    <w:vAlign w:val="center"/>
                  </w:tcPr>
                  <w:p w:rsidR="00DE031E" w:rsidRPr="00BA01F1" w:rsidRDefault="001C1A59" w:rsidP="00DE031E">
                    <w:pPr>
                      <w:spacing w:line="360" w:lineRule="auto"/>
                      <w:rPr>
                        <w:rFonts w:ascii="Arial" w:hAnsi="Arial" w:cs="Arial"/>
                        <w:sz w:val="18"/>
                        <w:szCs w:val="18"/>
                      </w:rPr>
                    </w:pPr>
                    <w:r w:rsidRPr="00BA01F1">
                      <w:rPr>
                        <w:rFonts w:ascii="Arial" w:hAnsi="Arial" w:cs="Arial"/>
                        <w:sz w:val="18"/>
                        <w:szCs w:val="18"/>
                      </w:rPr>
                      <w:t>约定购回业务</w:t>
                    </w:r>
                  </w:p>
                </w:tc>
                <w:tc>
                  <w:tcPr>
                    <w:tcW w:w="3888" w:type="dxa"/>
                    <w:vAlign w:val="center"/>
                  </w:tcPr>
                  <w:p w:rsidR="00DE031E" w:rsidRPr="00BA01F1" w:rsidRDefault="00A9773C" w:rsidP="00DE031E">
                    <w:pPr>
                      <w:spacing w:line="360" w:lineRule="auto"/>
                      <w:jc w:val="right"/>
                      <w:rPr>
                        <w:rFonts w:ascii="Arial" w:hAnsi="Arial" w:cs="Arial"/>
                        <w:sz w:val="18"/>
                        <w:szCs w:val="18"/>
                      </w:rPr>
                    </w:pPr>
                    <w:r>
                      <w:rPr>
                        <w:rFonts w:ascii="Arial" w:hAnsi="Arial" w:cs="Arial" w:hint="eastAsia"/>
                        <w:sz w:val="18"/>
                        <w:szCs w:val="18"/>
                      </w:rPr>
                      <w:t>0.00</w:t>
                    </w:r>
                  </w:p>
                </w:tc>
                <w:tc>
                  <w:tcPr>
                    <w:tcW w:w="2207"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sz w:val="18"/>
                        <w:szCs w:val="18"/>
                      </w:rPr>
                      <w:t>2,190,000.00</w:t>
                    </w:r>
                  </w:p>
                </w:tc>
              </w:tr>
            </w:tbl>
            <w:p w:rsidR="00DE031E" w:rsidRDefault="001C1A59" w:rsidP="009950AC">
              <w:pPr>
                <w:pStyle w:val="afb"/>
                <w:numPr>
                  <w:ilvl w:val="0"/>
                  <w:numId w:val="77"/>
                </w:numPr>
                <w:spacing w:afterLines="0" w:line="360" w:lineRule="auto"/>
                <w:ind w:firstLineChars="0"/>
                <w:outlineLvl w:val="9"/>
                <w:rPr>
                  <w:rFonts w:ascii="Arial" w:eastAsiaTheme="majorEastAsia" w:hAnsi="Arial" w:cs="Arial"/>
                  <w:sz w:val="22"/>
                  <w:szCs w:val="22"/>
                </w:rPr>
              </w:pPr>
              <w:r w:rsidRPr="00BA01F1">
                <w:rPr>
                  <w:rFonts w:ascii="Arial" w:eastAsiaTheme="majorEastAsia" w:hAnsi="Arial" w:cs="Arial"/>
                  <w:sz w:val="22"/>
                  <w:szCs w:val="22"/>
                </w:rPr>
                <w:t>母公司</w:t>
              </w:r>
            </w:p>
            <w:p w:rsidR="00DE031E" w:rsidRDefault="00A80CD6" w:rsidP="00DE031E">
              <w:pPr>
                <w:pStyle w:val="afb"/>
                <w:spacing w:afterLines="0" w:line="360" w:lineRule="auto"/>
                <w:ind w:left="1160" w:right="110" w:firstLineChars="0" w:firstLine="0"/>
                <w:jc w:val="right"/>
                <w:outlineLvl w:val="9"/>
                <w:rPr>
                  <w:rFonts w:ascii="Arial" w:eastAsiaTheme="majorEastAsia" w:hAnsi="Arial" w:cs="Arial"/>
                  <w:sz w:val="22"/>
                  <w:szCs w:val="22"/>
                </w:rPr>
              </w:pPr>
              <w:r>
                <w:rPr>
                  <w:rFonts w:hint="eastAsia"/>
                </w:rPr>
                <w:t>单位：元  币种：人民币</w:t>
              </w:r>
            </w:p>
            <w:tbl>
              <w:tblPr>
                <w:tblStyle w:val="g2"/>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3975"/>
                <w:gridCol w:w="2120"/>
              </w:tblGrid>
              <w:tr w:rsidR="00DE031E" w:rsidRPr="00BA01F1" w:rsidTr="00DE031E">
                <w:trPr>
                  <w:trHeight w:val="340"/>
                </w:trPr>
                <w:tc>
                  <w:tcPr>
                    <w:tcW w:w="2518" w:type="dxa"/>
                    <w:vAlign w:val="center"/>
                  </w:tcPr>
                  <w:p w:rsidR="00DE031E" w:rsidRPr="00BA01F1" w:rsidRDefault="001C1A59" w:rsidP="00DE031E">
                    <w:pPr>
                      <w:spacing w:line="360" w:lineRule="auto"/>
                      <w:rPr>
                        <w:rFonts w:ascii="Arial" w:hAnsi="Arial" w:cs="Arial"/>
                        <w:b/>
                        <w:sz w:val="18"/>
                        <w:szCs w:val="18"/>
                      </w:rPr>
                    </w:pPr>
                    <w:r w:rsidRPr="00BA01F1">
                      <w:rPr>
                        <w:rFonts w:ascii="Arial" w:hAnsi="Arial" w:cs="Arial"/>
                        <w:b/>
                        <w:sz w:val="18"/>
                        <w:szCs w:val="18"/>
                      </w:rPr>
                      <w:t>业务类别</w:t>
                    </w:r>
                  </w:p>
                </w:tc>
                <w:tc>
                  <w:tcPr>
                    <w:tcW w:w="3975" w:type="dxa"/>
                    <w:vAlign w:val="center"/>
                  </w:tcPr>
                  <w:p w:rsidR="00DE031E" w:rsidRPr="00BA01F1" w:rsidRDefault="001C1A59" w:rsidP="00DE031E">
                    <w:pPr>
                      <w:pStyle w:val="Default"/>
                      <w:spacing w:line="360" w:lineRule="auto"/>
                      <w:jc w:val="right"/>
                      <w:rPr>
                        <w:rFonts w:ascii="Arial" w:eastAsiaTheme="minorEastAsia" w:hAnsi="Arial" w:cs="Arial"/>
                        <w:b/>
                        <w:sz w:val="18"/>
                        <w:szCs w:val="18"/>
                        <w:u w:val="single"/>
                      </w:rPr>
                    </w:pPr>
                    <w:r w:rsidRPr="00BA01F1">
                      <w:rPr>
                        <w:rFonts w:ascii="Arial" w:eastAsiaTheme="minorEastAsia" w:hAnsi="Arial" w:cs="Arial"/>
                        <w:b/>
                        <w:sz w:val="18"/>
                        <w:szCs w:val="18"/>
                        <w:u w:val="single"/>
                      </w:rPr>
                      <w:t>201</w:t>
                    </w:r>
                    <w:r w:rsidRPr="00BA01F1">
                      <w:rPr>
                        <w:rFonts w:ascii="Arial" w:eastAsiaTheme="minorEastAsia" w:hAnsi="Arial" w:cs="Arial" w:hint="eastAsia"/>
                        <w:b/>
                        <w:sz w:val="18"/>
                        <w:szCs w:val="18"/>
                        <w:u w:val="single"/>
                      </w:rPr>
                      <w:t>5</w:t>
                    </w:r>
                    <w:r w:rsidRPr="00BA01F1">
                      <w:rPr>
                        <w:rFonts w:ascii="Arial" w:eastAsiaTheme="minorEastAsia" w:hAnsi="Arial" w:cs="Arial"/>
                        <w:b/>
                        <w:sz w:val="18"/>
                        <w:szCs w:val="18"/>
                        <w:u w:val="single"/>
                      </w:rPr>
                      <w:t>年</w:t>
                    </w:r>
                    <w:r w:rsidRPr="00BA01F1">
                      <w:rPr>
                        <w:rFonts w:ascii="Arial" w:eastAsiaTheme="minorEastAsia" w:hAnsi="Arial" w:cs="Arial" w:hint="eastAsia"/>
                        <w:b/>
                        <w:sz w:val="18"/>
                        <w:szCs w:val="18"/>
                        <w:u w:val="single"/>
                      </w:rPr>
                      <w:t>6</w:t>
                    </w:r>
                    <w:r w:rsidRPr="00BA01F1">
                      <w:rPr>
                        <w:rFonts w:ascii="Arial" w:eastAsiaTheme="minorEastAsia" w:hAnsi="Arial" w:cs="Arial"/>
                        <w:b/>
                        <w:sz w:val="18"/>
                        <w:szCs w:val="18"/>
                        <w:u w:val="single"/>
                      </w:rPr>
                      <w:t>月</w:t>
                    </w:r>
                    <w:r w:rsidRPr="00BA01F1">
                      <w:rPr>
                        <w:rFonts w:ascii="Arial" w:eastAsiaTheme="minorEastAsia" w:hAnsi="Arial" w:cs="Arial"/>
                        <w:b/>
                        <w:sz w:val="18"/>
                        <w:szCs w:val="18"/>
                        <w:u w:val="single"/>
                      </w:rPr>
                      <w:t>3</w:t>
                    </w:r>
                    <w:r w:rsidRPr="00BA01F1">
                      <w:rPr>
                        <w:rFonts w:ascii="Arial" w:eastAsiaTheme="minorEastAsia" w:hAnsi="Arial" w:cs="Arial" w:hint="eastAsia"/>
                        <w:b/>
                        <w:sz w:val="18"/>
                        <w:szCs w:val="18"/>
                        <w:u w:val="single"/>
                      </w:rPr>
                      <w:t>0</w:t>
                    </w:r>
                    <w:r w:rsidRPr="00BA01F1">
                      <w:rPr>
                        <w:rFonts w:ascii="Arial" w:eastAsiaTheme="minorEastAsia" w:hAnsi="Arial" w:cs="Arial"/>
                        <w:b/>
                        <w:sz w:val="18"/>
                        <w:szCs w:val="18"/>
                        <w:u w:val="single"/>
                      </w:rPr>
                      <w:t>日</w:t>
                    </w:r>
                  </w:p>
                </w:tc>
                <w:tc>
                  <w:tcPr>
                    <w:tcW w:w="2120" w:type="dxa"/>
                    <w:vAlign w:val="center"/>
                  </w:tcPr>
                  <w:p w:rsidR="00DE031E" w:rsidRPr="00BA01F1" w:rsidRDefault="001C1A59" w:rsidP="00DE031E">
                    <w:pPr>
                      <w:pStyle w:val="Default"/>
                      <w:spacing w:line="360" w:lineRule="auto"/>
                      <w:jc w:val="right"/>
                      <w:rPr>
                        <w:rFonts w:ascii="Arial" w:eastAsiaTheme="minorEastAsia" w:hAnsi="Arial" w:cs="Arial"/>
                        <w:b/>
                        <w:sz w:val="18"/>
                        <w:szCs w:val="18"/>
                        <w:u w:val="single"/>
                      </w:rPr>
                    </w:pPr>
                    <w:r w:rsidRPr="00BA01F1">
                      <w:rPr>
                        <w:rFonts w:ascii="Arial" w:eastAsiaTheme="minorEastAsia" w:hAnsi="Arial" w:cs="Arial"/>
                        <w:b/>
                        <w:sz w:val="18"/>
                        <w:szCs w:val="18"/>
                        <w:u w:val="single"/>
                      </w:rPr>
                      <w:t>2014</w:t>
                    </w:r>
                    <w:r w:rsidRPr="00BA01F1">
                      <w:rPr>
                        <w:rFonts w:ascii="Arial" w:eastAsiaTheme="minorEastAsia" w:hAnsi="Arial" w:cs="Arial"/>
                        <w:b/>
                        <w:sz w:val="18"/>
                        <w:szCs w:val="18"/>
                        <w:u w:val="single"/>
                      </w:rPr>
                      <w:t>年</w:t>
                    </w:r>
                    <w:r w:rsidRPr="00BA01F1">
                      <w:rPr>
                        <w:rFonts w:ascii="Arial" w:eastAsiaTheme="minorEastAsia" w:hAnsi="Arial" w:cs="Arial"/>
                        <w:b/>
                        <w:sz w:val="18"/>
                        <w:szCs w:val="18"/>
                        <w:u w:val="single"/>
                      </w:rPr>
                      <w:t>12</w:t>
                    </w:r>
                    <w:r w:rsidRPr="00BA01F1">
                      <w:rPr>
                        <w:rFonts w:ascii="Arial" w:eastAsiaTheme="minorEastAsia" w:hAnsi="Arial" w:cs="Arial"/>
                        <w:b/>
                        <w:sz w:val="18"/>
                        <w:szCs w:val="18"/>
                        <w:u w:val="single"/>
                      </w:rPr>
                      <w:t>月</w:t>
                    </w:r>
                    <w:r w:rsidRPr="00BA01F1">
                      <w:rPr>
                        <w:rFonts w:ascii="Arial" w:eastAsiaTheme="minorEastAsia" w:hAnsi="Arial" w:cs="Arial"/>
                        <w:b/>
                        <w:sz w:val="18"/>
                        <w:szCs w:val="18"/>
                        <w:u w:val="single"/>
                      </w:rPr>
                      <w:t>31</w:t>
                    </w:r>
                    <w:r w:rsidRPr="00BA01F1">
                      <w:rPr>
                        <w:rFonts w:ascii="Arial" w:eastAsiaTheme="minorEastAsia" w:hAnsi="Arial" w:cs="Arial"/>
                        <w:b/>
                        <w:sz w:val="18"/>
                        <w:szCs w:val="18"/>
                        <w:u w:val="single"/>
                      </w:rPr>
                      <w:t>日</w:t>
                    </w:r>
                  </w:p>
                </w:tc>
              </w:tr>
              <w:tr w:rsidR="00DE031E" w:rsidRPr="00BA01F1" w:rsidTr="00DE031E">
                <w:trPr>
                  <w:trHeight w:val="340"/>
                </w:trPr>
                <w:tc>
                  <w:tcPr>
                    <w:tcW w:w="2518" w:type="dxa"/>
                    <w:vAlign w:val="center"/>
                  </w:tcPr>
                  <w:p w:rsidR="00DE031E" w:rsidRPr="00BA01F1" w:rsidRDefault="001C1A59" w:rsidP="00DE031E">
                    <w:pPr>
                      <w:spacing w:line="360" w:lineRule="auto"/>
                      <w:rPr>
                        <w:rFonts w:ascii="Arial" w:hAnsi="Arial" w:cs="Arial"/>
                        <w:sz w:val="18"/>
                        <w:szCs w:val="18"/>
                      </w:rPr>
                    </w:pPr>
                    <w:r w:rsidRPr="00BA01F1">
                      <w:rPr>
                        <w:rFonts w:ascii="Arial" w:hAnsi="Arial" w:cs="Arial"/>
                        <w:sz w:val="18"/>
                        <w:szCs w:val="18"/>
                      </w:rPr>
                      <w:t>融资融券业务</w:t>
                    </w:r>
                  </w:p>
                </w:tc>
                <w:tc>
                  <w:tcPr>
                    <w:tcW w:w="3975"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sz w:val="18"/>
                        <w:szCs w:val="18"/>
                      </w:rPr>
                      <w:t>112,836,994,9</w:t>
                    </w:r>
                    <w:r w:rsidR="00A9773C">
                      <w:rPr>
                        <w:rFonts w:ascii="Arial" w:hAnsi="Arial" w:cs="Arial" w:hint="eastAsia"/>
                        <w:sz w:val="18"/>
                        <w:szCs w:val="18"/>
                      </w:rPr>
                      <w:t>19.76</w:t>
                    </w:r>
                  </w:p>
                </w:tc>
                <w:tc>
                  <w:tcPr>
                    <w:tcW w:w="2120"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color w:val="000000"/>
                        <w:sz w:val="18"/>
                        <w:szCs w:val="18"/>
                      </w:rPr>
                      <w:t>57,851,139,918.69</w:t>
                    </w:r>
                  </w:p>
                </w:tc>
              </w:tr>
              <w:tr w:rsidR="00DE031E" w:rsidRPr="00BA01F1" w:rsidTr="00DE031E">
                <w:trPr>
                  <w:trHeight w:val="340"/>
                </w:trPr>
                <w:tc>
                  <w:tcPr>
                    <w:tcW w:w="2518" w:type="dxa"/>
                    <w:vAlign w:val="center"/>
                  </w:tcPr>
                  <w:p w:rsidR="00DE031E" w:rsidRPr="00BA01F1" w:rsidRDefault="001C1A59" w:rsidP="00DE031E">
                    <w:pPr>
                      <w:spacing w:line="360" w:lineRule="auto"/>
                      <w:rPr>
                        <w:rFonts w:ascii="Arial" w:hAnsi="Arial" w:cs="Arial"/>
                        <w:sz w:val="18"/>
                        <w:szCs w:val="18"/>
                      </w:rPr>
                    </w:pPr>
                    <w:r w:rsidRPr="00BA01F1">
                      <w:rPr>
                        <w:rFonts w:ascii="Arial" w:hAnsi="Arial" w:cs="Arial"/>
                        <w:sz w:val="18"/>
                        <w:szCs w:val="18"/>
                      </w:rPr>
                      <w:t>股票质押业务</w:t>
                    </w:r>
                  </w:p>
                </w:tc>
                <w:tc>
                  <w:tcPr>
                    <w:tcW w:w="3975"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sz w:val="18"/>
                        <w:szCs w:val="18"/>
                      </w:rPr>
                      <w:t>8,237,397,12</w:t>
                    </w:r>
                    <w:r w:rsidR="00A9773C">
                      <w:rPr>
                        <w:rFonts w:ascii="Arial" w:hAnsi="Arial" w:cs="Arial" w:hint="eastAsia"/>
                        <w:sz w:val="18"/>
                        <w:szCs w:val="18"/>
                      </w:rPr>
                      <w:t>9.33</w:t>
                    </w:r>
                  </w:p>
                </w:tc>
                <w:tc>
                  <w:tcPr>
                    <w:tcW w:w="2120"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sz w:val="18"/>
                        <w:szCs w:val="18"/>
                      </w:rPr>
                      <w:t>5,836,435,475.24</w:t>
                    </w:r>
                  </w:p>
                </w:tc>
              </w:tr>
              <w:tr w:rsidR="00DE031E" w:rsidRPr="00CB58A2" w:rsidTr="00DE031E">
                <w:trPr>
                  <w:trHeight w:val="340"/>
                </w:trPr>
                <w:tc>
                  <w:tcPr>
                    <w:tcW w:w="2518" w:type="dxa"/>
                    <w:vAlign w:val="center"/>
                  </w:tcPr>
                  <w:p w:rsidR="00DE031E" w:rsidRPr="00BA01F1" w:rsidRDefault="001C1A59" w:rsidP="00DE031E">
                    <w:pPr>
                      <w:spacing w:line="360" w:lineRule="auto"/>
                      <w:rPr>
                        <w:rFonts w:ascii="Arial" w:hAnsi="Arial" w:cs="Arial"/>
                        <w:sz w:val="18"/>
                        <w:szCs w:val="18"/>
                      </w:rPr>
                    </w:pPr>
                    <w:r w:rsidRPr="00BA01F1">
                      <w:rPr>
                        <w:rFonts w:ascii="Arial" w:hAnsi="Arial" w:cs="Arial"/>
                        <w:sz w:val="18"/>
                        <w:szCs w:val="18"/>
                      </w:rPr>
                      <w:t>约定购回业务</w:t>
                    </w:r>
                  </w:p>
                </w:tc>
                <w:tc>
                  <w:tcPr>
                    <w:tcW w:w="3975" w:type="dxa"/>
                    <w:vAlign w:val="center"/>
                  </w:tcPr>
                  <w:p w:rsidR="00DE031E" w:rsidRPr="00BA01F1" w:rsidRDefault="00A9773C" w:rsidP="00DE031E">
                    <w:pPr>
                      <w:spacing w:line="360" w:lineRule="auto"/>
                      <w:jc w:val="right"/>
                      <w:rPr>
                        <w:rFonts w:ascii="Arial" w:hAnsi="Arial" w:cs="Arial"/>
                        <w:sz w:val="18"/>
                        <w:szCs w:val="18"/>
                      </w:rPr>
                    </w:pPr>
                    <w:r>
                      <w:rPr>
                        <w:rFonts w:ascii="Arial" w:hAnsi="Arial" w:cs="Arial" w:hint="eastAsia"/>
                        <w:sz w:val="18"/>
                        <w:szCs w:val="18"/>
                      </w:rPr>
                      <w:t>0.00</w:t>
                    </w:r>
                  </w:p>
                </w:tc>
                <w:tc>
                  <w:tcPr>
                    <w:tcW w:w="2120" w:type="dxa"/>
                    <w:vAlign w:val="center"/>
                  </w:tcPr>
                  <w:p w:rsidR="00DE031E" w:rsidRPr="00BA01F1" w:rsidRDefault="001C1A59" w:rsidP="00DE031E">
                    <w:pPr>
                      <w:spacing w:line="360" w:lineRule="auto"/>
                      <w:jc w:val="right"/>
                      <w:rPr>
                        <w:rFonts w:ascii="Arial" w:hAnsi="Arial" w:cs="Arial"/>
                        <w:sz w:val="18"/>
                        <w:szCs w:val="18"/>
                      </w:rPr>
                    </w:pPr>
                    <w:r w:rsidRPr="00BA01F1">
                      <w:rPr>
                        <w:rFonts w:ascii="Arial" w:hAnsi="Arial" w:cs="Arial"/>
                        <w:sz w:val="18"/>
                        <w:szCs w:val="18"/>
                      </w:rPr>
                      <w:t>2,190,000.00</w:t>
                    </w:r>
                  </w:p>
                </w:tc>
              </w:tr>
            </w:tbl>
          </w:sdtContent>
        </w:sdt>
      </w:sdtContent>
    </w:sdt>
    <w:sdt>
      <w:sdtPr>
        <w:rPr>
          <w:rFonts w:ascii="宋体" w:hAnsi="宋体" w:cs="宋体"/>
          <w:b w:val="0"/>
          <w:bCs w:val="0"/>
          <w:kern w:val="0"/>
          <w:szCs w:val="24"/>
        </w:rPr>
        <w:tag w:val="_GBC_e779b9d6669a4510969b449679a2552a"/>
        <w:id w:val="24726972"/>
        <w:lock w:val="sdtLocked"/>
        <w:placeholder>
          <w:docPart w:val="GBC22222222222222222222222222222"/>
        </w:placeholder>
      </w:sdtPr>
      <w:sdtEndPr>
        <w:rPr>
          <w:rFonts w:hint="eastAsia"/>
          <w:szCs w:val="21"/>
        </w:rPr>
      </w:sdtEndPr>
      <w:sdtContent>
        <w:p w:rsidR="00DE031E" w:rsidRDefault="001C1A59" w:rsidP="003A0284">
          <w:pPr>
            <w:pStyle w:val="3"/>
            <w:numPr>
              <w:ilvl w:val="0"/>
              <w:numId w:val="76"/>
            </w:numPr>
            <w:spacing w:beforeLines="50" w:afterLines="50" w:line="360" w:lineRule="auto"/>
            <w:rPr>
              <w:szCs w:val="21"/>
            </w:rPr>
          </w:pPr>
          <w:r>
            <w:t>流动风险</w:t>
          </w:r>
        </w:p>
        <w:sdt>
          <w:sdtPr>
            <w:rPr>
              <w:rFonts w:cs="宋体" w:hint="eastAsia"/>
              <w:kern w:val="0"/>
              <w:szCs w:val="24"/>
            </w:rPr>
            <w:alias w:val="金融企业流动性风险状况的说明"/>
            <w:tag w:val="_GBC_3a563dd2e7eb402b977e9a890d23c871"/>
            <w:id w:val="24726971"/>
            <w:lock w:val="sdtLocked"/>
            <w:placeholder>
              <w:docPart w:val="GBC22222222222222222222222222222"/>
            </w:placeholder>
          </w:sdtPr>
          <w:sdtContent>
            <w:p w:rsidR="00DE031E" w:rsidRPr="009506EA" w:rsidRDefault="001C1A59" w:rsidP="003A0284">
              <w:pPr>
                <w:pStyle w:val="afb"/>
                <w:snapToGrid w:val="0"/>
                <w:spacing w:beforeLines="50" w:after="120" w:line="360" w:lineRule="auto"/>
                <w:outlineLvl w:val="9"/>
                <w:rPr>
                  <w:rFonts w:ascii="Arial" w:eastAsiaTheme="majorEastAsia" w:hAnsi="Arial" w:cs="Arial"/>
                  <w:sz w:val="22"/>
                  <w:szCs w:val="22"/>
                </w:rPr>
              </w:pPr>
              <w:r w:rsidRPr="009506EA">
                <w:rPr>
                  <w:rFonts w:ascii="Arial" w:eastAsiaTheme="majorEastAsia" w:hAnsi="Arial" w:cs="Arial"/>
                  <w:sz w:val="22"/>
                  <w:szCs w:val="22"/>
                </w:rPr>
                <w:t>流动性风险，是指证券公司无法以合理成本及时获得充足资金，以偿付到期债务、履行其他支付义务和满足正常业务开展的其他资金需求的风险。</w:t>
              </w:r>
              <w:r w:rsidRPr="002817C1">
                <w:rPr>
                  <w:rFonts w:ascii="Arial" w:eastAsiaTheme="majorEastAsia" w:hAnsi="Arial" w:cs="Arial" w:hint="eastAsia"/>
                  <w:sz w:val="22"/>
                  <w:szCs w:val="22"/>
                </w:rPr>
                <w:t>我们可能面临的流动性风险的事件和因素包括：现金流紧张、融资成本持续高企、监管评级下调、融资渠道受阻、债务集中到期难以兑付等。</w:t>
              </w:r>
            </w:p>
            <w:p w:rsidR="00DE031E" w:rsidRDefault="001C1A59" w:rsidP="003A0284">
              <w:pPr>
                <w:adjustRightInd w:val="0"/>
                <w:snapToGrid w:val="0"/>
                <w:spacing w:beforeLines="50" w:afterLines="50" w:line="360" w:lineRule="auto"/>
                <w:ind w:firstLineChars="200" w:firstLine="440"/>
                <w:rPr>
                  <w:szCs w:val="21"/>
                </w:rPr>
              </w:pPr>
              <w:r w:rsidRPr="002817C1">
                <w:rPr>
                  <w:rFonts w:ascii="Arial" w:eastAsiaTheme="majorEastAsia" w:hAnsi="Arial" w:cs="Arial" w:hint="eastAsia"/>
                  <w:sz w:val="22"/>
                  <w:szCs w:val="22"/>
                </w:rPr>
                <w:t>为预防流动性风险，公司建立了优质流动性资产储备和最低备付金额度制度，制定了流动性应急管理计划，在资金计划中预留最低备付金，储备了国债、央票等在极端情况下仍可随时变现的高流动性资产，以备意外支出；公司积极开展资金缺口管理，运用现金流缺口、敏感性分析、压力测试等管理工具，及早识别潜在风险，提前安排融资和调整业务用资节奏，有效管理支付风险，并持续拓展融资渠道，均衡债务到期分布，避免因融资渠道过于单一或债务集中到期的偿付风险；公司建立了内部风险报告制度，及时掌握各业务及分支机构经营中的流动性风情况，并采取措施促进公司各业务和各分支机构安全稳健地持续经营。</w:t>
              </w:r>
            </w:p>
          </w:sdtContent>
        </w:sdt>
      </w:sdtContent>
    </w:sdt>
    <w:sdt>
      <w:sdtPr>
        <w:rPr>
          <w:rFonts w:ascii="宋体" w:hAnsi="宋体" w:cs="宋体" w:hint="eastAsia"/>
          <w:b w:val="0"/>
          <w:bCs w:val="0"/>
          <w:kern w:val="0"/>
          <w:szCs w:val="21"/>
        </w:rPr>
        <w:tag w:val="_GBC_df0aa0b389a84103a4066039990cb9f5"/>
        <w:id w:val="24726974"/>
        <w:lock w:val="sdtLocked"/>
        <w:placeholder>
          <w:docPart w:val="GBC22222222222222222222222222222"/>
        </w:placeholder>
      </w:sdtPr>
      <w:sdtEndPr>
        <w:rPr>
          <w:rFonts w:hint="default"/>
        </w:rPr>
      </w:sdtEndPr>
      <w:sdtContent>
        <w:p w:rsidR="00DE031E" w:rsidRPr="008C292F" w:rsidRDefault="001C1A59" w:rsidP="003A0284">
          <w:pPr>
            <w:pStyle w:val="3"/>
            <w:numPr>
              <w:ilvl w:val="0"/>
              <w:numId w:val="76"/>
            </w:numPr>
            <w:spacing w:beforeLines="50" w:afterLines="50" w:line="360" w:lineRule="auto"/>
            <w:rPr>
              <w:rFonts w:ascii="宋体" w:hAnsi="宋体" w:cs="宋体"/>
              <w:bCs w:val="0"/>
              <w:kern w:val="0"/>
              <w:szCs w:val="21"/>
            </w:rPr>
          </w:pPr>
          <w:r w:rsidRPr="008C292F">
            <w:rPr>
              <w:rFonts w:ascii="宋体" w:hAnsi="宋体" w:cs="宋体" w:hint="eastAsia"/>
              <w:bCs w:val="0"/>
              <w:kern w:val="0"/>
              <w:szCs w:val="21"/>
            </w:rPr>
            <w:t>操作风险管理</w:t>
          </w:r>
        </w:p>
        <w:p w:rsidR="00DE031E" w:rsidRPr="009506EA" w:rsidRDefault="001C1A59" w:rsidP="003A0284">
          <w:pPr>
            <w:pStyle w:val="afb"/>
            <w:snapToGrid w:val="0"/>
            <w:spacing w:beforeLines="50" w:after="120" w:line="360" w:lineRule="auto"/>
            <w:ind w:firstLine="440"/>
            <w:outlineLvl w:val="9"/>
            <w:rPr>
              <w:rFonts w:ascii="Arial" w:eastAsiaTheme="majorEastAsia" w:hAnsi="Arial" w:cs="Arial"/>
              <w:sz w:val="22"/>
              <w:szCs w:val="22"/>
            </w:rPr>
          </w:pPr>
          <w:r w:rsidRPr="009506EA">
            <w:rPr>
              <w:rFonts w:ascii="Arial" w:eastAsiaTheme="majorEastAsia" w:hAnsi="Arial" w:cs="Arial"/>
              <w:sz w:val="22"/>
              <w:szCs w:val="22"/>
            </w:rPr>
            <w:t>公司面临的操作风险指由不完善的内部流程、人为操作失误、信息系统故障、交易故障等原因而导致的风险，也包括外部事件造成损失的风险。操作风险事件主要表现为七类，包括：内部欺诈，外部欺诈，就业制度和工作场所安全，客户、产品和业务活动，实物资产损坏，营业中断和信息技术系统瘫痪，执行、交割和流程管理。</w:t>
          </w:r>
        </w:p>
        <w:p w:rsidR="00DE031E" w:rsidRPr="008C292F" w:rsidRDefault="001C1A59" w:rsidP="003A0284">
          <w:pPr>
            <w:adjustRightInd w:val="0"/>
            <w:snapToGrid w:val="0"/>
            <w:spacing w:beforeLines="50" w:afterLines="50" w:line="360" w:lineRule="auto"/>
            <w:ind w:firstLineChars="200" w:firstLine="440"/>
          </w:pPr>
          <w:r w:rsidRPr="00034100">
            <w:rPr>
              <w:rFonts w:ascii="Arial" w:eastAsiaTheme="majorEastAsia" w:hAnsi="Arial" w:cs="Arial" w:hint="eastAsia"/>
              <w:sz w:val="22"/>
            </w:rPr>
            <w:t>公司强调业务规模、获利与风险承受度的匹配，不因对利润的追求而牺牲对操作风险的管控，坚持在稳健经营的前提下开展各项业务。公司持续强化操作风险管理，逐步建立起与公司业务性质、规模和复杂程度相适应的操作风险管理体系，实现操作风险的有效地识别、评估、监测及报告。公司</w:t>
          </w:r>
          <w:r w:rsidRPr="00034100">
            <w:rPr>
              <w:rFonts w:ascii="Arial" w:eastAsiaTheme="majorEastAsia" w:hAnsi="Arial" w:cs="Arial"/>
              <w:sz w:val="22"/>
            </w:rPr>
            <w:tab/>
          </w:r>
          <w:r w:rsidRPr="00034100">
            <w:rPr>
              <w:rFonts w:ascii="Arial" w:eastAsiaTheme="majorEastAsia" w:hAnsi="Arial" w:cs="Arial"/>
              <w:sz w:val="22"/>
            </w:rPr>
            <w:t>积极推动各单位的操作风险手册编制，以流程为核心、以各部门和</w:t>
          </w:r>
          <w:r w:rsidRPr="00034100">
            <w:rPr>
              <w:rFonts w:ascii="Arial" w:eastAsiaTheme="majorEastAsia" w:hAnsi="Arial" w:cs="Arial"/>
              <w:sz w:val="22"/>
            </w:rPr>
            <w:lastRenderedPageBreak/>
            <w:t>分支机构为单位，形成覆盖公司全业务的操作风险手册，在基本的风险计量和评估功能之上追加后续改进和跟踪环节，形成操作风险手册内生更新循环。通过操作风险事件与损失数据收集管理工具的应用，将各项业务所面</w:t>
          </w:r>
          <w:r w:rsidRPr="00034100">
            <w:rPr>
              <w:rFonts w:ascii="Arial" w:eastAsiaTheme="majorEastAsia" w:hAnsi="Arial" w:cs="Arial" w:hint="eastAsia"/>
              <w:sz w:val="22"/>
            </w:rPr>
            <w:t>临的重要内外部操作风险事件进行归纳汇总，并明确需重点关注的爆发风险之处及其影响，推动操作风险管理向大数据基础上的事前预测转型。</w:t>
          </w:r>
        </w:p>
        <w:p w:rsidR="00DE031E" w:rsidRDefault="001C1A59" w:rsidP="003A0284">
          <w:pPr>
            <w:pStyle w:val="3"/>
            <w:numPr>
              <w:ilvl w:val="0"/>
              <w:numId w:val="76"/>
            </w:numPr>
            <w:spacing w:beforeLines="50" w:afterLines="50" w:line="360" w:lineRule="auto"/>
            <w:rPr>
              <w:szCs w:val="21"/>
            </w:rPr>
          </w:pPr>
          <w:r>
            <w:rPr>
              <w:rFonts w:hint="eastAsia"/>
              <w:szCs w:val="21"/>
            </w:rPr>
            <w:t>市场风险及其应对措施</w:t>
          </w:r>
        </w:p>
        <w:sdt>
          <w:sdtPr>
            <w:rPr>
              <w:rFonts w:cs="宋体" w:hint="eastAsia"/>
              <w:kern w:val="0"/>
              <w:szCs w:val="24"/>
            </w:rPr>
            <w:alias w:val="金融企业市场风险状况的说明"/>
            <w:tag w:val="_GBC_2636c312a967489e8b90dba7103742b3"/>
            <w:id w:val="24726973"/>
            <w:lock w:val="sdtLocked"/>
            <w:placeholder>
              <w:docPart w:val="GBC22222222222222222222222222222"/>
            </w:placeholder>
          </w:sdtPr>
          <w:sdtContent>
            <w:p w:rsidR="00DE031E" w:rsidRPr="00CB58A2" w:rsidRDefault="001C1A59" w:rsidP="003A0284">
              <w:pPr>
                <w:pStyle w:val="afb"/>
                <w:snapToGrid w:val="0"/>
                <w:spacing w:beforeLines="50" w:after="120" w:line="360" w:lineRule="auto"/>
                <w:outlineLvl w:val="9"/>
                <w:rPr>
                  <w:rFonts w:ascii="Arial" w:eastAsiaTheme="majorEastAsia" w:hAnsi="Arial" w:cs="Arial"/>
                  <w:sz w:val="22"/>
                  <w:szCs w:val="22"/>
                </w:rPr>
              </w:pPr>
              <w:r w:rsidRPr="00CB58A2">
                <w:rPr>
                  <w:rFonts w:ascii="Arial" w:eastAsiaTheme="majorEastAsia" w:hAnsi="Arial" w:cs="Arial"/>
                  <w:sz w:val="22"/>
                  <w:szCs w:val="22"/>
                </w:rPr>
                <w:t>公司面临的市场风险是公司的持仓组合由于相关市场的不利变化而导致损失的风险。公司的持仓组合主要来自于自营投资、为客户做市业务以及其他投资活动等，持仓组合的变动主要来自于自营投资的相关策略交易行为以及客户的做市要求。公司的持仓组合使用公允价值进行计算，因此随着市场因素与持仓组合的变化每日会发生波动。公司面临的市场风险的主要类别如下：（</w:t>
              </w:r>
              <w:r w:rsidRPr="00CB58A2">
                <w:rPr>
                  <w:rFonts w:ascii="Arial" w:eastAsiaTheme="majorEastAsia" w:hAnsi="Arial" w:cs="Arial"/>
                  <w:sz w:val="22"/>
                  <w:szCs w:val="22"/>
                </w:rPr>
                <w:t>1</w:t>
              </w:r>
              <w:r w:rsidRPr="00CB58A2">
                <w:rPr>
                  <w:rFonts w:ascii="Arial" w:eastAsiaTheme="majorEastAsia" w:hAnsi="Arial" w:cs="Arial"/>
                  <w:sz w:val="22"/>
                  <w:szCs w:val="22"/>
                </w:rPr>
                <w:t>）权益类风险：来自于持仓组合在股票、股票组合及股指期货等权益类证券的价格及波动率变化上的风险暴露；（</w:t>
              </w:r>
              <w:r w:rsidRPr="00CB58A2">
                <w:rPr>
                  <w:rFonts w:ascii="Arial" w:eastAsiaTheme="majorEastAsia" w:hAnsi="Arial" w:cs="Arial"/>
                  <w:sz w:val="22"/>
                  <w:szCs w:val="22"/>
                </w:rPr>
                <w:t>2</w:t>
              </w:r>
              <w:r w:rsidRPr="00CB58A2">
                <w:rPr>
                  <w:rFonts w:ascii="Arial" w:eastAsiaTheme="majorEastAsia" w:hAnsi="Arial" w:cs="Arial"/>
                  <w:sz w:val="22"/>
                  <w:szCs w:val="22"/>
                </w:rPr>
                <w:t>）利率类风险：来自于持仓组合在固定收益投资收益率曲线结构、利率波动性和信用利差等变化上的风险暴露；（</w:t>
              </w:r>
              <w:r w:rsidRPr="00CB58A2">
                <w:rPr>
                  <w:rFonts w:ascii="Arial" w:eastAsiaTheme="majorEastAsia" w:hAnsi="Arial" w:cs="Arial"/>
                  <w:sz w:val="22"/>
                  <w:szCs w:val="22"/>
                </w:rPr>
                <w:t>3</w:t>
              </w:r>
              <w:r w:rsidRPr="00CB58A2">
                <w:rPr>
                  <w:rFonts w:ascii="Arial" w:eastAsiaTheme="majorEastAsia" w:hAnsi="Arial" w:cs="Arial"/>
                  <w:sz w:val="22"/>
                  <w:szCs w:val="22"/>
                </w:rPr>
                <w:t>）商品类风险：来自于持仓组合在商品现货价格、远期价格及波动率变化上的风险暴露；（</w:t>
              </w:r>
              <w:r w:rsidRPr="00CB58A2">
                <w:rPr>
                  <w:rFonts w:ascii="Arial" w:eastAsiaTheme="majorEastAsia" w:hAnsi="Arial" w:cs="Arial"/>
                  <w:sz w:val="22"/>
                  <w:szCs w:val="22"/>
                </w:rPr>
                <w:t>4</w:t>
              </w:r>
              <w:r w:rsidRPr="00CB58A2">
                <w:rPr>
                  <w:rFonts w:ascii="Arial" w:eastAsiaTheme="majorEastAsia" w:hAnsi="Arial" w:cs="Arial"/>
                  <w:sz w:val="22"/>
                  <w:szCs w:val="22"/>
                </w:rPr>
                <w:t>）汇率类风险：来自于持仓组合在外汇汇率即期、远期价格及波动率变化上的风险暴露。</w:t>
              </w:r>
            </w:p>
            <w:p w:rsidR="00DE031E" w:rsidRPr="00CB58A2" w:rsidRDefault="001C1A59" w:rsidP="003A0284">
              <w:pPr>
                <w:spacing w:beforeLines="50" w:afterLines="50" w:line="360" w:lineRule="auto"/>
                <w:ind w:firstLineChars="200" w:firstLine="420"/>
                <w:rPr>
                  <w:b/>
                </w:rPr>
              </w:pPr>
              <w:r w:rsidRPr="00CB58A2">
                <w:t>公司根据董事会制定的风险偏好、风险容忍度系列指标，统一进行经济资本分配，通过考虑各类投资的风险收益情况，结合相互间相关性和分散化效应将公司整体的风险限额分配至各业务部门/业务线，并相应制定业务授权。前台业务部门作为市场风险的直接承担者，负责一线风险管理工作。其负责人及投资经理使用其对相关市场和产品的深入了解和丰富经验在其授权范围内开展交易并负责前线风险管理工作，动态管理其持仓部分的市场风险暴露，主动采取降低敞口或对冲等风险措施。风险管理部作为独立的监控管理部门，向公司首席风险官负责，使用专业风险管理工具和方法对各投资策略、业务部门/条线和全公司等不同层次上的市场风险状况进行独立的监控、测量和管理，并按日、月、季度等不同频率生成相应层次的风险报表和分析评估报告，发送给公司经营管理层以及相应的业务部门/条线的主要负责人。当发生接近或超过风险限额情况时，风险管理部会及时向公司经营管理层以及相应的业务部门/条线的主要负责人发送预警和风险提示，并根据相关公司领导/委员会审批意见，监督业务部门进行落实实施应对措施。风险管理部还会持续地直接与业务部门/条线的团队沟通讨论最新市场状况、当前风险暴露和可能出现的极端压力情景等问题。</w:t>
              </w:r>
            </w:p>
            <w:p w:rsidR="00DE031E" w:rsidRDefault="001C1A59" w:rsidP="00DE031E">
              <w:pPr>
                <w:pStyle w:val="afb"/>
                <w:snapToGrid w:val="0"/>
                <w:spacing w:afterLines="0" w:line="360" w:lineRule="auto"/>
                <w:ind w:firstLine="440"/>
                <w:outlineLvl w:val="9"/>
                <w:rPr>
                  <w:rFonts w:ascii="Arial" w:eastAsiaTheme="majorEastAsia" w:hAnsi="Arial" w:cs="Arial"/>
                  <w:sz w:val="22"/>
                  <w:szCs w:val="22"/>
                </w:rPr>
              </w:pPr>
              <w:r w:rsidRPr="00CB58A2">
                <w:rPr>
                  <w:rFonts w:ascii="Arial" w:eastAsiaTheme="majorEastAsia" w:hAnsi="Arial" w:cs="Arial"/>
                  <w:sz w:val="22"/>
                  <w:szCs w:val="22"/>
                </w:rPr>
                <w:t>报告期末公司按风险类型分别计量的风险价值（</w:t>
              </w:r>
              <w:r w:rsidRPr="00CB58A2">
                <w:rPr>
                  <w:rFonts w:ascii="Arial" w:eastAsiaTheme="majorEastAsia" w:hAnsi="Arial" w:cs="Arial"/>
                  <w:sz w:val="22"/>
                  <w:szCs w:val="22"/>
                </w:rPr>
                <w:t>VaR</w:t>
              </w:r>
              <w:r w:rsidRPr="00CB58A2">
                <w:rPr>
                  <w:rFonts w:ascii="Arial" w:eastAsiaTheme="majorEastAsia" w:hAnsi="Arial" w:cs="Arial"/>
                  <w:sz w:val="22"/>
                  <w:szCs w:val="22"/>
                </w:rPr>
                <w:t>）如下：</w:t>
              </w:r>
            </w:p>
            <w:p w:rsidR="00A80CD6" w:rsidRPr="00B63B9F" w:rsidRDefault="00A80CD6" w:rsidP="003A0284">
              <w:pPr>
                <w:pStyle w:val="a9"/>
                <w:wordWrap w:val="0"/>
                <w:spacing w:beforeLines="50"/>
                <w:ind w:left="1678" w:firstLineChars="0" w:firstLine="0"/>
                <w:jc w:val="right"/>
              </w:pPr>
              <w:r>
                <w:rPr>
                  <w:rFonts w:hint="eastAsia"/>
                </w:rPr>
                <w:t>单位：</w:t>
              </w:r>
              <w:r w:rsidR="00A15A30">
                <w:rPr>
                  <w:rFonts w:hint="eastAsia"/>
                </w:rPr>
                <w:t>万</w:t>
              </w:r>
              <w:r>
                <w:rPr>
                  <w:rFonts w:hint="eastAsia"/>
                </w:rPr>
                <w:t>元</w:t>
              </w:r>
              <w:r>
                <w:rPr>
                  <w:rFonts w:hint="eastAsia"/>
                </w:rPr>
                <w:t xml:space="preserve">  </w:t>
              </w:r>
              <w:r>
                <w:rPr>
                  <w:rFonts w:hint="eastAsia"/>
                </w:rPr>
                <w:t>币种：人民币</w:t>
              </w:r>
            </w:p>
            <w:tbl>
              <w:tblPr>
                <w:tblW w:w="8644" w:type="dxa"/>
                <w:tblInd w:w="108" w:type="dxa"/>
                <w:tblLook w:val="04A0"/>
              </w:tblPr>
              <w:tblGrid>
                <w:gridCol w:w="2744"/>
                <w:gridCol w:w="2835"/>
                <w:gridCol w:w="3065"/>
              </w:tblGrid>
              <w:tr w:rsidR="00DE031E" w:rsidRPr="00CB58A2" w:rsidTr="00A80CD6">
                <w:trPr>
                  <w:trHeight w:val="340"/>
                  <w:tblHeader/>
                </w:trPr>
                <w:tc>
                  <w:tcPr>
                    <w:tcW w:w="2744" w:type="dxa"/>
                    <w:vMerge w:val="restart"/>
                    <w:shd w:val="clear" w:color="auto" w:fill="auto"/>
                    <w:vAlign w:val="center"/>
                    <w:hideMark/>
                  </w:tcPr>
                  <w:p w:rsidR="00DE031E" w:rsidRPr="00BA01F1" w:rsidRDefault="001C1A59" w:rsidP="00DE031E">
                    <w:pPr>
                      <w:spacing w:line="360" w:lineRule="auto"/>
                      <w:rPr>
                        <w:rFonts w:ascii="Arial" w:hAnsi="Arial" w:cs="Arial"/>
                        <w:b/>
                        <w:bCs/>
                        <w:color w:val="000000"/>
                        <w:sz w:val="18"/>
                        <w:szCs w:val="18"/>
                      </w:rPr>
                    </w:pPr>
                    <w:r w:rsidRPr="00BA01F1">
                      <w:rPr>
                        <w:rFonts w:ascii="Arial" w:hAnsi="Arial" w:cs="Arial"/>
                        <w:b/>
                        <w:bCs/>
                        <w:color w:val="000000"/>
                        <w:sz w:val="18"/>
                        <w:szCs w:val="18"/>
                      </w:rPr>
                      <w:t>风险来源</w:t>
                    </w:r>
                  </w:p>
                </w:tc>
                <w:tc>
                  <w:tcPr>
                    <w:tcW w:w="5900" w:type="dxa"/>
                    <w:gridSpan w:val="2"/>
                    <w:tcBorders>
                      <w:bottom w:val="single" w:sz="4" w:space="0" w:color="auto"/>
                    </w:tcBorders>
                    <w:shd w:val="clear" w:color="auto" w:fill="auto"/>
                    <w:vAlign w:val="center"/>
                    <w:hideMark/>
                  </w:tcPr>
                  <w:p w:rsidR="00DE031E" w:rsidRPr="00CB58A2" w:rsidRDefault="001C1A59" w:rsidP="00A80CD6">
                    <w:pPr>
                      <w:spacing w:line="360" w:lineRule="auto"/>
                      <w:ind w:left="494"/>
                      <w:jc w:val="center"/>
                      <w:rPr>
                        <w:rFonts w:ascii="Arial" w:hAnsi="Arial" w:cs="Arial"/>
                        <w:b/>
                        <w:bCs/>
                        <w:color w:val="000000"/>
                        <w:sz w:val="18"/>
                        <w:szCs w:val="18"/>
                      </w:rPr>
                    </w:pPr>
                    <w:r w:rsidRPr="00CB58A2">
                      <w:rPr>
                        <w:rFonts w:ascii="Arial" w:hAnsi="Arial" w:cs="Arial"/>
                        <w:b/>
                        <w:bCs/>
                        <w:color w:val="000000"/>
                        <w:sz w:val="18"/>
                        <w:szCs w:val="18"/>
                      </w:rPr>
                      <w:t>单日</w:t>
                    </w:r>
                    <w:r w:rsidRPr="00CB58A2">
                      <w:rPr>
                        <w:rFonts w:ascii="Arial" w:hAnsi="Arial" w:cs="Arial"/>
                        <w:b/>
                        <w:bCs/>
                        <w:color w:val="000000"/>
                        <w:sz w:val="18"/>
                        <w:szCs w:val="18"/>
                      </w:rPr>
                      <w:t>95%VaR</w:t>
                    </w:r>
                  </w:p>
                </w:tc>
              </w:tr>
              <w:tr w:rsidR="00DE031E" w:rsidRPr="00CB58A2" w:rsidTr="00A80CD6">
                <w:trPr>
                  <w:trHeight w:val="340"/>
                  <w:tblHeader/>
                </w:trPr>
                <w:tc>
                  <w:tcPr>
                    <w:tcW w:w="2744" w:type="dxa"/>
                    <w:vMerge/>
                    <w:shd w:val="clear" w:color="auto" w:fill="auto"/>
                    <w:vAlign w:val="center"/>
                    <w:hideMark/>
                  </w:tcPr>
                  <w:p w:rsidR="00DE031E" w:rsidRPr="00BA01F1" w:rsidRDefault="00DE031E" w:rsidP="00DE031E">
                    <w:pPr>
                      <w:spacing w:line="360" w:lineRule="auto"/>
                      <w:rPr>
                        <w:rFonts w:ascii="Arial" w:hAnsi="Arial" w:cs="Arial"/>
                        <w:b/>
                        <w:bCs/>
                        <w:color w:val="000000"/>
                        <w:sz w:val="18"/>
                        <w:szCs w:val="18"/>
                      </w:rPr>
                    </w:pPr>
                  </w:p>
                </w:tc>
                <w:tc>
                  <w:tcPr>
                    <w:tcW w:w="2835" w:type="dxa"/>
                    <w:tcBorders>
                      <w:top w:val="single" w:sz="4" w:space="0" w:color="auto"/>
                    </w:tcBorders>
                    <w:shd w:val="clear" w:color="auto" w:fill="auto"/>
                    <w:vAlign w:val="center"/>
                    <w:hideMark/>
                  </w:tcPr>
                  <w:p w:rsidR="00DE031E" w:rsidRPr="00CB58A2" w:rsidRDefault="001C1A59" w:rsidP="00DE031E">
                    <w:pPr>
                      <w:pStyle w:val="Default"/>
                      <w:spacing w:line="360" w:lineRule="auto"/>
                      <w:jc w:val="right"/>
                      <w:rPr>
                        <w:rFonts w:ascii="Arial" w:eastAsiaTheme="minorEastAsia" w:hAnsi="Arial" w:cs="Arial"/>
                        <w:b/>
                        <w:sz w:val="18"/>
                        <w:szCs w:val="18"/>
                        <w:u w:val="single"/>
                      </w:rPr>
                    </w:pPr>
                    <w:r>
                      <w:rPr>
                        <w:rFonts w:ascii="Arial" w:eastAsiaTheme="minorEastAsia" w:hAnsi="Arial" w:cs="Arial"/>
                        <w:b/>
                        <w:sz w:val="18"/>
                        <w:szCs w:val="18"/>
                        <w:u w:val="single"/>
                      </w:rPr>
                      <w:t>201</w:t>
                    </w:r>
                    <w:r>
                      <w:rPr>
                        <w:rFonts w:ascii="Arial" w:eastAsiaTheme="minorEastAsia" w:hAnsi="Arial" w:cs="Arial" w:hint="eastAsia"/>
                        <w:b/>
                        <w:sz w:val="18"/>
                        <w:szCs w:val="18"/>
                        <w:u w:val="single"/>
                      </w:rPr>
                      <w:t>5</w:t>
                    </w:r>
                    <w:r w:rsidRPr="00CB58A2">
                      <w:rPr>
                        <w:rFonts w:ascii="Arial" w:eastAsiaTheme="minorEastAsia" w:hAnsi="Arial" w:cs="Arial"/>
                        <w:b/>
                        <w:sz w:val="18"/>
                        <w:szCs w:val="18"/>
                        <w:u w:val="single"/>
                      </w:rPr>
                      <w:t>年</w:t>
                    </w:r>
                    <w:r>
                      <w:rPr>
                        <w:rFonts w:ascii="Arial" w:eastAsiaTheme="minorEastAsia" w:hAnsi="Arial" w:cs="Arial" w:hint="eastAsia"/>
                        <w:b/>
                        <w:sz w:val="18"/>
                        <w:szCs w:val="18"/>
                        <w:u w:val="single"/>
                      </w:rPr>
                      <w:t>6</w:t>
                    </w:r>
                    <w:r w:rsidRPr="00CB58A2">
                      <w:rPr>
                        <w:rFonts w:ascii="Arial" w:eastAsiaTheme="minorEastAsia" w:hAnsi="Arial" w:cs="Arial"/>
                        <w:b/>
                        <w:sz w:val="18"/>
                        <w:szCs w:val="18"/>
                        <w:u w:val="single"/>
                      </w:rPr>
                      <w:t>月</w:t>
                    </w:r>
                    <w:r w:rsidRPr="00CB58A2">
                      <w:rPr>
                        <w:rFonts w:ascii="Arial" w:eastAsiaTheme="minorEastAsia" w:hAnsi="Arial" w:cs="Arial"/>
                        <w:b/>
                        <w:sz w:val="18"/>
                        <w:szCs w:val="18"/>
                        <w:u w:val="single"/>
                      </w:rPr>
                      <w:t>3</w:t>
                    </w:r>
                    <w:r>
                      <w:rPr>
                        <w:rFonts w:ascii="Arial" w:eastAsiaTheme="minorEastAsia" w:hAnsi="Arial" w:cs="Arial" w:hint="eastAsia"/>
                        <w:b/>
                        <w:sz w:val="18"/>
                        <w:szCs w:val="18"/>
                        <w:u w:val="single"/>
                      </w:rPr>
                      <w:t>0</w:t>
                    </w:r>
                    <w:r w:rsidRPr="00CB58A2">
                      <w:rPr>
                        <w:rFonts w:ascii="Arial" w:eastAsiaTheme="minorEastAsia" w:hAnsi="Arial" w:cs="Arial"/>
                        <w:b/>
                        <w:sz w:val="18"/>
                        <w:szCs w:val="18"/>
                        <w:u w:val="single"/>
                      </w:rPr>
                      <w:t>日</w:t>
                    </w:r>
                  </w:p>
                </w:tc>
                <w:tc>
                  <w:tcPr>
                    <w:tcW w:w="3065" w:type="dxa"/>
                    <w:tcBorders>
                      <w:top w:val="single" w:sz="4" w:space="0" w:color="auto"/>
                    </w:tcBorders>
                    <w:shd w:val="clear" w:color="auto" w:fill="auto"/>
                    <w:vAlign w:val="center"/>
                    <w:hideMark/>
                  </w:tcPr>
                  <w:p w:rsidR="00DE031E" w:rsidRPr="00CB58A2" w:rsidRDefault="001C1A59" w:rsidP="00DE031E">
                    <w:pPr>
                      <w:spacing w:line="360" w:lineRule="auto"/>
                      <w:jc w:val="right"/>
                      <w:rPr>
                        <w:rFonts w:ascii="Arial" w:hAnsi="Arial" w:cs="Arial"/>
                        <w:b/>
                        <w:bCs/>
                        <w:color w:val="000000"/>
                        <w:sz w:val="18"/>
                        <w:szCs w:val="18"/>
                        <w:u w:val="single"/>
                      </w:rPr>
                    </w:pPr>
                    <w:r w:rsidRPr="00CB58A2">
                      <w:rPr>
                        <w:rFonts w:ascii="Arial" w:hAnsi="Arial" w:cs="Arial"/>
                        <w:b/>
                        <w:bCs/>
                        <w:color w:val="000000"/>
                        <w:sz w:val="18"/>
                        <w:szCs w:val="18"/>
                        <w:u w:val="single"/>
                      </w:rPr>
                      <w:t>2014</w:t>
                    </w:r>
                    <w:r w:rsidRPr="00CB58A2">
                      <w:rPr>
                        <w:rFonts w:ascii="Arial" w:hAnsi="Arial" w:cs="Arial"/>
                        <w:b/>
                        <w:bCs/>
                        <w:color w:val="000000"/>
                        <w:sz w:val="18"/>
                        <w:szCs w:val="18"/>
                        <w:u w:val="single"/>
                      </w:rPr>
                      <w:t>年</w:t>
                    </w:r>
                    <w:r w:rsidRPr="00CB58A2">
                      <w:rPr>
                        <w:rFonts w:ascii="Arial" w:hAnsi="Arial" w:cs="Arial"/>
                        <w:b/>
                        <w:bCs/>
                        <w:color w:val="000000"/>
                        <w:sz w:val="18"/>
                        <w:szCs w:val="18"/>
                        <w:u w:val="single"/>
                      </w:rPr>
                      <w:t>12</w:t>
                    </w:r>
                    <w:r w:rsidRPr="00CB58A2">
                      <w:rPr>
                        <w:rFonts w:ascii="Arial" w:hAnsi="Arial" w:cs="Arial"/>
                        <w:b/>
                        <w:bCs/>
                        <w:color w:val="000000"/>
                        <w:sz w:val="18"/>
                        <w:szCs w:val="18"/>
                        <w:u w:val="single"/>
                      </w:rPr>
                      <w:t>月</w:t>
                    </w:r>
                    <w:r w:rsidRPr="00CB58A2">
                      <w:rPr>
                        <w:rFonts w:ascii="Arial" w:hAnsi="Arial" w:cs="Arial"/>
                        <w:b/>
                        <w:bCs/>
                        <w:color w:val="000000"/>
                        <w:sz w:val="18"/>
                        <w:szCs w:val="18"/>
                        <w:u w:val="single"/>
                      </w:rPr>
                      <w:t>31</w:t>
                    </w:r>
                    <w:r w:rsidRPr="00CB58A2">
                      <w:rPr>
                        <w:rFonts w:ascii="Arial" w:hAnsi="Arial" w:cs="Arial"/>
                        <w:b/>
                        <w:bCs/>
                        <w:color w:val="000000"/>
                        <w:sz w:val="18"/>
                        <w:szCs w:val="18"/>
                        <w:u w:val="single"/>
                      </w:rPr>
                      <w:t>日</w:t>
                    </w:r>
                  </w:p>
                </w:tc>
              </w:tr>
              <w:tr w:rsidR="00DE031E" w:rsidRPr="00CB58A2" w:rsidTr="00DE031E">
                <w:trPr>
                  <w:trHeight w:val="340"/>
                </w:trPr>
                <w:tc>
                  <w:tcPr>
                    <w:tcW w:w="2744" w:type="dxa"/>
                    <w:shd w:val="clear" w:color="auto" w:fill="auto"/>
                    <w:vAlign w:val="center"/>
                    <w:hideMark/>
                  </w:tcPr>
                  <w:p w:rsidR="00DE031E" w:rsidRPr="00BA01F1" w:rsidRDefault="001C1A59" w:rsidP="00DE031E">
                    <w:pPr>
                      <w:spacing w:line="360" w:lineRule="auto"/>
                      <w:rPr>
                        <w:rFonts w:ascii="Arial" w:hAnsi="Arial" w:cs="Arial"/>
                        <w:color w:val="000000"/>
                        <w:sz w:val="18"/>
                        <w:szCs w:val="18"/>
                      </w:rPr>
                    </w:pPr>
                    <w:r w:rsidRPr="00BA01F1">
                      <w:rPr>
                        <w:rFonts w:ascii="Arial" w:hAnsi="Arial" w:cs="Arial"/>
                        <w:color w:val="000000"/>
                        <w:sz w:val="18"/>
                        <w:szCs w:val="18"/>
                      </w:rPr>
                      <w:t>权益类市场风险</w:t>
                    </w:r>
                  </w:p>
                </w:tc>
                <w:tc>
                  <w:tcPr>
                    <w:tcW w:w="283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10</w:t>
                    </w:r>
                    <w:r>
                      <w:rPr>
                        <w:rFonts w:ascii="Arial" w:hAnsi="Arial" w:cs="Arial" w:hint="eastAsia"/>
                        <w:color w:val="000000"/>
                        <w:sz w:val="18"/>
                        <w:szCs w:val="18"/>
                      </w:rPr>
                      <w:t>,</w:t>
                    </w:r>
                    <w:r w:rsidRPr="00BD7D1A">
                      <w:rPr>
                        <w:rFonts w:ascii="Arial" w:hAnsi="Arial" w:cs="Arial" w:hint="eastAsia"/>
                        <w:color w:val="000000"/>
                        <w:sz w:val="18"/>
                        <w:szCs w:val="18"/>
                      </w:rPr>
                      <w:t>779.23</w:t>
                    </w:r>
                  </w:p>
                </w:tc>
                <w:tc>
                  <w:tcPr>
                    <w:tcW w:w="306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4,920.13</w:t>
                    </w:r>
                  </w:p>
                </w:tc>
              </w:tr>
              <w:tr w:rsidR="00DE031E" w:rsidRPr="00CB58A2" w:rsidTr="00DE031E">
                <w:trPr>
                  <w:trHeight w:val="340"/>
                </w:trPr>
                <w:tc>
                  <w:tcPr>
                    <w:tcW w:w="2744" w:type="dxa"/>
                    <w:shd w:val="clear" w:color="auto" w:fill="auto"/>
                    <w:vAlign w:val="center"/>
                    <w:hideMark/>
                  </w:tcPr>
                  <w:p w:rsidR="00DE031E" w:rsidRPr="00BA01F1" w:rsidRDefault="001C1A59" w:rsidP="00DE031E">
                    <w:pPr>
                      <w:spacing w:line="360" w:lineRule="auto"/>
                      <w:rPr>
                        <w:rFonts w:ascii="Arial" w:hAnsi="Arial" w:cs="Arial"/>
                        <w:color w:val="000000"/>
                        <w:sz w:val="18"/>
                        <w:szCs w:val="18"/>
                      </w:rPr>
                    </w:pPr>
                    <w:r w:rsidRPr="00BA01F1">
                      <w:rPr>
                        <w:rFonts w:ascii="Arial" w:hAnsi="Arial" w:cs="Arial"/>
                        <w:color w:val="000000"/>
                        <w:sz w:val="18"/>
                        <w:szCs w:val="18"/>
                      </w:rPr>
                      <w:lastRenderedPageBreak/>
                      <w:t>利率类市场风险</w:t>
                    </w:r>
                  </w:p>
                </w:tc>
                <w:tc>
                  <w:tcPr>
                    <w:tcW w:w="283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5</w:t>
                    </w:r>
                    <w:r>
                      <w:rPr>
                        <w:rFonts w:ascii="Arial" w:hAnsi="Arial" w:cs="Arial" w:hint="eastAsia"/>
                        <w:color w:val="000000"/>
                        <w:sz w:val="18"/>
                        <w:szCs w:val="18"/>
                      </w:rPr>
                      <w:t>,</w:t>
                    </w:r>
                    <w:r w:rsidRPr="00BD7D1A">
                      <w:rPr>
                        <w:rFonts w:ascii="Arial" w:hAnsi="Arial" w:cs="Arial" w:hint="eastAsia"/>
                        <w:color w:val="000000"/>
                        <w:sz w:val="18"/>
                        <w:szCs w:val="18"/>
                      </w:rPr>
                      <w:t>756.49</w:t>
                    </w:r>
                  </w:p>
                </w:tc>
                <w:tc>
                  <w:tcPr>
                    <w:tcW w:w="306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5,490.32</w:t>
                    </w:r>
                  </w:p>
                </w:tc>
              </w:tr>
              <w:tr w:rsidR="00DE031E" w:rsidRPr="00CB58A2" w:rsidTr="00DE031E">
                <w:trPr>
                  <w:trHeight w:val="340"/>
                </w:trPr>
                <w:tc>
                  <w:tcPr>
                    <w:tcW w:w="2744" w:type="dxa"/>
                    <w:shd w:val="clear" w:color="auto" w:fill="auto"/>
                    <w:vAlign w:val="center"/>
                    <w:hideMark/>
                  </w:tcPr>
                  <w:p w:rsidR="00DE031E" w:rsidRPr="00BA01F1" w:rsidRDefault="001C1A59" w:rsidP="00DE031E">
                    <w:pPr>
                      <w:spacing w:line="360" w:lineRule="auto"/>
                      <w:rPr>
                        <w:rFonts w:ascii="Arial" w:hAnsi="Arial" w:cs="Arial"/>
                        <w:color w:val="000000"/>
                        <w:sz w:val="18"/>
                        <w:szCs w:val="18"/>
                      </w:rPr>
                    </w:pPr>
                    <w:r w:rsidRPr="00BA01F1">
                      <w:rPr>
                        <w:rFonts w:ascii="Arial" w:hAnsi="Arial" w:cs="Arial"/>
                        <w:color w:val="000000"/>
                        <w:sz w:val="18"/>
                        <w:szCs w:val="18"/>
                      </w:rPr>
                      <w:t>商品类市场风险</w:t>
                    </w:r>
                  </w:p>
                </w:tc>
                <w:tc>
                  <w:tcPr>
                    <w:tcW w:w="283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64.89</w:t>
                    </w:r>
                  </w:p>
                </w:tc>
                <w:tc>
                  <w:tcPr>
                    <w:tcW w:w="306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11.2</w:t>
                    </w:r>
                    <w:r>
                      <w:rPr>
                        <w:rFonts w:ascii="Arial" w:hAnsi="Arial" w:cs="Arial" w:hint="eastAsia"/>
                        <w:color w:val="000000"/>
                        <w:sz w:val="18"/>
                        <w:szCs w:val="18"/>
                      </w:rPr>
                      <w:t>0</w:t>
                    </w:r>
                  </w:p>
                </w:tc>
              </w:tr>
              <w:tr w:rsidR="00DE031E" w:rsidRPr="00CB58A2" w:rsidTr="00DE031E">
                <w:trPr>
                  <w:trHeight w:val="340"/>
                </w:trPr>
                <w:tc>
                  <w:tcPr>
                    <w:tcW w:w="2744" w:type="dxa"/>
                    <w:shd w:val="clear" w:color="auto" w:fill="auto"/>
                    <w:vAlign w:val="center"/>
                    <w:hideMark/>
                  </w:tcPr>
                  <w:p w:rsidR="00DE031E" w:rsidRPr="00BA01F1" w:rsidRDefault="001C1A59" w:rsidP="00DE031E">
                    <w:pPr>
                      <w:spacing w:line="360" w:lineRule="auto"/>
                      <w:rPr>
                        <w:rFonts w:ascii="Arial" w:hAnsi="Arial" w:cs="Arial"/>
                        <w:color w:val="000000"/>
                        <w:sz w:val="18"/>
                        <w:szCs w:val="18"/>
                      </w:rPr>
                    </w:pPr>
                    <w:r w:rsidRPr="00BA01F1">
                      <w:rPr>
                        <w:rFonts w:ascii="Arial" w:hAnsi="Arial" w:cs="Arial"/>
                        <w:color w:val="000000"/>
                        <w:sz w:val="18"/>
                        <w:szCs w:val="18"/>
                      </w:rPr>
                      <w:t>外汇类市场风险</w:t>
                    </w:r>
                  </w:p>
                </w:tc>
                <w:tc>
                  <w:tcPr>
                    <w:tcW w:w="283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12.21</w:t>
                    </w:r>
                  </w:p>
                </w:tc>
                <w:tc>
                  <w:tcPr>
                    <w:tcW w:w="306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27.47</w:t>
                    </w:r>
                  </w:p>
                </w:tc>
              </w:tr>
              <w:tr w:rsidR="00DE031E" w:rsidRPr="00CB58A2" w:rsidTr="00DE031E">
                <w:trPr>
                  <w:trHeight w:val="340"/>
                </w:trPr>
                <w:tc>
                  <w:tcPr>
                    <w:tcW w:w="2744" w:type="dxa"/>
                    <w:shd w:val="clear" w:color="auto" w:fill="auto"/>
                    <w:vAlign w:val="center"/>
                    <w:hideMark/>
                  </w:tcPr>
                  <w:p w:rsidR="00DE031E" w:rsidRPr="00BA01F1" w:rsidRDefault="001C1A59" w:rsidP="00DE031E">
                    <w:pPr>
                      <w:spacing w:line="360" w:lineRule="auto"/>
                      <w:rPr>
                        <w:rFonts w:ascii="Arial" w:hAnsi="Arial" w:cs="Arial"/>
                        <w:color w:val="000000"/>
                        <w:sz w:val="18"/>
                        <w:szCs w:val="18"/>
                      </w:rPr>
                    </w:pPr>
                    <w:r>
                      <w:rPr>
                        <w:rFonts w:ascii="Arial" w:hAnsi="Arial" w:cs="Arial" w:hint="eastAsia"/>
                        <w:color w:val="000000"/>
                        <w:sz w:val="18"/>
                        <w:szCs w:val="18"/>
                      </w:rPr>
                      <w:t>分散化效应</w:t>
                    </w:r>
                  </w:p>
                </w:tc>
                <w:tc>
                  <w:tcPr>
                    <w:tcW w:w="283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-3</w:t>
                    </w:r>
                    <w:r>
                      <w:rPr>
                        <w:rFonts w:ascii="Arial" w:hAnsi="Arial" w:cs="Arial" w:hint="eastAsia"/>
                        <w:color w:val="000000"/>
                        <w:sz w:val="18"/>
                        <w:szCs w:val="18"/>
                      </w:rPr>
                      <w:t>,</w:t>
                    </w:r>
                    <w:r w:rsidRPr="00BD7D1A">
                      <w:rPr>
                        <w:rFonts w:ascii="Arial" w:hAnsi="Arial" w:cs="Arial" w:hint="eastAsia"/>
                        <w:color w:val="000000"/>
                        <w:sz w:val="18"/>
                        <w:szCs w:val="18"/>
                      </w:rPr>
                      <w:t>987.4</w:t>
                    </w:r>
                  </w:p>
                </w:tc>
                <w:tc>
                  <w:tcPr>
                    <w:tcW w:w="3065" w:type="dxa"/>
                    <w:shd w:val="clear" w:color="auto" w:fill="auto"/>
                    <w:vAlign w:val="center"/>
                    <w:hideMark/>
                  </w:tcPr>
                  <w:p w:rsidR="00DE031E" w:rsidRPr="00BD7D1A" w:rsidRDefault="001C1A59" w:rsidP="00DE031E">
                    <w:pPr>
                      <w:spacing w:line="360" w:lineRule="auto"/>
                      <w:jc w:val="right"/>
                      <w:rPr>
                        <w:rFonts w:ascii="Arial" w:hAnsi="Arial" w:cs="Arial"/>
                        <w:color w:val="000000"/>
                        <w:sz w:val="18"/>
                        <w:szCs w:val="18"/>
                      </w:rPr>
                    </w:pPr>
                    <w:r w:rsidRPr="00BD7D1A">
                      <w:rPr>
                        <w:rFonts w:ascii="Arial" w:hAnsi="Arial" w:cs="Arial" w:hint="eastAsia"/>
                        <w:color w:val="000000"/>
                        <w:sz w:val="18"/>
                        <w:szCs w:val="18"/>
                      </w:rPr>
                      <w:t>-2,005.25</w:t>
                    </w:r>
                  </w:p>
                </w:tc>
              </w:tr>
              <w:tr w:rsidR="00DE031E" w:rsidRPr="00CB58A2" w:rsidTr="00DE031E">
                <w:trPr>
                  <w:trHeight w:val="340"/>
                </w:trPr>
                <w:tc>
                  <w:tcPr>
                    <w:tcW w:w="2744" w:type="dxa"/>
                    <w:shd w:val="clear" w:color="auto" w:fill="auto"/>
                    <w:vAlign w:val="center"/>
                    <w:hideMark/>
                  </w:tcPr>
                  <w:p w:rsidR="00DE031E" w:rsidRPr="00BA01F1" w:rsidRDefault="001C1A59" w:rsidP="00DE031E">
                    <w:pPr>
                      <w:spacing w:line="360" w:lineRule="auto"/>
                      <w:rPr>
                        <w:rFonts w:ascii="Arial" w:hAnsi="Arial" w:cs="Arial"/>
                        <w:b/>
                        <w:bCs/>
                        <w:color w:val="000000"/>
                        <w:sz w:val="18"/>
                        <w:szCs w:val="18"/>
                      </w:rPr>
                    </w:pPr>
                    <w:r w:rsidRPr="00BA01F1">
                      <w:rPr>
                        <w:rFonts w:ascii="Arial" w:hAnsi="Arial" w:cs="Arial"/>
                        <w:b/>
                        <w:bCs/>
                        <w:color w:val="000000"/>
                        <w:sz w:val="18"/>
                        <w:szCs w:val="18"/>
                      </w:rPr>
                      <w:t>合计</w:t>
                    </w:r>
                  </w:p>
                </w:tc>
                <w:tc>
                  <w:tcPr>
                    <w:tcW w:w="2835" w:type="dxa"/>
                    <w:shd w:val="clear" w:color="auto" w:fill="auto"/>
                    <w:vAlign w:val="center"/>
                    <w:hideMark/>
                  </w:tcPr>
                  <w:p w:rsidR="00DE031E" w:rsidRPr="00BD7D1A" w:rsidRDefault="001C1A59" w:rsidP="00DE031E">
                    <w:pPr>
                      <w:spacing w:line="360" w:lineRule="auto"/>
                      <w:jc w:val="right"/>
                      <w:rPr>
                        <w:rFonts w:ascii="Arial" w:hAnsi="Arial" w:cs="Arial"/>
                        <w:b/>
                        <w:color w:val="000000"/>
                        <w:sz w:val="18"/>
                        <w:szCs w:val="18"/>
                      </w:rPr>
                    </w:pPr>
                    <w:r w:rsidRPr="00BD7D1A">
                      <w:rPr>
                        <w:rFonts w:ascii="Arial" w:hAnsi="Arial" w:cs="Arial" w:hint="eastAsia"/>
                        <w:b/>
                        <w:color w:val="000000"/>
                        <w:sz w:val="18"/>
                        <w:szCs w:val="18"/>
                      </w:rPr>
                      <w:t>12</w:t>
                    </w:r>
                    <w:r>
                      <w:rPr>
                        <w:rFonts w:ascii="Arial" w:hAnsi="Arial" w:cs="Arial" w:hint="eastAsia"/>
                        <w:b/>
                        <w:color w:val="000000"/>
                        <w:sz w:val="18"/>
                        <w:szCs w:val="18"/>
                      </w:rPr>
                      <w:t>,</w:t>
                    </w:r>
                    <w:r w:rsidRPr="00BD7D1A">
                      <w:rPr>
                        <w:rFonts w:ascii="Arial" w:hAnsi="Arial" w:cs="Arial" w:hint="eastAsia"/>
                        <w:b/>
                        <w:color w:val="000000"/>
                        <w:sz w:val="18"/>
                        <w:szCs w:val="18"/>
                      </w:rPr>
                      <w:t>625.42</w:t>
                    </w:r>
                  </w:p>
                </w:tc>
                <w:tc>
                  <w:tcPr>
                    <w:tcW w:w="3065" w:type="dxa"/>
                    <w:shd w:val="clear" w:color="auto" w:fill="auto"/>
                    <w:vAlign w:val="center"/>
                    <w:hideMark/>
                  </w:tcPr>
                  <w:p w:rsidR="00DE031E" w:rsidRPr="00BD7D1A" w:rsidRDefault="001C1A59" w:rsidP="00DE031E">
                    <w:pPr>
                      <w:spacing w:line="360" w:lineRule="auto"/>
                      <w:jc w:val="right"/>
                      <w:rPr>
                        <w:rFonts w:ascii="Arial" w:hAnsi="Arial" w:cs="Arial"/>
                        <w:b/>
                        <w:color w:val="000000"/>
                        <w:sz w:val="18"/>
                        <w:szCs w:val="18"/>
                      </w:rPr>
                    </w:pPr>
                    <w:r w:rsidRPr="00BD7D1A">
                      <w:rPr>
                        <w:rFonts w:ascii="Arial" w:hAnsi="Arial" w:cs="Arial" w:hint="eastAsia"/>
                        <w:b/>
                        <w:color w:val="000000"/>
                        <w:sz w:val="18"/>
                        <w:szCs w:val="18"/>
                      </w:rPr>
                      <w:t>8,443.87</w:t>
                    </w:r>
                  </w:p>
                </w:tc>
              </w:tr>
            </w:tbl>
            <w:p w:rsidR="00DE031E" w:rsidRDefault="001C1A59" w:rsidP="003A0284">
              <w:pPr>
                <w:spacing w:beforeLines="50" w:afterLines="50" w:line="360" w:lineRule="auto"/>
                <w:ind w:firstLineChars="200" w:firstLine="440"/>
                <w:rPr>
                  <w:szCs w:val="21"/>
                </w:rPr>
              </w:pPr>
              <w:r w:rsidRPr="00CB58A2">
                <w:rPr>
                  <w:rFonts w:ascii="Arial" w:eastAsiaTheme="majorEastAsia" w:hAnsi="Arial" w:cs="Arial"/>
                  <w:sz w:val="22"/>
                  <w:szCs w:val="22"/>
                </w:rPr>
                <w:t>公司</w:t>
              </w:r>
              <w:r w:rsidRPr="00CB58A2">
                <w:rPr>
                  <w:rFonts w:ascii="Arial" w:eastAsiaTheme="majorEastAsia" w:hAnsi="Arial" w:cs="Arial"/>
                  <w:sz w:val="22"/>
                  <w:szCs w:val="22"/>
                </w:rPr>
                <w:t>201</w:t>
              </w:r>
              <w:r>
                <w:rPr>
                  <w:rFonts w:ascii="Arial" w:eastAsiaTheme="majorEastAsia" w:hAnsi="Arial" w:cs="Arial" w:hint="eastAsia"/>
                  <w:sz w:val="22"/>
                  <w:szCs w:val="22"/>
                </w:rPr>
                <w:t>5</w:t>
              </w:r>
              <w:r w:rsidRPr="00CB58A2">
                <w:rPr>
                  <w:rFonts w:ascii="Arial" w:eastAsiaTheme="majorEastAsia" w:hAnsi="Arial" w:cs="Arial"/>
                  <w:sz w:val="22"/>
                  <w:szCs w:val="22"/>
                </w:rPr>
                <w:t>年年末的</w:t>
              </w:r>
              <w:r w:rsidRPr="00CB58A2">
                <w:rPr>
                  <w:rFonts w:ascii="Arial" w:eastAsiaTheme="majorEastAsia" w:hAnsi="Arial" w:cs="Arial"/>
                  <w:sz w:val="22"/>
                  <w:szCs w:val="22"/>
                </w:rPr>
                <w:t>VaR</w:t>
              </w:r>
              <w:r w:rsidRPr="00CB58A2">
                <w:rPr>
                  <w:rFonts w:ascii="Arial" w:eastAsiaTheme="majorEastAsia" w:hAnsi="Arial" w:cs="Arial"/>
                  <w:sz w:val="22"/>
                  <w:szCs w:val="22"/>
                </w:rPr>
                <w:t>同比增加了</w:t>
              </w:r>
              <w:r w:rsidRPr="00CB58A2">
                <w:rPr>
                  <w:rFonts w:ascii="Arial" w:eastAsiaTheme="majorEastAsia" w:hAnsi="Arial" w:cs="Arial"/>
                  <w:sz w:val="22"/>
                  <w:szCs w:val="22"/>
                </w:rPr>
                <w:t>4,</w:t>
              </w:r>
              <w:r>
                <w:rPr>
                  <w:rFonts w:ascii="Arial" w:eastAsiaTheme="majorEastAsia" w:hAnsi="Arial" w:cs="Arial" w:hint="eastAsia"/>
                  <w:sz w:val="22"/>
                  <w:szCs w:val="22"/>
                </w:rPr>
                <w:t>181.55</w:t>
              </w:r>
              <w:r w:rsidRPr="00CB58A2">
                <w:rPr>
                  <w:rFonts w:ascii="Arial" w:eastAsiaTheme="majorEastAsia" w:hAnsi="Arial" w:cs="Arial"/>
                  <w:sz w:val="22"/>
                  <w:szCs w:val="22"/>
                </w:rPr>
                <w:t>万元，这主要是由于公司权益类资产投资投资规模上升所致。</w:t>
              </w:r>
            </w:p>
          </w:sdtContent>
        </w:sdt>
      </w:sdtContent>
    </w:sdt>
    <w:p w:rsidR="00DE031E" w:rsidRDefault="001C1A59" w:rsidP="009950AC">
      <w:pPr>
        <w:pStyle w:val="2"/>
        <w:numPr>
          <w:ilvl w:val="0"/>
          <w:numId w:val="30"/>
        </w:numPr>
        <w:spacing w:line="360" w:lineRule="auto"/>
      </w:pPr>
      <w:r>
        <w:rPr>
          <w:rFonts w:hint="eastAsia"/>
        </w:rPr>
        <w:t>其他重要事项</w:t>
      </w:r>
    </w:p>
    <w:p w:rsidR="00DE031E" w:rsidRDefault="001C1A59" w:rsidP="009950AC">
      <w:pPr>
        <w:pStyle w:val="3"/>
        <w:numPr>
          <w:ilvl w:val="0"/>
          <w:numId w:val="78"/>
        </w:numPr>
        <w:spacing w:line="360" w:lineRule="auto"/>
        <w:rPr>
          <w:rFonts w:ascii="宋体" w:hAnsi="宋体"/>
          <w:b w:val="0"/>
          <w:szCs w:val="21"/>
        </w:rPr>
      </w:pPr>
      <w:r>
        <w:rPr>
          <w:rFonts w:ascii="宋体" w:hAnsi="宋体" w:hint="eastAsia"/>
          <w:szCs w:val="21"/>
        </w:rPr>
        <w:t>分部信息</w:t>
      </w:r>
    </w:p>
    <w:sdt>
      <w:sdtPr>
        <w:rPr>
          <w:rFonts w:cstheme="minorBidi"/>
          <w:kern w:val="2"/>
          <w:szCs w:val="21"/>
        </w:rPr>
        <w:alias w:val="是否适用：分部信息"/>
        <w:tag w:val="_GBC_6e28a1b94d554a3cadde9d031f14c7a5"/>
        <w:id w:val="24726975"/>
        <w:lock w:val="sdtContentLocked"/>
        <w:placeholder>
          <w:docPart w:val="GBC22222222222222222222222222222"/>
        </w:placeholder>
      </w:sdtPr>
      <w:sdtContent>
        <w:p w:rsidR="00DE031E" w:rsidRDefault="00422DCA">
          <w:pPr>
            <w:rPr>
              <w:rFonts w:cstheme="minorBidi"/>
              <w:kern w:val="2"/>
              <w:szCs w:val="21"/>
            </w:rPr>
          </w:pPr>
          <w:r>
            <w:rPr>
              <w:rFonts w:cstheme="minorBidi"/>
              <w:kern w:val="2"/>
              <w:szCs w:val="21"/>
            </w:rPr>
            <w:fldChar w:fldCharType="begin"/>
          </w:r>
          <w:r w:rsidR="001C1A59">
            <w:rPr>
              <w:rFonts w:cstheme="minorBidi"/>
              <w:kern w:val="2"/>
              <w:szCs w:val="21"/>
            </w:rPr>
            <w:instrText xml:space="preserve"> MACROBUTTON  SnrToggleCheckbox √适用 </w:instrText>
          </w:r>
          <w:r>
            <w:rPr>
              <w:rFonts w:cstheme="minorBidi"/>
              <w:kern w:val="2"/>
              <w:szCs w:val="21"/>
            </w:rPr>
            <w:fldChar w:fldCharType="end"/>
          </w:r>
          <w:r>
            <w:rPr>
              <w:rFonts w:cstheme="minorBidi"/>
              <w:kern w:val="2"/>
              <w:szCs w:val="21"/>
            </w:rPr>
            <w:fldChar w:fldCharType="begin"/>
          </w:r>
          <w:r w:rsidR="001C1A59">
            <w:rPr>
              <w:rFonts w:cstheme="minorBidi"/>
              <w:kern w:val="2"/>
              <w:szCs w:val="21"/>
            </w:rPr>
            <w:instrText xml:space="preserve"> MACROBUTTON  SnrToggleCheckbox □不适用 </w:instrText>
          </w:r>
          <w:r>
            <w:rPr>
              <w:rFonts w:cstheme="minorBidi"/>
              <w:kern w:val="2"/>
              <w:szCs w:val="21"/>
            </w:rPr>
            <w:fldChar w:fldCharType="end"/>
          </w:r>
        </w:p>
      </w:sdtContent>
    </w:sdt>
    <w:sdt>
      <w:sdtPr>
        <w:rPr>
          <w:rFonts w:ascii="宋体" w:hAnsi="宋体" w:cs="宋体" w:hint="eastAsia"/>
          <w:b w:val="0"/>
          <w:bCs w:val="0"/>
          <w:kern w:val="0"/>
          <w:szCs w:val="21"/>
        </w:rPr>
        <w:tag w:val="_GBC_a659f5b3817d4a3394d1850cd82bbbab"/>
        <w:id w:val="24726977"/>
        <w:lock w:val="sdtLocked"/>
        <w:placeholder>
          <w:docPart w:val="GBC22222222222222222222222222222"/>
        </w:placeholder>
      </w:sdtPr>
      <w:sdtEndPr>
        <w:rPr>
          <w:rFonts w:hint="default"/>
        </w:rPr>
      </w:sdtEndPr>
      <w:sdtContent>
        <w:p w:rsidR="00DE031E" w:rsidRDefault="001C1A59" w:rsidP="009950AC">
          <w:pPr>
            <w:pStyle w:val="4"/>
            <w:numPr>
              <w:ilvl w:val="1"/>
              <w:numId w:val="79"/>
            </w:numPr>
            <w:tabs>
              <w:tab w:val="left" w:pos="644"/>
            </w:tabs>
            <w:spacing w:line="360" w:lineRule="auto"/>
            <w:ind w:left="420"/>
            <w:rPr>
              <w:rFonts w:ascii="宋体" w:hAnsi="宋体"/>
              <w:szCs w:val="21"/>
            </w:rPr>
          </w:pPr>
          <w:r>
            <w:rPr>
              <w:rFonts w:ascii="宋体" w:hAnsi="宋体" w:hint="eastAsia"/>
              <w:szCs w:val="21"/>
            </w:rPr>
            <w:t>报告分部的确定依据与会计政策：</w:t>
          </w:r>
        </w:p>
        <w:sdt>
          <w:sdtPr>
            <w:rPr>
              <w:szCs w:val="21"/>
            </w:rPr>
            <w:alias w:val="报告分部的确定依据与会计政策"/>
            <w:tag w:val="_GBC_025e15951a494fa2845d296cf8db1fdb"/>
            <w:id w:val="24726976"/>
            <w:lock w:val="sdtLocked"/>
            <w:placeholder>
              <w:docPart w:val="GBC22222222222222222222222222222"/>
            </w:placeholder>
          </w:sdtPr>
          <w:sdtContent>
            <w:p w:rsidR="00DE031E" w:rsidRDefault="001C1A59" w:rsidP="00DE031E">
              <w:pPr>
                <w:widowControl w:val="0"/>
                <w:autoSpaceDE w:val="0"/>
                <w:autoSpaceDN w:val="0"/>
                <w:adjustRightInd w:val="0"/>
                <w:spacing w:line="360" w:lineRule="auto"/>
                <w:ind w:firstLineChars="200" w:firstLine="420"/>
                <w:rPr>
                  <w:szCs w:val="21"/>
                </w:rPr>
              </w:pPr>
              <w:r>
                <w:rPr>
                  <w:rFonts w:hAnsi="Calibri" w:hint="eastAsia"/>
                  <w:sz w:val="22"/>
                  <w:szCs w:val="22"/>
                </w:rPr>
                <w:t>本公司以内部组织结构、管理要求、内部报告制度为依据确定经营分部，以经营分部和地区分部为基础确定报告分部。分部会计政策与合并财务报表会计政策一致。</w:t>
              </w:r>
            </w:p>
          </w:sdtContent>
        </w:sdt>
        <w:p w:rsidR="00DE031E" w:rsidRPr="00B87C8F" w:rsidRDefault="00DE031E">
          <w:pPr>
            <w:rPr>
              <w:szCs w:val="21"/>
            </w:rPr>
            <w:sectPr w:rsidR="00DE031E" w:rsidRPr="00B87C8F" w:rsidSect="000F6CCA">
              <w:headerReference w:type="default" r:id="rId29"/>
              <w:pgSz w:w="11906" w:h="16838"/>
              <w:pgMar w:top="1440" w:right="1797" w:bottom="1525" w:left="1276" w:header="856" w:footer="992" w:gutter="0"/>
              <w:cols w:space="425"/>
              <w:docGrid w:linePitch="312"/>
            </w:sectPr>
          </w:pPr>
        </w:p>
        <w:p w:rsidR="00DE031E" w:rsidRDefault="00422DCA">
          <w:pPr>
            <w:rPr>
              <w:szCs w:val="21"/>
            </w:rPr>
          </w:pPr>
        </w:p>
      </w:sdtContent>
    </w:sdt>
    <w:sdt>
      <w:sdtPr>
        <w:rPr>
          <w:rFonts w:ascii="宋体" w:hAnsi="宋体" w:cs="宋体" w:hint="eastAsia"/>
          <w:b w:val="0"/>
          <w:bCs w:val="0"/>
          <w:kern w:val="0"/>
          <w:szCs w:val="24"/>
        </w:rPr>
        <w:tag w:val="_GBC_7bcfc6b35dea4597b05ae9db882c542b"/>
        <w:id w:val="24727086"/>
        <w:lock w:val="sdtLocked"/>
        <w:placeholder>
          <w:docPart w:val="GBC22222222222222222222222222222"/>
        </w:placeholder>
      </w:sdtPr>
      <w:sdtEndPr>
        <w:rPr>
          <w:rFonts w:hint="default"/>
          <w:szCs w:val="21"/>
        </w:rPr>
      </w:sdtEndPr>
      <w:sdtContent>
        <w:p w:rsidR="00DE031E" w:rsidRDefault="001C1A59" w:rsidP="009950AC">
          <w:pPr>
            <w:pStyle w:val="4"/>
            <w:numPr>
              <w:ilvl w:val="1"/>
              <w:numId w:val="79"/>
            </w:numPr>
            <w:tabs>
              <w:tab w:val="left" w:pos="644"/>
            </w:tabs>
            <w:spacing w:line="360" w:lineRule="auto"/>
            <w:ind w:left="420"/>
          </w:pPr>
          <w:r>
            <w:rPr>
              <w:rFonts w:hint="eastAsia"/>
            </w:rPr>
            <w:t>报告分部的财务信息</w:t>
          </w:r>
        </w:p>
        <w:p w:rsidR="00DE031E" w:rsidRDefault="001C1A59" w:rsidP="009950AC">
          <w:pPr>
            <w:pStyle w:val="a9"/>
            <w:numPr>
              <w:ilvl w:val="3"/>
              <w:numId w:val="80"/>
            </w:numPr>
            <w:spacing w:line="360" w:lineRule="auto"/>
            <w:ind w:firstLineChars="0"/>
          </w:pPr>
          <w:r>
            <w:rPr>
              <w:rFonts w:hint="eastAsia"/>
            </w:rPr>
            <w:t>经营分部</w:t>
          </w:r>
        </w:p>
        <w:p w:rsidR="00DE031E" w:rsidRPr="00B63B9F" w:rsidRDefault="001C1A59" w:rsidP="00834ADC">
          <w:pPr>
            <w:pStyle w:val="a9"/>
            <w:spacing w:line="360" w:lineRule="auto"/>
            <w:ind w:left="1680" w:firstLineChars="0" w:firstLine="0"/>
          </w:pPr>
          <w:r>
            <w:rPr>
              <w:rFonts w:hint="eastAsia"/>
            </w:rPr>
            <w:t>2015</w:t>
          </w:r>
          <w:r>
            <w:rPr>
              <w:rFonts w:hint="eastAsia"/>
            </w:rPr>
            <w:t>年</w:t>
          </w:r>
          <w:r>
            <w:rPr>
              <w:rFonts w:hint="eastAsia"/>
            </w:rPr>
            <w:t>6</w:t>
          </w:r>
          <w:r>
            <w:rPr>
              <w:rFonts w:hint="eastAsia"/>
            </w:rPr>
            <w:t>月</w:t>
          </w:r>
          <w:r>
            <w:rPr>
              <w:rFonts w:hint="eastAsia"/>
            </w:rPr>
            <w:t>30</w:t>
          </w:r>
          <w:r>
            <w:rPr>
              <w:rFonts w:hint="eastAsia"/>
            </w:rPr>
            <w:t>日：</w:t>
          </w:r>
        </w:p>
        <w:p w:rsidR="00DE031E" w:rsidRDefault="001C1A59">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4726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2472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655" w:type="pct"/>
            <w:jc w:val="center"/>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5"/>
            <w:gridCol w:w="1838"/>
            <w:gridCol w:w="1657"/>
            <w:gridCol w:w="1836"/>
            <w:gridCol w:w="1657"/>
            <w:gridCol w:w="1657"/>
            <w:gridCol w:w="1746"/>
            <w:gridCol w:w="1743"/>
            <w:gridCol w:w="1836"/>
          </w:tblGrid>
          <w:tr w:rsidR="00DE031E" w:rsidRPr="00211742" w:rsidTr="00DE031E">
            <w:trPr>
              <w:jc w:val="center"/>
            </w:trPr>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项目</w:t>
                </w:r>
              </w:p>
            </w:tc>
            <w:sdt>
              <w:sdtPr>
                <w:rPr>
                  <w:sz w:val="18"/>
                  <w:szCs w:val="18"/>
                </w:rPr>
                <w:alias w:val="分部报告科目名称"/>
                <w:tag w:val="_GBC_24843a4914494260b42de1b13e529c2d"/>
                <w:id w:val="24726980"/>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经纪业务</w:t>
                    </w:r>
                  </w:p>
                </w:tc>
              </w:sdtContent>
            </w:sdt>
            <w:sdt>
              <w:sdtPr>
                <w:rPr>
                  <w:sz w:val="18"/>
                  <w:szCs w:val="18"/>
                </w:rPr>
                <w:alias w:val="分部报告科目名称"/>
                <w:tag w:val="_GBC_24843a4914494260b42de1b13e529c2d"/>
                <w:id w:val="2472698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资产管理业务</w:t>
                    </w:r>
                  </w:p>
                </w:tc>
              </w:sdtContent>
            </w:sdt>
            <w:sdt>
              <w:sdtPr>
                <w:rPr>
                  <w:sz w:val="18"/>
                  <w:szCs w:val="18"/>
                </w:rPr>
                <w:alias w:val="分部报告科目名称"/>
                <w:tag w:val="_GBC_24843a4914494260b42de1b13e529c2d"/>
                <w:id w:val="24726982"/>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证券投资业务</w:t>
                    </w:r>
                  </w:p>
                </w:tc>
              </w:sdtContent>
            </w:sdt>
            <w:sdt>
              <w:sdtPr>
                <w:rPr>
                  <w:sz w:val="18"/>
                  <w:szCs w:val="18"/>
                </w:rPr>
                <w:alias w:val="分部报告科目名称"/>
                <w:tag w:val="_GBC_24843a4914494260b42de1b13e529c2d"/>
                <w:id w:val="24726983"/>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投资银行业务</w:t>
                    </w:r>
                  </w:p>
                </w:tc>
              </w:sdtContent>
            </w:sdt>
            <w:sdt>
              <w:sdtPr>
                <w:rPr>
                  <w:sz w:val="18"/>
                  <w:szCs w:val="18"/>
                </w:rPr>
                <w:alias w:val="分部报告科目名称"/>
                <w:tag w:val="_GBC_24843a4914494260b42de1b13e529c2d"/>
                <w:id w:val="24726984"/>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直投业务</w:t>
                    </w:r>
                  </w:p>
                </w:tc>
              </w:sdtContent>
            </w:sdt>
            <w:sdt>
              <w:sdtPr>
                <w:rPr>
                  <w:sz w:val="18"/>
                  <w:szCs w:val="18"/>
                </w:rPr>
                <w:alias w:val="分部报告科目名称"/>
                <w:tag w:val="_GBC_24843a4914494260b42de1b13e529c2d"/>
                <w:id w:val="24726985"/>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其他</w:t>
                    </w:r>
                  </w:p>
                </w:tc>
              </w:sdtContent>
            </w:sd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分部间抵销</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center"/>
                  <w:rPr>
                    <w:sz w:val="18"/>
                    <w:szCs w:val="18"/>
                  </w:rPr>
                </w:pPr>
                <w:r w:rsidRPr="00211742">
                  <w:rPr>
                    <w:rFonts w:hint="eastAsia"/>
                    <w:sz w:val="18"/>
                    <w:szCs w:val="18"/>
                  </w:rPr>
                  <w:t>合计</w:t>
                </w:r>
              </w:p>
            </w:tc>
          </w:tr>
          <w:sdt>
            <w:sdtPr>
              <w:rPr>
                <w:sz w:val="18"/>
                <w:szCs w:val="18"/>
              </w:rPr>
              <w:alias w:val="报告分部的财务信息明细"/>
              <w:tag w:val="_GBC_435f11a5acef4777992074d40da0f5c0"/>
              <w:id w:val="2472699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698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一、营业收入</w:t>
                        </w:r>
                      </w:p>
                    </w:tc>
                  </w:sdtContent>
                </w:sdt>
                <w:sdt>
                  <w:sdtPr>
                    <w:rPr>
                      <w:sz w:val="18"/>
                      <w:szCs w:val="18"/>
                    </w:rPr>
                    <w:alias w:val="报告分部的财务信息明细-分部"/>
                    <w:tag w:val="_GBC_672f823840d3452d926a004cb2d29173"/>
                    <w:id w:val="2472698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9,973,306,167.55</w:t>
                        </w:r>
                      </w:p>
                    </w:tc>
                  </w:sdtContent>
                </w:sdt>
                <w:sdt>
                  <w:sdtPr>
                    <w:rPr>
                      <w:sz w:val="18"/>
                      <w:szCs w:val="18"/>
                    </w:rPr>
                    <w:alias w:val="报告分部的财务信息明细-分部"/>
                    <w:tag w:val="_GBC_672f823840d3452d926a004cb2d29173"/>
                    <w:id w:val="2472698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498,849,251.24</w:t>
                        </w:r>
                      </w:p>
                    </w:tc>
                  </w:sdtContent>
                </w:sdt>
                <w:sdt>
                  <w:sdtPr>
                    <w:rPr>
                      <w:sz w:val="18"/>
                      <w:szCs w:val="18"/>
                    </w:rPr>
                    <w:alias w:val="报告分部的财务信息明细-分部"/>
                    <w:tag w:val="_GBC_672f823840d3452d926a004cb2d29173"/>
                    <w:id w:val="2472698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3,913,989,142.80</w:t>
                        </w:r>
                      </w:p>
                    </w:tc>
                  </w:sdtContent>
                </w:sdt>
                <w:sdt>
                  <w:sdtPr>
                    <w:rPr>
                      <w:sz w:val="18"/>
                      <w:szCs w:val="18"/>
                    </w:rPr>
                    <w:alias w:val="报告分部的财务信息明细-分部"/>
                    <w:tag w:val="_GBC_672f823840d3452d926a004cb2d29173"/>
                    <w:id w:val="2472699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876,349,846.95</w:t>
                        </w:r>
                      </w:p>
                    </w:tc>
                  </w:sdtContent>
                </w:sdt>
                <w:sdt>
                  <w:sdtPr>
                    <w:rPr>
                      <w:sz w:val="18"/>
                      <w:szCs w:val="18"/>
                    </w:rPr>
                    <w:alias w:val="报告分部的财务信息明细-分部"/>
                    <w:tag w:val="_GBC_672f823840d3452d926a004cb2d29173"/>
                    <w:id w:val="2472699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201,009,420.63</w:t>
                        </w:r>
                      </w:p>
                    </w:tc>
                  </w:sdtContent>
                </w:sdt>
                <w:sdt>
                  <w:sdtPr>
                    <w:rPr>
                      <w:sz w:val="18"/>
                      <w:szCs w:val="18"/>
                    </w:rPr>
                    <w:alias w:val="报告分部的财务信息明细-分部"/>
                    <w:tag w:val="_GBC_672f823840d3452d926a004cb2d29173"/>
                    <w:id w:val="2472699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399,987,591.06</w:t>
                        </w:r>
                      </w:p>
                    </w:tc>
                  </w:sdtContent>
                </w:sdt>
                <w:sdt>
                  <w:sdtPr>
                    <w:rPr>
                      <w:sz w:val="18"/>
                      <w:szCs w:val="18"/>
                    </w:rPr>
                    <w:alias w:val="报告分部的财务信息明细-分部间抵销"/>
                    <w:tag w:val="_GBC_a4d0a56534e14beb8240601e835e4093"/>
                    <w:id w:val="24726993"/>
                    <w:lock w:val="sdtLocked"/>
                    <w:showingPlcHdr/>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合计"/>
                    <w:tag w:val="_GBC_7abf22de2222480690e5ba99c4cd8156"/>
                    <w:id w:val="2472699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15,863,491,420.23</w:t>
                        </w:r>
                      </w:p>
                    </w:tc>
                  </w:sdtContent>
                </w:sdt>
              </w:tr>
            </w:sdtContent>
          </w:sdt>
          <w:sdt>
            <w:sdtPr>
              <w:rPr>
                <w:sz w:val="18"/>
                <w:szCs w:val="18"/>
              </w:rPr>
              <w:alias w:val="报告分部的财务信息明细"/>
              <w:tag w:val="_GBC_435f11a5acef4777992074d40da0f5c0"/>
              <w:id w:val="2472700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699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手续费及佣金净收入</w:t>
                        </w:r>
                      </w:p>
                    </w:tc>
                  </w:sdtContent>
                </w:sdt>
                <w:sdt>
                  <w:sdtPr>
                    <w:rPr>
                      <w:sz w:val="18"/>
                      <w:szCs w:val="18"/>
                    </w:rPr>
                    <w:alias w:val="报告分部的财务信息明细-分部"/>
                    <w:tag w:val="_GBC_672f823840d3452d926a004cb2d29173"/>
                    <w:id w:val="2472699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7,492,630,230.31</w:t>
                        </w:r>
                      </w:p>
                    </w:tc>
                  </w:sdtContent>
                </w:sdt>
                <w:sdt>
                  <w:sdtPr>
                    <w:rPr>
                      <w:sz w:val="18"/>
                      <w:szCs w:val="18"/>
                    </w:rPr>
                    <w:alias w:val="报告分部的财务信息明细-分部"/>
                    <w:tag w:val="_GBC_672f823840d3452d926a004cb2d29173"/>
                    <w:id w:val="2472699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471,590,259.72</w:t>
                        </w:r>
                      </w:p>
                    </w:tc>
                  </w:sdtContent>
                </w:sdt>
                <w:sdt>
                  <w:sdtPr>
                    <w:rPr>
                      <w:sz w:val="18"/>
                      <w:szCs w:val="18"/>
                    </w:rPr>
                    <w:alias w:val="报告分部的财务信息明细-分部"/>
                    <w:tag w:val="_GBC_672f823840d3452d926a004cb2d29173"/>
                    <w:id w:val="24726999"/>
                    <w:lock w:val="sdtLocked"/>
                    <w:showingPlcHdr/>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
                    <w:tag w:val="_GBC_672f823840d3452d926a004cb2d29173"/>
                    <w:id w:val="2472700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876,349,846.95</w:t>
                        </w:r>
                      </w:p>
                    </w:tc>
                  </w:sdtContent>
                </w:sdt>
                <w:sdt>
                  <w:sdtPr>
                    <w:rPr>
                      <w:sz w:val="18"/>
                      <w:szCs w:val="18"/>
                    </w:rPr>
                    <w:alias w:val="报告分部的财务信息明细-分部"/>
                    <w:tag w:val="_GBC_672f823840d3452d926a004cb2d29173"/>
                    <w:id w:val="2472700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29,673,553.00</w:t>
                        </w:r>
                      </w:p>
                    </w:tc>
                  </w:sdtContent>
                </w:sdt>
                <w:sdt>
                  <w:sdtPr>
                    <w:rPr>
                      <w:sz w:val="18"/>
                      <w:szCs w:val="18"/>
                    </w:rPr>
                    <w:alias w:val="报告分部的财务信息明细-分部"/>
                    <w:tag w:val="_GBC_672f823840d3452d926a004cb2d29173"/>
                    <w:id w:val="24727002"/>
                    <w:lock w:val="sdtLocked"/>
                    <w:showingPlcHdr/>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间抵销"/>
                    <w:tag w:val="_GBC_a4d0a56534e14beb8240601e835e4093"/>
                    <w:id w:val="24727003"/>
                    <w:lock w:val="sdtLocked"/>
                    <w:showingPlcHdr/>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合计"/>
                    <w:tag w:val="_GBC_7abf22de2222480690e5ba99c4cd8156"/>
                    <w:id w:val="2472700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8,870,243,889.98</w:t>
                        </w:r>
                      </w:p>
                    </w:tc>
                  </w:sdtContent>
                </w:sdt>
              </w:tr>
            </w:sdtContent>
          </w:sdt>
          <w:sdt>
            <w:sdtPr>
              <w:rPr>
                <w:sz w:val="18"/>
                <w:szCs w:val="18"/>
              </w:rPr>
              <w:alias w:val="报告分部的财务信息明细"/>
              <w:tag w:val="_GBC_435f11a5acef4777992074d40da0f5c0"/>
              <w:id w:val="2472701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0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其他收入</w:t>
                        </w:r>
                      </w:p>
                    </w:tc>
                  </w:sdtContent>
                </w:sdt>
                <w:sdt>
                  <w:sdtPr>
                    <w:rPr>
                      <w:sz w:val="18"/>
                      <w:szCs w:val="18"/>
                    </w:rPr>
                    <w:alias w:val="报告分部的财务信息明细-分部"/>
                    <w:tag w:val="_GBC_672f823840d3452d926a004cb2d29173"/>
                    <w:id w:val="2472700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2,480,675,937.24</w:t>
                        </w:r>
                      </w:p>
                    </w:tc>
                  </w:sdtContent>
                </w:sdt>
                <w:sdt>
                  <w:sdtPr>
                    <w:rPr>
                      <w:sz w:val="18"/>
                      <w:szCs w:val="18"/>
                    </w:rPr>
                    <w:alias w:val="报告分部的财务信息明细-分部"/>
                    <w:tag w:val="_GBC_672f823840d3452d926a004cb2d29173"/>
                    <w:id w:val="2472700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27,258,991.52</w:t>
                        </w:r>
                      </w:p>
                    </w:tc>
                  </w:sdtContent>
                </w:sdt>
                <w:sdt>
                  <w:sdtPr>
                    <w:rPr>
                      <w:sz w:val="18"/>
                      <w:szCs w:val="18"/>
                    </w:rPr>
                    <w:alias w:val="报告分部的财务信息明细-分部"/>
                    <w:tag w:val="_GBC_672f823840d3452d926a004cb2d29173"/>
                    <w:id w:val="2472700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3,913,989,142.80</w:t>
                        </w:r>
                      </w:p>
                    </w:tc>
                  </w:sdtContent>
                </w:sdt>
                <w:sdt>
                  <w:sdtPr>
                    <w:rPr>
                      <w:sz w:val="18"/>
                      <w:szCs w:val="18"/>
                    </w:rPr>
                    <w:alias w:val="报告分部的财务信息明细-分部"/>
                    <w:tag w:val="_GBC_672f823840d3452d926a004cb2d29173"/>
                    <w:id w:val="24727010"/>
                    <w:lock w:val="sdtLocked"/>
                    <w:showingPlcHdr/>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
                    <w:tag w:val="_GBC_672f823840d3452d926a004cb2d29173"/>
                    <w:id w:val="2472701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171,335,867.63</w:t>
                        </w:r>
                      </w:p>
                    </w:tc>
                  </w:sdtContent>
                </w:sdt>
                <w:sdt>
                  <w:sdtPr>
                    <w:rPr>
                      <w:sz w:val="18"/>
                      <w:szCs w:val="18"/>
                    </w:rPr>
                    <w:alias w:val="报告分部的财务信息明细-分部"/>
                    <w:tag w:val="_GBC_672f823840d3452d926a004cb2d29173"/>
                    <w:id w:val="2472701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399,987,591.06</w:t>
                        </w:r>
                      </w:p>
                    </w:tc>
                  </w:sdtContent>
                </w:sdt>
                <w:sdt>
                  <w:sdtPr>
                    <w:rPr>
                      <w:sz w:val="18"/>
                      <w:szCs w:val="18"/>
                    </w:rPr>
                    <w:alias w:val="报告分部的财务信息明细-分部间抵销"/>
                    <w:tag w:val="_GBC_a4d0a56534e14beb8240601e835e4093"/>
                    <w:id w:val="24727013"/>
                    <w:lock w:val="sdtLocked"/>
                    <w:showingPlcHdr/>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合计"/>
                    <w:tag w:val="_GBC_7abf22de2222480690e5ba99c4cd8156"/>
                    <w:id w:val="2472701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6,993,247,530.25</w:t>
                        </w:r>
                      </w:p>
                    </w:tc>
                  </w:sdtContent>
                </w:sdt>
              </w:tr>
            </w:sdtContent>
          </w:sdt>
          <w:sdt>
            <w:sdtPr>
              <w:rPr>
                <w:sz w:val="18"/>
                <w:szCs w:val="18"/>
              </w:rPr>
              <w:alias w:val="报告分部的财务信息明细"/>
              <w:tag w:val="_GBC_435f11a5acef4777992074d40da0f5c0"/>
              <w:id w:val="2472702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1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二、营业支出</w:t>
                        </w:r>
                      </w:p>
                    </w:tc>
                  </w:sdtContent>
                </w:sdt>
                <w:sdt>
                  <w:sdtPr>
                    <w:rPr>
                      <w:sz w:val="18"/>
                      <w:szCs w:val="18"/>
                    </w:rPr>
                    <w:alias w:val="报告分部的财务信息明细-分部"/>
                    <w:tag w:val="_GBC_672f823840d3452d926a004cb2d29173"/>
                    <w:id w:val="2472701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2,921,253,401.39</w:t>
                        </w:r>
                      </w:p>
                    </w:tc>
                  </w:sdtContent>
                </w:sdt>
                <w:sdt>
                  <w:sdtPr>
                    <w:rPr>
                      <w:sz w:val="18"/>
                      <w:szCs w:val="18"/>
                    </w:rPr>
                    <w:alias w:val="报告分部的财务信息明细-分部"/>
                    <w:tag w:val="_GBC_672f823840d3452d926a004cb2d29173"/>
                    <w:id w:val="2472701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216,506,331.24</w:t>
                        </w:r>
                      </w:p>
                    </w:tc>
                  </w:sdtContent>
                </w:sdt>
                <w:sdt>
                  <w:sdtPr>
                    <w:rPr>
                      <w:sz w:val="18"/>
                      <w:szCs w:val="18"/>
                    </w:rPr>
                    <w:alias w:val="报告分部的财务信息明细-分部"/>
                    <w:tag w:val="_GBC_672f823840d3452d926a004cb2d29173"/>
                    <w:id w:val="2472701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1,077,335,406.74</w:t>
                        </w:r>
                      </w:p>
                    </w:tc>
                  </w:sdtContent>
                </w:sdt>
                <w:sdt>
                  <w:sdtPr>
                    <w:rPr>
                      <w:sz w:val="18"/>
                      <w:szCs w:val="18"/>
                    </w:rPr>
                    <w:alias w:val="报告分部的财务信息明细-分部"/>
                    <w:tag w:val="_GBC_672f823840d3452d926a004cb2d29173"/>
                    <w:id w:val="2472702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613,135,598.60</w:t>
                        </w:r>
                      </w:p>
                    </w:tc>
                  </w:sdtContent>
                </w:sdt>
                <w:sdt>
                  <w:sdtPr>
                    <w:rPr>
                      <w:sz w:val="18"/>
                      <w:szCs w:val="18"/>
                    </w:rPr>
                    <w:alias w:val="报告分部的财务信息明细-分部"/>
                    <w:tag w:val="_GBC_672f823840d3452d926a004cb2d29173"/>
                    <w:id w:val="2472702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34,338,520.12</w:t>
                        </w:r>
                      </w:p>
                    </w:tc>
                  </w:sdtContent>
                </w:sdt>
                <w:sdt>
                  <w:sdtPr>
                    <w:rPr>
                      <w:sz w:val="18"/>
                      <w:szCs w:val="18"/>
                    </w:rPr>
                    <w:alias w:val="报告分部的财务信息明细-分部"/>
                    <w:tag w:val="_GBC_672f823840d3452d926a004cb2d29173"/>
                    <w:id w:val="2472702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1,693,456,557.03</w:t>
                        </w:r>
                      </w:p>
                    </w:tc>
                  </w:sdtContent>
                </w:sdt>
                <w:sdt>
                  <w:sdtPr>
                    <w:rPr>
                      <w:sz w:val="18"/>
                      <w:szCs w:val="18"/>
                    </w:rPr>
                    <w:alias w:val="报告分部的财务信息明细-分部间抵销"/>
                    <w:tag w:val="_GBC_a4d0a56534e14beb8240601e835e4093"/>
                    <w:id w:val="24727023"/>
                    <w:lock w:val="sdtLocked"/>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DE031E" w:rsidP="00DE031E">
                        <w:pPr>
                          <w:jc w:val="right"/>
                          <w:rPr>
                            <w:sz w:val="18"/>
                            <w:szCs w:val="18"/>
                          </w:rPr>
                        </w:pPr>
                      </w:p>
                    </w:tc>
                  </w:sdtContent>
                </w:sdt>
                <w:sdt>
                  <w:sdtPr>
                    <w:rPr>
                      <w:sz w:val="18"/>
                      <w:szCs w:val="18"/>
                    </w:rPr>
                    <w:alias w:val="报告分部的财务信息明细-合计"/>
                    <w:tag w:val="_GBC_7abf22de2222480690e5ba99c4cd8156"/>
                    <w:id w:val="2472702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6,556,025,815.12</w:t>
                        </w:r>
                      </w:p>
                    </w:tc>
                  </w:sdtContent>
                </w:sdt>
              </w:tr>
            </w:sdtContent>
          </w:sdt>
          <w:sdt>
            <w:sdtPr>
              <w:rPr>
                <w:sz w:val="18"/>
                <w:szCs w:val="18"/>
              </w:rPr>
              <w:alias w:val="报告分部的财务信息明细"/>
              <w:tag w:val="_GBC_435f11a5acef4777992074d40da0f5c0"/>
              <w:id w:val="2472703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2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三、营业利润</w:t>
                        </w:r>
                      </w:p>
                    </w:tc>
                  </w:sdtContent>
                </w:sdt>
                <w:sdt>
                  <w:sdtPr>
                    <w:rPr>
                      <w:sz w:val="18"/>
                      <w:szCs w:val="18"/>
                    </w:rPr>
                    <w:alias w:val="报告分部的财务信息明细-分部"/>
                    <w:tag w:val="_GBC_672f823840d3452d926a004cb2d29173"/>
                    <w:id w:val="2472702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7,052,052,766.16</w:t>
                        </w:r>
                      </w:p>
                    </w:tc>
                  </w:sdtContent>
                </w:sdt>
                <w:sdt>
                  <w:sdtPr>
                    <w:rPr>
                      <w:sz w:val="18"/>
                      <w:szCs w:val="18"/>
                    </w:rPr>
                    <w:alias w:val="报告分部的财务信息明细-分部"/>
                    <w:tag w:val="_GBC_672f823840d3452d926a004cb2d29173"/>
                    <w:id w:val="2472702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282,342,920.00</w:t>
                        </w:r>
                      </w:p>
                    </w:tc>
                  </w:sdtContent>
                </w:sdt>
                <w:sdt>
                  <w:sdtPr>
                    <w:rPr>
                      <w:sz w:val="18"/>
                      <w:szCs w:val="18"/>
                    </w:rPr>
                    <w:alias w:val="报告分部的财务信息明细-分部"/>
                    <w:tag w:val="_GBC_672f823840d3452d926a004cb2d29173"/>
                    <w:id w:val="2472702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2,836,653,736.06</w:t>
                        </w:r>
                      </w:p>
                    </w:tc>
                  </w:sdtContent>
                </w:sdt>
                <w:sdt>
                  <w:sdtPr>
                    <w:rPr>
                      <w:sz w:val="18"/>
                      <w:szCs w:val="18"/>
                    </w:rPr>
                    <w:alias w:val="报告分部的财务信息明细-分部"/>
                    <w:tag w:val="_GBC_672f823840d3452d926a004cb2d29173"/>
                    <w:id w:val="2472703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263,214,248.35</w:t>
                        </w:r>
                      </w:p>
                    </w:tc>
                  </w:sdtContent>
                </w:sdt>
                <w:sdt>
                  <w:sdtPr>
                    <w:rPr>
                      <w:sz w:val="18"/>
                      <w:szCs w:val="18"/>
                    </w:rPr>
                    <w:alias w:val="报告分部的财务信息明细-分部"/>
                    <w:tag w:val="_GBC_672f823840d3452d926a004cb2d29173"/>
                    <w:id w:val="2472703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166,670,900.51</w:t>
                        </w:r>
                      </w:p>
                    </w:tc>
                  </w:sdtContent>
                </w:sdt>
                <w:sdt>
                  <w:sdtPr>
                    <w:rPr>
                      <w:sz w:val="18"/>
                      <w:szCs w:val="18"/>
                    </w:rPr>
                    <w:alias w:val="报告分部的财务信息明细-分部"/>
                    <w:tag w:val="_GBC_672f823840d3452d926a004cb2d29173"/>
                    <w:id w:val="2472703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-1,293,468,965.97</w:t>
                        </w:r>
                      </w:p>
                    </w:tc>
                  </w:sdtContent>
                </w:sdt>
                <w:sdt>
                  <w:sdtPr>
                    <w:rPr>
                      <w:sz w:val="18"/>
                      <w:szCs w:val="18"/>
                    </w:rPr>
                    <w:alias w:val="报告分部的财务信息明细-分部间抵销"/>
                    <w:tag w:val="_GBC_a4d0a56534e14beb8240601e835e4093"/>
                    <w:id w:val="24727033"/>
                    <w:lock w:val="sdtLocked"/>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DE031E" w:rsidP="00DE031E">
                        <w:pPr>
                          <w:jc w:val="right"/>
                          <w:rPr>
                            <w:sz w:val="18"/>
                            <w:szCs w:val="18"/>
                          </w:rPr>
                        </w:pPr>
                      </w:p>
                    </w:tc>
                  </w:sdtContent>
                </w:sdt>
                <w:sdt>
                  <w:sdtPr>
                    <w:rPr>
                      <w:sz w:val="18"/>
                      <w:szCs w:val="18"/>
                    </w:rPr>
                    <w:alias w:val="报告分部的财务信息明细-合计"/>
                    <w:tag w:val="_GBC_7abf22de2222480690e5ba99c4cd8156"/>
                    <w:id w:val="2472703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9,307,465,605.11</w:t>
                        </w:r>
                      </w:p>
                    </w:tc>
                  </w:sdtContent>
                </w:sdt>
              </w:tr>
            </w:sdtContent>
          </w:sdt>
          <w:sdt>
            <w:sdtPr>
              <w:rPr>
                <w:sz w:val="18"/>
                <w:szCs w:val="18"/>
              </w:rPr>
              <w:alias w:val="报告分部的财务信息明细"/>
              <w:tag w:val="_GBC_435f11a5acef4777992074d40da0f5c0"/>
              <w:id w:val="2472704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3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四、资产总额</w:t>
                        </w:r>
                      </w:p>
                    </w:tc>
                  </w:sdtContent>
                </w:sdt>
                <w:sdt>
                  <w:sdtPr>
                    <w:rPr>
                      <w:sz w:val="18"/>
                      <w:szCs w:val="18"/>
                    </w:rPr>
                    <w:alias w:val="报告分部的财务信息明细-分部"/>
                    <w:tag w:val="_GBC_672f823840d3452d926a004cb2d29173"/>
                    <w:id w:val="2472703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253,852,427,153.17</w:t>
                        </w:r>
                      </w:p>
                    </w:tc>
                  </w:sdtContent>
                </w:sdt>
                <w:sdt>
                  <w:sdtPr>
                    <w:rPr>
                      <w:sz w:val="18"/>
                      <w:szCs w:val="18"/>
                    </w:rPr>
                    <w:alias w:val="报告分部的财务信息明细-分部"/>
                    <w:tag w:val="_GBC_672f823840d3452d926a004cb2d29173"/>
                    <w:id w:val="2472703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1,156,186,547.14</w:t>
                        </w:r>
                      </w:p>
                    </w:tc>
                  </w:sdtContent>
                </w:sdt>
                <w:sdt>
                  <w:sdtPr>
                    <w:rPr>
                      <w:sz w:val="18"/>
                      <w:szCs w:val="18"/>
                    </w:rPr>
                    <w:alias w:val="报告分部的财务信息明细-分部"/>
                    <w:tag w:val="_GBC_672f823840d3452d926a004cb2d29173"/>
                    <w:id w:val="2472703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86,365,461,535.12</w:t>
                        </w:r>
                      </w:p>
                    </w:tc>
                  </w:sdtContent>
                </w:sdt>
                <w:sdt>
                  <w:sdtPr>
                    <w:rPr>
                      <w:sz w:val="18"/>
                      <w:szCs w:val="18"/>
                    </w:rPr>
                    <w:alias w:val="报告分部的财务信息明细-分部"/>
                    <w:tag w:val="_GBC_672f823840d3452d926a004cb2d29173"/>
                    <w:id w:val="2472704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168,201,814.70</w:t>
                        </w:r>
                      </w:p>
                    </w:tc>
                  </w:sdtContent>
                </w:sdt>
                <w:sdt>
                  <w:sdtPr>
                    <w:rPr>
                      <w:sz w:val="18"/>
                      <w:szCs w:val="18"/>
                    </w:rPr>
                    <w:alias w:val="报告分部的财务信息明细-分部"/>
                    <w:tag w:val="_GBC_672f823840d3452d926a004cb2d29173"/>
                    <w:id w:val="2472704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2,783,913,543.49</w:t>
                        </w:r>
                      </w:p>
                    </w:tc>
                  </w:sdtContent>
                </w:sdt>
                <w:sdt>
                  <w:sdtPr>
                    <w:rPr>
                      <w:sz w:val="18"/>
                      <w:szCs w:val="18"/>
                    </w:rPr>
                    <w:alias w:val="报告分部的财务信息明细-分部"/>
                    <w:tag w:val="_GBC_672f823840d3452d926a004cb2d29173"/>
                    <w:id w:val="2472704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25,301,851,247.76</w:t>
                        </w:r>
                      </w:p>
                    </w:tc>
                  </w:sdtContent>
                </w:sdt>
                <w:sdt>
                  <w:sdtPr>
                    <w:rPr>
                      <w:sz w:val="18"/>
                      <w:szCs w:val="18"/>
                    </w:rPr>
                    <w:alias w:val="报告分部的财务信息明细-分部间抵销"/>
                    <w:tag w:val="_GBC_a4d0a56534e14beb8240601e835e4093"/>
                    <w:id w:val="24727043"/>
                    <w:lock w:val="sdtLocked"/>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4,833,393,027.50</w:t>
                        </w:r>
                      </w:p>
                    </w:tc>
                  </w:sdtContent>
                </w:sdt>
                <w:sdt>
                  <w:sdtPr>
                    <w:rPr>
                      <w:sz w:val="18"/>
                      <w:szCs w:val="18"/>
                    </w:rPr>
                    <w:alias w:val="报告分部的财务信息明细-合计"/>
                    <w:tag w:val="_GBC_7abf22de2222480690e5ba99c4cd8156"/>
                    <w:id w:val="2472704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364,794,648,813.88</w:t>
                        </w:r>
                      </w:p>
                    </w:tc>
                  </w:sdtContent>
                </w:sdt>
              </w:tr>
            </w:sdtContent>
          </w:sdt>
          <w:sdt>
            <w:sdtPr>
              <w:rPr>
                <w:sz w:val="18"/>
                <w:szCs w:val="18"/>
              </w:rPr>
              <w:alias w:val="报告分部的财务信息明细"/>
              <w:tag w:val="_GBC_435f11a5acef4777992074d40da0f5c0"/>
              <w:id w:val="2472705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4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五、负债总额</w:t>
                        </w:r>
                      </w:p>
                    </w:tc>
                  </w:sdtContent>
                </w:sdt>
                <w:sdt>
                  <w:sdtPr>
                    <w:rPr>
                      <w:sz w:val="18"/>
                      <w:szCs w:val="18"/>
                    </w:rPr>
                    <w:alias w:val="报告分部的财务信息明细-分部"/>
                    <w:tag w:val="_GBC_672f823840d3452d926a004cb2d29173"/>
                    <w:id w:val="2472704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193,440,837,456.47</w:t>
                        </w:r>
                      </w:p>
                    </w:tc>
                  </w:sdtContent>
                </w:sdt>
                <w:sdt>
                  <w:sdtPr>
                    <w:rPr>
                      <w:sz w:val="18"/>
                      <w:szCs w:val="18"/>
                    </w:rPr>
                    <w:alias w:val="报告分部的财务信息明细-分部"/>
                    <w:tag w:val="_GBC_672f823840d3452d926a004cb2d29173"/>
                    <w:id w:val="2472704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790,290,283.84</w:t>
                        </w:r>
                      </w:p>
                    </w:tc>
                  </w:sdtContent>
                </w:sdt>
                <w:sdt>
                  <w:sdtPr>
                    <w:rPr>
                      <w:sz w:val="18"/>
                      <w:szCs w:val="18"/>
                    </w:rPr>
                    <w:alias w:val="报告分部的财务信息明细-分部"/>
                    <w:tag w:val="_GBC_672f823840d3452d926a004cb2d29173"/>
                    <w:id w:val="2472704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114,477,863,015.50</w:t>
                        </w:r>
                      </w:p>
                    </w:tc>
                  </w:sdtContent>
                </w:sdt>
                <w:sdt>
                  <w:sdtPr>
                    <w:rPr>
                      <w:sz w:val="18"/>
                      <w:szCs w:val="18"/>
                    </w:rPr>
                    <w:alias w:val="报告分部的财务信息明细-分部"/>
                    <w:tag w:val="_GBC_672f823840d3452d926a004cb2d29173"/>
                    <w:id w:val="2472705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1,179,309,946.03</w:t>
                        </w:r>
                      </w:p>
                    </w:tc>
                  </w:sdtContent>
                </w:sdt>
                <w:sdt>
                  <w:sdtPr>
                    <w:rPr>
                      <w:sz w:val="18"/>
                      <w:szCs w:val="18"/>
                    </w:rPr>
                    <w:alias w:val="报告分部的财务信息明细-分部"/>
                    <w:tag w:val="_GBC_672f823840d3452d926a004cb2d29173"/>
                    <w:id w:val="2472705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3,203,182,162.43</w:t>
                        </w:r>
                      </w:p>
                    </w:tc>
                  </w:sdtContent>
                </w:sdt>
                <w:sdt>
                  <w:sdtPr>
                    <w:rPr>
                      <w:sz w:val="18"/>
                      <w:szCs w:val="18"/>
                    </w:rPr>
                    <w:alias w:val="报告分部的财务信息明细-分部"/>
                    <w:tag w:val="_GBC_672f823840d3452d926a004cb2d29173"/>
                    <w:id w:val="2472705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8,677,946,222.03</w:t>
                        </w:r>
                      </w:p>
                    </w:tc>
                  </w:sdtContent>
                </w:sdt>
                <w:sdt>
                  <w:sdtPr>
                    <w:rPr>
                      <w:sz w:val="18"/>
                      <w:szCs w:val="18"/>
                    </w:rPr>
                    <w:alias w:val="报告分部的财务信息明细-分部间抵销"/>
                    <w:tag w:val="_GBC_a4d0a56534e14beb8240601e835e4093"/>
                    <w:id w:val="24727053"/>
                    <w:lock w:val="sdtLocked"/>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4,833,393,027.50</w:t>
                        </w:r>
                      </w:p>
                    </w:tc>
                  </w:sdtContent>
                </w:sdt>
                <w:sdt>
                  <w:sdtPr>
                    <w:rPr>
                      <w:sz w:val="18"/>
                      <w:szCs w:val="18"/>
                    </w:rPr>
                    <w:alias w:val="报告分部的财务信息明细-合计"/>
                    <w:tag w:val="_GBC_7abf22de2222480690e5ba99c4cd8156"/>
                    <w:id w:val="2472705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316,936,036,058.80</w:t>
                        </w:r>
                      </w:p>
                    </w:tc>
                  </w:sdtContent>
                </w:sdt>
              </w:tr>
            </w:sdtContent>
          </w:sdt>
          <w:sdt>
            <w:sdtPr>
              <w:rPr>
                <w:sz w:val="18"/>
                <w:szCs w:val="18"/>
              </w:rPr>
              <w:alias w:val="报告分部的财务信息明细"/>
              <w:tag w:val="_GBC_435f11a5acef4777992074d40da0f5c0"/>
              <w:id w:val="2472706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5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六、补充信息</w:t>
                        </w:r>
                      </w:p>
                    </w:tc>
                  </w:sdtContent>
                </w:sdt>
                <w:sdt>
                  <w:sdtPr>
                    <w:rPr>
                      <w:sz w:val="18"/>
                      <w:szCs w:val="18"/>
                    </w:rPr>
                    <w:alias w:val="报告分部的财务信息明细-分部"/>
                    <w:tag w:val="_GBC_672f823840d3452d926a004cb2d29173"/>
                    <w:id w:val="24727057"/>
                    <w:lock w:val="sdtLocked"/>
                    <w:showingPlcHdr/>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
                    <w:tag w:val="_GBC_672f823840d3452d926a004cb2d29173"/>
                    <w:id w:val="24727058"/>
                    <w:lock w:val="sdtLocked"/>
                    <w:showingPlcHdr/>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
                    <w:tag w:val="_GBC_672f823840d3452d926a004cb2d29173"/>
                    <w:id w:val="24727059"/>
                    <w:lock w:val="sdtLocked"/>
                    <w:showingPlcHdr/>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
                    <w:tag w:val="_GBC_672f823840d3452d926a004cb2d29173"/>
                    <w:id w:val="24727060"/>
                    <w:lock w:val="sdtLocked"/>
                    <w:showingPlcHdr/>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
                    <w:tag w:val="_GBC_672f823840d3452d926a004cb2d29173"/>
                    <w:id w:val="24727061"/>
                    <w:lock w:val="sdtLocked"/>
                    <w:showingPlcHdr/>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
                    <w:tag w:val="_GBC_672f823840d3452d926a004cb2d29173"/>
                    <w:id w:val="24727062"/>
                    <w:lock w:val="sdtLocked"/>
                    <w:showingPlcHdr/>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分部间抵销"/>
                    <w:tag w:val="_GBC_a4d0a56534e14beb8240601e835e4093"/>
                    <w:id w:val="24727063"/>
                    <w:lock w:val="sdtLocked"/>
                    <w:showingPlcHdr/>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合计"/>
                    <w:tag w:val="_GBC_7abf22de2222480690e5ba99c4cd8156"/>
                    <w:id w:val="24727064"/>
                    <w:lock w:val="sdtLocked"/>
                    <w:showingPlcHdr/>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tr>
            </w:sdtContent>
          </w:sdt>
          <w:sdt>
            <w:sdtPr>
              <w:rPr>
                <w:sz w:val="18"/>
                <w:szCs w:val="18"/>
              </w:rPr>
              <w:alias w:val="报告分部的财务信息明细"/>
              <w:tag w:val="_GBC_435f11a5acef4777992074d40da0f5c0"/>
              <w:id w:val="2472707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6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1、折旧和摊销费用</w:t>
                        </w:r>
                      </w:p>
                    </w:tc>
                  </w:sdtContent>
                </w:sdt>
                <w:sdt>
                  <w:sdtPr>
                    <w:rPr>
                      <w:sz w:val="18"/>
                      <w:szCs w:val="18"/>
                    </w:rPr>
                    <w:alias w:val="报告分部的财务信息明细-分部"/>
                    <w:tag w:val="_GBC_672f823840d3452d926a004cb2d29173"/>
                    <w:id w:val="2472706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62,742,403.96</w:t>
                        </w:r>
                      </w:p>
                    </w:tc>
                  </w:sdtContent>
                </w:sdt>
                <w:sdt>
                  <w:sdtPr>
                    <w:rPr>
                      <w:sz w:val="18"/>
                      <w:szCs w:val="18"/>
                    </w:rPr>
                    <w:alias w:val="报告分部的财务信息明细-分部"/>
                    <w:tag w:val="_GBC_672f823840d3452d926a004cb2d29173"/>
                    <w:id w:val="2472706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697,309.78</w:t>
                        </w:r>
                      </w:p>
                    </w:tc>
                  </w:sdtContent>
                </w:sdt>
                <w:sdt>
                  <w:sdtPr>
                    <w:rPr>
                      <w:sz w:val="18"/>
                      <w:szCs w:val="18"/>
                    </w:rPr>
                    <w:alias w:val="报告分部的财务信息明细-分部"/>
                    <w:tag w:val="_GBC_672f823840d3452d926a004cb2d29173"/>
                    <w:id w:val="2472706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610,496.83</w:t>
                        </w:r>
                      </w:p>
                    </w:tc>
                  </w:sdtContent>
                </w:sdt>
                <w:sdt>
                  <w:sdtPr>
                    <w:rPr>
                      <w:sz w:val="18"/>
                      <w:szCs w:val="18"/>
                    </w:rPr>
                    <w:alias w:val="报告分部的财务信息明细-分部"/>
                    <w:tag w:val="_GBC_672f823840d3452d926a004cb2d29173"/>
                    <w:id w:val="2472707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627,556.82</w:t>
                        </w:r>
                      </w:p>
                    </w:tc>
                  </w:sdtContent>
                </w:sdt>
                <w:sdt>
                  <w:sdtPr>
                    <w:rPr>
                      <w:sz w:val="18"/>
                      <w:szCs w:val="18"/>
                    </w:rPr>
                    <w:alias w:val="报告分部的财务信息明细-分部"/>
                    <w:tag w:val="_GBC_672f823840d3452d926a004cb2d29173"/>
                    <w:id w:val="2472707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21,467.97</w:t>
                        </w:r>
                      </w:p>
                    </w:tc>
                  </w:sdtContent>
                </w:sdt>
                <w:sdt>
                  <w:sdtPr>
                    <w:rPr>
                      <w:sz w:val="18"/>
                      <w:szCs w:val="18"/>
                    </w:rPr>
                    <w:alias w:val="报告分部的财务信息明细-分部"/>
                    <w:tag w:val="_GBC_672f823840d3452d926a004cb2d29173"/>
                    <w:id w:val="2472707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8,878,250.19</w:t>
                        </w:r>
                      </w:p>
                    </w:tc>
                  </w:sdtContent>
                </w:sdt>
                <w:sdt>
                  <w:sdtPr>
                    <w:rPr>
                      <w:sz w:val="18"/>
                      <w:szCs w:val="18"/>
                    </w:rPr>
                    <w:alias w:val="报告分部的财务信息明细-分部间抵销"/>
                    <w:tag w:val="_GBC_a4d0a56534e14beb8240601e835e4093"/>
                    <w:id w:val="24727073"/>
                    <w:lock w:val="sdtLocked"/>
                    <w:showingPlcHdr/>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合计"/>
                    <w:tag w:val="_GBC_7abf22de2222480690e5ba99c4cd8156"/>
                    <w:id w:val="2472707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73,577,485.55</w:t>
                        </w:r>
                      </w:p>
                    </w:tc>
                  </w:sdtContent>
                </w:sdt>
              </w:tr>
            </w:sdtContent>
          </w:sdt>
          <w:sdt>
            <w:sdtPr>
              <w:rPr>
                <w:sz w:val="18"/>
                <w:szCs w:val="18"/>
              </w:rPr>
              <w:alias w:val="报告分部的财务信息明细"/>
              <w:tag w:val="_GBC_435f11a5acef4777992074d40da0f5c0"/>
              <w:id w:val="24727085"/>
              <w:lock w:val="sdtLocked"/>
            </w:sdtPr>
            <w:sdtContent>
              <w:tr w:rsidR="00DE031E" w:rsidRPr="00211742" w:rsidTr="00DE031E">
                <w:trPr>
                  <w:jc w:val="center"/>
                </w:trPr>
                <w:sdt>
                  <w:sdtPr>
                    <w:rPr>
                      <w:sz w:val="18"/>
                      <w:szCs w:val="18"/>
                    </w:rPr>
                    <w:alias w:val="报告分部的财务信息明细-项目名称"/>
                    <w:tag w:val="_GBC_3c7a14aa0b02467ca0683736f7cb1cde"/>
                    <w:id w:val="24727076"/>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rPr>
                            <w:sz w:val="18"/>
                            <w:szCs w:val="18"/>
                          </w:rPr>
                        </w:pPr>
                        <w:r w:rsidRPr="00211742">
                          <w:rPr>
                            <w:sz w:val="18"/>
                            <w:szCs w:val="18"/>
                          </w:rPr>
                          <w:t>2、资本性支出</w:t>
                        </w:r>
                      </w:p>
                    </w:tc>
                  </w:sdtContent>
                </w:sdt>
                <w:sdt>
                  <w:sdtPr>
                    <w:rPr>
                      <w:sz w:val="18"/>
                      <w:szCs w:val="18"/>
                    </w:rPr>
                    <w:alias w:val="报告分部的财务信息明细-分部"/>
                    <w:tag w:val="_GBC_672f823840d3452d926a004cb2d29173"/>
                    <w:id w:val="24727077"/>
                    <w:lock w:val="sdtLocked"/>
                  </w:sdtPr>
                  <w:sdtContent>
                    <w:tc>
                      <w:tcPr>
                        <w:tcW w:w="57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57,077,189.72</w:t>
                        </w:r>
                      </w:p>
                    </w:tc>
                  </w:sdtContent>
                </w:sdt>
                <w:sdt>
                  <w:sdtPr>
                    <w:rPr>
                      <w:sz w:val="18"/>
                      <w:szCs w:val="18"/>
                    </w:rPr>
                    <w:alias w:val="报告分部的财务信息明细-分部"/>
                    <w:tag w:val="_GBC_672f823840d3452d926a004cb2d29173"/>
                    <w:id w:val="2472707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345,259.05</w:t>
                        </w:r>
                      </w:p>
                    </w:tc>
                  </w:sdtContent>
                </w:sdt>
                <w:sdt>
                  <w:sdtPr>
                    <w:rPr>
                      <w:sz w:val="18"/>
                      <w:szCs w:val="18"/>
                    </w:rPr>
                    <w:alias w:val="报告分部的财务信息明细-分部"/>
                    <w:tag w:val="_GBC_672f823840d3452d926a004cb2d29173"/>
                    <w:id w:val="24727079"/>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491,646.12</w:t>
                        </w:r>
                      </w:p>
                    </w:tc>
                  </w:sdtContent>
                </w:sdt>
                <w:sdt>
                  <w:sdtPr>
                    <w:rPr>
                      <w:sz w:val="18"/>
                      <w:szCs w:val="18"/>
                    </w:rPr>
                    <w:alias w:val="报告分部的财务信息明细-分部"/>
                    <w:tag w:val="_GBC_672f823840d3452d926a004cb2d29173"/>
                    <w:id w:val="2472708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590,579.92</w:t>
                        </w:r>
                      </w:p>
                    </w:tc>
                  </w:sdtContent>
                </w:sdt>
                <w:sdt>
                  <w:sdtPr>
                    <w:rPr>
                      <w:sz w:val="18"/>
                      <w:szCs w:val="18"/>
                    </w:rPr>
                    <w:alias w:val="报告分部的财务信息明细-分部"/>
                    <w:tag w:val="_GBC_672f823840d3452d926a004cb2d29173"/>
                    <w:id w:val="2472708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299,942.00</w:t>
                        </w:r>
                      </w:p>
                    </w:tc>
                  </w:sdtContent>
                </w:sdt>
                <w:sdt>
                  <w:sdtPr>
                    <w:rPr>
                      <w:sz w:val="18"/>
                      <w:szCs w:val="18"/>
                    </w:rPr>
                    <w:alias w:val="报告分部的财务信息明细-分部"/>
                    <w:tag w:val="_GBC_672f823840d3452d926a004cb2d29173"/>
                    <w:id w:val="2472708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56,348,343.2</w:t>
                        </w:r>
                        <w:r>
                          <w:rPr>
                            <w:rFonts w:hint="eastAsia"/>
                            <w:sz w:val="18"/>
                            <w:szCs w:val="18"/>
                          </w:rPr>
                          <w:t>3</w:t>
                        </w:r>
                      </w:p>
                    </w:tc>
                  </w:sdtContent>
                </w:sdt>
                <w:sdt>
                  <w:sdtPr>
                    <w:rPr>
                      <w:sz w:val="18"/>
                      <w:szCs w:val="18"/>
                    </w:rPr>
                    <w:alias w:val="报告分部的财务信息明细-分部间抵销"/>
                    <w:tag w:val="_GBC_a4d0a56534e14beb8240601e835e4093"/>
                    <w:id w:val="24727083"/>
                    <w:lock w:val="sdtLocked"/>
                    <w:showingPlcHdr/>
                  </w:sdtPr>
                  <w:sdtContent>
                    <w:tc>
                      <w:tcPr>
                        <w:tcW w:w="547"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 xml:space="preserve">　</w:t>
                        </w:r>
                      </w:p>
                    </w:tc>
                  </w:sdtContent>
                </w:sdt>
                <w:sdt>
                  <w:sdtPr>
                    <w:rPr>
                      <w:sz w:val="18"/>
                      <w:szCs w:val="18"/>
                    </w:rPr>
                    <w:alias w:val="报告分部的财务信息明细-合计"/>
                    <w:tag w:val="_GBC_7abf22de2222480690e5ba99c4cd8156"/>
                    <w:id w:val="24727084"/>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DE031E" w:rsidRPr="00211742" w:rsidRDefault="001C1A59" w:rsidP="00DE031E">
                        <w:pPr>
                          <w:jc w:val="right"/>
                          <w:rPr>
                            <w:sz w:val="18"/>
                            <w:szCs w:val="18"/>
                          </w:rPr>
                        </w:pPr>
                        <w:r>
                          <w:rPr>
                            <w:sz w:val="18"/>
                            <w:szCs w:val="18"/>
                          </w:rPr>
                          <w:t>115,152,960.04</w:t>
                        </w:r>
                      </w:p>
                    </w:tc>
                  </w:sdtContent>
                </w:sdt>
              </w:tr>
            </w:sdtContent>
          </w:sdt>
        </w:tbl>
        <w:p w:rsidR="00DE031E" w:rsidRDefault="001C1A59" w:rsidP="003A0284">
          <w:pPr>
            <w:spacing w:beforeLines="50" w:line="360" w:lineRule="auto"/>
            <w:ind w:firstLineChars="750" w:firstLine="1575"/>
          </w:pPr>
          <w:r>
            <w:rPr>
              <w:rFonts w:hint="eastAsia"/>
            </w:rPr>
            <w:t>2014年6月30日：</w:t>
          </w:r>
        </w:p>
        <w:tbl>
          <w:tblPr>
            <w:tblStyle w:val="g2"/>
            <w:tblW w:w="16051" w:type="dxa"/>
            <w:jc w:val="center"/>
            <w:tblInd w:w="-793" w:type="dxa"/>
            <w:tblLayout w:type="fixed"/>
            <w:tblLook w:val="04A0"/>
          </w:tblPr>
          <w:tblGrid>
            <w:gridCol w:w="1876"/>
            <w:gridCol w:w="1843"/>
            <w:gridCol w:w="1701"/>
            <w:gridCol w:w="1842"/>
            <w:gridCol w:w="1701"/>
            <w:gridCol w:w="1701"/>
            <w:gridCol w:w="1843"/>
            <w:gridCol w:w="1701"/>
            <w:gridCol w:w="1843"/>
          </w:tblGrid>
          <w:tr w:rsidR="00DE031E" w:rsidRPr="00CA1A06" w:rsidTr="00DE031E">
            <w:trPr>
              <w:jc w:val="center"/>
            </w:trPr>
            <w:tc>
              <w:tcPr>
                <w:tcW w:w="1876"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项目</w:t>
                </w:r>
              </w:p>
            </w:tc>
            <w:tc>
              <w:tcPr>
                <w:tcW w:w="1843"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经纪业务</w:t>
                </w:r>
              </w:p>
            </w:tc>
            <w:tc>
              <w:tcPr>
                <w:tcW w:w="1701"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资产管理业务</w:t>
                </w:r>
              </w:p>
            </w:tc>
            <w:tc>
              <w:tcPr>
                <w:tcW w:w="1842"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证券投资业务</w:t>
                </w:r>
              </w:p>
            </w:tc>
            <w:tc>
              <w:tcPr>
                <w:tcW w:w="1701"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投资银行业务</w:t>
                </w:r>
              </w:p>
            </w:tc>
            <w:tc>
              <w:tcPr>
                <w:tcW w:w="1701"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直投业务</w:t>
                </w:r>
              </w:p>
            </w:tc>
            <w:tc>
              <w:tcPr>
                <w:tcW w:w="1843"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其他</w:t>
                </w:r>
              </w:p>
            </w:tc>
            <w:tc>
              <w:tcPr>
                <w:tcW w:w="1701"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分部间相互抵减</w:t>
                </w:r>
              </w:p>
            </w:tc>
            <w:tc>
              <w:tcPr>
                <w:tcW w:w="1843" w:type="dxa"/>
              </w:tcPr>
              <w:p w:rsidR="00DE031E" w:rsidRPr="00CA1A06" w:rsidRDefault="001C1A59" w:rsidP="00DE031E">
                <w:pPr>
                  <w:jc w:val="center"/>
                  <w:rPr>
                    <w:rFonts w:asciiTheme="minorEastAsia" w:eastAsiaTheme="minorEastAsia" w:hAnsiTheme="minorEastAsia"/>
                    <w:sz w:val="18"/>
                    <w:szCs w:val="18"/>
                  </w:rPr>
                </w:pPr>
                <w:r w:rsidRPr="00CA1A06">
                  <w:rPr>
                    <w:rFonts w:asciiTheme="minorEastAsia" w:eastAsiaTheme="minorEastAsia" w:hAnsiTheme="minorEastAsia"/>
                    <w:sz w:val="18"/>
                    <w:szCs w:val="18"/>
                  </w:rPr>
                  <w:t>合计</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一、营业收入</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2,313,222,857.61</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154,954,183.02</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411,665,262.11</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400,743,540.90</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123,128,490.11</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199,678,318.41</w:t>
                </w: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3,603,392,652.16</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手续费及佣金净收入</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1,288,123,777.65</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142,085,950.38</w:t>
                </w:r>
              </w:p>
            </w:tc>
            <w:tc>
              <w:tcPr>
                <w:tcW w:w="1842" w:type="dxa"/>
                <w:vAlign w:val="center"/>
              </w:tcPr>
              <w:p w:rsidR="00DE031E" w:rsidRPr="00CA1A06" w:rsidRDefault="00DE031E" w:rsidP="00DE031E">
                <w:pPr>
                  <w:jc w:val="right"/>
                  <w:rPr>
                    <w:rFonts w:asciiTheme="minorEastAsia" w:eastAsiaTheme="minorEastAsia" w:hAnsiTheme="minorEastAsia"/>
                    <w:sz w:val="18"/>
                    <w:szCs w:val="18"/>
                  </w:rPr>
                </w:pP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400,743,540.90</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42,789,599.99</w:t>
                </w:r>
              </w:p>
            </w:tc>
            <w:tc>
              <w:tcPr>
                <w:tcW w:w="1843" w:type="dxa"/>
                <w:vAlign w:val="center"/>
              </w:tcPr>
              <w:p w:rsidR="00DE031E" w:rsidRPr="00CA1A06" w:rsidRDefault="00DE031E" w:rsidP="00DE031E">
                <w:pPr>
                  <w:jc w:val="right"/>
                  <w:rPr>
                    <w:rFonts w:asciiTheme="minorEastAsia" w:eastAsiaTheme="minorEastAsia" w:hAnsiTheme="minorEastAsia"/>
                    <w:sz w:val="18"/>
                    <w:szCs w:val="18"/>
                  </w:rPr>
                </w:pP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1,873,742,868.92</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其他收入</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1,025,099,079.96</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12,868,232.64</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411,665,262.11</w:t>
                </w: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80,338,890.12</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199,678,318.41</w:t>
                </w: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1,729,649,783.24</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二、营业支出</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986,878,246.64</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57,533,981.43</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240,487,413.17</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204,544,288.51</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36,489,509.16</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394,482,930.21</w:t>
                </w: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1,920,416,369.12</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三、营业利润</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1,326,344,610.97</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97,420,201.59</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171,177,848.94</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196,199,252.39</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86,638,980.95</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-194,804,611.80</w:t>
                </w: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1,682,976,283.04</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四、资产总额</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57,528,900,231.62</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1,342,648,925.86</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35,907,387,427.39</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200,539,554.53</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1,683,310,899.77</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13,463,458,926.08</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1,643,367,349.69</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108,482,878,615.56</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五、负债总额</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42,717,488,755.04</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1,303,365,799.53</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19,617,238,114.73</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226,258,312.60</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1,200,975,869.50</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5,142,775,590.52</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1,643,367,349.69</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68,564,735,092.23</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hint="eastAsia"/>
                    <w:sz w:val="18"/>
                    <w:szCs w:val="18"/>
                  </w:rPr>
                  <w:t>六、补充信息</w:t>
                </w:r>
              </w:p>
            </w:tc>
            <w:tc>
              <w:tcPr>
                <w:tcW w:w="1843" w:type="dxa"/>
                <w:vAlign w:val="center"/>
              </w:tcPr>
              <w:p w:rsidR="00DE031E" w:rsidRPr="00CA1A06" w:rsidRDefault="00DE031E" w:rsidP="00DE031E">
                <w:pPr>
                  <w:jc w:val="right"/>
                  <w:rPr>
                    <w:rFonts w:asciiTheme="minorEastAsia" w:eastAsiaTheme="minorEastAsia" w:hAnsiTheme="minorEastAsia"/>
                    <w:sz w:val="18"/>
                    <w:szCs w:val="18"/>
                  </w:rPr>
                </w:pP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2" w:type="dxa"/>
                <w:vAlign w:val="center"/>
              </w:tcPr>
              <w:p w:rsidR="00DE031E" w:rsidRPr="00CA1A06" w:rsidRDefault="00DE031E" w:rsidP="00DE031E">
                <w:pPr>
                  <w:jc w:val="right"/>
                  <w:rPr>
                    <w:rFonts w:asciiTheme="minorEastAsia" w:eastAsiaTheme="minorEastAsia" w:hAnsiTheme="minorEastAsia"/>
                    <w:sz w:val="18"/>
                    <w:szCs w:val="18"/>
                  </w:rPr>
                </w:pP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DE031E" w:rsidP="00DE031E">
                <w:pPr>
                  <w:jc w:val="right"/>
                  <w:rPr>
                    <w:rFonts w:asciiTheme="minorEastAsia" w:eastAsiaTheme="minorEastAsia" w:hAnsiTheme="minorEastAsia"/>
                    <w:sz w:val="18"/>
                    <w:szCs w:val="18"/>
                  </w:rPr>
                </w:pP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DE031E" w:rsidP="00DE031E">
                <w:pPr>
                  <w:jc w:val="right"/>
                  <w:rPr>
                    <w:rFonts w:asciiTheme="minorEastAsia" w:eastAsiaTheme="minorEastAsia" w:hAnsiTheme="minorEastAsia"/>
                    <w:sz w:val="18"/>
                    <w:szCs w:val="18"/>
                  </w:rPr>
                </w:pP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sz w:val="18"/>
                    <w:szCs w:val="18"/>
                  </w:rPr>
                  <w:t>1、折旧和摊销费用</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59,723,284.50</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883,444.74</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591,331.65</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624,500.29</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19,137.89</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6,372,994.78</w:t>
                </w: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68,214,693.85</w:t>
                </w:r>
              </w:p>
            </w:tc>
          </w:tr>
          <w:tr w:rsidR="00DE031E" w:rsidRPr="00CA1A06" w:rsidTr="00DE031E">
            <w:trPr>
              <w:jc w:val="center"/>
            </w:trPr>
            <w:tc>
              <w:tcPr>
                <w:tcW w:w="1876" w:type="dxa"/>
              </w:tcPr>
              <w:p w:rsidR="00DE031E" w:rsidRPr="00CA1A06" w:rsidRDefault="001C1A59" w:rsidP="00DE031E">
                <w:pPr>
                  <w:rPr>
                    <w:rFonts w:asciiTheme="minorEastAsia" w:eastAsiaTheme="minorEastAsia" w:hAnsiTheme="minorEastAsia"/>
                    <w:sz w:val="18"/>
                    <w:szCs w:val="18"/>
                  </w:rPr>
                </w:pPr>
                <w:r w:rsidRPr="00CA1A06">
                  <w:rPr>
                    <w:rFonts w:asciiTheme="minorEastAsia" w:eastAsiaTheme="minorEastAsia" w:hAnsiTheme="minorEastAsia"/>
                    <w:sz w:val="18"/>
                    <w:szCs w:val="18"/>
                  </w:rPr>
                  <w:t>2、资本性支出</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28,315,285.90</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383,189.98</w:t>
                </w:r>
              </w:p>
            </w:tc>
            <w:tc>
              <w:tcPr>
                <w:tcW w:w="1842"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240,644.35</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232,115.68</w:t>
                </w:r>
              </w:p>
            </w:tc>
            <w:tc>
              <w:tcPr>
                <w:tcW w:w="1701"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63,355.00</w:t>
                </w: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102,235,133.59</w:t>
                </w:r>
              </w:p>
            </w:tc>
            <w:tc>
              <w:tcPr>
                <w:tcW w:w="1701" w:type="dxa"/>
                <w:vAlign w:val="center"/>
              </w:tcPr>
              <w:p w:rsidR="00DE031E" w:rsidRPr="00CA1A06" w:rsidRDefault="00DE031E" w:rsidP="00DE031E">
                <w:pPr>
                  <w:jc w:val="right"/>
                  <w:rPr>
                    <w:rFonts w:asciiTheme="minorEastAsia" w:eastAsiaTheme="minorEastAsia" w:hAnsiTheme="minorEastAsia"/>
                    <w:sz w:val="18"/>
                    <w:szCs w:val="18"/>
                  </w:rPr>
                </w:pPr>
              </w:p>
            </w:tc>
            <w:tc>
              <w:tcPr>
                <w:tcW w:w="1843" w:type="dxa"/>
                <w:vAlign w:val="center"/>
              </w:tcPr>
              <w:p w:rsidR="00DE031E" w:rsidRPr="00CA1A06" w:rsidRDefault="001C1A59" w:rsidP="00DE031E">
                <w:pPr>
                  <w:jc w:val="right"/>
                  <w:rPr>
                    <w:rFonts w:asciiTheme="minorEastAsia" w:eastAsiaTheme="minorEastAsia" w:hAnsiTheme="minorEastAsia"/>
                    <w:sz w:val="18"/>
                    <w:szCs w:val="18"/>
                  </w:rPr>
                </w:pPr>
                <w:r w:rsidRPr="00CA1A06">
                  <w:rPr>
                    <w:rFonts w:asciiTheme="minorEastAsia" w:eastAsiaTheme="minorEastAsia" w:hAnsiTheme="minorEastAsia"/>
                    <w:sz w:val="18"/>
                    <w:szCs w:val="18"/>
                  </w:rPr>
                  <w:t>131,469,724.50</w:t>
                </w:r>
              </w:p>
            </w:tc>
          </w:tr>
        </w:tbl>
        <w:p w:rsidR="00DE031E" w:rsidRDefault="00DE031E"/>
        <w:p w:rsidR="00DE031E" w:rsidRDefault="00DE031E"/>
        <w:p w:rsidR="00DE031E" w:rsidRDefault="00DE031E"/>
        <w:p w:rsidR="00DE031E" w:rsidRDefault="001C1A59" w:rsidP="003A0284">
          <w:pPr>
            <w:pStyle w:val="a9"/>
            <w:numPr>
              <w:ilvl w:val="3"/>
              <w:numId w:val="80"/>
            </w:numPr>
            <w:spacing w:beforeLines="50" w:line="360" w:lineRule="auto"/>
            <w:ind w:firstLineChars="0"/>
          </w:pPr>
          <w:r>
            <w:rPr>
              <w:rFonts w:hint="eastAsia"/>
            </w:rPr>
            <w:lastRenderedPageBreak/>
            <w:t>地区分部</w:t>
          </w:r>
        </w:p>
        <w:p w:rsidR="00DE031E" w:rsidRDefault="001C1A59" w:rsidP="003A0284">
          <w:pPr>
            <w:pStyle w:val="a9"/>
            <w:spacing w:beforeLines="50" w:line="360" w:lineRule="auto"/>
            <w:ind w:left="1680" w:firstLineChars="0" w:firstLine="0"/>
          </w:pPr>
          <w:r>
            <w:rPr>
              <w:rFonts w:hint="eastAsia"/>
            </w:rPr>
            <w:t>2015</w:t>
          </w:r>
          <w:r>
            <w:rPr>
              <w:rFonts w:hint="eastAsia"/>
            </w:rPr>
            <w:t>年</w:t>
          </w:r>
          <w:r>
            <w:rPr>
              <w:rFonts w:hint="eastAsia"/>
            </w:rPr>
            <w:t>6</w:t>
          </w:r>
          <w:r>
            <w:rPr>
              <w:rFonts w:hint="eastAsia"/>
            </w:rPr>
            <w:t>月</w:t>
          </w:r>
          <w:r>
            <w:rPr>
              <w:rFonts w:hint="eastAsia"/>
            </w:rPr>
            <w:t>30</w:t>
          </w:r>
          <w:r>
            <w:rPr>
              <w:rFonts w:hint="eastAsia"/>
            </w:rPr>
            <w:t>日：</w:t>
          </w:r>
        </w:p>
        <w:p w:rsidR="00455914" w:rsidRPr="00B63B9F" w:rsidRDefault="00455914" w:rsidP="003A0284">
          <w:pPr>
            <w:pStyle w:val="a9"/>
            <w:wordWrap w:val="0"/>
            <w:spacing w:beforeLines="50"/>
            <w:ind w:left="1678" w:firstLineChars="0" w:firstLine="0"/>
            <w:jc w:val="right"/>
          </w:pPr>
          <w:r>
            <w:rPr>
              <w:rFonts w:hint="eastAsia"/>
            </w:rPr>
            <w:t>单位：元</w:t>
          </w:r>
          <w:r>
            <w:rPr>
              <w:rFonts w:hint="eastAsia"/>
            </w:rPr>
            <w:t xml:space="preserve">  </w:t>
          </w:r>
          <w:r>
            <w:rPr>
              <w:rFonts w:hint="eastAsia"/>
            </w:rPr>
            <w:t>币种：人民币</w:t>
          </w:r>
        </w:p>
        <w:tbl>
          <w:tblPr>
            <w:tblStyle w:val="g2"/>
            <w:tblW w:w="0" w:type="auto"/>
            <w:jc w:val="center"/>
            <w:tblInd w:w="-601" w:type="dxa"/>
            <w:tblLook w:val="04A0"/>
          </w:tblPr>
          <w:tblGrid>
            <w:gridCol w:w="2225"/>
            <w:gridCol w:w="1837"/>
            <w:gridCol w:w="1758"/>
            <w:gridCol w:w="1758"/>
            <w:gridCol w:w="1758"/>
            <w:gridCol w:w="1759"/>
            <w:gridCol w:w="1759"/>
            <w:gridCol w:w="1836"/>
          </w:tblGrid>
          <w:tr w:rsidR="00DE031E" w:rsidRPr="00AA40FE" w:rsidTr="00DE031E">
            <w:trPr>
              <w:jc w:val="center"/>
            </w:trPr>
            <w:tc>
              <w:tcPr>
                <w:tcW w:w="2225"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项目</w:t>
                </w:r>
              </w:p>
            </w:tc>
            <w:tc>
              <w:tcPr>
                <w:tcW w:w="1837"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sz w:val="18"/>
                    <w:szCs w:val="18"/>
                  </w:rPr>
                  <w:t>广东地区</w:t>
                </w:r>
              </w:p>
            </w:tc>
            <w:tc>
              <w:tcPr>
                <w:tcW w:w="1758"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sz w:val="18"/>
                    <w:szCs w:val="18"/>
                  </w:rPr>
                  <w:t>上海地区</w:t>
                </w:r>
              </w:p>
            </w:tc>
            <w:tc>
              <w:tcPr>
                <w:tcW w:w="1758"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sz w:val="18"/>
                    <w:szCs w:val="18"/>
                  </w:rPr>
                  <w:t>北京地区</w:t>
                </w:r>
              </w:p>
            </w:tc>
            <w:tc>
              <w:tcPr>
                <w:tcW w:w="1758"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sz w:val="18"/>
                    <w:szCs w:val="18"/>
                  </w:rPr>
                  <w:t>香港地区</w:t>
                </w:r>
              </w:p>
            </w:tc>
            <w:tc>
              <w:tcPr>
                <w:tcW w:w="1759"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sz w:val="18"/>
                    <w:szCs w:val="18"/>
                  </w:rPr>
                  <w:t>其他地区</w:t>
                </w:r>
              </w:p>
            </w:tc>
            <w:tc>
              <w:tcPr>
                <w:tcW w:w="1759"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sz w:val="18"/>
                    <w:szCs w:val="18"/>
                  </w:rPr>
                  <w:t>分部间相互抵减</w:t>
                </w:r>
              </w:p>
            </w:tc>
            <w:tc>
              <w:tcPr>
                <w:tcW w:w="1836" w:type="dxa"/>
              </w:tcPr>
              <w:p w:rsidR="00DE031E" w:rsidRPr="00AA40FE" w:rsidRDefault="001C1A59" w:rsidP="00DE031E">
                <w:pPr>
                  <w:jc w:val="center"/>
                  <w:rPr>
                    <w:rFonts w:asciiTheme="minorEastAsia" w:eastAsiaTheme="minorEastAsia" w:hAnsiTheme="minorEastAsia"/>
                    <w:sz w:val="18"/>
                    <w:szCs w:val="18"/>
                  </w:rPr>
                </w:pPr>
                <w:r w:rsidRPr="00AA40FE">
                  <w:rPr>
                    <w:rFonts w:asciiTheme="minorEastAsia" w:eastAsiaTheme="minorEastAsia" w:hAnsiTheme="minorEastAsia"/>
                    <w:sz w:val="18"/>
                    <w:szCs w:val="18"/>
                  </w:rPr>
                  <w:t>合计</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一、营业收入</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8,693,592,553.41</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1,205,443,526.35</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2,263,384,390.78</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650,697,849.42</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3,050,373,100.27</w:t>
                </w: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15,863,491,420.23</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手续费及佣金净收入</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4,577,677,932.31</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706,348,944.91</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1,291,307,298.25</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324,230,968.89</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1,970,678,745.62</w:t>
                </w: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8,870,243,889.98</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其它收入</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4,115,914,621.10</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499,094,581.44</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972,077,092.53</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326,466,880.53</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1,079,694,354.65</w:t>
                </w: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6,993,247,530.25</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二、营业支出</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5,228,570,378.26</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157,406,603.53</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287,123,804.46</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369,745,246.46</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513,179,782.41</w:t>
                </w: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6,556,025,815.12</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三、营业利润</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3,465,022,175.15</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1,048,036,922.82</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1,976,260,586.32</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280,952,602.96</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2,537,193,317.86</w:t>
                </w: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9,307,465,605.11</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四、资产总额</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274,382,723,959.46</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18,535,527,952.44</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27,505,492,790.32</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15,534,058,818.68</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33,669,568,408.18</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4,833,393,027.50</w:t>
                </w: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364,793,978,901.58</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五、负债总额</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237,539,466,974.05</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17,305,950,948.30</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23,531,543,568.22</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13,310,187,846.78</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30,082,279,748.95</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4,833,393,027.50</w:t>
                </w: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316,936,036,058.80</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hint="eastAsia"/>
                    <w:sz w:val="18"/>
                    <w:szCs w:val="18"/>
                  </w:rPr>
                  <w:t>六、补充信息</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8,693,592,553.41</w:t>
                </w:r>
              </w:p>
            </w:tc>
            <w:tc>
              <w:tcPr>
                <w:tcW w:w="1758" w:type="dxa"/>
                <w:vAlign w:val="center"/>
              </w:tcPr>
              <w:p w:rsidR="00DE031E" w:rsidRPr="00AA40FE" w:rsidRDefault="00DE031E" w:rsidP="00DE031E">
                <w:pPr>
                  <w:jc w:val="right"/>
                  <w:rPr>
                    <w:rFonts w:asciiTheme="minorEastAsia" w:eastAsiaTheme="minorEastAsia" w:hAnsiTheme="minorEastAsia"/>
                    <w:sz w:val="18"/>
                    <w:szCs w:val="18"/>
                  </w:rPr>
                </w:pPr>
              </w:p>
            </w:tc>
            <w:tc>
              <w:tcPr>
                <w:tcW w:w="1758" w:type="dxa"/>
                <w:vAlign w:val="center"/>
              </w:tcPr>
              <w:p w:rsidR="00DE031E" w:rsidRPr="00AA40FE" w:rsidRDefault="00DE031E" w:rsidP="00DE031E">
                <w:pPr>
                  <w:jc w:val="right"/>
                  <w:rPr>
                    <w:rFonts w:asciiTheme="minorEastAsia" w:eastAsiaTheme="minorEastAsia" w:hAnsiTheme="minorEastAsia"/>
                    <w:sz w:val="18"/>
                    <w:szCs w:val="18"/>
                  </w:rPr>
                </w:pPr>
              </w:p>
            </w:tc>
            <w:tc>
              <w:tcPr>
                <w:tcW w:w="1758" w:type="dxa"/>
                <w:vAlign w:val="center"/>
              </w:tcPr>
              <w:p w:rsidR="00DE031E" w:rsidRPr="00AA40FE" w:rsidRDefault="00DE031E" w:rsidP="00DE031E">
                <w:pPr>
                  <w:jc w:val="right"/>
                  <w:rPr>
                    <w:rFonts w:asciiTheme="minorEastAsia" w:eastAsiaTheme="minorEastAsia" w:hAnsiTheme="minorEastAsia"/>
                    <w:sz w:val="18"/>
                    <w:szCs w:val="18"/>
                  </w:rPr>
                </w:pP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DE031E" w:rsidP="00DE031E">
                <w:pPr>
                  <w:jc w:val="right"/>
                  <w:rPr>
                    <w:rFonts w:asciiTheme="minorEastAsia" w:eastAsiaTheme="minorEastAsia" w:hAnsiTheme="minorEastAsia"/>
                    <w:sz w:val="18"/>
                    <w:szCs w:val="18"/>
                  </w:rPr>
                </w:pP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sz w:val="18"/>
                    <w:szCs w:val="18"/>
                  </w:rPr>
                  <w:t>1、折旧和摊销费用</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4,577,677,932.31</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2,538,984.61</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3,613,128.96</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8,976,812.66</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16,485,469.57</w:t>
                </w: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73,577,485.55</w:t>
                </w:r>
              </w:p>
            </w:tc>
          </w:tr>
          <w:tr w:rsidR="00DE031E" w:rsidRPr="00AA40FE" w:rsidTr="00DE031E">
            <w:trPr>
              <w:jc w:val="center"/>
            </w:trPr>
            <w:tc>
              <w:tcPr>
                <w:tcW w:w="2225" w:type="dxa"/>
              </w:tcPr>
              <w:p w:rsidR="00DE031E" w:rsidRPr="00AA40FE" w:rsidRDefault="001C1A59" w:rsidP="00DE031E">
                <w:pPr>
                  <w:rPr>
                    <w:rFonts w:asciiTheme="minorEastAsia" w:eastAsiaTheme="minorEastAsia" w:hAnsiTheme="minorEastAsia"/>
                    <w:sz w:val="18"/>
                    <w:szCs w:val="18"/>
                  </w:rPr>
                </w:pPr>
                <w:r w:rsidRPr="00AA40FE">
                  <w:rPr>
                    <w:rFonts w:asciiTheme="minorEastAsia" w:eastAsiaTheme="minorEastAsia" w:hAnsiTheme="minorEastAsia"/>
                    <w:sz w:val="18"/>
                    <w:szCs w:val="18"/>
                  </w:rPr>
                  <w:t>2、资本性支出</w:t>
                </w:r>
              </w:p>
            </w:tc>
            <w:tc>
              <w:tcPr>
                <w:tcW w:w="1837"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4,115,914,621.10</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2,870,026.68</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1,384,863.00</w:t>
                </w:r>
              </w:p>
            </w:tc>
            <w:tc>
              <w:tcPr>
                <w:tcW w:w="1758"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7,438,515.16</w:t>
                </w:r>
              </w:p>
            </w:tc>
            <w:tc>
              <w:tcPr>
                <w:tcW w:w="1759"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5,736,555.00</w:t>
                </w:r>
              </w:p>
            </w:tc>
            <w:tc>
              <w:tcPr>
                <w:tcW w:w="1759" w:type="dxa"/>
                <w:vAlign w:val="center"/>
              </w:tcPr>
              <w:p w:rsidR="00DE031E" w:rsidRPr="00AA40FE" w:rsidRDefault="00DE031E" w:rsidP="00DE031E">
                <w:pPr>
                  <w:jc w:val="right"/>
                  <w:rPr>
                    <w:rFonts w:asciiTheme="minorEastAsia" w:eastAsiaTheme="minorEastAsia" w:hAnsiTheme="minorEastAsia"/>
                    <w:sz w:val="18"/>
                    <w:szCs w:val="18"/>
                  </w:rPr>
                </w:pPr>
              </w:p>
            </w:tc>
            <w:tc>
              <w:tcPr>
                <w:tcW w:w="1836" w:type="dxa"/>
                <w:vAlign w:val="center"/>
              </w:tcPr>
              <w:p w:rsidR="00DE031E" w:rsidRPr="00AA40FE" w:rsidRDefault="001C1A59" w:rsidP="00DE031E">
                <w:pPr>
                  <w:jc w:val="right"/>
                  <w:rPr>
                    <w:rFonts w:asciiTheme="minorEastAsia" w:eastAsiaTheme="minorEastAsia" w:hAnsiTheme="minorEastAsia"/>
                    <w:sz w:val="18"/>
                    <w:szCs w:val="18"/>
                  </w:rPr>
                </w:pPr>
                <w:r w:rsidRPr="00AA40FE">
                  <w:rPr>
                    <w:rFonts w:asciiTheme="minorEastAsia" w:eastAsiaTheme="minorEastAsia" w:hAnsiTheme="minorEastAsia"/>
                    <w:sz w:val="18"/>
                    <w:szCs w:val="18"/>
                  </w:rPr>
                  <w:t>115,152,960.04</w:t>
                </w:r>
              </w:p>
            </w:tc>
          </w:tr>
        </w:tbl>
        <w:p w:rsidR="00DE031E" w:rsidRDefault="001C1A59" w:rsidP="003A0284">
          <w:pPr>
            <w:spacing w:beforeLines="50" w:line="360" w:lineRule="auto"/>
            <w:ind w:firstLineChars="750" w:firstLine="1575"/>
          </w:pPr>
          <w:r>
            <w:rPr>
              <w:rFonts w:hint="eastAsia"/>
            </w:rPr>
            <w:t>2014年6月30日：</w:t>
          </w:r>
        </w:p>
        <w:tbl>
          <w:tblPr>
            <w:tblStyle w:val="g2"/>
            <w:tblW w:w="0" w:type="auto"/>
            <w:jc w:val="center"/>
            <w:tblInd w:w="-688" w:type="dxa"/>
            <w:tblLook w:val="04A0"/>
          </w:tblPr>
          <w:tblGrid>
            <w:gridCol w:w="2251"/>
            <w:gridCol w:w="1836"/>
            <w:gridCol w:w="1742"/>
            <w:gridCol w:w="1758"/>
            <w:gridCol w:w="1759"/>
            <w:gridCol w:w="1759"/>
            <w:gridCol w:w="1836"/>
            <w:gridCol w:w="1836"/>
          </w:tblGrid>
          <w:tr w:rsidR="00DE031E" w:rsidRPr="00B9094D" w:rsidTr="00DE031E">
            <w:trPr>
              <w:jc w:val="center"/>
            </w:trPr>
            <w:tc>
              <w:tcPr>
                <w:tcW w:w="2251" w:type="dxa"/>
              </w:tcPr>
              <w:p w:rsidR="00DE031E" w:rsidRPr="00B9094D" w:rsidRDefault="001C1A59" w:rsidP="00DE031E">
                <w:pPr>
                  <w:jc w:val="center"/>
                  <w:rPr>
                    <w:sz w:val="18"/>
                    <w:szCs w:val="18"/>
                  </w:rPr>
                </w:pPr>
                <w:r w:rsidRPr="00B9094D">
                  <w:rPr>
                    <w:rFonts w:hint="eastAsia"/>
                    <w:sz w:val="18"/>
                    <w:szCs w:val="18"/>
                  </w:rPr>
                  <w:t>项目</w:t>
                </w:r>
              </w:p>
            </w:tc>
            <w:tc>
              <w:tcPr>
                <w:tcW w:w="1836" w:type="dxa"/>
              </w:tcPr>
              <w:p w:rsidR="00DE031E" w:rsidRPr="00B9094D" w:rsidRDefault="001C1A59" w:rsidP="00DE031E">
                <w:pPr>
                  <w:jc w:val="center"/>
                  <w:rPr>
                    <w:sz w:val="18"/>
                    <w:szCs w:val="18"/>
                  </w:rPr>
                </w:pPr>
                <w:r w:rsidRPr="00B9094D">
                  <w:rPr>
                    <w:sz w:val="18"/>
                    <w:szCs w:val="18"/>
                  </w:rPr>
                  <w:t>广东地区</w:t>
                </w:r>
              </w:p>
            </w:tc>
            <w:tc>
              <w:tcPr>
                <w:tcW w:w="1742" w:type="dxa"/>
              </w:tcPr>
              <w:p w:rsidR="00DE031E" w:rsidRPr="00B9094D" w:rsidRDefault="001C1A59" w:rsidP="00DE031E">
                <w:pPr>
                  <w:jc w:val="center"/>
                  <w:rPr>
                    <w:sz w:val="18"/>
                    <w:szCs w:val="18"/>
                  </w:rPr>
                </w:pPr>
                <w:r w:rsidRPr="00B9094D">
                  <w:rPr>
                    <w:sz w:val="18"/>
                    <w:szCs w:val="18"/>
                  </w:rPr>
                  <w:t>上海地区</w:t>
                </w:r>
              </w:p>
            </w:tc>
            <w:tc>
              <w:tcPr>
                <w:tcW w:w="1758" w:type="dxa"/>
              </w:tcPr>
              <w:p w:rsidR="00DE031E" w:rsidRPr="00B9094D" w:rsidRDefault="001C1A59" w:rsidP="00DE031E">
                <w:pPr>
                  <w:jc w:val="center"/>
                  <w:rPr>
                    <w:sz w:val="18"/>
                    <w:szCs w:val="18"/>
                  </w:rPr>
                </w:pPr>
                <w:r w:rsidRPr="00B9094D">
                  <w:rPr>
                    <w:sz w:val="18"/>
                    <w:szCs w:val="18"/>
                  </w:rPr>
                  <w:t>北京地区</w:t>
                </w:r>
              </w:p>
            </w:tc>
            <w:tc>
              <w:tcPr>
                <w:tcW w:w="1759" w:type="dxa"/>
              </w:tcPr>
              <w:p w:rsidR="00DE031E" w:rsidRPr="00B9094D" w:rsidRDefault="001C1A59" w:rsidP="00DE031E">
                <w:pPr>
                  <w:jc w:val="center"/>
                  <w:rPr>
                    <w:sz w:val="18"/>
                    <w:szCs w:val="18"/>
                  </w:rPr>
                </w:pPr>
                <w:r w:rsidRPr="00B9094D">
                  <w:rPr>
                    <w:sz w:val="18"/>
                    <w:szCs w:val="18"/>
                  </w:rPr>
                  <w:t>香港地区</w:t>
                </w:r>
              </w:p>
            </w:tc>
            <w:tc>
              <w:tcPr>
                <w:tcW w:w="1759" w:type="dxa"/>
              </w:tcPr>
              <w:p w:rsidR="00DE031E" w:rsidRPr="00B9094D" w:rsidRDefault="001C1A59" w:rsidP="00DE031E">
                <w:pPr>
                  <w:jc w:val="center"/>
                  <w:rPr>
                    <w:sz w:val="18"/>
                    <w:szCs w:val="18"/>
                  </w:rPr>
                </w:pPr>
                <w:r w:rsidRPr="00B9094D">
                  <w:rPr>
                    <w:sz w:val="18"/>
                    <w:szCs w:val="18"/>
                  </w:rPr>
                  <w:t>其他地区</w:t>
                </w:r>
              </w:p>
            </w:tc>
            <w:tc>
              <w:tcPr>
                <w:tcW w:w="1836" w:type="dxa"/>
              </w:tcPr>
              <w:p w:rsidR="00DE031E" w:rsidRPr="00B9094D" w:rsidRDefault="001C1A59" w:rsidP="00DE031E">
                <w:pPr>
                  <w:jc w:val="center"/>
                  <w:rPr>
                    <w:sz w:val="18"/>
                    <w:szCs w:val="18"/>
                  </w:rPr>
                </w:pPr>
                <w:r w:rsidRPr="00B9094D">
                  <w:rPr>
                    <w:sz w:val="18"/>
                    <w:szCs w:val="18"/>
                  </w:rPr>
                  <w:t>分部间相互抵减</w:t>
                </w:r>
              </w:p>
            </w:tc>
            <w:tc>
              <w:tcPr>
                <w:tcW w:w="1836" w:type="dxa"/>
              </w:tcPr>
              <w:p w:rsidR="00DE031E" w:rsidRPr="00B9094D" w:rsidRDefault="001C1A59" w:rsidP="00DE031E">
                <w:pPr>
                  <w:jc w:val="center"/>
                  <w:rPr>
                    <w:sz w:val="18"/>
                    <w:szCs w:val="18"/>
                  </w:rPr>
                </w:pPr>
                <w:r w:rsidRPr="00B9094D">
                  <w:rPr>
                    <w:sz w:val="18"/>
                    <w:szCs w:val="18"/>
                  </w:rPr>
                  <w:t>合计</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一、营业收入</w:t>
                </w:r>
              </w:p>
            </w:tc>
            <w:tc>
              <w:tcPr>
                <w:tcW w:w="1836" w:type="dxa"/>
                <w:vAlign w:val="center"/>
              </w:tcPr>
              <w:p w:rsidR="00DE031E" w:rsidRPr="00B9094D" w:rsidRDefault="001C1A59" w:rsidP="00DE031E">
                <w:pPr>
                  <w:jc w:val="right"/>
                  <w:rPr>
                    <w:sz w:val="18"/>
                    <w:szCs w:val="18"/>
                  </w:rPr>
                </w:pPr>
                <w:r w:rsidRPr="00B9094D">
                  <w:rPr>
                    <w:sz w:val="18"/>
                    <w:szCs w:val="18"/>
                  </w:rPr>
                  <w:t>2,007,715,482.72</w:t>
                </w:r>
              </w:p>
            </w:tc>
            <w:tc>
              <w:tcPr>
                <w:tcW w:w="1742" w:type="dxa"/>
                <w:vAlign w:val="center"/>
              </w:tcPr>
              <w:p w:rsidR="00DE031E" w:rsidRPr="00B9094D" w:rsidRDefault="001C1A59" w:rsidP="00DE031E">
                <w:pPr>
                  <w:jc w:val="right"/>
                  <w:rPr>
                    <w:sz w:val="18"/>
                    <w:szCs w:val="18"/>
                  </w:rPr>
                </w:pPr>
                <w:r w:rsidRPr="00B9094D">
                  <w:rPr>
                    <w:sz w:val="18"/>
                    <w:szCs w:val="18"/>
                  </w:rPr>
                  <w:t>252,566,813.54</w:t>
                </w:r>
              </w:p>
            </w:tc>
            <w:tc>
              <w:tcPr>
                <w:tcW w:w="1758" w:type="dxa"/>
                <w:vAlign w:val="center"/>
              </w:tcPr>
              <w:p w:rsidR="00DE031E" w:rsidRPr="00B9094D" w:rsidRDefault="001C1A59" w:rsidP="00DE031E">
                <w:pPr>
                  <w:jc w:val="right"/>
                  <w:rPr>
                    <w:sz w:val="18"/>
                    <w:szCs w:val="18"/>
                  </w:rPr>
                </w:pPr>
                <w:r w:rsidRPr="00B9094D">
                  <w:rPr>
                    <w:sz w:val="18"/>
                    <w:szCs w:val="18"/>
                  </w:rPr>
                  <w:t>483,938,362.03</w:t>
                </w:r>
              </w:p>
            </w:tc>
            <w:tc>
              <w:tcPr>
                <w:tcW w:w="1759" w:type="dxa"/>
                <w:vAlign w:val="center"/>
              </w:tcPr>
              <w:p w:rsidR="00DE031E" w:rsidRPr="00B9094D" w:rsidRDefault="001C1A59" w:rsidP="00DE031E">
                <w:pPr>
                  <w:jc w:val="right"/>
                  <w:rPr>
                    <w:sz w:val="18"/>
                    <w:szCs w:val="18"/>
                  </w:rPr>
                </w:pPr>
                <w:r w:rsidRPr="00B9094D">
                  <w:rPr>
                    <w:sz w:val="18"/>
                    <w:szCs w:val="18"/>
                  </w:rPr>
                  <w:t>229,004,246.20</w:t>
                </w:r>
              </w:p>
            </w:tc>
            <w:tc>
              <w:tcPr>
                <w:tcW w:w="1759" w:type="dxa"/>
                <w:vAlign w:val="center"/>
              </w:tcPr>
              <w:p w:rsidR="00DE031E" w:rsidRPr="00B9094D" w:rsidRDefault="001C1A59" w:rsidP="00DE031E">
                <w:pPr>
                  <w:jc w:val="right"/>
                  <w:rPr>
                    <w:sz w:val="18"/>
                    <w:szCs w:val="18"/>
                  </w:rPr>
                </w:pPr>
                <w:r w:rsidRPr="00B9094D">
                  <w:rPr>
                    <w:sz w:val="18"/>
                    <w:szCs w:val="18"/>
                  </w:rPr>
                  <w:t>630,167,747.67</w:t>
                </w: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1C1A59" w:rsidP="00DE031E">
                <w:pPr>
                  <w:jc w:val="right"/>
                  <w:rPr>
                    <w:sz w:val="18"/>
                    <w:szCs w:val="18"/>
                  </w:rPr>
                </w:pPr>
                <w:r w:rsidRPr="00B9094D">
                  <w:rPr>
                    <w:sz w:val="18"/>
                    <w:szCs w:val="18"/>
                  </w:rPr>
                  <w:t>3,603,392,652.16</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手续费及佣金净收入</w:t>
                </w:r>
              </w:p>
            </w:tc>
            <w:tc>
              <w:tcPr>
                <w:tcW w:w="1836" w:type="dxa"/>
                <w:vAlign w:val="center"/>
              </w:tcPr>
              <w:p w:rsidR="00DE031E" w:rsidRPr="00B9094D" w:rsidRDefault="001C1A59" w:rsidP="00DE031E">
                <w:pPr>
                  <w:jc w:val="right"/>
                  <w:rPr>
                    <w:sz w:val="18"/>
                    <w:szCs w:val="18"/>
                  </w:rPr>
                </w:pPr>
                <w:r w:rsidRPr="00B9094D">
                  <w:rPr>
                    <w:sz w:val="18"/>
                    <w:szCs w:val="18"/>
                  </w:rPr>
                  <w:t>1,067,824,609.03</w:t>
                </w:r>
              </w:p>
            </w:tc>
            <w:tc>
              <w:tcPr>
                <w:tcW w:w="1742" w:type="dxa"/>
                <w:vAlign w:val="center"/>
              </w:tcPr>
              <w:p w:rsidR="00DE031E" w:rsidRPr="00B9094D" w:rsidRDefault="001C1A59" w:rsidP="00DE031E">
                <w:pPr>
                  <w:jc w:val="right"/>
                  <w:rPr>
                    <w:sz w:val="18"/>
                    <w:szCs w:val="18"/>
                  </w:rPr>
                </w:pPr>
                <w:r w:rsidRPr="00B9094D">
                  <w:rPr>
                    <w:sz w:val="18"/>
                    <w:szCs w:val="18"/>
                  </w:rPr>
                  <w:t>103,632,278.60</w:t>
                </w:r>
              </w:p>
            </w:tc>
            <w:tc>
              <w:tcPr>
                <w:tcW w:w="1758" w:type="dxa"/>
                <w:vAlign w:val="center"/>
              </w:tcPr>
              <w:p w:rsidR="00DE031E" w:rsidRPr="00B9094D" w:rsidRDefault="001C1A59" w:rsidP="00DE031E">
                <w:pPr>
                  <w:jc w:val="right"/>
                  <w:rPr>
                    <w:sz w:val="18"/>
                    <w:szCs w:val="18"/>
                  </w:rPr>
                </w:pPr>
                <w:r w:rsidRPr="00B9094D">
                  <w:rPr>
                    <w:sz w:val="18"/>
                    <w:szCs w:val="18"/>
                  </w:rPr>
                  <w:t>244,134,590.54</w:t>
                </w:r>
              </w:p>
            </w:tc>
            <w:tc>
              <w:tcPr>
                <w:tcW w:w="1759" w:type="dxa"/>
                <w:vAlign w:val="center"/>
              </w:tcPr>
              <w:p w:rsidR="00DE031E" w:rsidRPr="00B9094D" w:rsidRDefault="001C1A59" w:rsidP="00DE031E">
                <w:pPr>
                  <w:jc w:val="right"/>
                  <w:rPr>
                    <w:sz w:val="18"/>
                    <w:szCs w:val="18"/>
                  </w:rPr>
                </w:pPr>
                <w:r w:rsidRPr="00B9094D">
                  <w:rPr>
                    <w:sz w:val="18"/>
                    <w:szCs w:val="18"/>
                  </w:rPr>
                  <w:t>115,366,003.22</w:t>
                </w:r>
              </w:p>
            </w:tc>
            <w:tc>
              <w:tcPr>
                <w:tcW w:w="1759" w:type="dxa"/>
                <w:vAlign w:val="center"/>
              </w:tcPr>
              <w:p w:rsidR="00DE031E" w:rsidRPr="00B9094D" w:rsidRDefault="001C1A59" w:rsidP="00DE031E">
                <w:pPr>
                  <w:jc w:val="right"/>
                  <w:rPr>
                    <w:sz w:val="18"/>
                    <w:szCs w:val="18"/>
                  </w:rPr>
                </w:pPr>
                <w:r w:rsidRPr="00B9094D">
                  <w:rPr>
                    <w:sz w:val="18"/>
                    <w:szCs w:val="18"/>
                  </w:rPr>
                  <w:t>342,785,387.53</w:t>
                </w: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1C1A59" w:rsidP="00DE031E">
                <w:pPr>
                  <w:jc w:val="right"/>
                  <w:rPr>
                    <w:sz w:val="18"/>
                    <w:szCs w:val="18"/>
                  </w:rPr>
                </w:pPr>
                <w:r w:rsidRPr="00B9094D">
                  <w:rPr>
                    <w:sz w:val="18"/>
                    <w:szCs w:val="18"/>
                  </w:rPr>
                  <w:t>1,873,742,868.92</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其他收入</w:t>
                </w:r>
              </w:p>
            </w:tc>
            <w:tc>
              <w:tcPr>
                <w:tcW w:w="1836" w:type="dxa"/>
                <w:vAlign w:val="center"/>
              </w:tcPr>
              <w:p w:rsidR="00DE031E" w:rsidRPr="00B9094D" w:rsidRDefault="001C1A59" w:rsidP="00DE031E">
                <w:pPr>
                  <w:jc w:val="right"/>
                  <w:rPr>
                    <w:sz w:val="18"/>
                    <w:szCs w:val="18"/>
                  </w:rPr>
                </w:pPr>
                <w:r w:rsidRPr="00B9094D">
                  <w:rPr>
                    <w:sz w:val="18"/>
                    <w:szCs w:val="18"/>
                  </w:rPr>
                  <w:t>939,890,873.69</w:t>
                </w:r>
              </w:p>
            </w:tc>
            <w:tc>
              <w:tcPr>
                <w:tcW w:w="1742" w:type="dxa"/>
                <w:vAlign w:val="center"/>
              </w:tcPr>
              <w:p w:rsidR="00DE031E" w:rsidRPr="00B9094D" w:rsidRDefault="001C1A59" w:rsidP="00DE031E">
                <w:pPr>
                  <w:jc w:val="right"/>
                  <w:rPr>
                    <w:sz w:val="18"/>
                    <w:szCs w:val="18"/>
                  </w:rPr>
                </w:pPr>
                <w:r w:rsidRPr="00B9094D">
                  <w:rPr>
                    <w:sz w:val="18"/>
                    <w:szCs w:val="18"/>
                  </w:rPr>
                  <w:t>148,934,534.94</w:t>
                </w:r>
              </w:p>
            </w:tc>
            <w:tc>
              <w:tcPr>
                <w:tcW w:w="1758" w:type="dxa"/>
                <w:vAlign w:val="center"/>
              </w:tcPr>
              <w:p w:rsidR="00DE031E" w:rsidRPr="00B9094D" w:rsidRDefault="001C1A59" w:rsidP="00DE031E">
                <w:pPr>
                  <w:jc w:val="right"/>
                  <w:rPr>
                    <w:sz w:val="18"/>
                    <w:szCs w:val="18"/>
                  </w:rPr>
                </w:pPr>
                <w:r w:rsidRPr="00B9094D">
                  <w:rPr>
                    <w:sz w:val="18"/>
                    <w:szCs w:val="18"/>
                  </w:rPr>
                  <w:t>239,803,771.49</w:t>
                </w:r>
              </w:p>
            </w:tc>
            <w:tc>
              <w:tcPr>
                <w:tcW w:w="1759" w:type="dxa"/>
                <w:vAlign w:val="center"/>
              </w:tcPr>
              <w:p w:rsidR="00DE031E" w:rsidRPr="00B9094D" w:rsidRDefault="001C1A59" w:rsidP="00DE031E">
                <w:pPr>
                  <w:jc w:val="right"/>
                  <w:rPr>
                    <w:sz w:val="18"/>
                    <w:szCs w:val="18"/>
                  </w:rPr>
                </w:pPr>
                <w:r w:rsidRPr="00B9094D">
                  <w:rPr>
                    <w:sz w:val="18"/>
                    <w:szCs w:val="18"/>
                  </w:rPr>
                  <w:t>113,638,242.98</w:t>
                </w:r>
              </w:p>
            </w:tc>
            <w:tc>
              <w:tcPr>
                <w:tcW w:w="1759" w:type="dxa"/>
                <w:vAlign w:val="center"/>
              </w:tcPr>
              <w:p w:rsidR="00DE031E" w:rsidRPr="00B9094D" w:rsidRDefault="001C1A59" w:rsidP="00DE031E">
                <w:pPr>
                  <w:jc w:val="right"/>
                  <w:rPr>
                    <w:sz w:val="18"/>
                    <w:szCs w:val="18"/>
                  </w:rPr>
                </w:pPr>
                <w:r w:rsidRPr="00B9094D">
                  <w:rPr>
                    <w:sz w:val="18"/>
                    <w:szCs w:val="18"/>
                  </w:rPr>
                  <w:t>287,382,360.14</w:t>
                </w: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1C1A59" w:rsidP="00DE031E">
                <w:pPr>
                  <w:jc w:val="right"/>
                  <w:rPr>
                    <w:sz w:val="18"/>
                    <w:szCs w:val="18"/>
                  </w:rPr>
                </w:pPr>
                <w:r w:rsidRPr="00B9094D">
                  <w:rPr>
                    <w:sz w:val="18"/>
                    <w:szCs w:val="18"/>
                  </w:rPr>
                  <w:t>1,729,649,783.24</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二、营业支出</w:t>
                </w:r>
              </w:p>
            </w:tc>
            <w:tc>
              <w:tcPr>
                <w:tcW w:w="1836" w:type="dxa"/>
                <w:vAlign w:val="center"/>
              </w:tcPr>
              <w:p w:rsidR="00DE031E" w:rsidRPr="00B9094D" w:rsidRDefault="001C1A59" w:rsidP="00DE031E">
                <w:pPr>
                  <w:jc w:val="right"/>
                  <w:rPr>
                    <w:sz w:val="18"/>
                    <w:szCs w:val="18"/>
                  </w:rPr>
                </w:pPr>
                <w:r w:rsidRPr="00B9094D">
                  <w:rPr>
                    <w:sz w:val="18"/>
                    <w:szCs w:val="18"/>
                  </w:rPr>
                  <w:t>1,353,316,447.91</w:t>
                </w:r>
              </w:p>
            </w:tc>
            <w:tc>
              <w:tcPr>
                <w:tcW w:w="1742" w:type="dxa"/>
                <w:vAlign w:val="center"/>
              </w:tcPr>
              <w:p w:rsidR="00DE031E" w:rsidRPr="00B9094D" w:rsidRDefault="001C1A59" w:rsidP="00DE031E">
                <w:pPr>
                  <w:jc w:val="right"/>
                  <w:rPr>
                    <w:sz w:val="18"/>
                    <w:szCs w:val="18"/>
                  </w:rPr>
                </w:pPr>
                <w:r w:rsidRPr="00B9094D">
                  <w:rPr>
                    <w:sz w:val="18"/>
                    <w:szCs w:val="18"/>
                  </w:rPr>
                  <w:t>63,185,072.05</w:t>
                </w:r>
              </w:p>
            </w:tc>
            <w:tc>
              <w:tcPr>
                <w:tcW w:w="1758" w:type="dxa"/>
                <w:vAlign w:val="center"/>
              </w:tcPr>
              <w:p w:rsidR="00DE031E" w:rsidRPr="00B9094D" w:rsidRDefault="001C1A59" w:rsidP="00DE031E">
                <w:pPr>
                  <w:jc w:val="right"/>
                  <w:rPr>
                    <w:sz w:val="18"/>
                    <w:szCs w:val="18"/>
                  </w:rPr>
                </w:pPr>
                <w:r w:rsidRPr="00B9094D">
                  <w:rPr>
                    <w:sz w:val="18"/>
                    <w:szCs w:val="18"/>
                  </w:rPr>
                  <w:t>130,839,827.85</w:t>
                </w:r>
              </w:p>
            </w:tc>
            <w:tc>
              <w:tcPr>
                <w:tcW w:w="1759" w:type="dxa"/>
                <w:vAlign w:val="center"/>
              </w:tcPr>
              <w:p w:rsidR="00DE031E" w:rsidRPr="00B9094D" w:rsidRDefault="001C1A59" w:rsidP="00DE031E">
                <w:pPr>
                  <w:jc w:val="right"/>
                  <w:rPr>
                    <w:sz w:val="18"/>
                    <w:szCs w:val="18"/>
                  </w:rPr>
                </w:pPr>
                <w:r w:rsidRPr="00B9094D">
                  <w:rPr>
                    <w:sz w:val="18"/>
                    <w:szCs w:val="18"/>
                  </w:rPr>
                  <w:t>146,764,438.60</w:t>
                </w:r>
              </w:p>
            </w:tc>
            <w:tc>
              <w:tcPr>
                <w:tcW w:w="1759" w:type="dxa"/>
                <w:vAlign w:val="center"/>
              </w:tcPr>
              <w:p w:rsidR="00DE031E" w:rsidRPr="00B9094D" w:rsidRDefault="001C1A59" w:rsidP="00DE031E">
                <w:pPr>
                  <w:jc w:val="right"/>
                  <w:rPr>
                    <w:sz w:val="18"/>
                    <w:szCs w:val="18"/>
                  </w:rPr>
                </w:pPr>
                <w:r w:rsidRPr="00B9094D">
                  <w:rPr>
                    <w:sz w:val="18"/>
                    <w:szCs w:val="18"/>
                  </w:rPr>
                  <w:t>226,310,582.71</w:t>
                </w: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1C1A59" w:rsidP="00DE031E">
                <w:pPr>
                  <w:jc w:val="right"/>
                  <w:rPr>
                    <w:sz w:val="18"/>
                    <w:szCs w:val="18"/>
                  </w:rPr>
                </w:pPr>
                <w:r w:rsidRPr="00B9094D">
                  <w:rPr>
                    <w:sz w:val="18"/>
                    <w:szCs w:val="18"/>
                  </w:rPr>
                  <w:t>1,920,416,369.12</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三、营业利润</w:t>
                </w:r>
              </w:p>
            </w:tc>
            <w:tc>
              <w:tcPr>
                <w:tcW w:w="1836" w:type="dxa"/>
                <w:vAlign w:val="center"/>
              </w:tcPr>
              <w:p w:rsidR="00DE031E" w:rsidRPr="00B9094D" w:rsidRDefault="001C1A59" w:rsidP="00DE031E">
                <w:pPr>
                  <w:jc w:val="right"/>
                  <w:rPr>
                    <w:sz w:val="18"/>
                    <w:szCs w:val="18"/>
                  </w:rPr>
                </w:pPr>
                <w:r w:rsidRPr="00B9094D">
                  <w:rPr>
                    <w:sz w:val="18"/>
                    <w:szCs w:val="18"/>
                  </w:rPr>
                  <w:t>654,399,034.81</w:t>
                </w:r>
              </w:p>
            </w:tc>
            <w:tc>
              <w:tcPr>
                <w:tcW w:w="1742" w:type="dxa"/>
                <w:vAlign w:val="center"/>
              </w:tcPr>
              <w:p w:rsidR="00DE031E" w:rsidRPr="00B9094D" w:rsidRDefault="001C1A59" w:rsidP="00DE031E">
                <w:pPr>
                  <w:jc w:val="right"/>
                  <w:rPr>
                    <w:sz w:val="18"/>
                    <w:szCs w:val="18"/>
                  </w:rPr>
                </w:pPr>
                <w:r w:rsidRPr="00B9094D">
                  <w:rPr>
                    <w:sz w:val="18"/>
                    <w:szCs w:val="18"/>
                  </w:rPr>
                  <w:t>189,381,741.49</w:t>
                </w:r>
              </w:p>
            </w:tc>
            <w:tc>
              <w:tcPr>
                <w:tcW w:w="1758" w:type="dxa"/>
                <w:vAlign w:val="center"/>
              </w:tcPr>
              <w:p w:rsidR="00DE031E" w:rsidRPr="00B9094D" w:rsidRDefault="001C1A59" w:rsidP="00DE031E">
                <w:pPr>
                  <w:jc w:val="right"/>
                  <w:rPr>
                    <w:sz w:val="18"/>
                    <w:szCs w:val="18"/>
                  </w:rPr>
                </w:pPr>
                <w:r w:rsidRPr="00B9094D">
                  <w:rPr>
                    <w:sz w:val="18"/>
                    <w:szCs w:val="18"/>
                  </w:rPr>
                  <w:t>353,098,534.18</w:t>
                </w:r>
              </w:p>
            </w:tc>
            <w:tc>
              <w:tcPr>
                <w:tcW w:w="1759" w:type="dxa"/>
                <w:vAlign w:val="center"/>
              </w:tcPr>
              <w:p w:rsidR="00DE031E" w:rsidRPr="00B9094D" w:rsidRDefault="001C1A59" w:rsidP="00DE031E">
                <w:pPr>
                  <w:jc w:val="right"/>
                  <w:rPr>
                    <w:sz w:val="18"/>
                    <w:szCs w:val="18"/>
                  </w:rPr>
                </w:pPr>
                <w:r w:rsidRPr="00B9094D">
                  <w:rPr>
                    <w:sz w:val="18"/>
                    <w:szCs w:val="18"/>
                  </w:rPr>
                  <w:t>82,239,807.60</w:t>
                </w:r>
              </w:p>
            </w:tc>
            <w:tc>
              <w:tcPr>
                <w:tcW w:w="1759" w:type="dxa"/>
                <w:vAlign w:val="center"/>
              </w:tcPr>
              <w:p w:rsidR="00DE031E" w:rsidRPr="00B9094D" w:rsidRDefault="001C1A59" w:rsidP="00DE031E">
                <w:pPr>
                  <w:jc w:val="right"/>
                  <w:rPr>
                    <w:sz w:val="18"/>
                    <w:szCs w:val="18"/>
                  </w:rPr>
                </w:pPr>
                <w:r w:rsidRPr="00B9094D">
                  <w:rPr>
                    <w:sz w:val="18"/>
                    <w:szCs w:val="18"/>
                  </w:rPr>
                  <w:t>403,857,164.96</w:t>
                </w: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1C1A59" w:rsidP="00DE031E">
                <w:pPr>
                  <w:jc w:val="right"/>
                  <w:rPr>
                    <w:sz w:val="18"/>
                    <w:szCs w:val="18"/>
                  </w:rPr>
                </w:pPr>
                <w:r w:rsidRPr="00B9094D">
                  <w:rPr>
                    <w:sz w:val="18"/>
                    <w:szCs w:val="18"/>
                  </w:rPr>
                  <w:t>1,682,976,283.04</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四、资产总额</w:t>
                </w:r>
              </w:p>
            </w:tc>
            <w:tc>
              <w:tcPr>
                <w:tcW w:w="1836" w:type="dxa"/>
                <w:vAlign w:val="center"/>
              </w:tcPr>
              <w:p w:rsidR="00DE031E" w:rsidRPr="00B9094D" w:rsidRDefault="001C1A59" w:rsidP="00DE031E">
                <w:pPr>
                  <w:jc w:val="right"/>
                  <w:rPr>
                    <w:sz w:val="18"/>
                    <w:szCs w:val="18"/>
                  </w:rPr>
                </w:pPr>
                <w:r w:rsidRPr="00B9094D">
                  <w:rPr>
                    <w:sz w:val="18"/>
                    <w:szCs w:val="18"/>
                  </w:rPr>
                  <w:t>80,988,753,677.47</w:t>
                </w:r>
              </w:p>
            </w:tc>
            <w:tc>
              <w:tcPr>
                <w:tcW w:w="1742" w:type="dxa"/>
                <w:vAlign w:val="center"/>
              </w:tcPr>
              <w:p w:rsidR="00DE031E" w:rsidRPr="00B9094D" w:rsidRDefault="001C1A59" w:rsidP="00DE031E">
                <w:pPr>
                  <w:jc w:val="right"/>
                  <w:rPr>
                    <w:sz w:val="18"/>
                    <w:szCs w:val="18"/>
                  </w:rPr>
                </w:pPr>
                <w:r w:rsidRPr="00B9094D">
                  <w:rPr>
                    <w:sz w:val="18"/>
                    <w:szCs w:val="18"/>
                  </w:rPr>
                  <w:t>3,668,412,695.65</w:t>
                </w:r>
              </w:p>
            </w:tc>
            <w:tc>
              <w:tcPr>
                <w:tcW w:w="1758" w:type="dxa"/>
                <w:vAlign w:val="center"/>
              </w:tcPr>
              <w:p w:rsidR="00DE031E" w:rsidRPr="00B9094D" w:rsidRDefault="001C1A59" w:rsidP="00DE031E">
                <w:pPr>
                  <w:jc w:val="right"/>
                  <w:rPr>
                    <w:sz w:val="18"/>
                    <w:szCs w:val="18"/>
                  </w:rPr>
                </w:pPr>
                <w:r w:rsidRPr="00B9094D">
                  <w:rPr>
                    <w:sz w:val="18"/>
                    <w:szCs w:val="18"/>
                  </w:rPr>
                  <w:t>7,864,395,612.77</w:t>
                </w:r>
              </w:p>
            </w:tc>
            <w:tc>
              <w:tcPr>
                <w:tcW w:w="1759" w:type="dxa"/>
                <w:vAlign w:val="center"/>
              </w:tcPr>
              <w:p w:rsidR="00DE031E" w:rsidRPr="00B9094D" w:rsidRDefault="001C1A59" w:rsidP="00DE031E">
                <w:pPr>
                  <w:jc w:val="right"/>
                  <w:rPr>
                    <w:sz w:val="18"/>
                    <w:szCs w:val="18"/>
                  </w:rPr>
                </w:pPr>
                <w:r w:rsidRPr="00B9094D">
                  <w:rPr>
                    <w:sz w:val="18"/>
                    <w:szCs w:val="18"/>
                  </w:rPr>
                  <w:t>8,582,542,899.37</w:t>
                </w:r>
              </w:p>
            </w:tc>
            <w:tc>
              <w:tcPr>
                <w:tcW w:w="1759" w:type="dxa"/>
                <w:vAlign w:val="center"/>
              </w:tcPr>
              <w:p w:rsidR="00DE031E" w:rsidRPr="00B9094D" w:rsidRDefault="001C1A59" w:rsidP="00DE031E">
                <w:pPr>
                  <w:jc w:val="right"/>
                  <w:rPr>
                    <w:sz w:val="18"/>
                    <w:szCs w:val="18"/>
                  </w:rPr>
                </w:pPr>
                <w:r w:rsidRPr="00B9094D">
                  <w:rPr>
                    <w:sz w:val="18"/>
                    <w:szCs w:val="18"/>
                  </w:rPr>
                  <w:t>9,022,141,079.99</w:t>
                </w:r>
              </w:p>
            </w:tc>
            <w:tc>
              <w:tcPr>
                <w:tcW w:w="1836" w:type="dxa"/>
                <w:vAlign w:val="center"/>
              </w:tcPr>
              <w:p w:rsidR="00DE031E" w:rsidRPr="00B9094D" w:rsidRDefault="001C1A59" w:rsidP="00DE031E">
                <w:pPr>
                  <w:jc w:val="right"/>
                  <w:rPr>
                    <w:sz w:val="18"/>
                    <w:szCs w:val="18"/>
                  </w:rPr>
                </w:pPr>
                <w:r w:rsidRPr="00B9094D">
                  <w:rPr>
                    <w:sz w:val="18"/>
                    <w:szCs w:val="18"/>
                  </w:rPr>
                  <w:t>1,643,367,349.69</w:t>
                </w:r>
              </w:p>
            </w:tc>
            <w:tc>
              <w:tcPr>
                <w:tcW w:w="1836" w:type="dxa"/>
                <w:vAlign w:val="center"/>
              </w:tcPr>
              <w:p w:rsidR="00DE031E" w:rsidRPr="00B9094D" w:rsidRDefault="001C1A59" w:rsidP="00DE031E">
                <w:pPr>
                  <w:jc w:val="right"/>
                  <w:rPr>
                    <w:sz w:val="18"/>
                    <w:szCs w:val="18"/>
                  </w:rPr>
                </w:pPr>
                <w:r w:rsidRPr="00B9094D">
                  <w:rPr>
                    <w:sz w:val="18"/>
                    <w:szCs w:val="18"/>
                  </w:rPr>
                  <w:t>108,482,878,615.56</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五、负债总额</w:t>
                </w:r>
              </w:p>
            </w:tc>
            <w:tc>
              <w:tcPr>
                <w:tcW w:w="1836" w:type="dxa"/>
                <w:vAlign w:val="center"/>
              </w:tcPr>
              <w:p w:rsidR="00DE031E" w:rsidRPr="00B9094D" w:rsidRDefault="001C1A59" w:rsidP="00DE031E">
                <w:pPr>
                  <w:jc w:val="right"/>
                  <w:rPr>
                    <w:sz w:val="18"/>
                    <w:szCs w:val="18"/>
                  </w:rPr>
                </w:pPr>
                <w:r w:rsidRPr="00B9094D">
                  <w:rPr>
                    <w:sz w:val="18"/>
                    <w:szCs w:val="18"/>
                  </w:rPr>
                  <w:t>47,163,411,673.74</w:t>
                </w:r>
              </w:p>
            </w:tc>
            <w:tc>
              <w:tcPr>
                <w:tcW w:w="1742" w:type="dxa"/>
                <w:vAlign w:val="center"/>
              </w:tcPr>
              <w:p w:rsidR="00DE031E" w:rsidRPr="00B9094D" w:rsidRDefault="001C1A59" w:rsidP="00DE031E">
                <w:pPr>
                  <w:jc w:val="right"/>
                  <w:rPr>
                    <w:sz w:val="18"/>
                    <w:szCs w:val="18"/>
                  </w:rPr>
                </w:pPr>
                <w:r w:rsidRPr="00B9094D">
                  <w:rPr>
                    <w:sz w:val="18"/>
                    <w:szCs w:val="18"/>
                  </w:rPr>
                  <w:t>3,398,488,614.75</w:t>
                </w:r>
              </w:p>
            </w:tc>
            <w:tc>
              <w:tcPr>
                <w:tcW w:w="1758" w:type="dxa"/>
                <w:vAlign w:val="center"/>
              </w:tcPr>
              <w:p w:rsidR="00DE031E" w:rsidRPr="00B9094D" w:rsidRDefault="001C1A59" w:rsidP="00DE031E">
                <w:pPr>
                  <w:jc w:val="right"/>
                  <w:rPr>
                    <w:sz w:val="18"/>
                    <w:szCs w:val="18"/>
                  </w:rPr>
                </w:pPr>
                <w:r w:rsidRPr="00B9094D">
                  <w:rPr>
                    <w:sz w:val="18"/>
                    <w:szCs w:val="18"/>
                  </w:rPr>
                  <w:t>6,110,030,654.11</w:t>
                </w:r>
              </w:p>
            </w:tc>
            <w:tc>
              <w:tcPr>
                <w:tcW w:w="1759" w:type="dxa"/>
                <w:vAlign w:val="center"/>
              </w:tcPr>
              <w:p w:rsidR="00DE031E" w:rsidRPr="00B9094D" w:rsidRDefault="001C1A59" w:rsidP="00DE031E">
                <w:pPr>
                  <w:jc w:val="right"/>
                  <w:rPr>
                    <w:sz w:val="18"/>
                    <w:szCs w:val="18"/>
                  </w:rPr>
                </w:pPr>
                <w:r w:rsidRPr="00B9094D">
                  <w:rPr>
                    <w:sz w:val="18"/>
                    <w:szCs w:val="18"/>
                  </w:rPr>
                  <w:t>6,191,687,681.87</w:t>
                </w:r>
              </w:p>
            </w:tc>
            <w:tc>
              <w:tcPr>
                <w:tcW w:w="1759" w:type="dxa"/>
                <w:vAlign w:val="center"/>
              </w:tcPr>
              <w:p w:rsidR="00DE031E" w:rsidRPr="00B9094D" w:rsidRDefault="001C1A59" w:rsidP="00DE031E">
                <w:pPr>
                  <w:jc w:val="right"/>
                  <w:rPr>
                    <w:sz w:val="18"/>
                    <w:szCs w:val="18"/>
                  </w:rPr>
                </w:pPr>
                <w:r w:rsidRPr="00B9094D">
                  <w:rPr>
                    <w:sz w:val="18"/>
                    <w:szCs w:val="18"/>
                  </w:rPr>
                  <w:t>7,344,483,817.45</w:t>
                </w:r>
              </w:p>
            </w:tc>
            <w:tc>
              <w:tcPr>
                <w:tcW w:w="1836" w:type="dxa"/>
                <w:vAlign w:val="center"/>
              </w:tcPr>
              <w:p w:rsidR="00DE031E" w:rsidRPr="00B9094D" w:rsidRDefault="001C1A59" w:rsidP="00DE031E">
                <w:pPr>
                  <w:jc w:val="right"/>
                  <w:rPr>
                    <w:sz w:val="18"/>
                    <w:szCs w:val="18"/>
                  </w:rPr>
                </w:pPr>
                <w:r w:rsidRPr="00B9094D">
                  <w:rPr>
                    <w:sz w:val="18"/>
                    <w:szCs w:val="18"/>
                  </w:rPr>
                  <w:t>1,643,367,349.69</w:t>
                </w:r>
              </w:p>
            </w:tc>
            <w:tc>
              <w:tcPr>
                <w:tcW w:w="1836" w:type="dxa"/>
                <w:vAlign w:val="center"/>
              </w:tcPr>
              <w:p w:rsidR="00DE031E" w:rsidRPr="00B9094D" w:rsidRDefault="001C1A59" w:rsidP="00DE031E">
                <w:pPr>
                  <w:jc w:val="right"/>
                  <w:rPr>
                    <w:sz w:val="18"/>
                    <w:szCs w:val="18"/>
                  </w:rPr>
                </w:pPr>
                <w:r w:rsidRPr="00B9094D">
                  <w:rPr>
                    <w:sz w:val="18"/>
                    <w:szCs w:val="18"/>
                  </w:rPr>
                  <w:t>68,564,735,092.23</w:t>
                </w:r>
              </w:p>
            </w:tc>
          </w:tr>
          <w:tr w:rsidR="00DE031E" w:rsidRPr="00B9094D" w:rsidTr="00DE031E">
            <w:trPr>
              <w:jc w:val="center"/>
            </w:trPr>
            <w:tc>
              <w:tcPr>
                <w:tcW w:w="2251" w:type="dxa"/>
              </w:tcPr>
              <w:p w:rsidR="00DE031E" w:rsidRPr="00B9094D" w:rsidRDefault="001C1A59" w:rsidP="00DE031E">
                <w:pPr>
                  <w:rPr>
                    <w:sz w:val="18"/>
                    <w:szCs w:val="18"/>
                  </w:rPr>
                </w:pPr>
                <w:r w:rsidRPr="00B9094D">
                  <w:rPr>
                    <w:rFonts w:hint="eastAsia"/>
                    <w:sz w:val="18"/>
                    <w:szCs w:val="18"/>
                  </w:rPr>
                  <w:t>六、补充信息</w:t>
                </w:r>
              </w:p>
            </w:tc>
            <w:tc>
              <w:tcPr>
                <w:tcW w:w="1836" w:type="dxa"/>
                <w:vAlign w:val="center"/>
              </w:tcPr>
              <w:p w:rsidR="00DE031E" w:rsidRPr="00B9094D" w:rsidRDefault="00DE031E" w:rsidP="00DE031E">
                <w:pPr>
                  <w:jc w:val="right"/>
                  <w:rPr>
                    <w:sz w:val="18"/>
                    <w:szCs w:val="18"/>
                  </w:rPr>
                </w:pPr>
              </w:p>
            </w:tc>
            <w:tc>
              <w:tcPr>
                <w:tcW w:w="1742" w:type="dxa"/>
                <w:vAlign w:val="center"/>
              </w:tcPr>
              <w:p w:rsidR="00DE031E" w:rsidRPr="00B9094D" w:rsidRDefault="00DE031E" w:rsidP="00DE031E">
                <w:pPr>
                  <w:jc w:val="right"/>
                  <w:rPr>
                    <w:sz w:val="18"/>
                    <w:szCs w:val="18"/>
                  </w:rPr>
                </w:pPr>
              </w:p>
            </w:tc>
            <w:tc>
              <w:tcPr>
                <w:tcW w:w="1758" w:type="dxa"/>
                <w:vAlign w:val="center"/>
              </w:tcPr>
              <w:p w:rsidR="00DE031E" w:rsidRPr="00B9094D" w:rsidRDefault="00DE031E" w:rsidP="00DE031E">
                <w:pPr>
                  <w:jc w:val="right"/>
                  <w:rPr>
                    <w:sz w:val="18"/>
                    <w:szCs w:val="18"/>
                  </w:rPr>
                </w:pPr>
              </w:p>
            </w:tc>
            <w:tc>
              <w:tcPr>
                <w:tcW w:w="1759" w:type="dxa"/>
                <w:vAlign w:val="center"/>
              </w:tcPr>
              <w:p w:rsidR="00DE031E" w:rsidRPr="00B9094D" w:rsidRDefault="00DE031E" w:rsidP="00DE031E">
                <w:pPr>
                  <w:jc w:val="right"/>
                  <w:rPr>
                    <w:sz w:val="18"/>
                    <w:szCs w:val="18"/>
                  </w:rPr>
                </w:pPr>
              </w:p>
            </w:tc>
            <w:tc>
              <w:tcPr>
                <w:tcW w:w="1759" w:type="dxa"/>
                <w:vAlign w:val="center"/>
              </w:tcPr>
              <w:p w:rsidR="00DE031E" w:rsidRPr="00B9094D" w:rsidRDefault="00DE031E" w:rsidP="00DE031E">
                <w:pPr>
                  <w:jc w:val="right"/>
                  <w:rPr>
                    <w:sz w:val="18"/>
                    <w:szCs w:val="18"/>
                  </w:rPr>
                </w:pP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DE031E" w:rsidP="00DE031E">
                <w:pPr>
                  <w:jc w:val="right"/>
                  <w:rPr>
                    <w:sz w:val="18"/>
                    <w:szCs w:val="18"/>
                  </w:rPr>
                </w:pPr>
              </w:p>
            </w:tc>
          </w:tr>
          <w:tr w:rsidR="00DE031E" w:rsidRPr="00B9094D" w:rsidTr="00DE031E">
            <w:trPr>
              <w:jc w:val="center"/>
            </w:trPr>
            <w:tc>
              <w:tcPr>
                <w:tcW w:w="2251" w:type="dxa"/>
              </w:tcPr>
              <w:p w:rsidR="00DE031E" w:rsidRPr="00B9094D" w:rsidRDefault="001C1A59" w:rsidP="00DE031E">
                <w:pPr>
                  <w:rPr>
                    <w:sz w:val="18"/>
                    <w:szCs w:val="18"/>
                  </w:rPr>
                </w:pPr>
                <w:r w:rsidRPr="00B9094D">
                  <w:rPr>
                    <w:sz w:val="18"/>
                    <w:szCs w:val="18"/>
                  </w:rPr>
                  <w:t>1、折旧和摊销费用</w:t>
                </w:r>
              </w:p>
            </w:tc>
            <w:tc>
              <w:tcPr>
                <w:tcW w:w="1836" w:type="dxa"/>
                <w:vAlign w:val="center"/>
              </w:tcPr>
              <w:p w:rsidR="00DE031E" w:rsidRPr="00B9094D" w:rsidRDefault="001C1A59" w:rsidP="00DE031E">
                <w:pPr>
                  <w:jc w:val="right"/>
                  <w:rPr>
                    <w:sz w:val="18"/>
                    <w:szCs w:val="18"/>
                  </w:rPr>
                </w:pPr>
                <w:r w:rsidRPr="00B9094D">
                  <w:rPr>
                    <w:sz w:val="18"/>
                    <w:szCs w:val="18"/>
                  </w:rPr>
                  <w:t>39,094,540.15</w:t>
                </w:r>
              </w:p>
            </w:tc>
            <w:tc>
              <w:tcPr>
                <w:tcW w:w="1742" w:type="dxa"/>
                <w:vAlign w:val="center"/>
              </w:tcPr>
              <w:p w:rsidR="00DE031E" w:rsidRPr="00B9094D" w:rsidRDefault="001C1A59" w:rsidP="00DE031E">
                <w:pPr>
                  <w:jc w:val="right"/>
                  <w:rPr>
                    <w:sz w:val="18"/>
                    <w:szCs w:val="18"/>
                  </w:rPr>
                </w:pPr>
                <w:r w:rsidRPr="00B9094D">
                  <w:rPr>
                    <w:sz w:val="18"/>
                    <w:szCs w:val="18"/>
                  </w:rPr>
                  <w:t>2,729,437.93</w:t>
                </w:r>
              </w:p>
            </w:tc>
            <w:tc>
              <w:tcPr>
                <w:tcW w:w="1758" w:type="dxa"/>
                <w:vAlign w:val="center"/>
              </w:tcPr>
              <w:p w:rsidR="00DE031E" w:rsidRPr="00B9094D" w:rsidRDefault="001C1A59" w:rsidP="00DE031E">
                <w:pPr>
                  <w:jc w:val="right"/>
                  <w:rPr>
                    <w:sz w:val="18"/>
                    <w:szCs w:val="18"/>
                  </w:rPr>
                </w:pPr>
                <w:r w:rsidRPr="00B9094D">
                  <w:rPr>
                    <w:sz w:val="18"/>
                    <w:szCs w:val="18"/>
                  </w:rPr>
                  <w:t>3,449,443.72</w:t>
                </w:r>
              </w:p>
            </w:tc>
            <w:tc>
              <w:tcPr>
                <w:tcW w:w="1759" w:type="dxa"/>
                <w:vAlign w:val="center"/>
              </w:tcPr>
              <w:p w:rsidR="00DE031E" w:rsidRPr="00B9094D" w:rsidRDefault="001C1A59" w:rsidP="00DE031E">
                <w:pPr>
                  <w:jc w:val="right"/>
                  <w:rPr>
                    <w:sz w:val="18"/>
                    <w:szCs w:val="18"/>
                  </w:rPr>
                </w:pPr>
                <w:r w:rsidRPr="00B9094D">
                  <w:rPr>
                    <w:sz w:val="18"/>
                    <w:szCs w:val="18"/>
                  </w:rPr>
                  <w:t>5,945,259.62</w:t>
                </w:r>
              </w:p>
            </w:tc>
            <w:tc>
              <w:tcPr>
                <w:tcW w:w="1759" w:type="dxa"/>
                <w:vAlign w:val="center"/>
              </w:tcPr>
              <w:p w:rsidR="00DE031E" w:rsidRPr="00B9094D" w:rsidRDefault="001C1A59" w:rsidP="00DE031E">
                <w:pPr>
                  <w:jc w:val="right"/>
                  <w:rPr>
                    <w:sz w:val="18"/>
                    <w:szCs w:val="18"/>
                  </w:rPr>
                </w:pPr>
                <w:r w:rsidRPr="00B9094D">
                  <w:rPr>
                    <w:sz w:val="18"/>
                    <w:szCs w:val="18"/>
                  </w:rPr>
                  <w:t>16,996,012.43</w:t>
                </w: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1C1A59" w:rsidP="00DE031E">
                <w:pPr>
                  <w:jc w:val="right"/>
                  <w:rPr>
                    <w:sz w:val="18"/>
                    <w:szCs w:val="18"/>
                  </w:rPr>
                </w:pPr>
                <w:r w:rsidRPr="00B9094D">
                  <w:rPr>
                    <w:sz w:val="18"/>
                    <w:szCs w:val="18"/>
                  </w:rPr>
                  <w:t>68,214,693.85</w:t>
                </w:r>
              </w:p>
            </w:tc>
          </w:tr>
          <w:tr w:rsidR="00DE031E" w:rsidRPr="00B9094D" w:rsidTr="00DE031E">
            <w:trPr>
              <w:jc w:val="center"/>
            </w:trPr>
            <w:tc>
              <w:tcPr>
                <w:tcW w:w="2251" w:type="dxa"/>
              </w:tcPr>
              <w:p w:rsidR="00DE031E" w:rsidRPr="00B9094D" w:rsidRDefault="001C1A59" w:rsidP="00DE031E">
                <w:pPr>
                  <w:rPr>
                    <w:sz w:val="18"/>
                    <w:szCs w:val="18"/>
                  </w:rPr>
                </w:pPr>
                <w:r w:rsidRPr="00B9094D">
                  <w:rPr>
                    <w:sz w:val="18"/>
                    <w:szCs w:val="18"/>
                  </w:rPr>
                  <w:t>2、资本性支出</w:t>
                </w:r>
              </w:p>
            </w:tc>
            <w:tc>
              <w:tcPr>
                <w:tcW w:w="1836" w:type="dxa"/>
                <w:vAlign w:val="center"/>
              </w:tcPr>
              <w:p w:rsidR="00DE031E" w:rsidRPr="00B9094D" w:rsidRDefault="001C1A59" w:rsidP="00DE031E">
                <w:pPr>
                  <w:jc w:val="right"/>
                  <w:rPr>
                    <w:sz w:val="18"/>
                    <w:szCs w:val="18"/>
                  </w:rPr>
                </w:pPr>
                <w:r w:rsidRPr="00B9094D">
                  <w:rPr>
                    <w:sz w:val="18"/>
                    <w:szCs w:val="18"/>
                  </w:rPr>
                  <w:t>118,010,447.72</w:t>
                </w:r>
              </w:p>
            </w:tc>
            <w:tc>
              <w:tcPr>
                <w:tcW w:w="1742" w:type="dxa"/>
                <w:vAlign w:val="center"/>
              </w:tcPr>
              <w:p w:rsidR="00DE031E" w:rsidRPr="00B9094D" w:rsidRDefault="001C1A59" w:rsidP="00DE031E">
                <w:pPr>
                  <w:jc w:val="right"/>
                  <w:rPr>
                    <w:sz w:val="18"/>
                    <w:szCs w:val="18"/>
                  </w:rPr>
                </w:pPr>
                <w:r w:rsidRPr="00B9094D">
                  <w:rPr>
                    <w:sz w:val="18"/>
                    <w:szCs w:val="18"/>
                  </w:rPr>
                  <w:t>1,960,232.02</w:t>
                </w:r>
              </w:p>
            </w:tc>
            <w:tc>
              <w:tcPr>
                <w:tcW w:w="1758" w:type="dxa"/>
                <w:vAlign w:val="center"/>
              </w:tcPr>
              <w:p w:rsidR="00DE031E" w:rsidRPr="00B9094D" w:rsidRDefault="001C1A59" w:rsidP="00DE031E">
                <w:pPr>
                  <w:jc w:val="right"/>
                  <w:rPr>
                    <w:sz w:val="18"/>
                    <w:szCs w:val="18"/>
                  </w:rPr>
                </w:pPr>
                <w:r w:rsidRPr="00B9094D">
                  <w:rPr>
                    <w:sz w:val="18"/>
                    <w:szCs w:val="18"/>
                  </w:rPr>
                  <w:t>2,483,172.76</w:t>
                </w:r>
              </w:p>
            </w:tc>
            <w:tc>
              <w:tcPr>
                <w:tcW w:w="1759" w:type="dxa"/>
                <w:vAlign w:val="center"/>
              </w:tcPr>
              <w:p w:rsidR="00DE031E" w:rsidRPr="00B9094D" w:rsidRDefault="001C1A59" w:rsidP="00DE031E">
                <w:pPr>
                  <w:jc w:val="right"/>
                  <w:rPr>
                    <w:sz w:val="18"/>
                    <w:szCs w:val="18"/>
                  </w:rPr>
                </w:pPr>
                <w:r w:rsidRPr="00B9094D">
                  <w:rPr>
                    <w:sz w:val="18"/>
                    <w:szCs w:val="18"/>
                  </w:rPr>
                  <w:t>4,468,928.75</w:t>
                </w:r>
              </w:p>
            </w:tc>
            <w:tc>
              <w:tcPr>
                <w:tcW w:w="1759" w:type="dxa"/>
                <w:vAlign w:val="center"/>
              </w:tcPr>
              <w:p w:rsidR="00DE031E" w:rsidRPr="00B9094D" w:rsidRDefault="001C1A59" w:rsidP="00DE031E">
                <w:pPr>
                  <w:jc w:val="right"/>
                  <w:rPr>
                    <w:sz w:val="18"/>
                    <w:szCs w:val="18"/>
                  </w:rPr>
                </w:pPr>
                <w:r w:rsidRPr="00B9094D">
                  <w:rPr>
                    <w:sz w:val="18"/>
                    <w:szCs w:val="18"/>
                  </w:rPr>
                  <w:t>4,546,943.25</w:t>
                </w:r>
              </w:p>
            </w:tc>
            <w:tc>
              <w:tcPr>
                <w:tcW w:w="1836" w:type="dxa"/>
                <w:vAlign w:val="center"/>
              </w:tcPr>
              <w:p w:rsidR="00DE031E" w:rsidRPr="00B9094D" w:rsidRDefault="00DE031E" w:rsidP="00DE031E">
                <w:pPr>
                  <w:jc w:val="right"/>
                  <w:rPr>
                    <w:sz w:val="18"/>
                    <w:szCs w:val="18"/>
                  </w:rPr>
                </w:pPr>
              </w:p>
            </w:tc>
            <w:tc>
              <w:tcPr>
                <w:tcW w:w="1836" w:type="dxa"/>
                <w:vAlign w:val="center"/>
              </w:tcPr>
              <w:p w:rsidR="00DE031E" w:rsidRPr="00B9094D" w:rsidRDefault="001C1A59" w:rsidP="00DE031E">
                <w:pPr>
                  <w:jc w:val="right"/>
                  <w:rPr>
                    <w:sz w:val="18"/>
                    <w:szCs w:val="18"/>
                  </w:rPr>
                </w:pPr>
                <w:r w:rsidRPr="00B9094D">
                  <w:rPr>
                    <w:sz w:val="18"/>
                    <w:szCs w:val="18"/>
                  </w:rPr>
                  <w:t>131,469,724.50</w:t>
                </w:r>
              </w:p>
            </w:tc>
          </w:tr>
        </w:tbl>
        <w:p w:rsidR="00DE031E" w:rsidRDefault="00DE031E"/>
        <w:p w:rsidR="00DE031E" w:rsidRDefault="001C1A59">
          <w:pPr>
            <w:sectPr w:rsidR="00DE031E" w:rsidSect="00DE031E">
              <w:headerReference w:type="default" r:id="rId30"/>
              <w:pgSz w:w="16838" w:h="11906" w:orient="landscape"/>
              <w:pgMar w:top="1276" w:right="1440" w:bottom="1797" w:left="1525" w:header="856" w:footer="992" w:gutter="0"/>
              <w:cols w:space="425"/>
              <w:docGrid w:linePitch="312"/>
            </w:sectPr>
          </w:pPr>
          <w:r>
            <w:br w:type="page"/>
          </w:r>
        </w:p>
      </w:sdtContent>
    </w:sdt>
    <w:sdt>
      <w:sdtPr>
        <w:rPr>
          <w:rFonts w:ascii="宋体" w:hAnsi="宋体" w:cs="宋体" w:hint="eastAsia"/>
          <w:b w:val="0"/>
          <w:bCs w:val="0"/>
          <w:kern w:val="0"/>
          <w:szCs w:val="21"/>
        </w:rPr>
        <w:tag w:val="_GBC_8629ee5238d347de8b0b8175be99f012"/>
        <w:id w:val="24727119"/>
        <w:lock w:val="sdtLocked"/>
        <w:placeholder>
          <w:docPart w:val="GBC22222222222222222222222222222"/>
        </w:placeholder>
      </w:sdtPr>
      <w:sdtContent>
        <w:p w:rsidR="00DE031E" w:rsidRDefault="001C1A59" w:rsidP="009950AC">
          <w:pPr>
            <w:pStyle w:val="3"/>
            <w:numPr>
              <w:ilvl w:val="0"/>
              <w:numId w:val="78"/>
            </w:numPr>
            <w:spacing w:line="360" w:lineRule="auto"/>
          </w:pPr>
          <w:r>
            <w:rPr>
              <w:rFonts w:hint="eastAsia"/>
            </w:rPr>
            <w:t>以公允价值计量的资产和负债</w:t>
          </w:r>
        </w:p>
        <w:sdt>
          <w:sdtPr>
            <w:alias w:val="是否适用：以公允价值计量的资产和负债"/>
            <w:tag w:val="_GBC_cacab7be862645e5a9e1566c6d5abc4e"/>
            <w:id w:val="24727087"/>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pPr>
          <w:r>
            <w:rPr>
              <w:rFonts w:hint="eastAsia"/>
            </w:rPr>
            <w:t xml:space="preserve">单位： </w:t>
          </w:r>
          <w:sdt>
            <w:sdtPr>
              <w:rPr>
                <w:rFonts w:hint="eastAsia"/>
              </w:rPr>
              <w:alias w:val="单位：以公允价值计量的资产和负债"/>
              <w:tag w:val="_GBC_3ad0818b4c0045429cbc9e0df01d0edf"/>
              <w:id w:val="247270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 xml:space="preserve">元 </w:t>
              </w:r>
            </w:sdtContent>
          </w:sdt>
          <w:r>
            <w:rPr>
              <w:rFonts w:hint="eastAsia"/>
            </w:rPr>
            <w:t>币种：人民币</w:t>
          </w:r>
        </w:p>
        <w:tbl>
          <w:tblPr>
            <w:tblW w:w="5640" w:type="pct"/>
            <w:jc w:val="center"/>
            <w:tblInd w:w="-1157" w:type="dxa"/>
            <w:tblBorders>
              <w:top w:val="single" w:sz="4" w:space="0" w:color="auto"/>
              <w:left w:val="single" w:sz="4" w:space="0" w:color="auto"/>
              <w:bottom w:val="single" w:sz="4" w:space="0" w:color="auto"/>
              <w:right w:val="single" w:sz="4" w:space="0" w:color="auto"/>
            </w:tblBorders>
            <w:tblLook w:val="0000"/>
          </w:tblPr>
          <w:tblGrid>
            <w:gridCol w:w="2477"/>
            <w:gridCol w:w="1746"/>
            <w:gridCol w:w="1746"/>
            <w:gridCol w:w="1476"/>
            <w:gridCol w:w="1013"/>
            <w:gridCol w:w="1749"/>
          </w:tblGrid>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项目</w:t>
                </w:r>
              </w:p>
            </w:tc>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期初金额</w:t>
                </w:r>
              </w:p>
            </w:tc>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本期公允价值变动损益</w:t>
                </w:r>
              </w:p>
            </w:tc>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vertAlign w:val="superscript"/>
                  </w:rPr>
                </w:pPr>
                <w:r w:rsidRPr="00FA04E5">
                  <w:rPr>
                    <w:rFonts w:asciiTheme="minorEastAsia" w:eastAsiaTheme="minorEastAsia" w:hAnsiTheme="minorEastAsia" w:hint="eastAsia"/>
                    <w:sz w:val="18"/>
                    <w:szCs w:val="18"/>
                  </w:rPr>
                  <w:t>计入权益的累计公允价值变动</w:t>
                </w:r>
              </w:p>
            </w:tc>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本期计提的减值</w:t>
                </w:r>
              </w:p>
            </w:tc>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期末金额</w:t>
                </w:r>
              </w:p>
            </w:tc>
          </w:tr>
          <w:tr w:rsidR="00DE031E" w:rsidRPr="00FA04E5" w:rsidTr="00DE031E">
            <w:trPr>
              <w:jc w:val="center"/>
            </w:trPr>
            <w:tc>
              <w:tcPr>
                <w:tcW w:w="5000" w:type="pct"/>
                <w:gridSpan w:val="6"/>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金融资产</w:t>
                </w:r>
              </w:p>
            </w:tc>
          </w:tr>
          <w:tr w:rsidR="00DE031E" w:rsidRPr="00FA04E5" w:rsidTr="00DE031E">
            <w:trPr>
              <w:trHeight w:val="751"/>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1、以公允价值计量且其变动计入当期损益的金融资产（不含衍生金融资产）</w:t>
                </w:r>
              </w:p>
            </w:tc>
            <w:sdt>
              <w:sdtPr>
                <w:rPr>
                  <w:rFonts w:asciiTheme="minorEastAsia" w:eastAsiaTheme="minorEastAsia" w:hAnsiTheme="minorEastAsia"/>
                  <w:sz w:val="18"/>
                  <w:szCs w:val="18"/>
                </w:rPr>
                <w:alias w:val="公允价值计量且其变动计入当期损益的金融资产"/>
                <w:tag w:val="_GBC_890b0c335c634c2e97b0bfcac8a5a5b6"/>
                <w:id w:val="24727089"/>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36,121,668,050.87</w:t>
                    </w:r>
                  </w:p>
                </w:tc>
              </w:sdtContent>
            </w:sdt>
            <w:sdt>
              <w:sdtPr>
                <w:rPr>
                  <w:rFonts w:asciiTheme="minorEastAsia" w:eastAsiaTheme="minorEastAsia" w:hAnsiTheme="minorEastAsia"/>
                  <w:sz w:val="18"/>
                  <w:szCs w:val="18"/>
                </w:rPr>
                <w:alias w:val="公允价值计量且其变动计入当期损益的金融资产当期变动损益"/>
                <w:tag w:val="_GBC_91351dba88a8445f821718ac70073ae5"/>
                <w:id w:val="24727090"/>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3,822,337,374.93</w:t>
                    </w:r>
                  </w:p>
                </w:tc>
              </w:sdtContent>
            </w:sdt>
            <w:sdt>
              <w:sdtPr>
                <w:rPr>
                  <w:rFonts w:asciiTheme="minorEastAsia" w:eastAsiaTheme="minorEastAsia" w:hAnsiTheme="minorEastAsia"/>
                  <w:sz w:val="18"/>
                  <w:szCs w:val="18"/>
                </w:rPr>
                <w:alias w:val="公允价值计量且其变动计入当期损益的金融资产累计变动损益"/>
                <w:tag w:val="_GBC_0b6411c2fd8643efa73f508cafe514c8"/>
                <w:id w:val="24727091"/>
                <w:lock w:val="sdtLocked"/>
              </w:sdtPr>
              <w:sdtContent>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且其变动计入当期损益的金融资产减值准备（增加额）"/>
                <w:tag w:val="_GBC_412f876996d3425ab4959b6d046c6d01"/>
                <w:id w:val="24727092"/>
                <w:lock w:val="sdtLocked"/>
              </w:sdtPr>
              <w:sdtContent>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且其变动计入当期损益的金融资产"/>
                <w:tag w:val="_GBC_5fdd80fd922b46f489d7b49a98361af6"/>
                <w:id w:val="24727093"/>
                <w:lock w:val="sdtLocked"/>
              </w:sdtPr>
              <w:sdtContent>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55,366,849,496.45</w:t>
                    </w:r>
                  </w:p>
                </w:tc>
              </w:sdtContent>
            </w:sdt>
          </w:tr>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2、衍生金融资产</w:t>
                </w:r>
              </w:p>
            </w:tc>
            <w:sdt>
              <w:sdtPr>
                <w:rPr>
                  <w:rFonts w:asciiTheme="minorEastAsia" w:eastAsiaTheme="minorEastAsia" w:hAnsiTheme="minorEastAsia"/>
                  <w:sz w:val="18"/>
                  <w:szCs w:val="18"/>
                </w:rPr>
                <w:alias w:val="公允价值计量的衍生金融资产"/>
                <w:tag w:val="_GBC_c6e3f2c08b0f43bf9286b71901a9544c"/>
                <w:id w:val="24727094"/>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14,117,459.19</w:t>
                    </w:r>
                  </w:p>
                </w:tc>
              </w:sdtContent>
            </w:sdt>
            <w:sdt>
              <w:sdtPr>
                <w:rPr>
                  <w:rFonts w:asciiTheme="minorEastAsia" w:eastAsiaTheme="minorEastAsia" w:hAnsiTheme="minorEastAsia"/>
                  <w:sz w:val="18"/>
                  <w:szCs w:val="18"/>
                </w:rPr>
                <w:alias w:val="公允价值计量的衍生金融资产当期变动损益"/>
                <w:tag w:val="_GBC_be9ef98459a54685b6c62fdf51531baa"/>
                <w:id w:val="24727095"/>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105,022,403.10</w:t>
                    </w:r>
                  </w:p>
                </w:tc>
              </w:sdtContent>
            </w:sdt>
            <w:sdt>
              <w:sdtPr>
                <w:rPr>
                  <w:rFonts w:asciiTheme="minorEastAsia" w:eastAsiaTheme="minorEastAsia" w:hAnsiTheme="minorEastAsia"/>
                  <w:sz w:val="18"/>
                  <w:szCs w:val="18"/>
                </w:rPr>
                <w:alias w:val="公允价值计量的衍生金融资产累计变动损益"/>
                <w:tag w:val="_GBC_5c115cda7a5342368d9782bcb445e6e3"/>
                <w:id w:val="24727096"/>
                <w:lock w:val="sdtLocked"/>
              </w:sdtPr>
              <w:sdtContent>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的衍生金融资产减值准备（增加额）"/>
                <w:tag w:val="_GBC_ab92c7a69f1d44a18d1af1ac6f06d27c"/>
                <w:id w:val="24727097"/>
                <w:lock w:val="sdtLocked"/>
              </w:sdtPr>
              <w:sdtContent>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的衍生金融资产"/>
                <w:tag w:val="_GBC_7f9df3332fed49f3af61eb06a4a678bd"/>
                <w:id w:val="24727098"/>
                <w:lock w:val="sdtLocked"/>
              </w:sdtPr>
              <w:sdtContent>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932,750,178.48</w:t>
                    </w:r>
                  </w:p>
                </w:tc>
              </w:sdtContent>
            </w:sdt>
          </w:tr>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3、可供出售金融资产</w:t>
                </w:r>
              </w:p>
            </w:tc>
            <w:sdt>
              <w:sdtPr>
                <w:rPr>
                  <w:rFonts w:asciiTheme="minorEastAsia" w:eastAsiaTheme="minorEastAsia" w:hAnsiTheme="minorEastAsia"/>
                  <w:sz w:val="18"/>
                  <w:szCs w:val="18"/>
                </w:rPr>
                <w:alias w:val="公允价值计量的可供出售金融资产"/>
                <w:tag w:val="_GBC_af556b8531134eb2a847a248040f80c8"/>
                <w:id w:val="24727099"/>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14,878,004,663.97</w:t>
                    </w:r>
                  </w:p>
                </w:tc>
              </w:sdtContent>
            </w:sdt>
            <w:sdt>
              <w:sdtPr>
                <w:rPr>
                  <w:rFonts w:asciiTheme="minorEastAsia" w:eastAsiaTheme="minorEastAsia" w:hAnsiTheme="minorEastAsia"/>
                  <w:sz w:val="18"/>
                  <w:szCs w:val="18"/>
                </w:rPr>
                <w:alias w:val="公允价值计量的可供出售金融资产当期变动损益"/>
                <w:tag w:val="_GBC_b07e48dba79f4eceadcd8978ec6ccc48"/>
                <w:id w:val="24727100"/>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的可供出售金融资产累计变动损益"/>
                <w:tag w:val="_GBC_405ac2f26377455aafbde90696a71775"/>
                <w:id w:val="24727101"/>
                <w:lock w:val="sdtLocked"/>
              </w:sdtPr>
              <w:sdtContent>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455,311,837.54</w:t>
                    </w:r>
                  </w:p>
                </w:tc>
              </w:sdtContent>
            </w:sdt>
            <w:sdt>
              <w:sdtPr>
                <w:rPr>
                  <w:rFonts w:asciiTheme="minorEastAsia" w:eastAsiaTheme="minorEastAsia" w:hAnsiTheme="minorEastAsia"/>
                  <w:sz w:val="18"/>
                  <w:szCs w:val="18"/>
                </w:rPr>
                <w:alias w:val="公允价值计量的可供出售金融资产减值准备（增加额）"/>
                <w:tag w:val="_GBC_2f25ef149b13419e807b4dc34b5d55a9"/>
                <w:id w:val="24727102"/>
                <w:lock w:val="sdtLocked"/>
              </w:sdtPr>
              <w:sdtContent>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的可供出售金融资产"/>
                <w:tag w:val="_GBC_3ba09fb0e35942d88a570fe206b80adf"/>
                <w:id w:val="24727103"/>
                <w:lock w:val="sdtLocked"/>
              </w:sdtPr>
              <w:sdtContent>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14,446,051,847.18</w:t>
                    </w:r>
                  </w:p>
                </w:tc>
              </w:sdtContent>
            </w:sdt>
          </w:tr>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金融资产小计</w:t>
                </w:r>
              </w:p>
            </w:tc>
            <w:sdt>
              <w:sdtPr>
                <w:rPr>
                  <w:rFonts w:asciiTheme="minorEastAsia" w:eastAsiaTheme="minorEastAsia" w:hAnsiTheme="minorEastAsia"/>
                  <w:sz w:val="18"/>
                  <w:szCs w:val="18"/>
                </w:rPr>
                <w:alias w:val="公允价值计量的金融资产合计"/>
                <w:tag w:val="_GBC_695894e074874a9d90e1bda685b156b3"/>
                <w:id w:val="24727104"/>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51,013,790,174.03</w:t>
                    </w:r>
                  </w:p>
                </w:tc>
              </w:sdtContent>
            </w:sdt>
            <w:sdt>
              <w:sdtPr>
                <w:rPr>
                  <w:rFonts w:asciiTheme="minorEastAsia" w:eastAsiaTheme="minorEastAsia" w:hAnsiTheme="minorEastAsia"/>
                  <w:sz w:val="18"/>
                  <w:szCs w:val="18"/>
                </w:rPr>
                <w:alias w:val="公允价值计量的金融资产当期变动损益合计"/>
                <w:tag w:val="_GBC_ccae48ac35944346ba6c63d2f7eab223"/>
                <w:id w:val="24727105"/>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3,927,359,778.03</w:t>
                    </w:r>
                  </w:p>
                </w:tc>
              </w:sdtContent>
            </w:sdt>
            <w:sdt>
              <w:sdtPr>
                <w:rPr>
                  <w:rFonts w:asciiTheme="minorEastAsia" w:eastAsiaTheme="minorEastAsia" w:hAnsiTheme="minorEastAsia"/>
                  <w:sz w:val="18"/>
                  <w:szCs w:val="18"/>
                </w:rPr>
                <w:alias w:val="公允价值计量的金融资产累计变动损益合计"/>
                <w:tag w:val="_GBC_4c71e84b839f4d1eb883abf420d6bbb0"/>
                <w:id w:val="24727106"/>
                <w:lock w:val="sdtLocked"/>
              </w:sdtPr>
              <w:sdtContent>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455,311,837.54</w:t>
                    </w:r>
                  </w:p>
                </w:tc>
              </w:sdtContent>
            </w:sdt>
            <w:sdt>
              <w:sdtPr>
                <w:rPr>
                  <w:rFonts w:asciiTheme="minorEastAsia" w:eastAsiaTheme="minorEastAsia" w:hAnsiTheme="minorEastAsia"/>
                  <w:sz w:val="18"/>
                  <w:szCs w:val="18"/>
                </w:rPr>
                <w:alias w:val="公允价值计量的金融资产减值准备合计（增加额）"/>
                <w:tag w:val="_GBC_35bd73c3bd42435e841e2e2e9cc4594e"/>
                <w:id w:val="24727107"/>
                <w:lock w:val="sdtLocked"/>
              </w:sdtPr>
              <w:sdtContent>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0.00</w:t>
                    </w:r>
                  </w:p>
                </w:tc>
              </w:sdtContent>
            </w:sdt>
            <w:sdt>
              <w:sdtPr>
                <w:rPr>
                  <w:rFonts w:asciiTheme="minorEastAsia" w:eastAsiaTheme="minorEastAsia" w:hAnsiTheme="minorEastAsia"/>
                  <w:sz w:val="18"/>
                  <w:szCs w:val="18"/>
                </w:rPr>
                <w:alias w:val="公允价值计量的金融资产合计"/>
                <w:tag w:val="_GBC_f658e2cd1e02461d81c1c44c0e77b9d3"/>
                <w:id w:val="24727108"/>
                <w:lock w:val="sdtLocked"/>
              </w:sdtPr>
              <w:sdtContent>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70,745,651,522.11</w:t>
                    </w:r>
                  </w:p>
                </w:tc>
              </w:sdtContent>
            </w:sdt>
          </w:tr>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上述合计</w:t>
                </w:r>
              </w:p>
            </w:tc>
            <w:tc>
              <w:tcPr>
                <w:tcW w:w="855"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sz w:val="18"/>
                    <w:szCs w:val="18"/>
                  </w:rPr>
                  <w:alias w:val="公允价值计量相关项目合计"/>
                  <w:tag w:val="_GBC_023918b933cc416d9c816377e4de2cdb"/>
                  <w:id w:val="24727109"/>
                  <w:lock w:val="sdtLocked"/>
                </w:sdtPr>
                <w:sdtContent>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51,013,790,174.03</w:t>
                    </w:r>
                  </w:p>
                </w:sdtContent>
              </w:sdt>
            </w:tc>
            <w:sdt>
              <w:sdtPr>
                <w:rPr>
                  <w:rFonts w:asciiTheme="minorEastAsia" w:eastAsiaTheme="minorEastAsia" w:hAnsiTheme="minorEastAsia"/>
                  <w:sz w:val="18"/>
                  <w:szCs w:val="18"/>
                </w:rPr>
                <w:alias w:val="公允价值计量相关项目当期变动损益合计"/>
                <w:tag w:val="_GBC_56b0947be2cd4d8f9fed42b397f9f3ef"/>
                <w:id w:val="24727110"/>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3,927,359,778.03</w:t>
                    </w:r>
                  </w:p>
                </w:tc>
              </w:sdtContent>
            </w:sdt>
            <w:sdt>
              <w:sdtPr>
                <w:rPr>
                  <w:rFonts w:asciiTheme="minorEastAsia" w:eastAsiaTheme="minorEastAsia" w:hAnsiTheme="minorEastAsia"/>
                  <w:sz w:val="18"/>
                  <w:szCs w:val="18"/>
                </w:rPr>
                <w:alias w:val="公允价值计量相关项目累计变动损益合计"/>
                <w:tag w:val="_GBC_2dee1589be8d497faf3172a38ad7351b"/>
                <w:id w:val="24727111"/>
                <w:lock w:val="sdtLocked"/>
              </w:sdtPr>
              <w:sdtContent>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455,311,837.54</w:t>
                    </w:r>
                  </w:p>
                </w:tc>
              </w:sdtContent>
            </w:sdt>
            <w:sdt>
              <w:sdtPr>
                <w:rPr>
                  <w:rFonts w:asciiTheme="minorEastAsia" w:eastAsiaTheme="minorEastAsia" w:hAnsiTheme="minorEastAsia"/>
                  <w:sz w:val="18"/>
                  <w:szCs w:val="18"/>
                </w:rPr>
                <w:alias w:val="公允价值计量相关项目减值准备合计（增加额）"/>
                <w:tag w:val="_GBC_f24d6997f2bb47839f209a1572073c09"/>
                <w:id w:val="24727112"/>
                <w:lock w:val="sdtLocked"/>
              </w:sdtPr>
              <w:sdtContent>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相关项目合计"/>
                <w:tag w:val="_GBC_acda96f4ac5f45c5914a5e5323f0e507"/>
                <w:id w:val="24727113"/>
                <w:lock w:val="sdtLocked"/>
              </w:sdtPr>
              <w:sdtContent>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70,745,651,522.11</w:t>
                    </w:r>
                  </w:p>
                </w:tc>
              </w:sdtContent>
            </w:sdt>
          </w:tr>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以公允价值计量且其变动计入当期损益的金融负债</w:t>
                </w:r>
              </w:p>
            </w:tc>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210,696,936.54</w:t>
                </w:r>
              </w:p>
            </w:tc>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4,528,346.11</w:t>
                </w:r>
              </w:p>
            </w:tc>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230,317,935.19</w:t>
                </w:r>
              </w:p>
            </w:tc>
          </w:tr>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衍生金融负债</w:t>
                </w:r>
              </w:p>
            </w:tc>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1,545,382,740.53</w:t>
                </w:r>
              </w:p>
            </w:tc>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107FF8">
                  <w:rPr>
                    <w:rFonts w:asciiTheme="minorEastAsia" w:eastAsiaTheme="minorEastAsia" w:hAnsiTheme="minorEastAsia"/>
                    <w:sz w:val="18"/>
                    <w:szCs w:val="18"/>
                  </w:rPr>
                  <w:t>-1,326,791,656.31</w:t>
                </w:r>
              </w:p>
            </w:tc>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BB2882">
                  <w:rPr>
                    <w:rFonts w:asciiTheme="minorEastAsia" w:eastAsiaTheme="minorEastAsia" w:hAnsiTheme="minorEastAsia"/>
                    <w:sz w:val="18"/>
                    <w:szCs w:val="18"/>
                  </w:rPr>
                  <w:t>3,738,171,533.96</w:t>
                </w:r>
              </w:p>
            </w:tc>
          </w:tr>
          <w:tr w:rsidR="00DE031E" w:rsidRPr="00FA04E5" w:rsidTr="00DE031E">
            <w:trPr>
              <w:jc w:val="center"/>
            </w:trPr>
            <w:tc>
              <w:tcPr>
                <w:tcW w:w="1214"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金融负债</w:t>
                </w:r>
              </w:p>
            </w:tc>
            <w:sdt>
              <w:sdtPr>
                <w:rPr>
                  <w:rFonts w:asciiTheme="minorEastAsia" w:eastAsiaTheme="minorEastAsia" w:hAnsiTheme="minorEastAsia"/>
                  <w:sz w:val="18"/>
                  <w:szCs w:val="18"/>
                </w:rPr>
                <w:alias w:val="公允价值计量的金融负债"/>
                <w:tag w:val="_GBC_65a0a08a01564018a2ae171147ec28c9"/>
                <w:id w:val="24727114"/>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1,756,079,677.07</w:t>
                    </w:r>
                  </w:p>
                </w:tc>
              </w:sdtContent>
            </w:sdt>
            <w:sdt>
              <w:sdtPr>
                <w:rPr>
                  <w:rFonts w:asciiTheme="minorEastAsia" w:eastAsiaTheme="minorEastAsia" w:hAnsiTheme="minorEastAsia"/>
                  <w:sz w:val="18"/>
                  <w:szCs w:val="18"/>
                </w:rPr>
                <w:alias w:val="公允价值计量的金融负债当期变动损益"/>
                <w:tag w:val="_GBC_93728141895642dbaac81400a26285a5"/>
                <w:id w:val="24727115"/>
                <w:lock w:val="sdtLocked"/>
              </w:sdtPr>
              <w:sdtContent>
                <w:tc>
                  <w:tcPr>
                    <w:tcW w:w="855"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-1,322,263,310.20</w:t>
                    </w:r>
                  </w:p>
                </w:tc>
              </w:sdtContent>
            </w:sdt>
            <w:sdt>
              <w:sdtPr>
                <w:rPr>
                  <w:rFonts w:asciiTheme="minorEastAsia" w:eastAsiaTheme="minorEastAsia" w:hAnsiTheme="minorEastAsia"/>
                  <w:sz w:val="18"/>
                  <w:szCs w:val="18"/>
                </w:rPr>
                <w:alias w:val="公允价值计量的金融负债累计变动损益"/>
                <w:tag w:val="_GBC_9a3f84cc5d004229a7430bbc1e79338e"/>
                <w:id w:val="24727116"/>
                <w:lock w:val="sdtLocked"/>
              </w:sdtPr>
              <w:sdtContent>
                <w:tc>
                  <w:tcPr>
                    <w:tcW w:w="72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的金融负债减值准备（增加额）"/>
                <w:tag w:val="_GBC_0e91698f7c73439b88131c160ae3e81c"/>
                <w:id w:val="24727117"/>
                <w:lock w:val="sdtLocked"/>
              </w:sdtPr>
              <w:sdtContent>
                <w:tc>
                  <w:tcPr>
                    <w:tcW w:w="49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公允价值计量的金融负债"/>
                <w:tag w:val="_GBC_bbc1cbe925684565af1951cf72c04f2d"/>
                <w:id w:val="24727118"/>
                <w:lock w:val="sdtLocked"/>
              </w:sdtPr>
              <w:sdtContent>
                <w:tc>
                  <w:tcPr>
                    <w:tcW w:w="85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3,968,489,469.15</w:t>
                    </w:r>
                  </w:p>
                </w:tc>
              </w:sdtContent>
            </w:sdt>
          </w:tr>
        </w:tbl>
        <w:p w:rsidR="00DE031E" w:rsidRPr="00187BC5" w:rsidRDefault="001C1A59" w:rsidP="003A0284">
          <w:pPr>
            <w:spacing w:beforeLines="50" w:line="360" w:lineRule="auto"/>
          </w:pPr>
          <w:r>
            <w:rPr>
              <w:rFonts w:hint="eastAsia"/>
            </w:rPr>
            <w:t>注：</w:t>
          </w:r>
          <w:r w:rsidRPr="00437FB4">
            <w:rPr>
              <w:rFonts w:ascii="Arial" w:hAnsi="Arial" w:cs="Arial"/>
              <w:sz w:val="22"/>
              <w:szCs w:val="22"/>
            </w:rPr>
            <w:t>衍生金融负债</w:t>
          </w:r>
          <w:r w:rsidRPr="00437FB4">
            <w:rPr>
              <w:rFonts w:ascii="Arial" w:hAnsi="Arial" w:cs="Arial"/>
              <w:sz w:val="22"/>
              <w:szCs w:val="22"/>
            </w:rPr>
            <w:t>/</w:t>
          </w:r>
          <w:r w:rsidRPr="00437FB4">
            <w:rPr>
              <w:rFonts w:ascii="Arial" w:hAnsi="Arial" w:cs="Arial"/>
              <w:sz w:val="22"/>
              <w:szCs w:val="22"/>
            </w:rPr>
            <w:t>资产所列示金额为与</w:t>
          </w:r>
          <w:r w:rsidRPr="00437FB4">
            <w:rPr>
              <w:rFonts w:ascii="Arial" w:hAnsi="Arial" w:cs="Arial"/>
              <w:sz w:val="22"/>
              <w:szCs w:val="22"/>
            </w:rPr>
            <w:t>“</w:t>
          </w:r>
          <w:r w:rsidRPr="00437FB4">
            <w:rPr>
              <w:rFonts w:ascii="Arial" w:hAnsi="Arial" w:cs="Arial"/>
              <w:sz w:val="22"/>
              <w:szCs w:val="22"/>
            </w:rPr>
            <w:t>应付</w:t>
          </w:r>
          <w:r w:rsidRPr="00437FB4">
            <w:rPr>
              <w:rFonts w:ascii="Arial" w:hAnsi="Arial" w:cs="Arial"/>
              <w:sz w:val="22"/>
              <w:szCs w:val="22"/>
            </w:rPr>
            <w:t>/</w:t>
          </w:r>
          <w:r w:rsidRPr="00437FB4">
            <w:rPr>
              <w:rFonts w:ascii="Arial" w:hAnsi="Arial" w:cs="Arial"/>
              <w:sz w:val="22"/>
              <w:szCs w:val="22"/>
            </w:rPr>
            <w:t>应收款项</w:t>
          </w:r>
          <w:r w:rsidRPr="00437FB4">
            <w:rPr>
              <w:rFonts w:ascii="Arial" w:hAnsi="Arial" w:cs="Arial"/>
              <w:sz w:val="22"/>
              <w:szCs w:val="22"/>
            </w:rPr>
            <w:t>——</w:t>
          </w:r>
          <w:r w:rsidRPr="00437FB4">
            <w:rPr>
              <w:rFonts w:ascii="Arial" w:hAnsi="Arial" w:cs="Arial"/>
              <w:sz w:val="22"/>
              <w:szCs w:val="22"/>
            </w:rPr>
            <w:t>股指期货每日无负债结算暂收暂付款</w:t>
          </w:r>
          <w:r w:rsidRPr="00437FB4">
            <w:rPr>
              <w:rFonts w:ascii="Arial" w:hAnsi="Arial" w:cs="Arial"/>
              <w:sz w:val="22"/>
              <w:szCs w:val="22"/>
            </w:rPr>
            <w:t>”</w:t>
          </w:r>
          <w:r w:rsidRPr="00437FB4">
            <w:rPr>
              <w:rFonts w:ascii="Arial" w:hAnsi="Arial" w:cs="Arial"/>
              <w:sz w:val="22"/>
              <w:szCs w:val="22"/>
            </w:rPr>
            <w:t>抵销前的金额。</w:t>
          </w:r>
        </w:p>
      </w:sdtContent>
    </w:sdt>
    <w:sdt>
      <w:sdtPr>
        <w:rPr>
          <w:rFonts w:ascii="宋体" w:hAnsi="宋体" w:cs="宋体" w:hint="eastAsia"/>
          <w:b w:val="0"/>
          <w:bCs w:val="0"/>
          <w:kern w:val="0"/>
          <w:szCs w:val="21"/>
        </w:rPr>
        <w:tag w:val="_GBC_3e05c6db2a704daa8cc8f0707f13b209"/>
        <w:id w:val="24727157"/>
        <w:lock w:val="sdtLocked"/>
        <w:placeholder>
          <w:docPart w:val="GBC22222222222222222222222222222"/>
        </w:placeholder>
      </w:sdtPr>
      <w:sdtContent>
        <w:p w:rsidR="00DE031E" w:rsidRDefault="001C1A59" w:rsidP="009950AC">
          <w:pPr>
            <w:pStyle w:val="3"/>
            <w:numPr>
              <w:ilvl w:val="0"/>
              <w:numId w:val="78"/>
            </w:numPr>
            <w:spacing w:line="360" w:lineRule="auto"/>
          </w:pPr>
          <w:r>
            <w:rPr>
              <w:rFonts w:hint="eastAsia"/>
            </w:rPr>
            <w:t>外币金融资产和金融负债</w:t>
          </w:r>
        </w:p>
        <w:sdt>
          <w:sdtPr>
            <w:alias w:val="是否适用：外币金融资产和外币金融负债"/>
            <w:tag w:val="_GBC_285e27be6d2c4c2e944d7ad5e9324173"/>
            <w:id w:val="24727120"/>
            <w:lock w:val="sdtContentLocked"/>
            <w:placeholder>
              <w:docPart w:val="GBC22222222222222222222222222222"/>
            </w:placeholder>
          </w:sdtPr>
          <w:sdtContent>
            <w:p w:rsidR="00DE031E" w:rsidRDefault="00422DCA">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DE031E" w:rsidRDefault="001C1A59">
          <w:pPr>
            <w:jc w:val="right"/>
            <w:rPr>
              <w:vertAlign w:val="superscript"/>
            </w:rPr>
          </w:pPr>
          <w:r>
            <w:rPr>
              <w:rFonts w:hint="eastAsia"/>
            </w:rPr>
            <w:t xml:space="preserve">单位： </w:t>
          </w:r>
          <w:sdt>
            <w:sdtPr>
              <w:rPr>
                <w:rFonts w:hint="eastAsia"/>
              </w:rPr>
              <w:alias w:val="单位：外币金融资产和外币金融负债"/>
              <w:tag w:val="_GBC_0ae0baf4650c47829c43f848a33bcee9"/>
              <w:id w:val="247271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 xml:space="preserve">元 </w:t>
              </w:r>
            </w:sdtContent>
          </w:sdt>
          <w:r>
            <w:rPr>
              <w:rFonts w:hint="eastAsia"/>
            </w:rPr>
            <w:t>币种：人民币</w:t>
          </w:r>
        </w:p>
        <w:tbl>
          <w:tblPr>
            <w:tblW w:w="5538" w:type="pct"/>
            <w:jc w:val="center"/>
            <w:tblInd w:w="-972" w:type="dxa"/>
            <w:tblBorders>
              <w:top w:val="single" w:sz="4" w:space="0" w:color="auto"/>
              <w:left w:val="single" w:sz="4" w:space="0" w:color="auto"/>
              <w:bottom w:val="single" w:sz="4" w:space="0" w:color="auto"/>
              <w:right w:val="single" w:sz="4" w:space="0" w:color="auto"/>
            </w:tblBorders>
            <w:tblLook w:val="0000"/>
          </w:tblPr>
          <w:tblGrid>
            <w:gridCol w:w="2784"/>
            <w:gridCol w:w="1656"/>
            <w:gridCol w:w="1476"/>
            <w:gridCol w:w="1481"/>
            <w:gridCol w:w="968"/>
            <w:gridCol w:w="1658"/>
          </w:tblGrid>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项目</w:t>
                </w:r>
              </w:p>
            </w:tc>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期初金额</w:t>
                </w:r>
              </w:p>
            </w:tc>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本期公允价值变动损益</w:t>
                </w:r>
              </w:p>
            </w:tc>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计入权益的累计公允价值变动</w:t>
                </w:r>
              </w:p>
            </w:tc>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本期计提的减值</w:t>
                </w:r>
              </w:p>
            </w:tc>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cente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期末金额</w:t>
                </w:r>
              </w:p>
            </w:tc>
          </w:tr>
          <w:tr w:rsidR="00DE031E" w:rsidRPr="00FA04E5" w:rsidTr="00DE031E">
            <w:trPr>
              <w:jc w:val="center"/>
            </w:trPr>
            <w:tc>
              <w:tcPr>
                <w:tcW w:w="5000" w:type="pct"/>
                <w:gridSpan w:val="6"/>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金融资产</w:t>
                </w:r>
              </w:p>
            </w:tc>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1、以公允价值计量且其变动计入当期损益的金融资产（不含衍生金融资产）</w:t>
                </w:r>
              </w:p>
            </w:tc>
            <w:sdt>
              <w:sdtPr>
                <w:rPr>
                  <w:rFonts w:asciiTheme="minorEastAsia" w:eastAsiaTheme="minorEastAsia" w:hAnsiTheme="minorEastAsia"/>
                  <w:sz w:val="18"/>
                  <w:szCs w:val="18"/>
                </w:rPr>
                <w:alias w:val="持有外币金融资产和金融负债中以公允价值计量且其变动计入当期损益的金融资产"/>
                <w:tag w:val="_GBC_f5037b4a68a5417bab1e5a358354e484"/>
                <w:id w:val="24727122"/>
                <w:lock w:val="sdtLocked"/>
              </w:sdtPr>
              <w:sdtContent>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2,322,796,471.36</w:t>
                    </w:r>
                  </w:p>
                </w:tc>
              </w:sdtContent>
            </w:sdt>
            <w:sdt>
              <w:sdtPr>
                <w:rPr>
                  <w:rFonts w:asciiTheme="minorEastAsia" w:eastAsiaTheme="minorEastAsia" w:hAnsiTheme="minorEastAsia"/>
                  <w:sz w:val="18"/>
                  <w:szCs w:val="18"/>
                </w:rPr>
                <w:alias w:val="持有外币金融资产和金融负债中以公允价值计量且其变动计入当期损益的金融资产当期变动损益"/>
                <w:tag w:val="_GBC_b0d1e6370eaa4f198a8c0af796115e77"/>
                <w:id w:val="24727123"/>
                <w:lock w:val="sdtLocked"/>
              </w:sdtPr>
              <w:sdtContent>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113,050,032.42</w:t>
                    </w:r>
                  </w:p>
                </w:tc>
              </w:sdtContent>
            </w:sdt>
            <w:sdt>
              <w:sdtPr>
                <w:rPr>
                  <w:rFonts w:asciiTheme="minorEastAsia" w:eastAsiaTheme="minorEastAsia" w:hAnsiTheme="minorEastAsia"/>
                  <w:sz w:val="18"/>
                  <w:szCs w:val="18"/>
                </w:rPr>
                <w:alias w:val="持有外币金融资产和金融负债中以公允价值计量且其变动计入当期损益的金融资产累计变动损益"/>
                <w:tag w:val="_GBC_1b00e6bbc0b745a581d66c17b9d6431e"/>
                <w:id w:val="24727124"/>
                <w:lock w:val="sdtLocked"/>
              </w:sdtPr>
              <w:sdtContent>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以公允价值计量且其变动计入当期损益的金融资产减值准备（增加额）"/>
                <w:tag w:val="_GBC_05548862e864416fad89807bc16f90da"/>
                <w:id w:val="24727125"/>
                <w:lock w:val="sdtLocked"/>
              </w:sdtPr>
              <w:sdtContent>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以公允价值计量且其变动计入当期损益的金融资产"/>
                <w:tag w:val="_GBC_17912cd1beec4b4e80c27b7b9b9c64ca"/>
                <w:id w:val="24727126"/>
                <w:lock w:val="sdtLocked"/>
              </w:sdtPr>
              <w:sdtContent>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2,740,499,030.94</w:t>
                    </w:r>
                  </w:p>
                </w:tc>
              </w:sdtContent>
            </w:sdt>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2、衍生金融资产</w:t>
                </w:r>
              </w:p>
            </w:tc>
            <w:sdt>
              <w:sdtPr>
                <w:rPr>
                  <w:rFonts w:asciiTheme="minorEastAsia" w:eastAsiaTheme="minorEastAsia" w:hAnsiTheme="minorEastAsia"/>
                  <w:sz w:val="18"/>
                  <w:szCs w:val="18"/>
                </w:rPr>
                <w:alias w:val="持有外币金融资产和金融负债中衍生金融资产"/>
                <w:tag w:val="_GBC_d8c11415a2354562b03f8f53e4170934"/>
                <w:id w:val="24727127"/>
                <w:lock w:val="sdtLocked"/>
              </w:sdtPr>
              <w:sdtContent>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7,154,939.54</w:t>
                    </w:r>
                  </w:p>
                </w:tc>
              </w:sdtContent>
            </w:sdt>
            <w:sdt>
              <w:sdtPr>
                <w:rPr>
                  <w:rFonts w:asciiTheme="minorEastAsia" w:eastAsiaTheme="minorEastAsia" w:hAnsiTheme="minorEastAsia"/>
                  <w:sz w:val="18"/>
                  <w:szCs w:val="18"/>
                </w:rPr>
                <w:alias w:val="持有外币金融资产和金融负债中衍生金融资产当期变动损益"/>
                <w:tag w:val="_GBC_3f1e0bcf5cbf46719da0bf4237aa0c86"/>
                <w:id w:val="24727128"/>
                <w:lock w:val="sdtLocked"/>
              </w:sdtPr>
              <w:sdtContent>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39,306,376.65</w:t>
                    </w:r>
                  </w:p>
                </w:tc>
              </w:sdtContent>
            </w:sdt>
            <w:sdt>
              <w:sdtPr>
                <w:rPr>
                  <w:rFonts w:asciiTheme="minorEastAsia" w:eastAsiaTheme="minorEastAsia" w:hAnsiTheme="minorEastAsia"/>
                  <w:sz w:val="18"/>
                  <w:szCs w:val="18"/>
                </w:rPr>
                <w:alias w:val="持有外币金融资产和金融负债中衍生金融资产累计变动损益"/>
                <w:tag w:val="_GBC_cea865b5862a42eea0079cbffb565257"/>
                <w:id w:val="24727129"/>
                <w:lock w:val="sdtLocked"/>
              </w:sdtPr>
              <w:sdtContent>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衍生金融资产减值准备（增加额）"/>
                <w:tag w:val="_GBC_e8ca6db5eea348938b094d94616804ec"/>
                <w:id w:val="24727130"/>
                <w:lock w:val="sdtLocked"/>
              </w:sdtPr>
              <w:sdtContent>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衍生金融资产"/>
                <w:tag w:val="_GBC_54a3b02f76ac4a929cffdb78e60e8c85"/>
                <w:id w:val="24727131"/>
                <w:lock w:val="sdtLocked"/>
              </w:sdtPr>
              <w:sdtContent>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43,111,865.95</w:t>
                    </w:r>
                  </w:p>
                </w:tc>
              </w:sdtContent>
            </w:sdt>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3、贷款和应收款</w:t>
                </w:r>
              </w:p>
            </w:tc>
            <w:sdt>
              <w:sdtPr>
                <w:rPr>
                  <w:rFonts w:asciiTheme="minorEastAsia" w:eastAsiaTheme="minorEastAsia" w:hAnsiTheme="minorEastAsia"/>
                  <w:sz w:val="18"/>
                  <w:szCs w:val="18"/>
                </w:rPr>
                <w:alias w:val="持有外币金融资产和金融负债中贷款和应收款项"/>
                <w:tag w:val="_GBC_99202f2ec3304c8695c3c7f86eb16192"/>
                <w:id w:val="24727132"/>
                <w:lock w:val="sdtLocked"/>
              </w:sdtPr>
              <w:sdtContent>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1,840,828,791.00</w:t>
                    </w:r>
                  </w:p>
                </w:tc>
              </w:sdtContent>
            </w:sdt>
            <w:sdt>
              <w:sdtPr>
                <w:rPr>
                  <w:rFonts w:asciiTheme="minorEastAsia" w:eastAsiaTheme="minorEastAsia" w:hAnsiTheme="minorEastAsia"/>
                  <w:sz w:val="18"/>
                  <w:szCs w:val="18"/>
                </w:rPr>
                <w:alias w:val="持有外币金融资产和金融负债中贷款和应收款项当期变动损益"/>
                <w:tag w:val="_GBC_f371f24b31a54d4b9eddfb8f3dda43aa"/>
                <w:id w:val="24727133"/>
                <w:lock w:val="sdtLocked"/>
              </w:sdtPr>
              <w:sdtContent>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贷款和应收款项累计变动损益"/>
                <w:tag w:val="_GBC_8eefe6388ca14f4d96ec32c3e4c21b1e"/>
                <w:id w:val="24727134"/>
                <w:lock w:val="sdtLocked"/>
              </w:sdtPr>
              <w:sdtContent>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贷款和应收款项减值准备（增加额）"/>
                <w:tag w:val="_GBC_87844957cafe4b27a699030d193ecfc8"/>
                <w:id w:val="24727135"/>
                <w:lock w:val="sdtLocked"/>
              </w:sdtPr>
              <w:sdtContent>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贷款和应收款项"/>
                <w:tag w:val="_GBC_40a51c5b52e74099a68c76ea1d9f5181"/>
                <w:id w:val="24727136"/>
                <w:lock w:val="sdtLocked"/>
              </w:sdtPr>
              <w:sdtContent>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3,196,104,680.31</w:t>
                    </w:r>
                  </w:p>
                </w:tc>
              </w:sdtContent>
            </w:sdt>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4、可供出售金融资产</w:t>
                </w:r>
              </w:p>
            </w:tc>
            <w:sdt>
              <w:sdtPr>
                <w:rPr>
                  <w:rFonts w:asciiTheme="minorEastAsia" w:eastAsiaTheme="minorEastAsia" w:hAnsiTheme="minorEastAsia"/>
                  <w:sz w:val="18"/>
                  <w:szCs w:val="18"/>
                </w:rPr>
                <w:alias w:val="持有外币金融资产和金融负债中可供出售金融资产"/>
                <w:tag w:val="_GBC_a0060cb7660949f6a0f056500b9a8f6d"/>
                <w:id w:val="24727137"/>
                <w:lock w:val="sdtLocked"/>
              </w:sdtPr>
              <w:sdtContent>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可供出售金融资产当期变动损益"/>
                <w:tag w:val="_GBC_f59b45e1b29243129cf79b9dddd70d0c"/>
                <w:id w:val="24727138"/>
                <w:lock w:val="sdtLocked"/>
              </w:sdtPr>
              <w:sdtContent>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可供出售金融资产累计变动损益"/>
                <w:tag w:val="_GBC_2c46cb3e755542b5adfc77f815b35de0"/>
                <w:id w:val="24727139"/>
                <w:lock w:val="sdtLocked"/>
              </w:sdtPr>
              <w:sdtContent>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可供出售金融资产减值准备（增加额）"/>
                <w:tag w:val="_GBC_ec2ff50a0d7043e1896743eb296d4673"/>
                <w:id w:val="24727140"/>
                <w:lock w:val="sdtLocked"/>
              </w:sdtPr>
              <w:sdtContent>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可供出售金融资产"/>
                <w:tag w:val="_GBC_4cfccd7841ea464ca2139381415d5cdc"/>
                <w:id w:val="24727141"/>
                <w:lock w:val="sdtLocked"/>
                <w:showingPlcHdr/>
              </w:sdtPr>
              <w:sdtContent>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5、持有至到期投资</w:t>
                </w:r>
              </w:p>
            </w:tc>
            <w:sdt>
              <w:sdtPr>
                <w:rPr>
                  <w:rFonts w:asciiTheme="minorEastAsia" w:eastAsiaTheme="minorEastAsia" w:hAnsiTheme="minorEastAsia"/>
                  <w:sz w:val="18"/>
                  <w:szCs w:val="18"/>
                </w:rPr>
                <w:alias w:val="持有外币金融资产和金融负债中持有至到期投资"/>
                <w:tag w:val="_GBC_4949ef7709e84c6690228183d2d19e50"/>
                <w:id w:val="24727142"/>
                <w:lock w:val="sdtLocked"/>
              </w:sdtPr>
              <w:sdtContent>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持有至到期投资当期变动损益"/>
                <w:tag w:val="_GBC_5f28e7c36cea48af880ca27c4f83e58b"/>
                <w:id w:val="24727143"/>
                <w:lock w:val="sdtLocked"/>
              </w:sdtPr>
              <w:sdtContent>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持有至到期投资累计变动损益"/>
                <w:tag w:val="_GBC_7432a18067614ffda62198597627c3ac"/>
                <w:id w:val="24727144"/>
                <w:lock w:val="sdtLocked"/>
              </w:sdtPr>
              <w:sdtContent>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持有至到期投资减值准备（增加额）"/>
                <w:tag w:val="_GBC_80347d597103429092f813863839d173"/>
                <w:id w:val="24727145"/>
                <w:lock w:val="sdtLocked"/>
              </w:sdtPr>
              <w:sdtContent>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持有至到期投资"/>
                <w:tag w:val="_GBC_d34a3bf5ce014564a3b040325a71015d"/>
                <w:id w:val="24727146"/>
                <w:lock w:val="sdtLocked"/>
                <w:showingPlcHdr/>
              </w:sdtPr>
              <w:sdtContent>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金融资产小计</w:t>
                </w:r>
              </w:p>
            </w:tc>
            <w:sdt>
              <w:sdtPr>
                <w:rPr>
                  <w:rFonts w:asciiTheme="minorEastAsia" w:eastAsiaTheme="minorEastAsia" w:hAnsiTheme="minorEastAsia"/>
                  <w:sz w:val="18"/>
                  <w:szCs w:val="18"/>
                </w:rPr>
                <w:alias w:val="持有外币金融资产和金融负债中金融资产合计"/>
                <w:tag w:val="_GBC_adbc6bf9d92b4c3d9aabe29b21911ad0"/>
                <w:id w:val="24727147"/>
                <w:lock w:val="sdtLocked"/>
              </w:sdtPr>
              <w:sdtContent>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4,170,780,201.90</w:t>
                    </w:r>
                  </w:p>
                </w:tc>
              </w:sdtContent>
            </w:sdt>
            <w:sdt>
              <w:sdtPr>
                <w:rPr>
                  <w:rFonts w:asciiTheme="minorEastAsia" w:eastAsiaTheme="minorEastAsia" w:hAnsiTheme="minorEastAsia"/>
                  <w:sz w:val="18"/>
                  <w:szCs w:val="18"/>
                </w:rPr>
                <w:alias w:val="持有外币金融资产和金融负债中金融资产当期变动损益合计"/>
                <w:tag w:val="_GBC_226bf9f36e8d42ce81e954e69cad8cda"/>
                <w:id w:val="24727148"/>
                <w:lock w:val="sdtLocked"/>
              </w:sdtPr>
              <w:sdtContent>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152,356,409.07</w:t>
                    </w:r>
                  </w:p>
                </w:tc>
              </w:sdtContent>
            </w:sdt>
            <w:sdt>
              <w:sdtPr>
                <w:rPr>
                  <w:rFonts w:asciiTheme="minorEastAsia" w:eastAsiaTheme="minorEastAsia" w:hAnsiTheme="minorEastAsia"/>
                  <w:sz w:val="18"/>
                  <w:szCs w:val="18"/>
                </w:rPr>
                <w:alias w:val="持有外币金融资产和金融负债中金融资产累计变动损益合计"/>
                <w:tag w:val="_GBC_5d0d2a36d1454775a27de32516217af4"/>
                <w:id w:val="24727149"/>
                <w:lock w:val="sdtLocked"/>
              </w:sdtPr>
              <w:sdtContent>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金融资产减值准备合计（增加额）"/>
                <w:tag w:val="_GBC_1d04f7ea9b0442d5896bf979764f3b39"/>
                <w:id w:val="24727150"/>
                <w:lock w:val="sdtLocked"/>
              </w:sdtPr>
              <w:sdtContent>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金融资产合计"/>
                <w:tag w:val="_GBC_21a8087374d3477e850d778288dc5b59"/>
                <w:id w:val="24727151"/>
                <w:lock w:val="sdtLocked"/>
              </w:sdtPr>
              <w:sdtContent>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5,979,715,577.20</w:t>
                    </w:r>
                  </w:p>
                </w:tc>
              </w:sdtContent>
            </w:sdt>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以公允价值计量且其变动计入当期损益的金融负债</w:t>
                </w:r>
              </w:p>
            </w:tc>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110,997,955.85</w:t>
                </w:r>
              </w:p>
            </w:tc>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4,528,346.11</w:t>
                </w:r>
              </w:p>
            </w:tc>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196,496,835.30</w:t>
                </w:r>
              </w:p>
            </w:tc>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衍生金融负债</w:t>
                </w:r>
              </w:p>
            </w:tc>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-3,818,288.68</w:t>
                </w:r>
              </w:p>
            </w:tc>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6E1CCB">
                  <w:rPr>
                    <w:rFonts w:asciiTheme="minorEastAsia" w:eastAsiaTheme="minorEastAsia" w:hAnsiTheme="minorEastAsia"/>
                    <w:sz w:val="18"/>
                    <w:szCs w:val="18"/>
                  </w:rPr>
                  <w:t>2,268,527.56</w:t>
                </w:r>
              </w:p>
            </w:tc>
          </w:tr>
          <w:tr w:rsidR="00DE031E" w:rsidRPr="00FA04E5" w:rsidTr="00DE031E">
            <w:trPr>
              <w:jc w:val="center"/>
            </w:trPr>
            <w:tc>
              <w:tcPr>
                <w:tcW w:w="1389" w:type="pct"/>
                <w:tcBorders>
                  <w:top w:val="outset" w:sz="6" w:space="0" w:color="auto"/>
                  <w:left w:val="outset" w:sz="6" w:space="0" w:color="auto"/>
                  <w:bottom w:val="outset" w:sz="6" w:space="0" w:color="auto"/>
                  <w:right w:val="outset" w:sz="6" w:space="0" w:color="auto"/>
                </w:tcBorders>
              </w:tcPr>
              <w:p w:rsidR="00DE031E" w:rsidRPr="00FA04E5" w:rsidRDefault="001C1A59" w:rsidP="00DE031E">
                <w:pPr>
                  <w:rPr>
                    <w:rFonts w:asciiTheme="minorEastAsia" w:eastAsiaTheme="minorEastAsia" w:hAnsiTheme="minorEastAsia"/>
                    <w:sz w:val="18"/>
                    <w:szCs w:val="18"/>
                  </w:rPr>
                </w:pPr>
                <w:r w:rsidRPr="00FA04E5">
                  <w:rPr>
                    <w:rFonts w:asciiTheme="minorEastAsia" w:eastAsiaTheme="minorEastAsia" w:hAnsiTheme="minorEastAsia" w:hint="eastAsia"/>
                    <w:sz w:val="18"/>
                    <w:szCs w:val="18"/>
                  </w:rPr>
                  <w:t>金融负债</w:t>
                </w:r>
              </w:p>
            </w:tc>
            <w:sdt>
              <w:sdtPr>
                <w:rPr>
                  <w:rFonts w:asciiTheme="minorEastAsia" w:eastAsiaTheme="minorEastAsia" w:hAnsiTheme="minorEastAsia"/>
                  <w:sz w:val="18"/>
                  <w:szCs w:val="18"/>
                </w:rPr>
                <w:alias w:val="持有外币金融资产和金融负债中金融负债"/>
                <w:tag w:val="_GBC_d99950e3ae454607a8093b32c04c0e9a"/>
                <w:id w:val="24727152"/>
                <w:lock w:val="sdtLocked"/>
              </w:sdtPr>
              <w:sdtContent>
                <w:tc>
                  <w:tcPr>
                    <w:tcW w:w="82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110,997,955.85</w:t>
                    </w:r>
                  </w:p>
                </w:tc>
              </w:sdtContent>
            </w:sdt>
            <w:sdt>
              <w:sdtPr>
                <w:rPr>
                  <w:rFonts w:asciiTheme="minorEastAsia" w:eastAsiaTheme="minorEastAsia" w:hAnsiTheme="minorEastAsia"/>
                  <w:sz w:val="18"/>
                  <w:szCs w:val="18"/>
                </w:rPr>
                <w:alias w:val="持有外币金融资产和金融负债中金融负债当期变动损益"/>
                <w:tag w:val="_GBC_25693c7227944b8baa6a6f0a5db30696"/>
                <w:id w:val="24727153"/>
                <w:lock w:val="sdtLocked"/>
              </w:sdtPr>
              <w:sdtContent>
                <w:tc>
                  <w:tcPr>
                    <w:tcW w:w="736"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sidRPr="00FA04E5">
                      <w:rPr>
                        <w:rFonts w:asciiTheme="minorEastAsia" w:eastAsiaTheme="minorEastAsia" w:hAnsiTheme="minorEastAsia"/>
                        <w:sz w:val="18"/>
                        <w:szCs w:val="18"/>
                      </w:rPr>
                      <w:t>710,057.43</w:t>
                    </w:r>
                  </w:p>
                </w:tc>
              </w:sdtContent>
            </w:sdt>
            <w:sdt>
              <w:sdtPr>
                <w:rPr>
                  <w:rFonts w:asciiTheme="minorEastAsia" w:eastAsiaTheme="minorEastAsia" w:hAnsiTheme="minorEastAsia"/>
                  <w:sz w:val="18"/>
                  <w:szCs w:val="18"/>
                </w:rPr>
                <w:alias w:val="持有外币金融资产和金融负债中金融负债累计变动损益"/>
                <w:tag w:val="_GBC_7b65602ec32e4ea69e3ec91f7f3ca7c7"/>
                <w:id w:val="24727154"/>
                <w:lock w:val="sdtLocked"/>
              </w:sdtPr>
              <w:sdtContent>
                <w:tc>
                  <w:tcPr>
                    <w:tcW w:w="739"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金融负债减值准备（增加额）"/>
                <w:tag w:val="_GBC_f31f739e2b704440a99cf397805906c0"/>
                <w:id w:val="24727155"/>
                <w:lock w:val="sdtLocked"/>
              </w:sdtPr>
              <w:sdtContent>
                <w:tc>
                  <w:tcPr>
                    <w:tcW w:w="483" w:type="pct"/>
                    <w:tcBorders>
                      <w:top w:val="outset" w:sz="6" w:space="0" w:color="auto"/>
                      <w:left w:val="outset" w:sz="6" w:space="0" w:color="auto"/>
                      <w:bottom w:val="outset" w:sz="6" w:space="0" w:color="auto"/>
                      <w:right w:val="outset" w:sz="6" w:space="0" w:color="auto"/>
                    </w:tcBorders>
                    <w:vAlign w:val="center"/>
                  </w:tcPr>
                  <w:p w:rsidR="00DE031E" w:rsidRPr="00FA04E5" w:rsidRDefault="00DE031E" w:rsidP="00DE031E">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持有外币金融资产和金融负债中金融负债"/>
                <w:tag w:val="_GBC_9a3a147c96fd465abf022f2a037e655d"/>
                <w:id w:val="24727156"/>
                <w:lock w:val="sdtLocked"/>
              </w:sdtPr>
              <w:sdtContent>
                <w:tc>
                  <w:tcPr>
                    <w:tcW w:w="827" w:type="pct"/>
                    <w:tcBorders>
                      <w:top w:val="outset" w:sz="6" w:space="0" w:color="auto"/>
                      <w:left w:val="outset" w:sz="6" w:space="0" w:color="auto"/>
                      <w:bottom w:val="outset" w:sz="6" w:space="0" w:color="auto"/>
                      <w:right w:val="outset" w:sz="6" w:space="0" w:color="auto"/>
                    </w:tcBorders>
                    <w:vAlign w:val="center"/>
                  </w:tcPr>
                  <w:p w:rsidR="00DE031E" w:rsidRPr="00FA04E5" w:rsidRDefault="001C1A59" w:rsidP="00DE031E">
                    <w:pPr>
                      <w:jc w:val="right"/>
                      <w:rPr>
                        <w:rFonts w:asciiTheme="minorEastAsia" w:eastAsiaTheme="minorEastAsia" w:hAnsiTheme="minorEastAsia"/>
                        <w:sz w:val="18"/>
                        <w:szCs w:val="18"/>
                      </w:rPr>
                    </w:pPr>
                    <w:r>
                      <w:rPr>
                        <w:rFonts w:asciiTheme="minorEastAsia" w:eastAsiaTheme="minorEastAsia" w:hAnsiTheme="minorEastAsia"/>
                        <w:sz w:val="18"/>
                        <w:szCs w:val="18"/>
                      </w:rPr>
                      <w:t>198,765,362.86</w:t>
                    </w:r>
                  </w:p>
                </w:tc>
              </w:sdtContent>
            </w:sdt>
          </w:tr>
        </w:tbl>
        <w:p w:rsidR="00DE031E" w:rsidRPr="00437FB4" w:rsidRDefault="001C1A59" w:rsidP="00DE031E">
          <w:pPr>
            <w:spacing w:line="360" w:lineRule="auto"/>
          </w:pPr>
          <w:r w:rsidRPr="00437FB4">
            <w:t>（1）上述外币金融资产和外币金融负债均为外币折算为人民币金额；</w:t>
          </w:r>
        </w:p>
        <w:p w:rsidR="00DE031E" w:rsidRPr="00187BC5" w:rsidRDefault="001C1A59" w:rsidP="00DE031E">
          <w:pPr>
            <w:spacing w:line="360" w:lineRule="auto"/>
            <w:rPr>
              <w:rFonts w:ascii="Arial" w:hAnsi="Arial" w:cs="Arial"/>
              <w:sz w:val="22"/>
              <w:szCs w:val="22"/>
            </w:rPr>
          </w:pPr>
          <w:r w:rsidRPr="00437FB4">
            <w:rPr>
              <w:rFonts w:ascii="Arial" w:hAnsi="Arial" w:cs="Arial"/>
              <w:sz w:val="22"/>
              <w:szCs w:val="22"/>
            </w:rPr>
            <w:t>（</w:t>
          </w:r>
          <w:r w:rsidRPr="00437FB4">
            <w:rPr>
              <w:rFonts w:ascii="Arial" w:hAnsi="Arial" w:cs="Arial"/>
              <w:sz w:val="22"/>
              <w:szCs w:val="22"/>
            </w:rPr>
            <w:t>2</w:t>
          </w:r>
          <w:r w:rsidRPr="00437FB4">
            <w:rPr>
              <w:rFonts w:ascii="Arial" w:hAnsi="Arial" w:cs="Arial"/>
              <w:sz w:val="22"/>
              <w:szCs w:val="22"/>
            </w:rPr>
            <w:t>）公司持有的外币金融资产和外币金融负债全部系子公司招商证券国际有限公司及其下属子公司持有的金融资产和负债。衍生金融负债</w:t>
          </w:r>
          <w:r w:rsidRPr="00437FB4">
            <w:rPr>
              <w:rFonts w:ascii="Arial" w:hAnsi="Arial" w:cs="Arial"/>
              <w:sz w:val="22"/>
              <w:szCs w:val="22"/>
            </w:rPr>
            <w:t>/</w:t>
          </w:r>
          <w:r w:rsidRPr="00437FB4">
            <w:rPr>
              <w:rFonts w:ascii="Arial" w:hAnsi="Arial" w:cs="Arial"/>
              <w:sz w:val="22"/>
              <w:szCs w:val="22"/>
            </w:rPr>
            <w:t>资产所列示金额为与</w:t>
          </w:r>
          <w:r w:rsidRPr="00437FB4">
            <w:rPr>
              <w:rFonts w:ascii="Arial" w:hAnsi="Arial" w:cs="Arial"/>
              <w:sz w:val="22"/>
              <w:szCs w:val="22"/>
            </w:rPr>
            <w:t>“</w:t>
          </w:r>
          <w:r w:rsidRPr="00437FB4">
            <w:rPr>
              <w:rFonts w:ascii="Arial" w:hAnsi="Arial" w:cs="Arial"/>
              <w:sz w:val="22"/>
              <w:szCs w:val="22"/>
            </w:rPr>
            <w:t>应付</w:t>
          </w:r>
          <w:r w:rsidRPr="00437FB4">
            <w:rPr>
              <w:rFonts w:ascii="Arial" w:hAnsi="Arial" w:cs="Arial"/>
              <w:sz w:val="22"/>
              <w:szCs w:val="22"/>
            </w:rPr>
            <w:t>/</w:t>
          </w:r>
          <w:r w:rsidRPr="00437FB4">
            <w:rPr>
              <w:rFonts w:ascii="Arial" w:hAnsi="Arial" w:cs="Arial"/>
              <w:sz w:val="22"/>
              <w:szCs w:val="22"/>
            </w:rPr>
            <w:t>应收款项</w:t>
          </w:r>
          <w:r w:rsidRPr="00437FB4">
            <w:rPr>
              <w:rFonts w:ascii="Arial" w:hAnsi="Arial" w:cs="Arial"/>
              <w:sz w:val="22"/>
              <w:szCs w:val="22"/>
            </w:rPr>
            <w:t>——</w:t>
          </w:r>
          <w:r w:rsidRPr="00437FB4">
            <w:rPr>
              <w:rFonts w:ascii="Arial" w:hAnsi="Arial" w:cs="Arial"/>
              <w:sz w:val="22"/>
              <w:szCs w:val="22"/>
            </w:rPr>
            <w:t>股指期货每日无负债结算暂收暂付款</w:t>
          </w:r>
          <w:r w:rsidRPr="00437FB4">
            <w:rPr>
              <w:rFonts w:ascii="Arial" w:hAnsi="Arial" w:cs="Arial"/>
              <w:sz w:val="22"/>
              <w:szCs w:val="22"/>
            </w:rPr>
            <w:t>”</w:t>
          </w:r>
          <w:r w:rsidRPr="00437FB4">
            <w:rPr>
              <w:rFonts w:ascii="Arial" w:hAnsi="Arial" w:cs="Arial"/>
              <w:sz w:val="22"/>
              <w:szCs w:val="22"/>
            </w:rPr>
            <w:t>抵销前的金额。</w:t>
          </w:r>
        </w:p>
      </w:sdtContent>
    </w:sdt>
    <w:sdt>
      <w:sdtPr>
        <w:rPr>
          <w:rFonts w:ascii="宋体" w:hAnsi="宋体" w:cs="宋体" w:hint="eastAsia"/>
          <w:b w:val="0"/>
          <w:bCs w:val="0"/>
          <w:kern w:val="0"/>
          <w:szCs w:val="21"/>
        </w:rPr>
        <w:tag w:val="_GBC_567e9ff36bc94e9ebd486bb35a413a43"/>
        <w:id w:val="24727159"/>
        <w:lock w:val="sdtLocked"/>
        <w:placeholder>
          <w:docPart w:val="GBC22222222222222222222222222222"/>
        </w:placeholder>
      </w:sdtPr>
      <w:sdtEndPr>
        <w:rPr>
          <w:szCs w:val="24"/>
        </w:rPr>
      </w:sdtEndPr>
      <w:sdtContent>
        <w:p w:rsidR="00DE031E" w:rsidRDefault="001C1A59" w:rsidP="009950AC">
          <w:pPr>
            <w:pStyle w:val="3"/>
            <w:numPr>
              <w:ilvl w:val="0"/>
              <w:numId w:val="78"/>
            </w:numPr>
            <w:spacing w:line="360" w:lineRule="auto"/>
            <w:rPr>
              <w:szCs w:val="21"/>
            </w:rPr>
          </w:pPr>
          <w:r>
            <w:rPr>
              <w:rFonts w:hint="eastAsia"/>
              <w:szCs w:val="21"/>
            </w:rPr>
            <w:t>其他</w:t>
          </w:r>
        </w:p>
        <w:sdt>
          <w:sdtPr>
            <w:rPr>
              <w:rFonts w:ascii="Calibri" w:hAnsi="Calibri" w:cs="Times New Roman" w:hint="eastAsia"/>
              <w:kern w:val="2"/>
              <w:szCs w:val="21"/>
            </w:rPr>
            <w:alias w:val="其他重要事项的说明"/>
            <w:tag w:val="_GBC_8afd730e0b1749ada3ababe951574050"/>
            <w:id w:val="24727158"/>
            <w:lock w:val="sdtLocked"/>
            <w:placeholder>
              <w:docPart w:val="GBC22222222222222222222222222222"/>
            </w:placeholder>
          </w:sdtPr>
          <w:sdtEndPr>
            <w:rPr>
              <w:rFonts w:ascii="宋体" w:hAnsi="宋体" w:cs="宋体"/>
              <w:kern w:val="0"/>
              <w:szCs w:val="24"/>
            </w:rPr>
          </w:sdtEndPr>
          <w:sdtContent>
            <w:p w:rsidR="00DE031E" w:rsidRDefault="001C1A59" w:rsidP="00DE031E">
              <w:pPr>
                <w:spacing w:line="360" w:lineRule="auto"/>
                <w:rPr>
                  <w:rFonts w:ascii="Arial" w:eastAsiaTheme="majorEastAsia" w:hAnsi="Arial" w:cs="Arial"/>
                  <w:b/>
                  <w:sz w:val="22"/>
                  <w:szCs w:val="22"/>
                </w:rPr>
              </w:pPr>
              <w:r w:rsidRPr="00207BCF">
                <w:rPr>
                  <w:rFonts w:hint="eastAsia"/>
                  <w:b/>
                  <w:szCs w:val="21"/>
                </w:rPr>
                <w:t>(1)</w:t>
              </w:r>
              <w:r>
                <w:rPr>
                  <w:rFonts w:hint="eastAsia"/>
                  <w:b/>
                  <w:szCs w:val="21"/>
                </w:rPr>
                <w:t>.</w:t>
              </w:r>
              <w:r w:rsidRPr="00437FB4">
                <w:rPr>
                  <w:rFonts w:ascii="Arial" w:eastAsiaTheme="majorEastAsia" w:hAnsi="Arial" w:cs="Arial"/>
                  <w:b/>
                  <w:sz w:val="22"/>
                  <w:szCs w:val="22"/>
                </w:rPr>
                <w:t>对外公益性支出</w:t>
              </w:r>
            </w:p>
            <w:p w:rsidR="00A80CD6" w:rsidRPr="00A80CD6" w:rsidRDefault="00A80CD6" w:rsidP="003A0284">
              <w:pPr>
                <w:pStyle w:val="a9"/>
                <w:wordWrap w:val="0"/>
                <w:spacing w:beforeLines="50"/>
                <w:ind w:left="1678" w:firstLineChars="0" w:firstLine="0"/>
                <w:jc w:val="right"/>
              </w:pPr>
              <w:r>
                <w:rPr>
                  <w:rFonts w:hint="eastAsia"/>
                </w:rPr>
                <w:t>单位：元</w:t>
              </w:r>
              <w:r>
                <w:rPr>
                  <w:rFonts w:hint="eastAsia"/>
                </w:rPr>
                <w:t xml:space="preserve">  </w:t>
              </w:r>
              <w:r>
                <w:rPr>
                  <w:rFonts w:hint="eastAsia"/>
                </w:rPr>
                <w:t>币种：人民币</w:t>
              </w:r>
            </w:p>
            <w:tbl>
              <w:tblPr>
                <w:tblW w:w="5000" w:type="pct"/>
                <w:tblLook w:val="04A0"/>
              </w:tblPr>
              <w:tblGrid>
                <w:gridCol w:w="3675"/>
                <w:gridCol w:w="2686"/>
                <w:gridCol w:w="2688"/>
              </w:tblGrid>
              <w:tr w:rsidR="00DE031E" w:rsidRPr="004F6389" w:rsidTr="00DE031E">
                <w:trPr>
                  <w:trHeight w:val="312"/>
                  <w:tblHeader/>
                </w:trPr>
                <w:tc>
                  <w:tcPr>
                    <w:tcW w:w="2031" w:type="pct"/>
                    <w:tcBorders>
                      <w:top w:val="nil"/>
                      <w:left w:val="nil"/>
                      <w:bottom w:val="nil"/>
                      <w:right w:val="nil"/>
                    </w:tcBorders>
                    <w:shd w:val="clear" w:color="auto" w:fill="auto"/>
                    <w:noWrap/>
                    <w:vAlign w:val="center"/>
                    <w:hideMark/>
                  </w:tcPr>
                  <w:p w:rsidR="00DE031E" w:rsidRPr="004F6389" w:rsidRDefault="001C1A59" w:rsidP="00DE031E">
                    <w:pPr>
                      <w:rPr>
                        <w:rFonts w:ascii="Arial" w:hAnsi="Arial" w:cs="Arial"/>
                        <w:b/>
                        <w:bCs/>
                        <w:sz w:val="18"/>
                        <w:szCs w:val="18"/>
                      </w:rPr>
                    </w:pPr>
                    <w:r w:rsidRPr="004F6389">
                      <w:rPr>
                        <w:rFonts w:ascii="Arial" w:hAnsi="Arial" w:cs="Arial" w:hint="eastAsia"/>
                        <w:b/>
                        <w:bCs/>
                        <w:sz w:val="18"/>
                        <w:szCs w:val="18"/>
                      </w:rPr>
                      <w:t>捐赠对象</w:t>
                    </w:r>
                  </w:p>
                </w:tc>
                <w:tc>
                  <w:tcPr>
                    <w:tcW w:w="1484" w:type="pct"/>
                    <w:tcBorders>
                      <w:top w:val="nil"/>
                      <w:left w:val="nil"/>
                      <w:bottom w:val="nil"/>
                      <w:right w:val="nil"/>
                    </w:tcBorders>
                  </w:tcPr>
                  <w:p w:rsidR="00DE031E" w:rsidRDefault="001C1A59" w:rsidP="00DE031E">
                    <w:pPr>
                      <w:jc w:val="right"/>
                      <w:rPr>
                        <w:rFonts w:ascii="Arial" w:hAnsi="Arial" w:cs="Arial"/>
                        <w:b/>
                        <w:bCs/>
                        <w:sz w:val="18"/>
                        <w:szCs w:val="18"/>
                        <w:u w:val="single"/>
                      </w:rPr>
                    </w:pPr>
                    <w:r>
                      <w:rPr>
                        <w:rFonts w:ascii="Arial" w:hAnsi="Arial" w:cs="Arial" w:hint="eastAsia"/>
                        <w:b/>
                        <w:bCs/>
                        <w:sz w:val="18"/>
                        <w:szCs w:val="18"/>
                        <w:u w:val="single"/>
                      </w:rPr>
                      <w:t>2014</w:t>
                    </w:r>
                    <w:r>
                      <w:rPr>
                        <w:rFonts w:ascii="Arial" w:hAnsi="Arial" w:cs="Arial" w:hint="eastAsia"/>
                        <w:b/>
                        <w:bCs/>
                        <w:sz w:val="18"/>
                        <w:szCs w:val="18"/>
                        <w:u w:val="single"/>
                      </w:rPr>
                      <w:t>年</w:t>
                    </w:r>
                    <w:r>
                      <w:rPr>
                        <w:rFonts w:ascii="Arial" w:hAnsi="Arial" w:cs="Arial" w:hint="eastAsia"/>
                        <w:b/>
                        <w:bCs/>
                        <w:sz w:val="18"/>
                        <w:szCs w:val="18"/>
                        <w:u w:val="single"/>
                      </w:rPr>
                      <w:t>1-6</w:t>
                    </w:r>
                    <w:r>
                      <w:rPr>
                        <w:rFonts w:ascii="Arial" w:hAnsi="Arial" w:cs="Arial" w:hint="eastAsia"/>
                        <w:b/>
                        <w:bCs/>
                        <w:sz w:val="18"/>
                        <w:szCs w:val="18"/>
                        <w:u w:val="single"/>
                      </w:rPr>
                      <w:t>月</w:t>
                    </w:r>
                    <w:r w:rsidRPr="004F6389">
                      <w:rPr>
                        <w:rFonts w:ascii="Arial" w:hAnsi="Arial" w:cs="Arial" w:hint="eastAsia"/>
                        <w:b/>
                        <w:bCs/>
                        <w:sz w:val="18"/>
                        <w:szCs w:val="18"/>
                        <w:u w:val="single"/>
                      </w:rPr>
                      <w:t>金额</w:t>
                    </w:r>
                  </w:p>
                </w:tc>
                <w:tc>
                  <w:tcPr>
                    <w:tcW w:w="1485" w:type="pct"/>
                    <w:tcBorders>
                      <w:top w:val="nil"/>
                      <w:left w:val="nil"/>
                      <w:bottom w:val="nil"/>
                      <w:right w:val="nil"/>
                    </w:tcBorders>
                  </w:tcPr>
                  <w:p w:rsidR="00DE031E" w:rsidRDefault="001C1A59" w:rsidP="00DE031E">
                    <w:pPr>
                      <w:jc w:val="right"/>
                      <w:rPr>
                        <w:rFonts w:ascii="Arial" w:hAnsi="Arial" w:cs="Arial"/>
                        <w:b/>
                        <w:bCs/>
                        <w:sz w:val="18"/>
                        <w:szCs w:val="18"/>
                        <w:u w:val="single"/>
                      </w:rPr>
                    </w:pPr>
                    <w:r>
                      <w:rPr>
                        <w:rFonts w:ascii="Arial" w:hAnsi="Arial" w:cs="Arial" w:hint="eastAsia"/>
                        <w:b/>
                        <w:bCs/>
                        <w:sz w:val="18"/>
                        <w:szCs w:val="18"/>
                        <w:u w:val="single"/>
                      </w:rPr>
                      <w:t>2015</w:t>
                    </w:r>
                    <w:r>
                      <w:rPr>
                        <w:rFonts w:ascii="Arial" w:hAnsi="Arial" w:cs="Arial" w:hint="eastAsia"/>
                        <w:b/>
                        <w:bCs/>
                        <w:sz w:val="18"/>
                        <w:szCs w:val="18"/>
                        <w:u w:val="single"/>
                      </w:rPr>
                      <w:t>年</w:t>
                    </w:r>
                    <w:r>
                      <w:rPr>
                        <w:rFonts w:ascii="Arial" w:hAnsi="Arial" w:cs="Arial" w:hint="eastAsia"/>
                        <w:b/>
                        <w:bCs/>
                        <w:sz w:val="18"/>
                        <w:szCs w:val="18"/>
                        <w:u w:val="single"/>
                      </w:rPr>
                      <w:t>1-6</w:t>
                    </w:r>
                    <w:r>
                      <w:rPr>
                        <w:rFonts w:ascii="Arial" w:hAnsi="Arial" w:cs="Arial" w:hint="eastAsia"/>
                        <w:b/>
                        <w:bCs/>
                        <w:sz w:val="18"/>
                        <w:szCs w:val="18"/>
                        <w:u w:val="single"/>
                      </w:rPr>
                      <w:t>月</w:t>
                    </w:r>
                    <w:r w:rsidRPr="004F6389">
                      <w:rPr>
                        <w:rFonts w:ascii="Arial" w:hAnsi="Arial" w:cs="Arial" w:hint="eastAsia"/>
                        <w:b/>
                        <w:bCs/>
                        <w:sz w:val="18"/>
                        <w:szCs w:val="18"/>
                        <w:u w:val="single"/>
                      </w:rPr>
                      <w:t>金额</w:t>
                    </w:r>
                  </w:p>
                </w:tc>
              </w:tr>
              <w:tr w:rsidR="00DE031E" w:rsidRPr="004F6389" w:rsidTr="00DE031E">
                <w:trPr>
                  <w:trHeight w:val="312"/>
                </w:trPr>
                <w:tc>
                  <w:tcPr>
                    <w:tcW w:w="2031" w:type="pct"/>
                    <w:tcBorders>
                      <w:top w:val="nil"/>
                      <w:left w:val="nil"/>
                      <w:bottom w:val="nil"/>
                      <w:right w:val="nil"/>
                    </w:tcBorders>
                    <w:shd w:val="clear" w:color="auto" w:fill="auto"/>
                    <w:noWrap/>
                    <w:vAlign w:val="center"/>
                    <w:hideMark/>
                  </w:tcPr>
                  <w:p w:rsidR="00DE031E" w:rsidRPr="004F6389" w:rsidRDefault="001C1A59" w:rsidP="00DE031E">
                    <w:pPr>
                      <w:rPr>
                        <w:rFonts w:ascii="Arial" w:hAnsi="Arial" w:cs="Arial"/>
                        <w:sz w:val="18"/>
                        <w:szCs w:val="18"/>
                      </w:rPr>
                    </w:pPr>
                    <w:r w:rsidRPr="004F6389">
                      <w:rPr>
                        <w:rFonts w:ascii="Arial" w:hAnsi="Arial" w:cs="Arial" w:hint="eastAsia"/>
                        <w:sz w:val="18"/>
                        <w:szCs w:val="18"/>
                      </w:rPr>
                      <w:lastRenderedPageBreak/>
                      <w:t>其他捐赠</w:t>
                    </w:r>
                  </w:p>
                </w:tc>
                <w:tc>
                  <w:tcPr>
                    <w:tcW w:w="1484" w:type="pct"/>
                    <w:tcBorders>
                      <w:top w:val="nil"/>
                      <w:left w:val="nil"/>
                      <w:bottom w:val="nil"/>
                      <w:right w:val="nil"/>
                    </w:tcBorders>
                    <w:shd w:val="clear" w:color="auto" w:fill="auto"/>
                  </w:tcPr>
                  <w:p w:rsidR="00DE031E" w:rsidRPr="004F6389" w:rsidRDefault="001C1A59" w:rsidP="00DE031E">
                    <w:pPr>
                      <w:jc w:val="right"/>
                      <w:rPr>
                        <w:rFonts w:ascii="Arial" w:hAnsi="Arial" w:cs="Arial"/>
                        <w:bCs/>
                        <w:sz w:val="18"/>
                        <w:szCs w:val="18"/>
                        <w:u w:val="single"/>
                      </w:rPr>
                    </w:pPr>
                    <w:r>
                      <w:rPr>
                        <w:rFonts w:ascii="Arial" w:hAnsi="Arial" w:cs="Arial" w:hint="eastAsia"/>
                        <w:bCs/>
                        <w:sz w:val="18"/>
                        <w:szCs w:val="18"/>
                        <w:u w:val="single"/>
                      </w:rPr>
                      <w:t>4,000.00</w:t>
                    </w:r>
                  </w:p>
                </w:tc>
                <w:tc>
                  <w:tcPr>
                    <w:tcW w:w="1485" w:type="pct"/>
                    <w:tcBorders>
                      <w:top w:val="nil"/>
                      <w:left w:val="nil"/>
                      <w:bottom w:val="nil"/>
                      <w:right w:val="nil"/>
                    </w:tcBorders>
                    <w:shd w:val="clear" w:color="auto" w:fill="auto"/>
                  </w:tcPr>
                  <w:p w:rsidR="00DE031E" w:rsidRPr="004F6389" w:rsidRDefault="001C1A59" w:rsidP="00DE031E">
                    <w:pPr>
                      <w:tabs>
                        <w:tab w:val="left" w:pos="735"/>
                        <w:tab w:val="right" w:pos="2472"/>
                      </w:tabs>
                      <w:ind w:firstLineChars="950" w:firstLine="1710"/>
                      <w:rPr>
                        <w:rFonts w:ascii="Arial" w:hAnsi="Arial" w:cs="Arial"/>
                        <w:bCs/>
                        <w:sz w:val="18"/>
                        <w:szCs w:val="18"/>
                        <w:u w:val="single"/>
                      </w:rPr>
                    </w:pPr>
                    <w:r>
                      <w:rPr>
                        <w:rFonts w:ascii="Arial" w:hAnsi="Arial" w:cs="Arial" w:hint="eastAsia"/>
                        <w:bCs/>
                        <w:sz w:val="18"/>
                        <w:szCs w:val="18"/>
                        <w:u w:val="single"/>
                      </w:rPr>
                      <w:t>8,000.00</w:t>
                    </w:r>
                  </w:p>
                </w:tc>
              </w:tr>
              <w:tr w:rsidR="00DE031E" w:rsidRPr="004F6389" w:rsidTr="00DE031E">
                <w:trPr>
                  <w:trHeight w:val="312"/>
                </w:trPr>
                <w:tc>
                  <w:tcPr>
                    <w:tcW w:w="2031" w:type="pct"/>
                    <w:tcBorders>
                      <w:top w:val="nil"/>
                      <w:left w:val="nil"/>
                      <w:bottom w:val="nil"/>
                      <w:right w:val="nil"/>
                    </w:tcBorders>
                    <w:shd w:val="clear" w:color="auto" w:fill="auto"/>
                    <w:noWrap/>
                    <w:vAlign w:val="center"/>
                    <w:hideMark/>
                  </w:tcPr>
                  <w:p w:rsidR="00DE031E" w:rsidRPr="004F6389" w:rsidRDefault="001C1A59" w:rsidP="00DE031E">
                    <w:pPr>
                      <w:rPr>
                        <w:b/>
                        <w:bCs/>
                        <w:sz w:val="18"/>
                        <w:szCs w:val="18"/>
                      </w:rPr>
                    </w:pPr>
                    <w:r w:rsidRPr="004F6389">
                      <w:rPr>
                        <w:rFonts w:hint="eastAsia"/>
                        <w:b/>
                        <w:bCs/>
                        <w:sz w:val="18"/>
                        <w:szCs w:val="18"/>
                      </w:rPr>
                      <w:t>合计</w:t>
                    </w:r>
                  </w:p>
                </w:tc>
                <w:tc>
                  <w:tcPr>
                    <w:tcW w:w="1484" w:type="pct"/>
                    <w:tcBorders>
                      <w:top w:val="nil"/>
                      <w:left w:val="nil"/>
                      <w:bottom w:val="nil"/>
                      <w:right w:val="nil"/>
                    </w:tcBorders>
                    <w:shd w:val="clear" w:color="auto" w:fill="auto"/>
                  </w:tcPr>
                  <w:p w:rsidR="00DE031E" w:rsidRPr="004F6389" w:rsidRDefault="001C1A59" w:rsidP="00DE031E">
                    <w:pPr>
                      <w:jc w:val="right"/>
                      <w:rPr>
                        <w:rFonts w:ascii="Arial" w:hAnsi="Arial" w:cs="Arial"/>
                        <w:b/>
                        <w:bCs/>
                        <w:sz w:val="18"/>
                        <w:szCs w:val="18"/>
                        <w:u w:val="double"/>
                      </w:rPr>
                    </w:pPr>
                    <w:r>
                      <w:rPr>
                        <w:rFonts w:ascii="Arial" w:hAnsi="Arial" w:cs="Arial" w:hint="eastAsia"/>
                        <w:b/>
                        <w:bCs/>
                        <w:sz w:val="18"/>
                        <w:szCs w:val="18"/>
                        <w:u w:val="double"/>
                      </w:rPr>
                      <w:t>4,000.00</w:t>
                    </w:r>
                  </w:p>
                </w:tc>
                <w:tc>
                  <w:tcPr>
                    <w:tcW w:w="1485" w:type="pct"/>
                    <w:tcBorders>
                      <w:top w:val="nil"/>
                      <w:left w:val="nil"/>
                      <w:bottom w:val="nil"/>
                      <w:right w:val="nil"/>
                    </w:tcBorders>
                    <w:shd w:val="clear" w:color="auto" w:fill="auto"/>
                  </w:tcPr>
                  <w:p w:rsidR="00DE031E" w:rsidRPr="004F6389" w:rsidRDefault="001C1A59" w:rsidP="00DE031E">
                    <w:pPr>
                      <w:jc w:val="right"/>
                      <w:rPr>
                        <w:rFonts w:ascii="Arial" w:hAnsi="Arial" w:cs="Arial"/>
                        <w:b/>
                        <w:bCs/>
                        <w:sz w:val="18"/>
                        <w:szCs w:val="18"/>
                        <w:u w:val="double"/>
                      </w:rPr>
                    </w:pPr>
                    <w:r>
                      <w:rPr>
                        <w:rFonts w:ascii="Arial" w:hAnsi="Arial" w:cs="Arial" w:hint="eastAsia"/>
                        <w:b/>
                        <w:bCs/>
                        <w:sz w:val="18"/>
                        <w:szCs w:val="18"/>
                        <w:u w:val="double"/>
                      </w:rPr>
                      <w:t>8,000.00</w:t>
                    </w:r>
                  </w:p>
                </w:tc>
              </w:tr>
            </w:tbl>
            <w:p w:rsidR="00DE031E" w:rsidRPr="00207BCF" w:rsidRDefault="001C1A59" w:rsidP="00DE031E">
              <w:pPr>
                <w:spacing w:line="360" w:lineRule="auto"/>
                <w:rPr>
                  <w:rFonts w:ascii="Arial" w:eastAsiaTheme="majorEastAsia" w:hAnsi="Arial" w:cs="Arial"/>
                  <w:b/>
                  <w:sz w:val="22"/>
                </w:rPr>
              </w:pPr>
              <w:r>
                <w:rPr>
                  <w:rFonts w:ascii="Arial" w:eastAsiaTheme="majorEastAsia" w:hAnsi="Arial" w:cs="Arial" w:hint="eastAsia"/>
                  <w:b/>
                  <w:sz w:val="22"/>
                </w:rPr>
                <w:t xml:space="preserve">(2). </w:t>
              </w:r>
              <w:r w:rsidRPr="00207BCF">
                <w:rPr>
                  <w:rFonts w:ascii="Arial" w:eastAsiaTheme="majorEastAsia" w:hAnsi="Arial" w:cs="Arial"/>
                  <w:b/>
                  <w:sz w:val="22"/>
                </w:rPr>
                <w:t>债券借贷业务</w:t>
              </w:r>
            </w:p>
            <w:p w:rsidR="00DE031E" w:rsidRPr="00FD2D28" w:rsidRDefault="001C1A59" w:rsidP="00DE031E">
              <w:pPr>
                <w:spacing w:line="360" w:lineRule="auto"/>
              </w:pPr>
              <w:r w:rsidRPr="00FD2D28">
                <w:rPr>
                  <w:rFonts w:hint="eastAsia"/>
                </w:rPr>
                <w:t>公司在</w:t>
              </w:r>
              <w:r>
                <w:rPr>
                  <w:rFonts w:hint="eastAsia"/>
                </w:rPr>
                <w:t>银行间市场借入债券情况：</w:t>
              </w:r>
            </w:p>
            <w:tbl>
              <w:tblPr>
                <w:tblW w:w="5000" w:type="pct"/>
                <w:tblLook w:val="04A0"/>
              </w:tblPr>
              <w:tblGrid>
                <w:gridCol w:w="3849"/>
                <w:gridCol w:w="2617"/>
                <w:gridCol w:w="2583"/>
              </w:tblGrid>
              <w:tr w:rsidR="00DE031E" w:rsidRPr="00437FB4" w:rsidTr="00DE031E">
                <w:trPr>
                  <w:trHeight w:val="312"/>
                </w:trPr>
                <w:tc>
                  <w:tcPr>
                    <w:tcW w:w="2125"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b/>
                        <w:sz w:val="18"/>
                        <w:szCs w:val="18"/>
                      </w:rPr>
                    </w:pPr>
                    <w:r w:rsidRPr="00437FB4">
                      <w:rPr>
                        <w:rFonts w:ascii="Arial" w:hAnsi="Arial" w:cs="Arial"/>
                        <w:b/>
                        <w:sz w:val="18"/>
                        <w:szCs w:val="18"/>
                      </w:rPr>
                      <w:t>项目</w:t>
                    </w:r>
                  </w:p>
                </w:tc>
                <w:tc>
                  <w:tcPr>
                    <w:tcW w:w="1445" w:type="pct"/>
                    <w:tcBorders>
                      <w:top w:val="nil"/>
                      <w:left w:val="nil"/>
                      <w:bottom w:val="nil"/>
                      <w:right w:val="nil"/>
                    </w:tcBorders>
                    <w:shd w:val="clear" w:color="auto" w:fill="auto"/>
                    <w:noWrap/>
                    <w:vAlign w:val="center"/>
                    <w:hideMark/>
                  </w:tcPr>
                  <w:p w:rsidR="00DE031E" w:rsidRPr="00FD2D28" w:rsidRDefault="001C1A59" w:rsidP="00DE031E">
                    <w:pPr>
                      <w:ind w:leftChars="-50" w:left="-105"/>
                      <w:jc w:val="right"/>
                      <w:rPr>
                        <w:rFonts w:ascii="Arial" w:hAnsi="Arial" w:cs="Arial"/>
                        <w:b/>
                        <w:bCs/>
                        <w:spacing w:val="-8"/>
                        <w:sz w:val="18"/>
                        <w:szCs w:val="18"/>
                        <w:u w:val="single"/>
                      </w:rPr>
                    </w:pPr>
                    <w:r w:rsidRPr="00FD2D28">
                      <w:rPr>
                        <w:rFonts w:ascii="Arial" w:hAnsi="Arial" w:cs="Arial" w:hint="eastAsia"/>
                        <w:b/>
                        <w:bCs/>
                        <w:spacing w:val="-8"/>
                        <w:sz w:val="18"/>
                        <w:szCs w:val="18"/>
                        <w:u w:val="single"/>
                      </w:rPr>
                      <w:t>2014</w:t>
                    </w:r>
                    <w:r w:rsidRPr="00FD2D28">
                      <w:rPr>
                        <w:rFonts w:ascii="Arial" w:hAnsi="Arial" w:cs="Arial" w:hint="eastAsia"/>
                        <w:b/>
                        <w:bCs/>
                        <w:spacing w:val="-8"/>
                        <w:sz w:val="18"/>
                        <w:szCs w:val="18"/>
                        <w:u w:val="single"/>
                      </w:rPr>
                      <w:t>年</w:t>
                    </w:r>
                    <w:r w:rsidRPr="00FD2D28">
                      <w:rPr>
                        <w:rFonts w:ascii="Arial" w:hAnsi="Arial" w:cs="Arial" w:hint="eastAsia"/>
                        <w:b/>
                        <w:bCs/>
                        <w:spacing w:val="-8"/>
                        <w:sz w:val="18"/>
                        <w:szCs w:val="18"/>
                        <w:u w:val="single"/>
                      </w:rPr>
                      <w:t>12</w:t>
                    </w:r>
                    <w:r w:rsidRPr="00FD2D28">
                      <w:rPr>
                        <w:rFonts w:ascii="Arial" w:hAnsi="Arial" w:cs="Arial" w:hint="eastAsia"/>
                        <w:b/>
                        <w:bCs/>
                        <w:spacing w:val="-8"/>
                        <w:sz w:val="18"/>
                        <w:szCs w:val="18"/>
                        <w:u w:val="single"/>
                      </w:rPr>
                      <w:t>月</w:t>
                    </w:r>
                    <w:r w:rsidRPr="00FD2D28">
                      <w:rPr>
                        <w:rFonts w:ascii="Arial" w:hAnsi="Arial" w:cs="Arial" w:hint="eastAsia"/>
                        <w:b/>
                        <w:bCs/>
                        <w:spacing w:val="-8"/>
                        <w:sz w:val="18"/>
                        <w:szCs w:val="18"/>
                        <w:u w:val="single"/>
                      </w:rPr>
                      <w:t>31</w:t>
                    </w:r>
                    <w:r w:rsidRPr="00FD2D28">
                      <w:rPr>
                        <w:rFonts w:ascii="Arial" w:hAnsi="Arial" w:cs="Arial" w:hint="eastAsia"/>
                        <w:b/>
                        <w:bCs/>
                        <w:spacing w:val="-8"/>
                        <w:sz w:val="18"/>
                        <w:szCs w:val="18"/>
                        <w:u w:val="single"/>
                      </w:rPr>
                      <w:t>日</w:t>
                    </w:r>
                  </w:p>
                </w:tc>
                <w:tc>
                  <w:tcPr>
                    <w:tcW w:w="1426" w:type="pct"/>
                    <w:tcBorders>
                      <w:top w:val="nil"/>
                      <w:left w:val="nil"/>
                      <w:bottom w:val="nil"/>
                      <w:right w:val="nil"/>
                    </w:tcBorders>
                  </w:tcPr>
                  <w:p w:rsidR="00DE031E" w:rsidRPr="00FD2D28" w:rsidRDefault="001C1A59" w:rsidP="00DE031E">
                    <w:pPr>
                      <w:ind w:leftChars="-50" w:left="-105"/>
                      <w:jc w:val="right"/>
                      <w:rPr>
                        <w:rFonts w:ascii="Arial" w:hAnsi="Arial" w:cs="Arial"/>
                        <w:b/>
                        <w:bCs/>
                        <w:spacing w:val="-8"/>
                        <w:sz w:val="18"/>
                        <w:szCs w:val="18"/>
                        <w:u w:val="single"/>
                      </w:rPr>
                    </w:pPr>
                    <w:r w:rsidRPr="00FD2D28">
                      <w:rPr>
                        <w:rFonts w:ascii="Arial" w:hAnsi="Arial" w:cs="Arial" w:hint="eastAsia"/>
                        <w:b/>
                        <w:bCs/>
                        <w:spacing w:val="-8"/>
                        <w:sz w:val="18"/>
                        <w:szCs w:val="18"/>
                        <w:u w:val="single"/>
                      </w:rPr>
                      <w:t>2015</w:t>
                    </w:r>
                    <w:r w:rsidRPr="00FD2D28">
                      <w:rPr>
                        <w:rFonts w:ascii="Arial" w:hAnsi="Arial" w:cs="Arial" w:hint="eastAsia"/>
                        <w:b/>
                        <w:bCs/>
                        <w:spacing w:val="-8"/>
                        <w:sz w:val="18"/>
                        <w:szCs w:val="18"/>
                        <w:u w:val="single"/>
                      </w:rPr>
                      <w:t>年</w:t>
                    </w:r>
                    <w:r w:rsidRPr="00FD2D28">
                      <w:rPr>
                        <w:rFonts w:ascii="Arial" w:hAnsi="Arial" w:cs="Arial" w:hint="eastAsia"/>
                        <w:b/>
                        <w:bCs/>
                        <w:spacing w:val="-8"/>
                        <w:sz w:val="18"/>
                        <w:szCs w:val="18"/>
                        <w:u w:val="single"/>
                      </w:rPr>
                      <w:t>6</w:t>
                    </w:r>
                    <w:r w:rsidRPr="00FD2D28">
                      <w:rPr>
                        <w:rFonts w:ascii="Arial" w:hAnsi="Arial" w:cs="Arial" w:hint="eastAsia"/>
                        <w:b/>
                        <w:bCs/>
                        <w:spacing w:val="-8"/>
                        <w:sz w:val="18"/>
                        <w:szCs w:val="18"/>
                        <w:u w:val="single"/>
                      </w:rPr>
                      <w:t>月</w:t>
                    </w:r>
                    <w:r w:rsidRPr="00FD2D28">
                      <w:rPr>
                        <w:rFonts w:ascii="Arial" w:hAnsi="Arial" w:cs="Arial" w:hint="eastAsia"/>
                        <w:b/>
                        <w:bCs/>
                        <w:spacing w:val="-8"/>
                        <w:sz w:val="18"/>
                        <w:szCs w:val="18"/>
                        <w:u w:val="single"/>
                      </w:rPr>
                      <w:t>30</w:t>
                    </w:r>
                    <w:r w:rsidRPr="00FD2D28">
                      <w:rPr>
                        <w:rFonts w:ascii="Arial" w:hAnsi="Arial" w:cs="Arial" w:hint="eastAsia"/>
                        <w:b/>
                        <w:bCs/>
                        <w:spacing w:val="-8"/>
                        <w:sz w:val="18"/>
                        <w:szCs w:val="18"/>
                        <w:u w:val="single"/>
                      </w:rPr>
                      <w:t>日</w:t>
                    </w:r>
                  </w:p>
                </w:tc>
              </w:tr>
              <w:tr w:rsidR="00DE031E" w:rsidRPr="00437FB4" w:rsidTr="00DE031E">
                <w:trPr>
                  <w:trHeight w:val="312"/>
                </w:trPr>
                <w:tc>
                  <w:tcPr>
                    <w:tcW w:w="2125" w:type="pct"/>
                    <w:tcBorders>
                      <w:top w:val="nil"/>
                      <w:left w:val="nil"/>
                      <w:bottom w:val="nil"/>
                      <w:right w:val="nil"/>
                    </w:tcBorders>
                    <w:shd w:val="clear" w:color="auto" w:fill="auto"/>
                    <w:noWrap/>
                    <w:vAlign w:val="center"/>
                    <w:hideMark/>
                  </w:tcPr>
                  <w:p w:rsidR="00DE031E" w:rsidRPr="00437FB4" w:rsidRDefault="001C1A59" w:rsidP="00DE031E">
                    <w:pPr>
                      <w:rPr>
                        <w:rFonts w:ascii="Arial" w:hAnsi="Arial" w:cs="Arial"/>
                        <w:sz w:val="18"/>
                        <w:szCs w:val="18"/>
                      </w:rPr>
                    </w:pPr>
                    <w:r>
                      <w:rPr>
                        <w:rFonts w:ascii="Arial" w:hAnsi="Arial" w:cs="Arial" w:hint="eastAsia"/>
                        <w:sz w:val="18"/>
                        <w:szCs w:val="18"/>
                      </w:rPr>
                      <w:t>借入债券金额</w:t>
                    </w:r>
                  </w:p>
                </w:tc>
                <w:tc>
                  <w:tcPr>
                    <w:tcW w:w="1445" w:type="pct"/>
                    <w:tcBorders>
                      <w:top w:val="nil"/>
                      <w:left w:val="nil"/>
                      <w:bottom w:val="nil"/>
                      <w:right w:val="nil"/>
                    </w:tcBorders>
                    <w:shd w:val="clear" w:color="auto" w:fill="auto"/>
                    <w:noWrap/>
                    <w:vAlign w:val="center"/>
                    <w:hideMark/>
                  </w:tcPr>
                  <w:p w:rsidR="00DE031E" w:rsidRPr="00FD2D28" w:rsidRDefault="001C1A59" w:rsidP="00DE031E">
                    <w:pPr>
                      <w:jc w:val="right"/>
                      <w:rPr>
                        <w:rFonts w:ascii="Arial" w:hAnsi="Arial" w:cs="Arial"/>
                        <w:color w:val="000000"/>
                        <w:sz w:val="18"/>
                        <w:szCs w:val="18"/>
                      </w:rPr>
                    </w:pPr>
                    <w:r w:rsidRPr="00FD2D28">
                      <w:rPr>
                        <w:rFonts w:ascii="Arial" w:hAnsi="Arial" w:cs="Arial"/>
                        <w:sz w:val="18"/>
                        <w:szCs w:val="18"/>
                      </w:rPr>
                      <w:t>2,089,693,500.00</w:t>
                    </w:r>
                  </w:p>
                </w:tc>
                <w:tc>
                  <w:tcPr>
                    <w:tcW w:w="1426" w:type="pct"/>
                    <w:tcBorders>
                      <w:top w:val="nil"/>
                      <w:left w:val="nil"/>
                      <w:bottom w:val="nil"/>
                      <w:right w:val="nil"/>
                    </w:tcBorders>
                    <w:shd w:val="clear" w:color="auto" w:fill="auto"/>
                  </w:tcPr>
                  <w:p w:rsidR="00DE031E" w:rsidRPr="00FD2D28" w:rsidRDefault="001C1A59" w:rsidP="00DE031E">
                    <w:pPr>
                      <w:jc w:val="right"/>
                      <w:rPr>
                        <w:rFonts w:ascii="Arial" w:hAnsi="Arial" w:cs="Arial"/>
                        <w:sz w:val="18"/>
                        <w:szCs w:val="18"/>
                      </w:rPr>
                    </w:pPr>
                    <w:r w:rsidRPr="00FD2D28">
                      <w:rPr>
                        <w:rFonts w:ascii="Arial" w:hAnsi="Arial" w:cs="Arial"/>
                        <w:sz w:val="18"/>
                        <w:szCs w:val="18"/>
                      </w:rPr>
                      <w:t>1,459,430,700.00</w:t>
                    </w:r>
                  </w:p>
                </w:tc>
              </w:tr>
              <w:tr w:rsidR="00DE031E" w:rsidRPr="00437FB4" w:rsidTr="00DE031E">
                <w:trPr>
                  <w:trHeight w:val="312"/>
                </w:trPr>
                <w:tc>
                  <w:tcPr>
                    <w:tcW w:w="2125" w:type="pct"/>
                    <w:tcBorders>
                      <w:top w:val="nil"/>
                      <w:left w:val="nil"/>
                      <w:bottom w:val="nil"/>
                      <w:right w:val="nil"/>
                    </w:tcBorders>
                    <w:shd w:val="clear" w:color="auto" w:fill="auto"/>
                    <w:noWrap/>
                    <w:vAlign w:val="center"/>
                    <w:hideMark/>
                  </w:tcPr>
                  <w:p w:rsidR="00DE031E" w:rsidRDefault="001C1A59" w:rsidP="00DE031E">
                    <w:pPr>
                      <w:rPr>
                        <w:rFonts w:ascii="Arial" w:hAnsi="Arial" w:cs="Arial"/>
                        <w:sz w:val="18"/>
                        <w:szCs w:val="18"/>
                      </w:rPr>
                    </w:pPr>
                    <w:r>
                      <w:rPr>
                        <w:rFonts w:ascii="Arial" w:hAnsi="Arial" w:cs="Arial" w:hint="eastAsia"/>
                        <w:sz w:val="18"/>
                        <w:szCs w:val="18"/>
                      </w:rPr>
                      <w:t>其中：</w:t>
                    </w:r>
                    <w:r w:rsidRPr="00FD2D28">
                      <w:rPr>
                        <w:rFonts w:ascii="Arial" w:hAnsi="Arial" w:cs="Arial"/>
                        <w:sz w:val="18"/>
                        <w:szCs w:val="18"/>
                      </w:rPr>
                      <w:t>已用于回购业务的债券市值</w:t>
                    </w:r>
                  </w:p>
                </w:tc>
                <w:tc>
                  <w:tcPr>
                    <w:tcW w:w="1445" w:type="pct"/>
                    <w:tcBorders>
                      <w:top w:val="nil"/>
                      <w:left w:val="nil"/>
                      <w:bottom w:val="nil"/>
                      <w:right w:val="nil"/>
                    </w:tcBorders>
                    <w:shd w:val="clear" w:color="auto" w:fill="auto"/>
                    <w:noWrap/>
                    <w:vAlign w:val="center"/>
                    <w:hideMark/>
                  </w:tcPr>
                  <w:p w:rsidR="00DE031E" w:rsidRPr="00FD2D28" w:rsidRDefault="001C1A59" w:rsidP="00DE031E">
                    <w:pPr>
                      <w:jc w:val="right"/>
                      <w:rPr>
                        <w:rFonts w:ascii="Arial" w:hAnsi="Arial" w:cs="Arial"/>
                        <w:color w:val="000000"/>
                        <w:sz w:val="18"/>
                        <w:szCs w:val="18"/>
                      </w:rPr>
                    </w:pPr>
                    <w:r w:rsidRPr="00FD2D28">
                      <w:rPr>
                        <w:rFonts w:ascii="Arial" w:hAnsi="Arial" w:cs="Arial"/>
                        <w:sz w:val="18"/>
                        <w:szCs w:val="18"/>
                      </w:rPr>
                      <w:t>1,942,716,435.00</w:t>
                    </w:r>
                  </w:p>
                </w:tc>
                <w:tc>
                  <w:tcPr>
                    <w:tcW w:w="1426" w:type="pct"/>
                    <w:tcBorders>
                      <w:top w:val="nil"/>
                      <w:left w:val="nil"/>
                      <w:bottom w:val="nil"/>
                      <w:right w:val="nil"/>
                    </w:tcBorders>
                    <w:shd w:val="clear" w:color="auto" w:fill="auto"/>
                  </w:tcPr>
                  <w:p w:rsidR="00DE031E" w:rsidRPr="00FD2D28" w:rsidRDefault="001C1A59" w:rsidP="00DE031E">
                    <w:pPr>
                      <w:jc w:val="right"/>
                      <w:rPr>
                        <w:rFonts w:ascii="Arial" w:hAnsi="Arial" w:cs="Arial"/>
                        <w:sz w:val="18"/>
                        <w:szCs w:val="18"/>
                      </w:rPr>
                    </w:pPr>
                    <w:r w:rsidRPr="00FD2D28">
                      <w:rPr>
                        <w:rFonts w:ascii="Arial" w:hAnsi="Arial" w:cs="Arial"/>
                        <w:sz w:val="18"/>
                        <w:szCs w:val="18"/>
                      </w:rPr>
                      <w:t>1,459,430,700.00</w:t>
                    </w:r>
                  </w:p>
                </w:tc>
              </w:tr>
              <w:tr w:rsidR="00DE031E" w:rsidRPr="00437FB4" w:rsidTr="00DE031E">
                <w:trPr>
                  <w:trHeight w:val="312"/>
                </w:trPr>
                <w:tc>
                  <w:tcPr>
                    <w:tcW w:w="2125" w:type="pct"/>
                    <w:tcBorders>
                      <w:top w:val="nil"/>
                      <w:left w:val="nil"/>
                      <w:bottom w:val="nil"/>
                      <w:right w:val="nil"/>
                    </w:tcBorders>
                    <w:shd w:val="clear" w:color="auto" w:fill="auto"/>
                    <w:noWrap/>
                    <w:vAlign w:val="center"/>
                    <w:hideMark/>
                  </w:tcPr>
                  <w:p w:rsidR="00DE031E" w:rsidRDefault="001C1A59" w:rsidP="00DE031E">
                    <w:pPr>
                      <w:rPr>
                        <w:rFonts w:ascii="Arial" w:hAnsi="Arial" w:cs="Arial"/>
                        <w:sz w:val="18"/>
                        <w:szCs w:val="18"/>
                      </w:rPr>
                    </w:pPr>
                    <w:r w:rsidRPr="00FD2D28">
                      <w:rPr>
                        <w:rFonts w:ascii="Arial" w:hAnsi="Arial" w:cs="Arial" w:hint="eastAsia"/>
                        <w:sz w:val="18"/>
                        <w:szCs w:val="18"/>
                      </w:rPr>
                      <w:t>因开展债券借贷业务用于抵押的</w:t>
                    </w:r>
                  </w:p>
                  <w:p w:rsidR="00DE031E" w:rsidRPr="00FD2D28" w:rsidRDefault="001C1A59" w:rsidP="00DE031E">
                    <w:pPr>
                      <w:rPr>
                        <w:rFonts w:ascii="Arial" w:hAnsi="Arial" w:cs="Arial"/>
                        <w:sz w:val="18"/>
                        <w:szCs w:val="18"/>
                      </w:rPr>
                    </w:pPr>
                    <w:r w:rsidRPr="00FD2D28">
                      <w:rPr>
                        <w:rFonts w:ascii="Arial" w:hAnsi="Arial" w:cs="Arial" w:hint="eastAsia"/>
                        <w:sz w:val="18"/>
                        <w:szCs w:val="18"/>
                      </w:rPr>
                      <w:t>债券公允价值</w:t>
                    </w:r>
                  </w:p>
                </w:tc>
                <w:tc>
                  <w:tcPr>
                    <w:tcW w:w="1445" w:type="pct"/>
                    <w:tcBorders>
                      <w:top w:val="nil"/>
                      <w:left w:val="nil"/>
                      <w:bottom w:val="nil"/>
                      <w:right w:val="nil"/>
                    </w:tcBorders>
                    <w:shd w:val="clear" w:color="auto" w:fill="auto"/>
                    <w:noWrap/>
                    <w:vAlign w:val="center"/>
                    <w:hideMark/>
                  </w:tcPr>
                  <w:p w:rsidR="00DE031E" w:rsidRPr="00EA0D95" w:rsidRDefault="001C1A59" w:rsidP="00DE031E">
                    <w:pPr>
                      <w:jc w:val="right"/>
                      <w:rPr>
                        <w:rFonts w:ascii="Arial" w:hAnsi="Arial" w:cs="Arial"/>
                        <w:color w:val="000000"/>
                        <w:sz w:val="18"/>
                        <w:szCs w:val="18"/>
                      </w:rPr>
                    </w:pPr>
                    <w:r w:rsidRPr="00EA0D95">
                      <w:rPr>
                        <w:rFonts w:ascii="Arial" w:hAnsi="Arial" w:cs="Arial" w:hint="eastAsia"/>
                        <w:sz w:val="18"/>
                        <w:szCs w:val="18"/>
                      </w:rPr>
                      <w:t>1,470,969,260.00</w:t>
                    </w:r>
                  </w:p>
                </w:tc>
                <w:tc>
                  <w:tcPr>
                    <w:tcW w:w="1426" w:type="pct"/>
                    <w:tcBorders>
                      <w:top w:val="nil"/>
                      <w:left w:val="nil"/>
                      <w:bottom w:val="nil"/>
                      <w:right w:val="nil"/>
                    </w:tcBorders>
                    <w:shd w:val="clear" w:color="auto" w:fill="auto"/>
                    <w:vAlign w:val="center"/>
                  </w:tcPr>
                  <w:p w:rsidR="00DE031E" w:rsidRPr="00FD2D28" w:rsidRDefault="001C1A59" w:rsidP="00DE031E">
                    <w:pPr>
                      <w:jc w:val="right"/>
                      <w:rPr>
                        <w:rFonts w:ascii="Arial" w:hAnsi="Arial" w:cs="Arial"/>
                        <w:sz w:val="18"/>
                        <w:szCs w:val="18"/>
                      </w:rPr>
                    </w:pPr>
                    <w:r w:rsidRPr="00FD2D28">
                      <w:rPr>
                        <w:rFonts w:ascii="Arial" w:hAnsi="Arial" w:cs="Arial"/>
                        <w:sz w:val="18"/>
                        <w:szCs w:val="18"/>
                      </w:rPr>
                      <w:t>1,061,941,340.00</w:t>
                    </w:r>
                  </w:p>
                </w:tc>
              </w:tr>
            </w:tbl>
          </w:sdtContent>
        </w:sdt>
      </w:sdtContent>
    </w:sdt>
    <w:p w:rsidR="00DE031E" w:rsidRDefault="001C1A59" w:rsidP="009950AC">
      <w:pPr>
        <w:pStyle w:val="2"/>
        <w:numPr>
          <w:ilvl w:val="0"/>
          <w:numId w:val="30"/>
        </w:numPr>
        <w:spacing w:line="360" w:lineRule="auto"/>
        <w:rPr>
          <w:rFonts w:ascii="宋体" w:hAnsi="宋体"/>
        </w:rPr>
      </w:pPr>
      <w:r>
        <w:rPr>
          <w:rFonts w:ascii="宋体" w:hAnsi="宋体" w:hint="eastAsia"/>
        </w:rPr>
        <w:t>补充资料</w:t>
      </w:r>
    </w:p>
    <w:sdt>
      <w:sdtPr>
        <w:rPr>
          <w:rFonts w:ascii="宋体" w:hAnsi="宋体" w:cs="宋体" w:hint="eastAsia"/>
          <w:b w:val="0"/>
          <w:bCs w:val="0"/>
          <w:kern w:val="0"/>
          <w:szCs w:val="21"/>
        </w:rPr>
        <w:tag w:val="_GBC_08eb8d7076584daebd23121ab43f25e0"/>
        <w:id w:val="24727210"/>
        <w:lock w:val="sdtLocked"/>
        <w:placeholder>
          <w:docPart w:val="GBC22222222222222222222222222222"/>
        </w:placeholder>
      </w:sdtPr>
      <w:sdtEndPr>
        <w:rPr>
          <w:szCs w:val="24"/>
        </w:rPr>
      </w:sdtEndPr>
      <w:sdtContent>
        <w:p w:rsidR="00DE031E" w:rsidRDefault="001C1A59" w:rsidP="009950AC">
          <w:pPr>
            <w:pStyle w:val="3"/>
            <w:numPr>
              <w:ilvl w:val="0"/>
              <w:numId w:val="81"/>
            </w:numPr>
            <w:spacing w:line="360" w:lineRule="auto"/>
            <w:rPr>
              <w:rFonts w:ascii="宋体" w:hAnsi="宋体"/>
              <w:szCs w:val="21"/>
            </w:rPr>
          </w:pPr>
          <w:r>
            <w:rPr>
              <w:rFonts w:ascii="宋体" w:hAnsi="宋体" w:hint="eastAsia"/>
              <w:szCs w:val="21"/>
            </w:rPr>
            <w:t>当期非经常性损益明细表</w:t>
          </w:r>
        </w:p>
        <w:p w:rsidR="00DE031E" w:rsidRDefault="001C1A5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4727160"/>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A028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4727161"/>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A0284">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1558"/>
            <w:gridCol w:w="1428"/>
          </w:tblGrid>
          <w:tr w:rsidR="00DE031E" w:rsidRPr="00D57691" w:rsidTr="00DE031E">
            <w:tc>
              <w:tcPr>
                <w:tcW w:w="3350" w:type="pct"/>
                <w:shd w:val="clear" w:color="auto" w:fill="auto"/>
                <w:vAlign w:val="center"/>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项目</w:t>
                </w:r>
              </w:p>
            </w:tc>
            <w:tc>
              <w:tcPr>
                <w:tcW w:w="861" w:type="pct"/>
                <w:shd w:val="clear" w:color="auto" w:fill="auto"/>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金额</w:t>
                </w:r>
              </w:p>
            </w:tc>
            <w:tc>
              <w:tcPr>
                <w:tcW w:w="789" w:type="pct"/>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说明</w:t>
                </w:r>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非流动资产处置损益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cs="Arial" w:hint="eastAsia"/>
                      <w:color w:val="000000"/>
                      <w:sz w:val="18"/>
                      <w:szCs w:val="18"/>
                    </w:rPr>
                    <w:alias w:val="非流动性资产处置损益，包括已计提资产减值准备的冲销部分（非经常性损益项目）"/>
                    <w:tag w:val="_GBC_f045781906b04458b3ad625ee4515c61"/>
                    <w:id w:val="24727162"/>
                    <w:lock w:val="sdtLocked"/>
                    <w:dataBinding w:prefixMappings="xmlns:clcid-pte='clcid-pte'" w:xpath="/*/clcid-pte:FeiLiuDongXingZiChanChuZhiSunYiBaoKuoYiJiTiZiChanJianZhiZhunBeiDeChongXiaoBuFenFeiJingChangXingSunYiXiangMu" w:storeItemID="{89EBAB94-44A0-46A2-B712-30D997D04A6D}"/>
                    <w:text/>
                  </w:sdtPr>
                  <w:sdtContent>
                    <w:r w:rsidR="001C1A59">
                      <w:rPr>
                        <w:rFonts w:asciiTheme="minorEastAsia" w:eastAsiaTheme="minorEastAsia" w:hAnsiTheme="minorEastAsia" w:cs="Arial" w:hint="eastAsia"/>
                        <w:color w:val="000000"/>
                        <w:sz w:val="18"/>
                        <w:szCs w:val="18"/>
                      </w:rPr>
                      <w:t>196,770.53</w:t>
                    </w:r>
                  </w:sdtContent>
                </w:sdt>
              </w:p>
            </w:tc>
            <w:tc>
              <w:tcPr>
                <w:tcW w:w="789" w:type="pct"/>
              </w:tcPr>
              <w:p w:rsidR="00DE031E" w:rsidRPr="00D57691" w:rsidRDefault="00422DCA">
                <w:pPr>
                  <w:rPr>
                    <w:rFonts w:asciiTheme="minorEastAsia" w:eastAsiaTheme="minorEastAsia" w:hAnsiTheme="minorEastAsia"/>
                    <w:b/>
                    <w:sz w:val="18"/>
                    <w:szCs w:val="18"/>
                  </w:rPr>
                </w:pPr>
                <w:sdt>
                  <w:sdtPr>
                    <w:rPr>
                      <w:rFonts w:asciiTheme="minorEastAsia" w:eastAsiaTheme="minorEastAsia" w:hAnsiTheme="minorEastAsia"/>
                      <w:sz w:val="18"/>
                      <w:szCs w:val="18"/>
                    </w:rPr>
                    <w:alias w:val="非流动性资产处置损益，包括已计提资产减值准备的冲销部分的说明（非经常性损益项目）"/>
                    <w:tag w:val="_GBC_dbf112280e8b447b803745e3222ebaab"/>
                    <w:id w:val="24727163"/>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越权审批或无正式批准文件的税收返还、减免</w:t>
                </w:r>
              </w:p>
            </w:tc>
            <w:tc>
              <w:tcPr>
                <w:tcW w:w="861" w:type="pct"/>
                <w:shd w:val="clear" w:color="auto" w:fill="auto"/>
              </w:tcPr>
              <w:p w:rsidR="00DE031E" w:rsidRPr="00D57691" w:rsidRDefault="00422DCA">
                <w:pPr>
                  <w:ind w:right="6"/>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越权审批，或无正式批准文件，或偶发性的税收返还、减免（非经常性损益项目）"/>
                    <w:tag w:val="_GBC_739acef0a8fb4cf9ba3480cbf144d0bd"/>
                    <w:id w:val="24727164"/>
                    <w:lock w:val="sdtLocked"/>
                    <w:showingPlcHdr/>
                    <w:dataBinding w:prefixMappings="xmlns:clcid-pte='clcid-pte'" w:xpath="/*/clcid-pte:FeiJingChangXingSunYiZhongYueQuanShenPiHuoWuZhengShiPiZhunWenJianDeShuiShouFanHuanJianMian"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越权审批，或无正式批准文件，或偶发性的税收返还、减免的说明（非经常性损益项目）"/>
                    <w:tag w:val="_GBC_d1e6861f45b64ca2a145ec60b8eb30fc"/>
                    <w:id w:val="24727165"/>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计入当期损益的政府补助（与企业业务密切相关，按照国家统一标准定额或定量享受的政府补助除外）</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cs="Arial" w:hint="eastAsia"/>
                      <w:color w:val="000000"/>
                      <w:sz w:val="18"/>
                      <w:szCs w:val="18"/>
                    </w:rPr>
                    <w:alias w:val="计入当期损益的政府补助，但与公司正常经营业务密切相关，符合国家政策规定、按照一定标准定额或定量持续享受的政府补助除外（非.."/>
                    <w:tag w:val="_GBC_87d17071bbe748b28c703f8eaec85e23"/>
                    <w:id w:val="24727166"/>
                    <w:lock w:val="sdtLocked"/>
                    <w:dataBinding w:prefixMappings="xmlns:clcid-pte='clcid-pte'" w:xpath="/*/clcid-pte:FeiJingChangXingSunYiZhongGeZhongXingShiDeZhengFuBuTie" w:storeItemID="{89EBAB94-44A0-46A2-B712-30D997D04A6D}"/>
                    <w:text/>
                  </w:sdtPr>
                  <w:sdtContent>
                    <w:r w:rsidR="001C1A59">
                      <w:rPr>
                        <w:rFonts w:asciiTheme="minorEastAsia" w:eastAsiaTheme="minorEastAsia" w:hAnsiTheme="minorEastAsia" w:cs="Arial" w:hint="eastAsia"/>
                        <w:color w:val="000000"/>
                        <w:sz w:val="18"/>
                        <w:szCs w:val="18"/>
                      </w:rPr>
                      <w:t>3,690,691.92</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计入当期损益的政府补助，但与公司正常经营业务密切相关，符合国家政策规定、按照一定标准定额或定量持续享受的政府补助除外的说.."/>
                    <w:tag w:val="_GBC_4513591570d449de9208898ef81e191f"/>
                    <w:id w:val="24727167"/>
                    <w:lock w:val="sdtLocked"/>
                    <w:showingPlcHdr/>
                    <w:dataBinding w:prefixMappings="xmlns:clcid-pte='clcid-pte'" w:xpath="/*/clcid-pte:FeiJingChangXingSunYiZhongGeZhongXingShiDeZhengFuBuTie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计入当期损益的对非金融企业收取的资金占用费</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计入当期损益的对非金融企业收取的资金占用费（非经常性损益项目）"/>
                    <w:tag w:val="_GBC_fa05ceca6bca4dd9a7d215044dce1e08"/>
                    <w:id w:val="24727168"/>
                    <w:lock w:val="sdtLocked"/>
                    <w:showingPlcHdr/>
                    <w:dataBinding w:prefixMappings="xmlns:clcid-pte='clcid-pte'" w:xpath="/*/clcid-pte:JiRuDangQiSunYiDeDuiFeiJinRongQiYeShouQuDeZiJinZhanYongFeiFeiJingChangXingSunYiXiangMu"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计入当期损益的对非金融企业收取的资金占用费的说明（非经常性损益项目）"/>
                    <w:tag w:val="_GBC_e39bef666fc347c4b548b1702cce8f81"/>
                    <w:id w:val="24727169"/>
                    <w:lock w:val="sdtLocked"/>
                    <w:showingPlcHdr/>
                    <w:dataBinding w:prefixMappings="xmlns:clcid-pte='clcid-pte'" w:xpath="/*/clcid-pte:JiRuDangQiSunYiDeDuiFeiJinRongQiYeShouQuDeZiJinZhanYongFeiFeiJingChangXingSunYiXiangMu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企业取得子公司、联营企业及合营企业的投资成本小于取得投资时应享有被投资单位可辨认净资产公允价值产生的收益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企业取得子公司、联营企业及合营企业的投资成本小于取得投资时应享有被投资单位可辨认净资产公允价值产生的收益（非经常性损益项.."/>
                    <w:tag w:val="_GBC_da8567332bf1414f9b00448bf14a2046"/>
                    <w:id w:val="2472717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企业取得子公司、联营企业及合营企业的投资成本小于取得投资时应享有被投资单位可辨认净资产公允价值产生的收益的说明（非经常性.."/>
                    <w:tag w:val="_GBC_5140be5466d24c06aa7c5dd7b7497384"/>
                    <w:id w:val="24727171"/>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非货币性资产交换损益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非货币性资产交换损益（非经常性损益项目）"/>
                    <w:tag w:val="_GBC_4cbe5f86242143498e8a8e52a9159cf4"/>
                    <w:id w:val="24727172"/>
                    <w:lock w:val="sdtLocked"/>
                    <w:showingPlcHdr/>
                    <w:dataBinding w:prefixMappings="xmlns:clcid-pte='clcid-pte'" w:xpath="/*/clcid-pte:FeiJingChangXingSunYiZhongZiChanZhiHuan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非货币性资产交换损益的说明（非经常性损益项目）"/>
                    <w:tag w:val="_GBC_0c3795502b03479fa5ac233060ebd95d"/>
                    <w:id w:val="24727173"/>
                    <w:lock w:val="sdtLocked"/>
                    <w:showingPlcHdr/>
                    <w:dataBinding w:prefixMappings="xmlns:clcid-pte='clcid-pte'" w:xpath="/*/clcid-pte:FeiJingChangXingSunYiZhongZiChanZhiHuan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委托他人投资或管理资产的损益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委托他人投资或管理资产的损益（非经常性损益项目）"/>
                    <w:tag w:val="_GBC_d2fd11aa21804a79bf75d80767cb7622"/>
                    <w:id w:val="24727174"/>
                    <w:lock w:val="sdtLocked"/>
                    <w:showingPlcHdr/>
                    <w:dataBinding w:prefixMappings="xmlns:clcid-pte='clcid-pte'" w:xpath="/*/clcid-pte:WeiTuoTaRenTouZiHuoGuanLiZiChanDeSunYiFeiJingChangXingSunYiXiangMu"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委托他人投资或管理资产的损益的说明（非经常性损益项目）"/>
                    <w:tag w:val="_GBC_556f9aa856334b9cba18fb2f97b39cc5"/>
                    <w:id w:val="24727175"/>
                    <w:lock w:val="sdtLocked"/>
                    <w:showingPlcHdr/>
                    <w:dataBinding w:prefixMappings="xmlns:clcid-pte='clcid-pte'" w:xpath="/*/clcid-pte:WeiTuoTaRenTouZiHuoGuanLiZiChanDeSunYiFeiJingChangXingSunYiXiangMu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因不可抗力因素，如遭受自然灾害而计提的各项资产减值准备</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因不可抗力因素，如遭受自然灾害而计提的各项资产减值准备（非经常性损益项目）"/>
                    <w:tag w:val="_GBC_40e59f580b8446b6a448bfa2d9c39106"/>
                    <w:id w:val="24727176"/>
                    <w:lock w:val="sdtLocked"/>
                    <w:showingPlcHdr/>
                    <w:dataBinding w:prefixMappings="xmlns:clcid-pte='clcid-pte'" w:xpath="/*/clcid-pte:FeiJingChangXingSunYiZhongJiTiDeGeXiangZiChanJianZhiZhunBe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因不可抗力因素，如遭受自然灾害而计提的各项资产减值准备的说明（非经常性损益项目）"/>
                    <w:tag w:val="_GBC_4f29c0d978134f4d9ade4cfb9e6e5bfa"/>
                    <w:id w:val="24727177"/>
                    <w:lock w:val="sdtLocked"/>
                    <w:showingPlcHdr/>
                    <w:dataBinding w:prefixMappings="xmlns:clcid-pte='clcid-pte'" w:xpath="/*/clcid-pte:FeiJingChangXingSunYiZhongJiTiDeGeXiangZiChanJianZhiZhunBe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债务重组损益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债务重组损益（非经常性损益项目）"/>
                    <w:tag w:val="_GBC_562f390e991e466084ffd0680a094232"/>
                    <w:id w:val="24727178"/>
                    <w:lock w:val="sdtLocked"/>
                    <w:showingPlcHdr/>
                    <w:dataBinding w:prefixMappings="xmlns:clcid-pte='clcid-pte'" w:xpath="/*/clcid-pte:FeiJingChangXingSunYiZhongZhaiWuZhongZu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债务重组损益的说明（非经常性损益项目）"/>
                    <w:tag w:val="_GBC_f43aef808f214d7383de39e3b6c398f4"/>
                    <w:id w:val="24727179"/>
                    <w:lock w:val="sdtLocked"/>
                    <w:showingPlcHdr/>
                    <w:dataBinding w:prefixMappings="xmlns:clcid-pte='clcid-pte'" w:xpath="/*/clcid-pte:FeiJingChangXingSunYiZhongZhaiWuZhongZu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企业重组费用，如安置职工的支出、整合费用等</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企业重组费用，如安置职工的支出、整合费用等（非经常性损益项目）"/>
                    <w:tag w:val="_GBC_56ec47ca87774d5abcabbca8deefec34"/>
                    <w:id w:val="24727180"/>
                    <w:lock w:val="sdtLocked"/>
                    <w:showingPlcHdr/>
                    <w:dataBinding w:prefixMappings="xmlns:clcid-pte='clcid-pte'" w:xpath="/*/clcid-pte:QiYeZhongZuFeiYongRuAnZhiZhiGongDeZhiChuZhengHeFeiYongDe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企业重组费用，如安置职工的支出、整合费用等的说明（非经常性损益项目）"/>
                    <w:tag w:val="_GBC_a7c33259b38d4d119cc648f5a3558bfe"/>
                    <w:id w:val="24727181"/>
                    <w:lock w:val="sdtLocked"/>
                    <w:showingPlcHdr/>
                    <w:dataBinding w:prefixMappings="xmlns:clcid-pte='clcid-pte'" w:xpath="/*/clcid-pte:QiYeZhongZuFeiYongRuAnZhiZhiGongDeZhiChuZhengHeFeiYongDeng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交易价格显失公允的交易产生的超过公允价值部分的损益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交易价格显失公允的交易产生的超过公允价值部分的损益（非经常性损益项目）"/>
                    <w:tag w:val="_GBC_6704ec57bd314db499ba1bfa7fe212ec"/>
                    <w:id w:val="24727182"/>
                    <w:lock w:val="sdtLocked"/>
                    <w:showingPlcHdr/>
                    <w:dataBinding w:prefixMappings="xmlns:clcid-pte='clcid-pte'" w:xpath="/*/clcid-pte:FeiJingChangXingSunYiZhongJiaoYiJiaGeXianShiGongYunDeJiaoYiChanShengDe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交易价格显失公允的交易产生的超过公允价值部分的损益的说明（非经常性损益项目）"/>
                    <w:tag w:val="_GBC_8924193e761244e8b5efdfb510613a4f"/>
                    <w:id w:val="24727183"/>
                    <w:lock w:val="sdtLocked"/>
                    <w:showingPlcHdr/>
                    <w:dataBinding w:prefixMappings="xmlns:clcid-pte='clcid-pte'" w:xpath="/*/clcid-pte:FeiJingChangXingSunYiZhongJiaoYiJiaGeXianShiGongYunDeJiaoYiChanShengDe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同一控制下企业合并产生的子公司期初至合并日的当期净损益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同一控制下企业合并产生的子公司期初至合并日的当期净损益（非经常性损益项目）"/>
                    <w:tag w:val="_GBC_41b40e6e0f3848d69f00e71731aaf0e1"/>
                    <w:id w:val="24727184"/>
                    <w:lock w:val="sdtLocked"/>
                    <w:showingPlcHdr/>
                    <w:dataBinding w:prefixMappings="xmlns:clcid-pte='clcid-pte'" w:xpath="/*/clcid-pte:TongYiKongZhiXiaQiYeHeBingChanShengDeZiGongSiQiChuZhiHeBingRiDeDangQiJing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同一控制下企业合并产生的子公司期初至合并日的当期净损益的说明（非经常性损益项目）"/>
                    <w:tag w:val="_GBC_b89a03114e86456eb0c9e31e114ed87a"/>
                    <w:id w:val="24727185"/>
                    <w:lock w:val="sdtLocked"/>
                    <w:showingPlcHdr/>
                    <w:dataBinding w:prefixMappings="xmlns:clcid-pte='clcid-pte'" w:xpath="/*/clcid-pte:TongYiKongZhiXiaQiYeHeBingChanShengDeZiGongSiQiChuZhiHeBingRiDeDangQiJing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与公司正常经营业务无关的或有事项产生的损益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与公司正常经营业务无关的或有事项产生的损益（非经常性损益项目）"/>
                    <w:tag w:val="_GBC_87c0e437c14d4dd3bd5dd001c159ec09"/>
                    <w:id w:val="24727186"/>
                    <w:lock w:val="sdtLocked"/>
                    <w:showingPlcHdr/>
                    <w:dataBinding w:prefixMappings="xmlns:clcid-pte='clcid-pte'" w:xpath="/*/clcid-pte:YuGongSiZhuYingYeWuWuGuanDeYuJiFuZhaiChanShengDe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与公司正常经营业务无关的或有事项产生的损益的说明（非经常性损益项目）"/>
                    <w:tag w:val="_GBC_c092dcb18a4049e7b48c3f5c5a57f1aa"/>
                    <w:id w:val="24727187"/>
                    <w:lock w:val="sdtLocked"/>
                    <w:showingPlcHdr/>
                    <w:dataBinding w:prefixMappings="xmlns:clcid-pte='clcid-pte'" w:xpath="/*/clcid-pte:YuGongSiZhuYingYeWuWuGuanDeYuJiFuZhaiChanShengDe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除同公司正常经营业务相关的有效套期保值业务外，持有交易性金融资产、交易性金融负债产生的公允价值变动损益，以及处置交易性金.."/>
                    <w:tag w:val="_GBC_be17c6f64a824983b9ae8a3e1630e0a2"/>
                    <w:id w:val="24727188"/>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除同公司正常经营业务相关的有效套期保值业务外，持有交易性金融资产、交易性金融负债产生的公允价值变动损益，以及处置交易性金.."/>
                    <w:tag w:val="_GBC_d45047945f3a4c6dbf951dc5db8e4ebe"/>
                    <w:id w:val="24727189"/>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单独进行减值测试的应收款项减值准备转回</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cs="Arial" w:hint="eastAsia"/>
                      <w:color w:val="000000"/>
                      <w:sz w:val="18"/>
                      <w:szCs w:val="18"/>
                    </w:rPr>
                    <w:alias w:val="单独进行减值测试的应收款项减值准备转回（非经常性损益项目）"/>
                    <w:tag w:val="_GBC_e3d9a7f35efc4eefb1bc297a75de0370"/>
                    <w:id w:val="24727190"/>
                    <w:lock w:val="sdtLocked"/>
                    <w:dataBinding w:prefixMappings="xmlns:clcid-pte='clcid-pte'" w:xpath="/*/clcid-pte:DanDuJinXingJianZhiCeShiDeYingShouKuanXiangJianZhiZhunBeiZhuanHui" w:storeItemID="{89EBAB94-44A0-46A2-B712-30D997D04A6D}"/>
                    <w:text/>
                  </w:sdtPr>
                  <w:sdtContent>
                    <w:r w:rsidR="001C1A59">
                      <w:rPr>
                        <w:rFonts w:asciiTheme="minorEastAsia" w:eastAsiaTheme="minorEastAsia" w:hAnsiTheme="minorEastAsia" w:cs="Arial" w:hint="eastAsia"/>
                        <w:color w:val="000000"/>
                        <w:sz w:val="18"/>
                        <w:szCs w:val="18"/>
                      </w:rPr>
                      <w:t>97,816.68</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单独进行减值测试的应收款项减值准备转回的说明（非经常性损益项目）"/>
                    <w:tag w:val="_GBC_3a60cb783775420696e5fafe4691838e"/>
                    <w:id w:val="24727191"/>
                    <w:lock w:val="sdtLocked"/>
                    <w:showingPlcHdr/>
                    <w:dataBinding w:prefixMappings="xmlns:clcid-pte='clcid-pte'" w:xpath="/*/clcid-pte:DanDuJinXingJianZhiCeShiDeYingShouKuanXiangJianZhiZhunBeiZhuanHu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对外委托贷款取得的损益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对外委托贷款取得的损益（非经常性损益项目）"/>
                    <w:tag w:val="_GBC_27b47ed06c97431897415150396a2093"/>
                    <w:id w:val="24727192"/>
                    <w:lock w:val="sdtLocked"/>
                    <w:showingPlcHdr/>
                    <w:dataBinding w:prefixMappings="xmlns:clcid-pte='clcid-pte'" w:xpath="/*/clcid-pte:DuiWaiWeiTuoDaiKuanQuDeDe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对外委托贷款取得的损益的说明（非经常性损益项目）"/>
                    <w:tag w:val="_GBC_72c375360c99465bb8170713ed413fe3"/>
                    <w:id w:val="24727193"/>
                    <w:lock w:val="sdtLocked"/>
                    <w:showingPlcHdr/>
                    <w:dataBinding w:prefixMappings="xmlns:clcid-pte='clcid-pte'" w:xpath="/*/clcid-pte:DuiWaiWeiTuoDaiKuanQuDeDe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采用公允价值模式进行后续计量的投资性房地产公允价值变动产生的损益</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采用公允价值模式进行后续计量的投资性房地产公允价值变动产生的损益（非经常性损益项目）"/>
                    <w:tag w:val="_GBC_190716d7e441475687cb1bc366ad6b0c"/>
                    <w:id w:val="24727194"/>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采用公允价值模式进行后续计量的投资性房地产公允价值变动产生的损益的说明（非经常性损益项目）"/>
                    <w:tag w:val="_GBC_c174c1c48c424f2b93a5298b3c87d544"/>
                    <w:id w:val="24727195"/>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根据税收、会计等法律、法规的要求对当期损益进行一次性调整对当期损益的影响</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根据税收、会计等法律、法规的要求对当期损益进行一次性调整对当期损益的影响（非经常性损益项目）"/>
                    <w:tag w:val="_GBC_58c2953c03634423ac62d3dec1a8cbf0"/>
                    <w:id w:val="24727196"/>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根据税收、会计等法律、法规的要求对当期损益进行一次性调整对当期损益的影响的说明（非经常性损益项目）"/>
                    <w:tag w:val="_GBC_b3ddb30991974cd88ba33a7fc1b11cdc"/>
                    <w:id w:val="24727197"/>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受托经营取得的托管费收入</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受托经营取得的托管费收入（非经常性损益项目）"/>
                    <w:tag w:val="_GBC_663696f2cd0a4fd2bdca4465abf7993f"/>
                    <w:id w:val="24727198"/>
                    <w:lock w:val="sdtLocked"/>
                    <w:showingPlcHdr/>
                    <w:dataBinding w:prefixMappings="xmlns:clcid-pte='clcid-pte'" w:xpath="/*/clcid-pte:ShouTuoJingYingQuDeDeTuoGuanFeiShouRu"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受托经营取得的托管费收入的说明（非经常性损益项目）"/>
                    <w:tag w:val="_GBC_55cffaeec7534a328908ea82413d2702"/>
                    <w:id w:val="24727199"/>
                    <w:lock w:val="sdtLocked"/>
                    <w:showingPlcHdr/>
                    <w:dataBinding w:prefixMappings="xmlns:clcid-pte='clcid-pte'" w:xpath="/*/clcid-pte:ShouTuoJingYingQuDeDeTuoGuanFeiShouRu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除上述各项之外的其他营业外收入和支出</w:t>
                </w:r>
              </w:p>
            </w:tc>
            <w:tc>
              <w:tcPr>
                <w:tcW w:w="861" w:type="pct"/>
                <w:shd w:val="clear" w:color="auto" w:fill="auto"/>
              </w:tcPr>
              <w:p w:rsidR="00DE031E" w:rsidRPr="00D57691" w:rsidRDefault="00422DCA" w:rsidP="00DE031E">
                <w:pPr>
                  <w:jc w:val="right"/>
                  <w:rPr>
                    <w:rFonts w:asciiTheme="minorEastAsia" w:eastAsiaTheme="minorEastAsia" w:hAnsiTheme="minorEastAsia"/>
                    <w:sz w:val="18"/>
                    <w:szCs w:val="18"/>
                  </w:rPr>
                </w:pPr>
                <w:sdt>
                  <w:sdtPr>
                    <w:rPr>
                      <w:rFonts w:asciiTheme="minorEastAsia" w:eastAsiaTheme="minorEastAsia" w:hAnsiTheme="minorEastAsia" w:cs="Arial" w:hint="eastAsia"/>
                      <w:color w:val="000000"/>
                      <w:sz w:val="18"/>
                      <w:szCs w:val="18"/>
                    </w:rPr>
                    <w:alias w:val="除上述各项之外的其他营业外收入和支出（非经常性损益项目）"/>
                    <w:tag w:val="_GBC_6402a2f652bb4c68acec62c34d96d8ab"/>
                    <w:id w:val="24727200"/>
                    <w:lock w:val="sdtLocked"/>
                    <w:dataBinding w:prefixMappings="xmlns:clcid-pte='clcid-pte'" w:xpath="/*/clcid-pte:ChuShangShuGeXiangZhiWaiDeQiTaYingYeWaiShouZhiJingE" w:storeItemID="{89EBAB94-44A0-46A2-B712-30D997D04A6D}"/>
                    <w:text/>
                  </w:sdtPr>
                  <w:sdtContent>
                    <w:r w:rsidR="001C1A59">
                      <w:rPr>
                        <w:rFonts w:asciiTheme="minorEastAsia" w:eastAsiaTheme="minorEastAsia" w:hAnsiTheme="minorEastAsia" w:cs="Arial"/>
                        <w:color w:val="000000"/>
                        <w:sz w:val="18"/>
                        <w:szCs w:val="18"/>
                      </w:rPr>
                      <w:t>19,865,447.37</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除上述各项之外的其他营业外收入和支出的说明（非经常性损益项目）"/>
                    <w:tag w:val="_GBC_c4fc3e35307e455db3b9161cb811a087"/>
                    <w:id w:val="24727201"/>
                    <w:lock w:val="sdtLocked"/>
                    <w:showingPlcHdr/>
                    <w:dataBinding w:prefixMappings="xmlns:clcid-pte='clcid-pte'" w:xpath="/*/clcid-pte:ChuShangShuGeXiangZhiWaiDeQiTaYingYeWaiShouZhiJingE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其他符合非经常性损益定义的损益项目</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其他符合非经常性损益定义的损益项目（非经常性损益项目）"/>
                    <w:tag w:val="_GBC_fe4d2d743517484083fb57df1a93df08"/>
                    <w:id w:val="24727202"/>
                    <w:lock w:val="sdtLocked"/>
                    <w:showingPlcHdr/>
                    <w:dataBinding w:prefixMappings="xmlns:clcid-pte='clcid-pte'" w:xpath="/*/clcid-pte:QiTaFeiJingChangXingSunYiXiangMu"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其他符合非经常性损益定义的损益项目说明（非经常性损益项目）"/>
                    <w:tag w:val="_GBC_88d5aaf5624d44b4a912d7c291f5337b"/>
                    <w:id w:val="24727203"/>
                    <w:lock w:val="sdtLocked"/>
                    <w:showingPlcHdr/>
                    <w:dataBinding w:prefixMappings="xmlns:clcid-pte='clcid-pte'" w:xpath="/*/clcid-pte:QiTaFeiJingChangXingSunYiXiangMu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所得税影响额</w:t>
                </w:r>
              </w:p>
            </w:tc>
            <w:tc>
              <w:tcPr>
                <w:tcW w:w="861" w:type="pct"/>
                <w:shd w:val="clear" w:color="auto" w:fill="auto"/>
              </w:tcPr>
              <w:p w:rsidR="00DE031E" w:rsidRPr="00D57691" w:rsidRDefault="00422DCA" w:rsidP="00DE031E">
                <w:pPr>
                  <w:jc w:val="right"/>
                  <w:rPr>
                    <w:rFonts w:asciiTheme="minorEastAsia" w:eastAsiaTheme="minorEastAsia" w:hAnsiTheme="minorEastAsia"/>
                    <w:sz w:val="18"/>
                    <w:szCs w:val="18"/>
                  </w:rPr>
                </w:pPr>
                <w:sdt>
                  <w:sdtPr>
                    <w:rPr>
                      <w:rFonts w:asciiTheme="minorEastAsia" w:eastAsiaTheme="minorEastAsia" w:hAnsiTheme="minorEastAsia" w:cs="Arial" w:hint="eastAsia"/>
                      <w:color w:val="000000"/>
                      <w:sz w:val="18"/>
                      <w:szCs w:val="18"/>
                    </w:rPr>
                    <w:alias w:val="非经常性损益_对所得税的影响"/>
                    <w:tag w:val="_GBC_7c06520ea03942669b02b787ffcbb214"/>
                    <w:id w:val="24727204"/>
                    <w:lock w:val="sdtLocked"/>
                    <w:dataBinding w:prefixMappings="xmlns:clcid-pte='clcid-pte'" w:xpath="/*/clcid-pte:FeiJingChangXingSunYiDeKouChuXiangMuDuiSuoDeShuiDeYingXiang" w:storeItemID="{89EBAB94-44A0-46A2-B712-30D997D04A6D}"/>
                    <w:text/>
                  </w:sdtPr>
                  <w:sdtContent>
                    <w:r w:rsidR="001C1A59">
                      <w:rPr>
                        <w:rFonts w:asciiTheme="minorEastAsia" w:eastAsiaTheme="minorEastAsia" w:hAnsiTheme="minorEastAsia" w:cs="Arial"/>
                        <w:color w:val="000000"/>
                        <w:sz w:val="18"/>
                        <w:szCs w:val="18"/>
                      </w:rPr>
                      <w:t>-6,233,730.70</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所得税影响额的说明（非经常性损益项目）"/>
                    <w:tag w:val="_GBC_7ed1b962000f41dc8da48b033f074791"/>
                    <w:id w:val="24727205"/>
                    <w:lock w:val="sdtLocked"/>
                    <w:showingPlcHdr/>
                    <w:dataBinding w:prefixMappings="xmlns:clcid-pte='clcid-pte'" w:xpath="/*/clcid-pte:FeiJingChangXingSunYiDeKouChuXiangMuDuiSuoDeShuiDeYingXiang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少数股东权益影响额</w:t>
                </w:r>
              </w:p>
            </w:tc>
            <w:tc>
              <w:tcPr>
                <w:tcW w:w="861" w:type="pct"/>
                <w:shd w:val="clear" w:color="auto" w:fill="auto"/>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少数股东权益影响额（非经常性损益项目）"/>
                    <w:tag w:val="_GBC_285f00e961c943a8a9d140a4d52403f1"/>
                    <w:id w:val="24727206"/>
                    <w:lock w:val="sdtLocked"/>
                    <w:showingPlcHdr/>
                    <w:dataBinding w:prefixMappings="xmlns:clcid-pte='clcid-pte'" w:xpath="/*/clcid-pte:FeiJingChangXingSunYiXiangMuZhongShaoShuGuDongQuanYiYingXiangE"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sz w:val="18"/>
                      <w:szCs w:val="18"/>
                    </w:rPr>
                    <w:alias w:val="少数股东权益影响额的说明（非经常性损益项目）"/>
                    <w:tag w:val="_GBC_c9a288fb29d348cbb8d20de9f399a549"/>
                    <w:id w:val="24727207"/>
                    <w:lock w:val="sdtLocked"/>
                    <w:showingPlcHdr/>
                    <w:dataBinding w:prefixMappings="xmlns:clcid-pte='clcid-pte'" w:xpath="/*/clcid-pte:FeiJingChangXingSunYiXiangMuZhongShaoShuGuDongQuanYiYingXiangE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r w:rsidR="00DE031E" w:rsidRPr="00D57691" w:rsidTr="00DE031E">
            <w:tc>
              <w:tcPr>
                <w:tcW w:w="3350" w:type="pct"/>
                <w:shd w:val="clear" w:color="auto" w:fill="auto"/>
                <w:vAlign w:val="center"/>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hint="eastAsia"/>
                    <w:sz w:val="18"/>
                    <w:szCs w:val="18"/>
                  </w:rPr>
                  <w:t>合计</w:t>
                </w:r>
              </w:p>
            </w:tc>
            <w:tc>
              <w:tcPr>
                <w:tcW w:w="861" w:type="pct"/>
                <w:shd w:val="clear" w:color="auto" w:fill="auto"/>
              </w:tcPr>
              <w:p w:rsidR="00DE031E" w:rsidRPr="00D57691" w:rsidRDefault="00422DCA" w:rsidP="00DE031E">
                <w:pPr>
                  <w:jc w:val="right"/>
                  <w:rPr>
                    <w:rFonts w:asciiTheme="minorEastAsia" w:eastAsiaTheme="minorEastAsia" w:hAnsiTheme="minorEastAsia"/>
                    <w:sz w:val="18"/>
                    <w:szCs w:val="18"/>
                  </w:rPr>
                </w:pPr>
                <w:sdt>
                  <w:sdtPr>
                    <w:rPr>
                      <w:rFonts w:asciiTheme="minorEastAsia" w:eastAsiaTheme="minorEastAsia" w:hAnsiTheme="minorEastAsia" w:cs="Arial" w:hint="eastAsia"/>
                      <w:color w:val="000000"/>
                      <w:sz w:val="18"/>
                      <w:szCs w:val="18"/>
                    </w:rPr>
                    <w:alias w:val="扣除的非经常性损益合计"/>
                    <w:tag w:val="_GBC_dbd56aa5278f45e1a3a0a62cc2b32d3d"/>
                    <w:id w:val="24727208"/>
                    <w:lock w:val="sdtLocked"/>
                    <w:dataBinding w:prefixMappings="xmlns:clcid-pte='clcid-pte'" w:xpath="/*/clcid-pte:KouChuDeFeiJingChangXingSunYiHeJi" w:storeItemID="{89EBAB94-44A0-46A2-B712-30D997D04A6D}"/>
                    <w:text/>
                  </w:sdtPr>
                  <w:sdtContent>
                    <w:r w:rsidR="001C1A59">
                      <w:rPr>
                        <w:rFonts w:asciiTheme="minorEastAsia" w:eastAsiaTheme="minorEastAsia" w:hAnsiTheme="minorEastAsia" w:cs="Arial"/>
                        <w:color w:val="000000"/>
                        <w:sz w:val="18"/>
                        <w:szCs w:val="18"/>
                      </w:rPr>
                      <w:t>17,616,995.80</w:t>
                    </w:r>
                  </w:sdtContent>
                </w:sdt>
              </w:p>
            </w:tc>
            <w:tc>
              <w:tcPr>
                <w:tcW w:w="789" w:type="pct"/>
              </w:tcPr>
              <w:p w:rsidR="00DE031E" w:rsidRPr="00D57691" w:rsidRDefault="00422DCA">
                <w:pPr>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扣除的非经常性损益合计说明"/>
                    <w:tag w:val="_GBC_fd47d890fc7a493192e451b6575f5e8a"/>
                    <w:id w:val="24727209"/>
                    <w:lock w:val="sdtLocked"/>
                    <w:showingPlcHdr/>
                    <w:dataBinding w:prefixMappings="xmlns:clcid-pte='clcid-pte'" w:xpath="/*/clcid-pte:KouChuDeFeiJingChangXingSunYiHeJiShuoMing" w:storeItemID="{89EBAB94-44A0-46A2-B712-30D997D04A6D}"/>
                    <w:text/>
                  </w:sdtPr>
                  <w:sdtContent>
                    <w:r w:rsidR="001C1A59" w:rsidRPr="00D57691">
                      <w:rPr>
                        <w:rFonts w:asciiTheme="minorEastAsia" w:eastAsiaTheme="minorEastAsia" w:hAnsiTheme="minorEastAsia" w:hint="eastAsia"/>
                        <w:color w:val="0000FF"/>
                        <w:sz w:val="18"/>
                        <w:szCs w:val="18"/>
                      </w:rPr>
                      <w:t xml:space="preserve">　</w:t>
                    </w:r>
                  </w:sdtContent>
                </w:sdt>
              </w:p>
            </w:tc>
          </w:tr>
        </w:tbl>
      </w:sdtContent>
    </w:sdt>
    <w:sdt>
      <w:sdtPr>
        <w:rPr>
          <w:rFonts w:ascii="宋体" w:hAnsi="宋体" w:cs="宋体" w:hint="eastAsia"/>
          <w:b w:val="0"/>
          <w:bCs w:val="0"/>
          <w:kern w:val="0"/>
          <w:szCs w:val="21"/>
        </w:rPr>
        <w:tag w:val="_GBC_146d888914ac4591bea1ff0ea9e89617"/>
        <w:id w:val="24727217"/>
        <w:lock w:val="sdtLocked"/>
        <w:placeholder>
          <w:docPart w:val="GBC22222222222222222222222222222"/>
        </w:placeholder>
      </w:sdtPr>
      <w:sdtContent>
        <w:p w:rsidR="00DE031E" w:rsidRDefault="001C1A59" w:rsidP="009950AC">
          <w:pPr>
            <w:pStyle w:val="3"/>
            <w:numPr>
              <w:ilvl w:val="0"/>
              <w:numId w:val="81"/>
            </w:numPr>
            <w:spacing w:line="360" w:lineRule="auto"/>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27" w:type="pct"/>
            <w:jc w:val="center"/>
            <w:tblInd w:w="-601" w:type="dxa"/>
            <w:tblBorders>
              <w:top w:val="single" w:sz="4" w:space="0" w:color="auto"/>
              <w:left w:val="single" w:sz="4" w:space="0" w:color="auto"/>
              <w:bottom w:val="single" w:sz="4" w:space="0" w:color="auto"/>
              <w:right w:val="single" w:sz="4" w:space="0" w:color="auto"/>
            </w:tblBorders>
            <w:tblLook w:val="0000"/>
          </w:tblPr>
          <w:tblGrid>
            <w:gridCol w:w="4520"/>
            <w:gridCol w:w="1419"/>
            <w:gridCol w:w="1616"/>
            <w:gridCol w:w="1543"/>
          </w:tblGrid>
          <w:tr w:rsidR="00DE031E" w:rsidRPr="00D57691" w:rsidTr="00DE031E">
            <w:trPr>
              <w:trHeight w:val="270"/>
              <w:jc w:val="center"/>
            </w:trPr>
            <w:tc>
              <w:tcPr>
                <w:tcW w:w="2484" w:type="pct"/>
                <w:vMerge w:val="restart"/>
                <w:tcBorders>
                  <w:top w:val="single" w:sz="4" w:space="0" w:color="auto"/>
                  <w:left w:val="single" w:sz="4" w:space="0" w:color="auto"/>
                  <w:bottom w:val="single" w:sz="4" w:space="0" w:color="auto"/>
                  <w:right w:val="single" w:sz="4" w:space="0" w:color="auto"/>
                </w:tcBorders>
                <w:vAlign w:val="center"/>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sz w:val="18"/>
                    <w:szCs w:val="18"/>
                  </w:rPr>
                  <w:t>报告期利润</w:t>
                </w:r>
              </w:p>
            </w:tc>
            <w:tc>
              <w:tcPr>
                <w:tcW w:w="780" w:type="pct"/>
                <w:vMerge w:val="restart"/>
                <w:tcBorders>
                  <w:top w:val="single" w:sz="4" w:space="0" w:color="auto"/>
                  <w:left w:val="single" w:sz="4" w:space="0" w:color="auto"/>
                  <w:right w:val="single" w:sz="4" w:space="0" w:color="auto"/>
                </w:tcBorders>
                <w:vAlign w:val="center"/>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sz w:val="18"/>
                    <w:szCs w:val="18"/>
                  </w:rPr>
                  <w:t>加权平均净资产收益率（%）</w:t>
                </w:r>
              </w:p>
            </w:tc>
            <w:tc>
              <w:tcPr>
                <w:tcW w:w="1736" w:type="pct"/>
                <w:gridSpan w:val="2"/>
                <w:tcBorders>
                  <w:top w:val="single" w:sz="4" w:space="0" w:color="auto"/>
                  <w:left w:val="single" w:sz="4" w:space="0" w:color="auto"/>
                  <w:bottom w:val="single" w:sz="4" w:space="0" w:color="auto"/>
                  <w:right w:val="single" w:sz="4" w:space="0" w:color="auto"/>
                </w:tcBorders>
                <w:vAlign w:val="center"/>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sz w:val="18"/>
                    <w:szCs w:val="18"/>
                  </w:rPr>
                  <w:t>每股收益</w:t>
                </w:r>
              </w:p>
            </w:tc>
          </w:tr>
          <w:tr w:rsidR="00DE031E" w:rsidRPr="00D57691" w:rsidTr="00DE031E">
            <w:trPr>
              <w:trHeight w:val="360"/>
              <w:jc w:val="center"/>
            </w:trPr>
            <w:tc>
              <w:tcPr>
                <w:tcW w:w="2484" w:type="pct"/>
                <w:vMerge/>
                <w:tcBorders>
                  <w:top w:val="single" w:sz="4" w:space="0" w:color="auto"/>
                  <w:left w:val="single" w:sz="4" w:space="0" w:color="auto"/>
                  <w:bottom w:val="single" w:sz="4" w:space="0" w:color="auto"/>
                  <w:right w:val="single" w:sz="4" w:space="0" w:color="auto"/>
                </w:tcBorders>
                <w:vAlign w:val="center"/>
              </w:tcPr>
              <w:p w:rsidR="00DE031E" w:rsidRPr="00D57691" w:rsidRDefault="00DE031E">
                <w:pPr>
                  <w:jc w:val="center"/>
                  <w:rPr>
                    <w:rFonts w:asciiTheme="minorEastAsia" w:eastAsiaTheme="minorEastAsia" w:hAnsiTheme="minorEastAsia"/>
                    <w:sz w:val="18"/>
                    <w:szCs w:val="18"/>
                  </w:rPr>
                </w:pPr>
              </w:p>
            </w:tc>
            <w:tc>
              <w:tcPr>
                <w:tcW w:w="780" w:type="pct"/>
                <w:vMerge/>
                <w:tcBorders>
                  <w:left w:val="single" w:sz="4" w:space="0" w:color="auto"/>
                  <w:bottom w:val="single" w:sz="4" w:space="0" w:color="auto"/>
                  <w:right w:val="single" w:sz="4" w:space="0" w:color="auto"/>
                </w:tcBorders>
                <w:vAlign w:val="center"/>
              </w:tcPr>
              <w:p w:rsidR="00DE031E" w:rsidRPr="00D57691" w:rsidRDefault="00DE031E">
                <w:pPr>
                  <w:jc w:val="center"/>
                  <w:rPr>
                    <w:rFonts w:asciiTheme="minorEastAsia" w:eastAsiaTheme="minorEastAsia" w:hAnsiTheme="minorEastAsia"/>
                    <w:sz w:val="18"/>
                    <w:szCs w:val="18"/>
                  </w:rPr>
                </w:pPr>
              </w:p>
            </w:tc>
            <w:tc>
              <w:tcPr>
                <w:tcW w:w="888" w:type="pct"/>
                <w:tcBorders>
                  <w:top w:val="single" w:sz="4" w:space="0" w:color="auto"/>
                  <w:left w:val="single" w:sz="4" w:space="0" w:color="auto"/>
                  <w:bottom w:val="single" w:sz="4" w:space="0" w:color="auto"/>
                  <w:right w:val="single" w:sz="4" w:space="0" w:color="auto"/>
                </w:tcBorders>
                <w:vAlign w:val="center"/>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sz w:val="18"/>
                    <w:szCs w:val="18"/>
                  </w:rPr>
                  <w:t>基本每股收益</w:t>
                </w:r>
              </w:p>
            </w:tc>
            <w:tc>
              <w:tcPr>
                <w:tcW w:w="848" w:type="pct"/>
                <w:tcBorders>
                  <w:top w:val="single" w:sz="4" w:space="0" w:color="auto"/>
                  <w:left w:val="single" w:sz="4" w:space="0" w:color="auto"/>
                  <w:bottom w:val="single" w:sz="4" w:space="0" w:color="auto"/>
                  <w:right w:val="single" w:sz="4" w:space="0" w:color="auto"/>
                </w:tcBorders>
                <w:vAlign w:val="center"/>
              </w:tcPr>
              <w:p w:rsidR="00DE031E" w:rsidRPr="00D57691" w:rsidRDefault="001C1A59">
                <w:pPr>
                  <w:jc w:val="center"/>
                  <w:rPr>
                    <w:rFonts w:asciiTheme="minorEastAsia" w:eastAsiaTheme="minorEastAsia" w:hAnsiTheme="minorEastAsia"/>
                    <w:sz w:val="18"/>
                    <w:szCs w:val="18"/>
                  </w:rPr>
                </w:pPr>
                <w:r w:rsidRPr="00D57691">
                  <w:rPr>
                    <w:rFonts w:asciiTheme="minorEastAsia" w:eastAsiaTheme="minorEastAsia" w:hAnsiTheme="minorEastAsia"/>
                    <w:sz w:val="18"/>
                    <w:szCs w:val="18"/>
                  </w:rPr>
                  <w:t>稀释每股收益</w:t>
                </w:r>
              </w:p>
            </w:tc>
          </w:tr>
          <w:tr w:rsidR="00DE031E" w:rsidRPr="00D57691" w:rsidTr="00DE031E">
            <w:trPr>
              <w:trHeight w:val="360"/>
              <w:jc w:val="center"/>
            </w:trPr>
            <w:tc>
              <w:tcPr>
                <w:tcW w:w="2484" w:type="pct"/>
                <w:tcBorders>
                  <w:top w:val="single" w:sz="4" w:space="0" w:color="auto"/>
                  <w:left w:val="single" w:sz="4" w:space="0" w:color="auto"/>
                  <w:bottom w:val="single" w:sz="4" w:space="0" w:color="auto"/>
                  <w:right w:val="single" w:sz="4" w:space="0" w:color="auto"/>
                </w:tcBorders>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sz w:val="18"/>
                    <w:szCs w:val="18"/>
                  </w:rPr>
                  <w:t>归属于公司普通股股东的净利润</w:t>
                </w:r>
              </w:p>
            </w:tc>
            <w:tc>
              <w:tcPr>
                <w:tcW w:w="780" w:type="pct"/>
                <w:tcBorders>
                  <w:top w:val="single" w:sz="4" w:space="0" w:color="auto"/>
                  <w:left w:val="single" w:sz="4" w:space="0" w:color="auto"/>
                  <w:bottom w:val="single" w:sz="4" w:space="0" w:color="auto"/>
                  <w:right w:val="single" w:sz="4" w:space="0" w:color="auto"/>
                </w:tcBorders>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净利润_加权平均_净资产收益率"/>
                    <w:tag w:val="_GBC_026b323a686e48499f98029382f6f764"/>
                    <w:id w:val="24727211"/>
                    <w:lock w:val="sdtLocked"/>
                  </w:sdtPr>
                  <w:sdtContent>
                    <w:r w:rsidR="001C1A59" w:rsidRPr="00F916DB">
                      <w:rPr>
                        <w:rFonts w:asciiTheme="minorEastAsia" w:eastAsiaTheme="minorEastAsia" w:hAnsiTheme="minorEastAsia" w:cs="Arial"/>
                        <w:sz w:val="18"/>
                        <w:szCs w:val="18"/>
                      </w:rPr>
                      <w:t>16.19%</w:t>
                    </w:r>
                  </w:sdtContent>
                </w:sdt>
              </w:p>
            </w:tc>
            <w:tc>
              <w:tcPr>
                <w:tcW w:w="888" w:type="pct"/>
                <w:tcBorders>
                  <w:top w:val="single" w:sz="4" w:space="0" w:color="auto"/>
                  <w:left w:val="single" w:sz="4" w:space="0" w:color="auto"/>
                  <w:bottom w:val="single" w:sz="4" w:space="0" w:color="auto"/>
                  <w:right w:val="single" w:sz="4" w:space="0" w:color="auto"/>
                </w:tcBorders>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基本每股收益"/>
                    <w:tag w:val="_GBC_10d67acd88064ddf9123ebd6730a06b1"/>
                    <w:id w:val="24727212"/>
                    <w:lock w:val="sdtLocked"/>
                  </w:sdtPr>
                  <w:sdtContent>
                    <w:r w:rsidR="001C1A59" w:rsidRPr="00D57691">
                      <w:rPr>
                        <w:rFonts w:asciiTheme="minorEastAsia" w:eastAsiaTheme="minorEastAsia" w:hAnsiTheme="minorEastAsia" w:cs="Arial"/>
                        <w:sz w:val="18"/>
                        <w:szCs w:val="18"/>
                      </w:rPr>
                      <w:t>1.2594</w:t>
                    </w:r>
                  </w:sdtContent>
                </w:sdt>
              </w:p>
            </w:tc>
            <w:tc>
              <w:tcPr>
                <w:tcW w:w="848" w:type="pct"/>
                <w:tcBorders>
                  <w:top w:val="single" w:sz="4" w:space="0" w:color="auto"/>
                  <w:left w:val="single" w:sz="4" w:space="0" w:color="auto"/>
                  <w:bottom w:val="single" w:sz="4" w:space="0" w:color="auto"/>
                  <w:right w:val="single" w:sz="4" w:space="0" w:color="auto"/>
                </w:tcBorders>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稀释每股收益"/>
                    <w:tag w:val="_GBC_b152853b6d3840e3b286703ab921b166"/>
                    <w:id w:val="24727213"/>
                    <w:lock w:val="sdtLocked"/>
                  </w:sdtPr>
                  <w:sdtContent>
                    <w:r w:rsidR="001C1A59" w:rsidRPr="00D57691">
                      <w:rPr>
                        <w:rFonts w:asciiTheme="minorEastAsia" w:eastAsiaTheme="minorEastAsia" w:hAnsiTheme="minorEastAsia" w:cs="Arial"/>
                        <w:sz w:val="18"/>
                        <w:szCs w:val="18"/>
                      </w:rPr>
                      <w:t>1.2594</w:t>
                    </w:r>
                  </w:sdtContent>
                </w:sdt>
              </w:p>
            </w:tc>
          </w:tr>
          <w:tr w:rsidR="00DE031E" w:rsidRPr="00D57691" w:rsidTr="00DE031E">
            <w:trPr>
              <w:trHeight w:val="360"/>
              <w:jc w:val="center"/>
            </w:trPr>
            <w:tc>
              <w:tcPr>
                <w:tcW w:w="2484" w:type="pct"/>
                <w:tcBorders>
                  <w:top w:val="single" w:sz="4" w:space="0" w:color="auto"/>
                  <w:left w:val="single" w:sz="4" w:space="0" w:color="auto"/>
                  <w:bottom w:val="single" w:sz="4" w:space="0" w:color="auto"/>
                  <w:right w:val="single" w:sz="4" w:space="0" w:color="auto"/>
                </w:tcBorders>
              </w:tcPr>
              <w:p w:rsidR="00DE031E" w:rsidRPr="00D57691" w:rsidRDefault="001C1A59">
                <w:pPr>
                  <w:rPr>
                    <w:rFonts w:asciiTheme="minorEastAsia" w:eastAsiaTheme="minorEastAsia" w:hAnsiTheme="minorEastAsia"/>
                    <w:sz w:val="18"/>
                    <w:szCs w:val="18"/>
                  </w:rPr>
                </w:pPr>
                <w:r w:rsidRPr="00D57691">
                  <w:rPr>
                    <w:rFonts w:asciiTheme="minorEastAsia" w:eastAsiaTheme="minorEastAsia" w:hAnsiTheme="minorEastAsia"/>
                    <w:sz w:val="18"/>
                    <w:szCs w:val="18"/>
                  </w:rPr>
                  <w:t>扣除非经常性损益后归属于公司普通股股东的净利润</w:t>
                </w:r>
              </w:p>
            </w:tc>
            <w:tc>
              <w:tcPr>
                <w:tcW w:w="780" w:type="pct"/>
                <w:tcBorders>
                  <w:top w:val="single" w:sz="4" w:space="0" w:color="auto"/>
                  <w:left w:val="single" w:sz="4" w:space="0" w:color="auto"/>
                  <w:bottom w:val="single" w:sz="4" w:space="0" w:color="auto"/>
                  <w:right w:val="single" w:sz="4" w:space="0" w:color="auto"/>
                </w:tcBorders>
              </w:tcPr>
              <w:p w:rsidR="00DE031E" w:rsidRPr="00D57691" w:rsidRDefault="00422DCA" w:rsidP="00DE031E">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扣除非经常性损益的净利润的加权平均净资产收益率"/>
                    <w:tag w:val="_GBC_ff6b86130e7343048767c622ffa9771f"/>
                    <w:id w:val="24727214"/>
                    <w:lock w:val="sdtLocked"/>
                  </w:sdtPr>
                  <w:sdtContent>
                    <w:r w:rsidR="001C1A59" w:rsidRPr="00F916DB">
                      <w:rPr>
                        <w:rFonts w:asciiTheme="minorEastAsia" w:eastAsiaTheme="minorEastAsia" w:hAnsiTheme="minorEastAsia" w:cs="Arial"/>
                        <w:sz w:val="18"/>
                        <w:szCs w:val="18"/>
                      </w:rPr>
                      <w:t>16.1</w:t>
                    </w:r>
                    <w:r w:rsidR="001C1A59" w:rsidRPr="00F916DB">
                      <w:rPr>
                        <w:rFonts w:asciiTheme="minorEastAsia" w:eastAsiaTheme="minorEastAsia" w:hAnsiTheme="minorEastAsia" w:cs="Arial" w:hint="eastAsia"/>
                        <w:sz w:val="18"/>
                        <w:szCs w:val="18"/>
                      </w:rPr>
                      <w:t>6</w:t>
                    </w:r>
                    <w:r w:rsidR="001C1A59" w:rsidRPr="00F916DB">
                      <w:rPr>
                        <w:rFonts w:asciiTheme="minorEastAsia" w:eastAsiaTheme="minorEastAsia" w:hAnsiTheme="minorEastAsia" w:cs="Arial"/>
                        <w:sz w:val="18"/>
                        <w:szCs w:val="18"/>
                      </w:rPr>
                      <w:t>%</w:t>
                    </w:r>
                  </w:sdtContent>
                </w:sdt>
              </w:p>
            </w:tc>
            <w:tc>
              <w:tcPr>
                <w:tcW w:w="888" w:type="pct"/>
                <w:tcBorders>
                  <w:top w:val="single" w:sz="4" w:space="0" w:color="auto"/>
                  <w:left w:val="single" w:sz="4" w:space="0" w:color="auto"/>
                  <w:bottom w:val="single" w:sz="4" w:space="0" w:color="auto"/>
                  <w:right w:val="single" w:sz="4" w:space="0" w:color="auto"/>
                </w:tcBorders>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扣除非经常性损益后归属于公司普通股股东的净利润基本每股收益"/>
                    <w:tag w:val="_GBC_dea89911818e4808aeac948e3d43ced2"/>
                    <w:id w:val="24727215"/>
                    <w:lock w:val="sdtLocked"/>
                  </w:sdtPr>
                  <w:sdtContent>
                    <w:r w:rsidR="001C1A59" w:rsidRPr="00D57691">
                      <w:rPr>
                        <w:rFonts w:asciiTheme="minorEastAsia" w:eastAsiaTheme="minorEastAsia" w:hAnsiTheme="minorEastAsia" w:cs="Arial"/>
                        <w:sz w:val="18"/>
                        <w:szCs w:val="18"/>
                      </w:rPr>
                      <w:t>1.2563</w:t>
                    </w:r>
                  </w:sdtContent>
                </w:sdt>
              </w:p>
            </w:tc>
            <w:tc>
              <w:tcPr>
                <w:tcW w:w="848" w:type="pct"/>
                <w:tcBorders>
                  <w:top w:val="single" w:sz="4" w:space="0" w:color="auto"/>
                  <w:left w:val="single" w:sz="4" w:space="0" w:color="auto"/>
                  <w:bottom w:val="single" w:sz="4" w:space="0" w:color="auto"/>
                  <w:right w:val="single" w:sz="4" w:space="0" w:color="auto"/>
                </w:tcBorders>
              </w:tcPr>
              <w:p w:rsidR="00DE031E" w:rsidRPr="00D57691" w:rsidRDefault="00422DC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扣除非经常性损益后归属于公司普通股股东的净利润稀释每股收益"/>
                    <w:tag w:val="_GBC_f88322ba56fd43f08018a17c09004acb"/>
                    <w:id w:val="24727216"/>
                    <w:lock w:val="sdtLocked"/>
                  </w:sdtPr>
                  <w:sdtContent>
                    <w:r w:rsidR="001C1A59" w:rsidRPr="00D57691">
                      <w:rPr>
                        <w:rFonts w:asciiTheme="minorEastAsia" w:eastAsiaTheme="minorEastAsia" w:hAnsiTheme="minorEastAsia" w:cs="Arial"/>
                        <w:sz w:val="18"/>
                        <w:szCs w:val="18"/>
                      </w:rPr>
                      <w:t>1.2563</w:t>
                    </w:r>
                  </w:sdtContent>
                </w:sdt>
              </w:p>
            </w:tc>
          </w:tr>
        </w:tbl>
        <w:p w:rsidR="00DE031E" w:rsidRDefault="00422DCA">
          <w:pPr>
            <w:rPr>
              <w:szCs w:val="21"/>
            </w:rPr>
          </w:pPr>
        </w:p>
      </w:sdtContent>
    </w:sdt>
    <w:p w:rsidR="00DE031E" w:rsidRDefault="001C1A59" w:rsidP="009950AC">
      <w:pPr>
        <w:pStyle w:val="3"/>
        <w:numPr>
          <w:ilvl w:val="0"/>
          <w:numId w:val="81"/>
        </w:numPr>
        <w:spacing w:line="360" w:lineRule="auto"/>
        <w:rPr>
          <w:rFonts w:ascii="宋体" w:hAnsi="宋体"/>
          <w:szCs w:val="21"/>
        </w:rPr>
      </w:pPr>
      <w:r>
        <w:rPr>
          <w:rFonts w:ascii="宋体" w:hAnsi="宋体" w:hint="eastAsia"/>
          <w:szCs w:val="21"/>
        </w:rPr>
        <w:t>境内外会计准则下会计数据差异</w:t>
      </w:r>
    </w:p>
    <w:sdt>
      <w:sdtPr>
        <w:alias w:val="是否适用：境内外会计准则下会计数据差异"/>
        <w:tag w:val="_GBC_fca6a659195f412c90423f326f5c5305"/>
        <w:id w:val="24727218"/>
        <w:lock w:val="sdtLocked"/>
        <w:placeholder>
          <w:docPart w:val="GBC22222222222222222222222222222"/>
        </w:placeholder>
      </w:sdtPr>
      <w:sdtContent>
        <w:p w:rsidR="00DE031E" w:rsidRPr="00187BC5" w:rsidRDefault="00422DCA">
          <w:pPr>
            <w:rPr>
              <w:rFonts w:cstheme="minorBidi"/>
              <w:kern w:val="2"/>
              <w:szCs w:val="21"/>
            </w:rPr>
          </w:pPr>
          <w:r>
            <w:fldChar w:fldCharType="begin"/>
          </w:r>
          <w:r w:rsidR="001C1A59">
            <w:instrText xml:space="preserve"> MACROBUTTON  SnrToggleCheckbox □适用 </w:instrText>
          </w:r>
          <w:r>
            <w:fldChar w:fldCharType="end"/>
          </w:r>
          <w:r>
            <w:fldChar w:fldCharType="begin"/>
          </w:r>
          <w:r w:rsidR="001C1A59">
            <w:instrText xml:space="preserve"> MACROBUTTON  SnrToggleCheckbox √不适用 </w:instrText>
          </w:r>
          <w:r>
            <w:fldChar w:fldCharType="end"/>
          </w:r>
        </w:p>
      </w:sdtContent>
    </w:sdt>
    <w:p w:rsidR="00704CAD" w:rsidRDefault="00720895">
      <w:pPr>
        <w:pStyle w:val="10"/>
        <w:numPr>
          <w:ilvl w:val="0"/>
          <w:numId w:val="3"/>
        </w:numPr>
        <w:rPr>
          <w:rFonts w:ascii="黑体" w:hAnsi="黑体"/>
          <w:bCs w:val="0"/>
          <w:szCs w:val="28"/>
        </w:rPr>
      </w:pPr>
      <w:bookmarkStart w:id="75" w:name="_Toc421545517"/>
      <w:r>
        <w:rPr>
          <w:rFonts w:ascii="黑体" w:hAnsi="黑体"/>
          <w:bCs w:val="0"/>
        </w:rPr>
        <w:t>备查</w:t>
      </w:r>
      <w:r>
        <w:rPr>
          <w:rFonts w:ascii="黑体" w:hAnsi="黑体"/>
          <w:bCs w:val="0"/>
          <w:szCs w:val="28"/>
        </w:rPr>
        <w:t>文件目录</w:t>
      </w:r>
      <w:bookmarkEnd w:id="75"/>
    </w:p>
    <w:sdt>
      <w:sdtPr>
        <w:rPr>
          <w:b/>
          <w:bCs/>
          <w:sz w:val="24"/>
        </w:rPr>
        <w:tag w:val="_GBC_963a7d90a6f14cd592de64155ea294f1"/>
        <w:id w:val="24727227"/>
        <w:lock w:val="sdtLocked"/>
        <w:placeholder>
          <w:docPart w:val="GBC22222222222222222222222222222"/>
        </w:placeholder>
      </w:sdtPr>
      <w:sdtEndPr>
        <w:rPr>
          <w:b w:val="0"/>
          <w:bCs w:val="0"/>
          <w:sz w:val="21"/>
        </w:rPr>
      </w:sdtEndPr>
      <w:sdtContent>
        <w:p w:rsidR="00704CAD" w:rsidRDefault="00704CAD">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24727220"/>
              <w:lock w:val="sdtLocked"/>
            </w:sdtPr>
            <w:sdtContent>
              <w:tr w:rsidR="00C817D8" w:rsidTr="00C817D8">
                <w:trPr>
                  <w:cantSplit/>
                </w:trPr>
                <w:tc>
                  <w:tcPr>
                    <w:tcW w:w="1290" w:type="pct"/>
                    <w:tcBorders>
                      <w:top w:val="single" w:sz="4" w:space="0" w:color="auto"/>
                      <w:left w:val="single" w:sz="4" w:space="0" w:color="auto"/>
                      <w:bottom w:val="single" w:sz="4" w:space="0" w:color="auto"/>
                      <w:right w:val="single" w:sz="4" w:space="0" w:color="auto"/>
                    </w:tcBorders>
                    <w:vAlign w:val="center"/>
                  </w:tcPr>
                  <w:p w:rsidR="00C817D8" w:rsidRDefault="00C817D8" w:rsidP="00C817D8">
                    <w:pPr>
                      <w:autoSpaceDE w:val="0"/>
                      <w:autoSpaceDN w:val="0"/>
                      <w:adjustRightInd w:val="0"/>
                      <w:jc w:val="center"/>
                    </w:pPr>
                    <w:r>
                      <w:t>备查文件目录</w:t>
                    </w:r>
                  </w:p>
                </w:tc>
                <w:sdt>
                  <w:sdtPr>
                    <w:alias w:val="备查文件目录"/>
                    <w:tag w:val="_GBC_b76ea437bdf44553a05f7cdddf7f7ee4"/>
                    <w:id w:val="24727219"/>
                    <w:lock w:val="sdtLocked"/>
                  </w:sdtPr>
                  <w:sdtContent>
                    <w:tc>
                      <w:tcPr>
                        <w:tcW w:w="3710" w:type="pct"/>
                        <w:tcBorders>
                          <w:top w:val="single" w:sz="4" w:space="0" w:color="auto"/>
                          <w:left w:val="single" w:sz="4" w:space="0" w:color="auto"/>
                          <w:bottom w:val="single" w:sz="4" w:space="0" w:color="auto"/>
                          <w:right w:val="single" w:sz="4" w:space="0" w:color="auto"/>
                        </w:tcBorders>
                      </w:tcPr>
                      <w:p w:rsidR="00C817D8" w:rsidRDefault="00C817D8" w:rsidP="00C817D8">
                        <w:pPr>
                          <w:autoSpaceDE w:val="0"/>
                          <w:autoSpaceDN w:val="0"/>
                          <w:adjustRightInd w:val="0"/>
                        </w:pPr>
                        <w:r>
                          <w:rPr>
                            <w:rFonts w:hint="eastAsia"/>
                          </w:rPr>
                          <w:t>（一）载有公司法定代表人、主管会计工作负责人、会计机构负责人签名并盖章的财务报表。</w:t>
                        </w:r>
                      </w:p>
                    </w:tc>
                  </w:sdtContent>
                </w:sdt>
              </w:tr>
            </w:sdtContent>
          </w:sdt>
          <w:sdt>
            <w:sdtPr>
              <w:alias w:val="备查文件情况"/>
              <w:tag w:val="_GBC_a1af99b129a74e47a865dd7d29f8fd1f"/>
              <w:id w:val="24727222"/>
              <w:lock w:val="sdtLocked"/>
            </w:sdtPr>
            <w:sdtContent>
              <w:tr w:rsidR="00C817D8" w:rsidTr="00C817D8">
                <w:trPr>
                  <w:cantSplit/>
                </w:trPr>
                <w:tc>
                  <w:tcPr>
                    <w:tcW w:w="1290" w:type="pct"/>
                    <w:tcBorders>
                      <w:top w:val="single" w:sz="4" w:space="0" w:color="auto"/>
                      <w:left w:val="single" w:sz="4" w:space="0" w:color="auto"/>
                      <w:bottom w:val="single" w:sz="4" w:space="0" w:color="auto"/>
                      <w:right w:val="single" w:sz="4" w:space="0" w:color="auto"/>
                    </w:tcBorders>
                    <w:vAlign w:val="center"/>
                  </w:tcPr>
                  <w:p w:rsidR="00C817D8" w:rsidRDefault="00C817D8" w:rsidP="00C817D8">
                    <w:pPr>
                      <w:autoSpaceDE w:val="0"/>
                      <w:autoSpaceDN w:val="0"/>
                      <w:adjustRightInd w:val="0"/>
                      <w:jc w:val="center"/>
                    </w:pPr>
                    <w:r>
                      <w:t>备查文件目录</w:t>
                    </w:r>
                  </w:p>
                </w:tc>
                <w:sdt>
                  <w:sdtPr>
                    <w:alias w:val="备查文件目录"/>
                    <w:tag w:val="_GBC_b76ea437bdf44553a05f7cdddf7f7ee4"/>
                    <w:id w:val="24727221"/>
                    <w:lock w:val="sdtLocked"/>
                  </w:sdtPr>
                  <w:sdtContent>
                    <w:tc>
                      <w:tcPr>
                        <w:tcW w:w="3710" w:type="pct"/>
                        <w:tcBorders>
                          <w:top w:val="single" w:sz="4" w:space="0" w:color="auto"/>
                          <w:left w:val="single" w:sz="4" w:space="0" w:color="auto"/>
                          <w:bottom w:val="single" w:sz="4" w:space="0" w:color="auto"/>
                          <w:right w:val="single" w:sz="4" w:space="0" w:color="auto"/>
                        </w:tcBorders>
                      </w:tcPr>
                      <w:p w:rsidR="00C817D8" w:rsidRDefault="00C817D8" w:rsidP="004C3755">
                        <w:pPr>
                          <w:autoSpaceDE w:val="0"/>
                          <w:autoSpaceDN w:val="0"/>
                          <w:adjustRightInd w:val="0"/>
                        </w:pPr>
                        <w:r>
                          <w:rPr>
                            <w:rFonts w:hint="eastAsia"/>
                          </w:rPr>
                          <w:t>（</w:t>
                        </w:r>
                        <w:r w:rsidR="004C3755">
                          <w:rPr>
                            <w:rFonts w:hint="eastAsia"/>
                          </w:rPr>
                          <w:t>二</w:t>
                        </w:r>
                        <w:r>
                          <w:rPr>
                            <w:rFonts w:hint="eastAsia"/>
                          </w:rPr>
                          <w:t>）报告期内在中国证监会指定网站上公开披露过的所有公司文件的正本及公告的原稿。</w:t>
                        </w:r>
                      </w:p>
                    </w:tc>
                  </w:sdtContent>
                </w:sdt>
              </w:tr>
            </w:sdtContent>
          </w:sdt>
          <w:sdt>
            <w:sdtPr>
              <w:alias w:val="备查文件情况"/>
              <w:tag w:val="_GBC_a1af99b129a74e47a865dd7d29f8fd1f"/>
              <w:id w:val="24727224"/>
              <w:lock w:val="sdtLocked"/>
            </w:sdtPr>
            <w:sdtContent>
              <w:tr w:rsidR="00C817D8" w:rsidTr="00C817D8">
                <w:trPr>
                  <w:cantSplit/>
                </w:trPr>
                <w:tc>
                  <w:tcPr>
                    <w:tcW w:w="1290" w:type="pct"/>
                    <w:tcBorders>
                      <w:top w:val="single" w:sz="4" w:space="0" w:color="auto"/>
                      <w:left w:val="single" w:sz="4" w:space="0" w:color="auto"/>
                      <w:bottom w:val="single" w:sz="4" w:space="0" w:color="auto"/>
                      <w:right w:val="single" w:sz="4" w:space="0" w:color="auto"/>
                    </w:tcBorders>
                    <w:vAlign w:val="center"/>
                  </w:tcPr>
                  <w:p w:rsidR="00C817D8" w:rsidRDefault="00C817D8" w:rsidP="00C817D8">
                    <w:pPr>
                      <w:autoSpaceDE w:val="0"/>
                      <w:autoSpaceDN w:val="0"/>
                      <w:adjustRightInd w:val="0"/>
                      <w:jc w:val="center"/>
                    </w:pPr>
                    <w:r>
                      <w:t>备查文件目录</w:t>
                    </w:r>
                  </w:p>
                </w:tc>
                <w:sdt>
                  <w:sdtPr>
                    <w:alias w:val="备查文件目录"/>
                    <w:tag w:val="_GBC_b76ea437bdf44553a05f7cdddf7f7ee4"/>
                    <w:id w:val="24727223"/>
                    <w:lock w:val="sdtLocked"/>
                  </w:sdtPr>
                  <w:sdtContent>
                    <w:tc>
                      <w:tcPr>
                        <w:tcW w:w="3710" w:type="pct"/>
                        <w:tcBorders>
                          <w:top w:val="single" w:sz="4" w:space="0" w:color="auto"/>
                          <w:left w:val="single" w:sz="4" w:space="0" w:color="auto"/>
                          <w:bottom w:val="single" w:sz="4" w:space="0" w:color="auto"/>
                          <w:right w:val="single" w:sz="4" w:space="0" w:color="auto"/>
                        </w:tcBorders>
                      </w:tcPr>
                      <w:p w:rsidR="00C817D8" w:rsidRDefault="00C817D8" w:rsidP="004C3755">
                        <w:pPr>
                          <w:autoSpaceDE w:val="0"/>
                          <w:autoSpaceDN w:val="0"/>
                          <w:adjustRightInd w:val="0"/>
                        </w:pPr>
                        <w:r>
                          <w:rPr>
                            <w:rFonts w:hint="eastAsia"/>
                          </w:rPr>
                          <w:t>（</w:t>
                        </w:r>
                        <w:r w:rsidR="004C3755">
                          <w:rPr>
                            <w:rFonts w:hint="eastAsia"/>
                          </w:rPr>
                          <w:t>三</w:t>
                        </w:r>
                        <w:r>
                          <w:rPr>
                            <w:rFonts w:hint="eastAsia"/>
                          </w:rPr>
                          <w:t>）其他有关资料。</w:t>
                        </w:r>
                      </w:p>
                    </w:tc>
                  </w:sdtContent>
                </w:sdt>
              </w:tr>
            </w:sdtContent>
          </w:sdt>
        </w:tbl>
        <w:p w:rsidR="00C817D8" w:rsidRDefault="00C817D8"/>
        <w:p w:rsidR="00704CAD" w:rsidRDefault="00720895">
          <w:pPr>
            <w:wordWrap w:val="0"/>
            <w:spacing w:line="360" w:lineRule="exact"/>
            <w:jc w:val="right"/>
            <w:rPr>
              <w:u w:val="single"/>
            </w:rPr>
          </w:pPr>
          <w:r>
            <w:t>董事长：</w:t>
          </w:r>
          <w:sdt>
            <w:sdtPr>
              <w:alias w:val="报告发布人"/>
              <w:tag w:val="_GBC_c7ba2bb638cf41b594c93928cb88221a"/>
              <w:id w:val="24727225"/>
              <w:lock w:val="sdtLocked"/>
              <w:placeholder>
                <w:docPart w:val="GBC22222222222222222222222222222"/>
              </w:placeholder>
            </w:sdtPr>
            <w:sdtContent>
              <w:r w:rsidR="00C817D8">
                <w:rPr>
                  <w:rFonts w:hint="eastAsia"/>
                </w:rPr>
                <w:t>宫少林</w:t>
              </w:r>
            </w:sdtContent>
          </w:sdt>
        </w:p>
        <w:p w:rsidR="00704CAD" w:rsidRDefault="00720895">
          <w:pPr>
            <w:spacing w:line="360" w:lineRule="exact"/>
            <w:jc w:val="right"/>
            <w:rPr>
              <w:color w:val="008000"/>
              <w:u w:val="single"/>
            </w:rPr>
          </w:pPr>
          <w:r>
            <w:t>董事会批准报送日期：</w:t>
          </w:r>
          <w:sdt>
            <w:sdtPr>
              <w:alias w:val="报告董事会批准报送日期"/>
              <w:tag w:val="_GBC_71049e7f7e514ae7b28070ad1a1eb831"/>
              <w:id w:val="24727226"/>
              <w:lock w:val="sdtLocked"/>
              <w:placeholder>
                <w:docPart w:val="GBC22222222222222222222222222222"/>
              </w:placeholder>
            </w:sdtPr>
            <w:sdtContent>
              <w:r w:rsidR="00C817D8">
                <w:rPr>
                  <w:rFonts w:hint="eastAsia"/>
                </w:rPr>
                <w:t>2015年8月</w:t>
              </w:r>
              <w:r w:rsidR="004C3755">
                <w:rPr>
                  <w:rFonts w:hint="eastAsia"/>
                </w:rPr>
                <w:t>17</w:t>
              </w:r>
              <w:r w:rsidR="00C817D8">
                <w:rPr>
                  <w:rFonts w:hint="eastAsia"/>
                </w:rPr>
                <w:t>日</w:t>
              </w:r>
            </w:sdtContent>
          </w:sdt>
        </w:p>
      </w:sdtContent>
    </w:sdt>
    <w:p w:rsidR="00704CAD" w:rsidRDefault="00704CAD">
      <w:pPr>
        <w:spacing w:line="360" w:lineRule="exact"/>
        <w:ind w:right="5"/>
        <w:jc w:val="center"/>
        <w:rPr>
          <w:u w:val="single"/>
        </w:rPr>
      </w:pPr>
    </w:p>
    <w:sdt>
      <w:sdtPr>
        <w:rPr>
          <w:sz w:val="24"/>
        </w:rPr>
        <w:tag w:val="_GBC_e51b54728b2e4e53b95b0611d0df9b06"/>
        <w:id w:val="24727236"/>
        <w:lock w:val="sdtLocked"/>
        <w:placeholder>
          <w:docPart w:val="GBC22222222222222222222222222222"/>
        </w:placeholder>
      </w:sdtPr>
      <w:sdtEndPr>
        <w:rPr>
          <w:sz w:val="21"/>
        </w:rPr>
      </w:sdtEndPr>
      <w:sdtContent>
        <w:p w:rsidR="00704CAD" w:rsidRDefault="00720895">
          <w:pPr>
            <w:spacing w:line="360" w:lineRule="exact"/>
            <w:ind w:right="5"/>
            <w:rPr>
              <w:b/>
              <w:bCs/>
            </w:rPr>
          </w:pPr>
          <w:r>
            <w:rPr>
              <w:b/>
              <w:sz w:val="24"/>
            </w:rPr>
            <w:t>修订信息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963"/>
            <w:gridCol w:w="2965"/>
            <w:gridCol w:w="2965"/>
          </w:tblGrid>
          <w:tr w:rsidR="00704CAD" w:rsidTr="00747106">
            <w:tc>
              <w:tcPr>
                <w:tcW w:w="1666" w:type="pct"/>
                <w:tcBorders>
                  <w:top w:val="single" w:sz="4" w:space="0" w:color="auto"/>
                  <w:left w:val="single" w:sz="4" w:space="0" w:color="auto"/>
                  <w:bottom w:val="single" w:sz="4" w:space="0" w:color="auto"/>
                  <w:right w:val="single" w:sz="4" w:space="0" w:color="auto"/>
                </w:tcBorders>
                <w:vAlign w:val="center"/>
              </w:tcPr>
              <w:p w:rsidR="00704CAD" w:rsidRDefault="00720895">
                <w:pPr>
                  <w:autoSpaceDE w:val="0"/>
                  <w:autoSpaceDN w:val="0"/>
                  <w:adjustRightInd w:val="0"/>
                  <w:jc w:val="center"/>
                </w:pPr>
                <w:r>
                  <w:t>报告版本号</w:t>
                </w:r>
              </w:p>
            </w:tc>
            <w:tc>
              <w:tcPr>
                <w:tcW w:w="1667" w:type="pct"/>
                <w:tcBorders>
                  <w:top w:val="single" w:sz="4" w:space="0" w:color="auto"/>
                  <w:left w:val="single" w:sz="4" w:space="0" w:color="auto"/>
                  <w:bottom w:val="single" w:sz="4" w:space="0" w:color="auto"/>
                  <w:right w:val="single" w:sz="4" w:space="0" w:color="auto"/>
                </w:tcBorders>
                <w:vAlign w:val="center"/>
              </w:tcPr>
              <w:p w:rsidR="00704CAD" w:rsidRDefault="00720895">
                <w:pPr>
                  <w:autoSpaceDE w:val="0"/>
                  <w:autoSpaceDN w:val="0"/>
                  <w:adjustRightInd w:val="0"/>
                  <w:jc w:val="center"/>
                </w:pPr>
                <w:r>
                  <w:t>更正、补充公告发布时间</w:t>
                </w:r>
              </w:p>
            </w:tc>
            <w:tc>
              <w:tcPr>
                <w:tcW w:w="1667" w:type="pct"/>
                <w:tcBorders>
                  <w:top w:val="single" w:sz="4" w:space="0" w:color="auto"/>
                  <w:left w:val="single" w:sz="4" w:space="0" w:color="auto"/>
                  <w:bottom w:val="single" w:sz="4" w:space="0" w:color="auto"/>
                  <w:right w:val="single" w:sz="4" w:space="0" w:color="auto"/>
                </w:tcBorders>
                <w:vAlign w:val="center"/>
              </w:tcPr>
              <w:p w:rsidR="00704CAD" w:rsidRDefault="00720895">
                <w:pPr>
                  <w:autoSpaceDE w:val="0"/>
                  <w:autoSpaceDN w:val="0"/>
                  <w:adjustRightInd w:val="0"/>
                  <w:jc w:val="center"/>
                </w:pPr>
                <w:r>
                  <w:t>更正、补充公告内容</w:t>
                </w:r>
              </w:p>
            </w:tc>
          </w:tr>
          <w:sdt>
            <w:sdtPr>
              <w:rPr>
                <w:rFonts w:hint="eastAsia"/>
              </w:rPr>
              <w:alias w:val="修订信息"/>
              <w:tag w:val="_GBC_54551da69d2343308a1d31e49f356b9b"/>
              <w:id w:val="24727231"/>
              <w:lock w:val="sdtLocked"/>
            </w:sdtPr>
            <w:sdtContent>
              <w:tr w:rsidR="00704CAD" w:rsidTr="00F96290">
                <w:tc>
                  <w:tcPr>
                    <w:tcW w:w="1666" w:type="pct"/>
                    <w:tcBorders>
                      <w:top w:val="single" w:sz="4" w:space="0" w:color="auto"/>
                      <w:left w:val="single" w:sz="4" w:space="0" w:color="auto"/>
                      <w:bottom w:val="single" w:sz="4" w:space="0" w:color="auto"/>
                      <w:right w:val="single" w:sz="4" w:space="0" w:color="auto"/>
                    </w:tcBorders>
                  </w:tcPr>
                  <w:p w:rsidR="00704CAD" w:rsidRDefault="00422DCA">
                    <w:pPr>
                      <w:autoSpaceDE w:val="0"/>
                      <w:autoSpaceDN w:val="0"/>
                      <w:adjustRightInd w:val="0"/>
                    </w:pPr>
                    <w:sdt>
                      <w:sdtPr>
                        <w:rPr>
                          <w:rFonts w:hint="eastAsia"/>
                        </w:rPr>
                        <w:alias w:val="报告版本号"/>
                        <w:tag w:val="_GBC_6ab57e5041b143a0b2bf18b82c2fe507"/>
                        <w:id w:val="24727228"/>
                        <w:lock w:val="sdtLocked"/>
                        <w:showingPlcHdr/>
                      </w:sdtPr>
                      <w:sdtContent>
                        <w:r w:rsidR="00720895">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704CAD" w:rsidRDefault="00422DCA">
                    <w:pPr>
                      <w:autoSpaceDE w:val="0"/>
                      <w:autoSpaceDN w:val="0"/>
                      <w:adjustRightInd w:val="0"/>
                    </w:pPr>
                    <w:sdt>
                      <w:sdtPr>
                        <w:rPr>
                          <w:rFonts w:hint="eastAsia"/>
                        </w:rPr>
                        <w:alias w:val="报告修订和更正、补充公告发布时间"/>
                        <w:tag w:val="_GBC_934c38d3f4b5429482e81c84b3a4d590"/>
                        <w:id w:val="24727229"/>
                        <w:lock w:val="sdtLocked"/>
                        <w:showingPlcHdr/>
                      </w:sdtPr>
                      <w:sdtContent>
                        <w:r w:rsidR="00720895">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704CAD" w:rsidRDefault="00422DCA">
                    <w:pPr>
                      <w:autoSpaceDE w:val="0"/>
                      <w:autoSpaceDN w:val="0"/>
                      <w:adjustRightInd w:val="0"/>
                    </w:pPr>
                    <w:sdt>
                      <w:sdtPr>
                        <w:rPr>
                          <w:rFonts w:hint="eastAsia"/>
                        </w:rPr>
                        <w:alias w:val="更正、补充公告"/>
                        <w:tag w:val="_GBC_df2ad9b1abb94ac291d968d6014e2d66"/>
                        <w:id w:val="24727230"/>
                        <w:lock w:val="sdtLocked"/>
                        <w:showingPlcHdr/>
                      </w:sdtPr>
                      <w:sdtContent>
                        <w:r w:rsidR="00720895">
                          <w:t xml:space="preserve">　</w:t>
                        </w:r>
                      </w:sdtContent>
                    </w:sdt>
                  </w:p>
                </w:tc>
              </w:tr>
            </w:sdtContent>
          </w:sdt>
          <w:sdt>
            <w:sdtPr>
              <w:rPr>
                <w:rFonts w:hint="eastAsia"/>
              </w:rPr>
              <w:alias w:val="修订信息"/>
              <w:tag w:val="_GBC_54551da69d2343308a1d31e49f356b9b"/>
              <w:id w:val="24727235"/>
              <w:lock w:val="sdtLocked"/>
            </w:sdtPr>
            <w:sdtContent>
              <w:tr w:rsidR="00704CAD" w:rsidTr="00F96290">
                <w:tc>
                  <w:tcPr>
                    <w:tcW w:w="1666" w:type="pct"/>
                    <w:tcBorders>
                      <w:top w:val="single" w:sz="4" w:space="0" w:color="auto"/>
                      <w:left w:val="single" w:sz="4" w:space="0" w:color="auto"/>
                      <w:bottom w:val="single" w:sz="4" w:space="0" w:color="auto"/>
                      <w:right w:val="single" w:sz="4" w:space="0" w:color="auto"/>
                    </w:tcBorders>
                  </w:tcPr>
                  <w:p w:rsidR="00704CAD" w:rsidRDefault="00422DCA">
                    <w:pPr>
                      <w:autoSpaceDE w:val="0"/>
                      <w:autoSpaceDN w:val="0"/>
                      <w:adjustRightInd w:val="0"/>
                    </w:pPr>
                    <w:sdt>
                      <w:sdtPr>
                        <w:rPr>
                          <w:rFonts w:hint="eastAsia"/>
                        </w:rPr>
                        <w:alias w:val="报告版本号"/>
                        <w:tag w:val="_GBC_6ab57e5041b143a0b2bf18b82c2fe507"/>
                        <w:id w:val="24727232"/>
                        <w:lock w:val="sdtLocked"/>
                        <w:showingPlcHdr/>
                      </w:sdtPr>
                      <w:sdtContent>
                        <w:r w:rsidR="00720895">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704CAD" w:rsidRDefault="00422DCA">
                    <w:pPr>
                      <w:autoSpaceDE w:val="0"/>
                      <w:autoSpaceDN w:val="0"/>
                      <w:adjustRightInd w:val="0"/>
                    </w:pPr>
                    <w:sdt>
                      <w:sdtPr>
                        <w:rPr>
                          <w:rFonts w:hint="eastAsia"/>
                        </w:rPr>
                        <w:alias w:val="报告修订和更正、补充公告发布时间"/>
                        <w:tag w:val="_GBC_934c38d3f4b5429482e81c84b3a4d590"/>
                        <w:id w:val="24727233"/>
                        <w:lock w:val="sdtLocked"/>
                        <w:showingPlcHdr/>
                      </w:sdtPr>
                      <w:sdtContent>
                        <w:r w:rsidR="00720895">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704CAD" w:rsidRDefault="00422DCA">
                    <w:pPr>
                      <w:autoSpaceDE w:val="0"/>
                      <w:autoSpaceDN w:val="0"/>
                      <w:adjustRightInd w:val="0"/>
                    </w:pPr>
                    <w:sdt>
                      <w:sdtPr>
                        <w:rPr>
                          <w:rFonts w:hint="eastAsia"/>
                        </w:rPr>
                        <w:alias w:val="更正、补充公告"/>
                        <w:tag w:val="_GBC_df2ad9b1abb94ac291d968d6014e2d66"/>
                        <w:id w:val="24727234"/>
                        <w:lock w:val="sdtLocked"/>
                        <w:showingPlcHdr/>
                      </w:sdtPr>
                      <w:sdtContent>
                        <w:r w:rsidR="00720895">
                          <w:t xml:space="preserve">　</w:t>
                        </w:r>
                      </w:sdtContent>
                    </w:sdt>
                  </w:p>
                </w:tc>
              </w:tr>
            </w:sdtContent>
          </w:sdt>
        </w:tbl>
        <w:p w:rsidR="00704CAD" w:rsidRDefault="00422DCA">
          <w:pPr>
            <w:spacing w:line="360" w:lineRule="exact"/>
            <w:ind w:right="5"/>
          </w:pPr>
        </w:p>
      </w:sdtContent>
    </w:sdt>
    <w:p w:rsidR="00AE7D81" w:rsidRDefault="00AE7D81">
      <w:pPr>
        <w:spacing w:line="360" w:lineRule="exact"/>
        <w:ind w:right="5"/>
      </w:pPr>
    </w:p>
    <w:p w:rsidR="00704CAD" w:rsidRDefault="00720895">
      <w:pPr>
        <w:pStyle w:val="10"/>
        <w:numPr>
          <w:ilvl w:val="0"/>
          <w:numId w:val="3"/>
        </w:numPr>
      </w:pPr>
      <w:bookmarkStart w:id="76" w:name="_Toc421545518"/>
      <w:r>
        <w:rPr>
          <w:rFonts w:hint="eastAsia"/>
        </w:rPr>
        <w:t>证券公司信息披露</w:t>
      </w:r>
      <w:bookmarkEnd w:id="76"/>
    </w:p>
    <w:sdt>
      <w:sdtPr>
        <w:rPr>
          <w:rFonts w:ascii="宋体" w:hAnsi="宋体" w:cs="宋体" w:hint="eastAsia"/>
          <w:b w:val="0"/>
          <w:bCs w:val="0"/>
          <w:kern w:val="0"/>
          <w:szCs w:val="24"/>
        </w:rPr>
        <w:tag w:val="_GBC_969fbe0651014eec96c1405bb1f679b4"/>
        <w:id w:val="24727239"/>
        <w:lock w:val="sdtLocked"/>
        <w:placeholder>
          <w:docPart w:val="GBC22222222222222222222222222222"/>
        </w:placeholder>
      </w:sdtPr>
      <w:sdtContent>
        <w:p w:rsidR="00704CAD" w:rsidRDefault="00720895" w:rsidP="009950AC">
          <w:pPr>
            <w:pStyle w:val="2"/>
            <w:numPr>
              <w:ilvl w:val="0"/>
              <w:numId w:val="23"/>
            </w:numPr>
            <w:tabs>
              <w:tab w:val="left" w:pos="574"/>
            </w:tabs>
          </w:pPr>
          <w:r>
            <w:rPr>
              <w:rFonts w:hint="eastAsia"/>
            </w:rPr>
            <w:t>公司重大行政许可事项的相关情况</w:t>
          </w:r>
        </w:p>
        <w:sdt>
          <w:sdtPr>
            <w:alias w:val="是否适用：公司重大行政许可事项的相关情况"/>
            <w:tag w:val="_GBC_9db9e62c40c44d609623c66f03edcbe5"/>
            <w:id w:val="24727237"/>
            <w:lock w:val="sdtLocked"/>
            <w:placeholder>
              <w:docPart w:val="GBC22222222222222222222222222222"/>
            </w:placeholder>
          </w:sdtPr>
          <w:sdtContent>
            <w:p w:rsidR="00704CAD" w:rsidRDefault="00422DCA">
              <w:r>
                <w:fldChar w:fldCharType="begin"/>
              </w:r>
              <w:r w:rsidR="00BE3605">
                <w:instrText xml:space="preserve"> MACROBUTTON  SnrToggleCheckbox √适用 </w:instrText>
              </w:r>
              <w:r>
                <w:fldChar w:fldCharType="end"/>
              </w:r>
              <w:r>
                <w:fldChar w:fldCharType="begin"/>
              </w:r>
              <w:r w:rsidR="00BE3605">
                <w:instrText xml:space="preserve"> MACROBUTTON  SnrToggleCheckbox □不适用 </w:instrText>
              </w:r>
              <w:r>
                <w:fldChar w:fldCharType="end"/>
              </w:r>
            </w:p>
          </w:sdtContent>
        </w:sdt>
        <w:sdt>
          <w:sdtPr>
            <w:rPr>
              <w:rFonts w:hint="eastAsia"/>
            </w:rPr>
            <w:alias w:val="证券公司重大行政许可事项的相关情况"/>
            <w:tag w:val="_GBC_9b43ca79089d44d7ab991e29c822656a"/>
            <w:id w:val="24727238"/>
            <w:lock w:val="sdtLocked"/>
            <w:placeholder>
              <w:docPart w:val="GBC22222222222222222222222222222"/>
            </w:placeholder>
            <w:showingPlcHdr/>
          </w:sdtPr>
          <w:sdtContent>
            <w:p w:rsidR="00704CAD" w:rsidRPr="00BE3605" w:rsidRDefault="00720895" w:rsidP="00BE3605">
              <w:r w:rsidRPr="00BE3605">
                <w:rPr>
                  <w:rFonts w:hint="eastAsia"/>
                </w:rPr>
                <w:t xml:space="preserve">　　　</w:t>
              </w:r>
            </w:p>
          </w:sdtContent>
        </w:sdt>
      </w:sdtContent>
    </w:sdt>
    <w:tbl>
      <w:tblPr>
        <w:tblW w:w="538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35"/>
        <w:gridCol w:w="1842"/>
        <w:gridCol w:w="3462"/>
        <w:gridCol w:w="2207"/>
        <w:gridCol w:w="1702"/>
      </w:tblGrid>
      <w:tr w:rsidR="00BE3605" w:rsidRPr="0055633D" w:rsidTr="001B67A6">
        <w:trPr>
          <w:trHeight w:val="585"/>
          <w:tblHeader/>
          <w:jc w:val="center"/>
        </w:trPr>
        <w:tc>
          <w:tcPr>
            <w:tcW w:w="274" w:type="pct"/>
            <w:shd w:val="clear" w:color="auto" w:fill="auto"/>
            <w:vAlign w:val="center"/>
            <w:hideMark/>
          </w:tcPr>
          <w:p w:rsidR="00BE3605" w:rsidRPr="0055633D" w:rsidRDefault="00BE3605" w:rsidP="00C817D8">
            <w:pPr>
              <w:jc w:val="center"/>
              <w:rPr>
                <w:b/>
                <w:bCs/>
                <w:color w:val="000000"/>
                <w:sz w:val="20"/>
              </w:rPr>
            </w:pPr>
            <w:r w:rsidRPr="0055633D">
              <w:rPr>
                <w:rFonts w:hint="eastAsia"/>
                <w:b/>
                <w:bCs/>
                <w:color w:val="000000"/>
                <w:sz w:val="20"/>
              </w:rPr>
              <w:t>序号</w:t>
            </w:r>
          </w:p>
        </w:tc>
        <w:tc>
          <w:tcPr>
            <w:tcW w:w="945" w:type="pct"/>
            <w:shd w:val="clear" w:color="auto" w:fill="auto"/>
            <w:vAlign w:val="center"/>
            <w:hideMark/>
          </w:tcPr>
          <w:p w:rsidR="00BE3605" w:rsidRPr="0055633D" w:rsidRDefault="00BE3605" w:rsidP="00C817D8">
            <w:pPr>
              <w:jc w:val="center"/>
              <w:rPr>
                <w:b/>
                <w:bCs/>
                <w:color w:val="000000"/>
                <w:sz w:val="20"/>
              </w:rPr>
            </w:pPr>
            <w:r w:rsidRPr="0055633D">
              <w:rPr>
                <w:rFonts w:hint="eastAsia"/>
                <w:b/>
                <w:bCs/>
                <w:color w:val="000000"/>
                <w:sz w:val="20"/>
              </w:rPr>
              <w:t>发文单位</w:t>
            </w:r>
          </w:p>
        </w:tc>
        <w:tc>
          <w:tcPr>
            <w:tcW w:w="1776" w:type="pct"/>
            <w:shd w:val="clear" w:color="auto" w:fill="auto"/>
            <w:vAlign w:val="center"/>
            <w:hideMark/>
          </w:tcPr>
          <w:p w:rsidR="00BE3605" w:rsidRPr="0055633D" w:rsidRDefault="00BE3605" w:rsidP="00C817D8">
            <w:pPr>
              <w:jc w:val="center"/>
              <w:rPr>
                <w:b/>
                <w:bCs/>
                <w:color w:val="000000"/>
                <w:sz w:val="20"/>
              </w:rPr>
            </w:pPr>
            <w:r w:rsidRPr="0055633D">
              <w:rPr>
                <w:rFonts w:hint="eastAsia"/>
                <w:b/>
                <w:bCs/>
                <w:color w:val="000000"/>
                <w:sz w:val="20"/>
              </w:rPr>
              <w:t>文件标题</w:t>
            </w:r>
          </w:p>
        </w:tc>
        <w:tc>
          <w:tcPr>
            <w:tcW w:w="1132" w:type="pct"/>
            <w:shd w:val="clear" w:color="auto" w:fill="auto"/>
            <w:vAlign w:val="center"/>
            <w:hideMark/>
          </w:tcPr>
          <w:p w:rsidR="00BE3605" w:rsidRPr="0055633D" w:rsidRDefault="00BE3605" w:rsidP="00C817D8">
            <w:pPr>
              <w:jc w:val="center"/>
              <w:rPr>
                <w:b/>
                <w:bCs/>
                <w:color w:val="000000"/>
                <w:sz w:val="20"/>
              </w:rPr>
            </w:pPr>
            <w:r w:rsidRPr="0055633D">
              <w:rPr>
                <w:rFonts w:hint="eastAsia"/>
                <w:b/>
                <w:bCs/>
                <w:color w:val="000000"/>
                <w:sz w:val="20"/>
              </w:rPr>
              <w:t>文号</w:t>
            </w:r>
          </w:p>
        </w:tc>
        <w:tc>
          <w:tcPr>
            <w:tcW w:w="873" w:type="pct"/>
            <w:shd w:val="clear" w:color="auto" w:fill="auto"/>
            <w:vAlign w:val="center"/>
            <w:hideMark/>
          </w:tcPr>
          <w:p w:rsidR="00BE3605" w:rsidRPr="0055633D" w:rsidRDefault="00BE3605" w:rsidP="00C817D8">
            <w:pPr>
              <w:jc w:val="center"/>
              <w:rPr>
                <w:b/>
                <w:bCs/>
                <w:color w:val="000000"/>
                <w:sz w:val="20"/>
              </w:rPr>
            </w:pPr>
            <w:r w:rsidRPr="0055633D">
              <w:rPr>
                <w:rFonts w:hint="eastAsia"/>
                <w:b/>
                <w:bCs/>
                <w:color w:val="000000"/>
                <w:sz w:val="20"/>
              </w:rPr>
              <w:t>发文日期</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中国证券登记结算公司</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关于期权结算业务资格有关事宜的复函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中国结算函字〔2015〕61号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2015年1月16日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2</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上海证券交易所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关于成为上海证券交易所股票期权交易参与人的通知</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上证函〔2015〕83号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2015年1月16日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3</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上海证券交易所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关于开通股票期权自营交易权限的通知</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上证函〔2015〕165号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2015年1月27日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4</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中国证监会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关于核准招商证券股份有限公司设立资产管理子公司的批复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证监许可〔2015〕123号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2015年1月27日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5</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中国证监会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关于核准招商证券股份有限公司股票期权做市业务资格的批复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证监许可〔2015〕157号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2015年1月29日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6</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上海证券交易所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关于招商证券股份有限公司开展上证50ETF期权做市业务的通知</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上证函〔2015〕216号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2015年1月30日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7</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中国证券投资基金业协会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关于招商证券股份有限公司发起设立招商汇智之赤子之心1期集合资产管理计划的备案确认函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中基协备案函〔2015〕223号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2015年2月16日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lastRenderedPageBreak/>
              <w:t>8</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中国证券投资基金业协会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关于招商证券股份有限公司发起设立招商汇智之赤子之心2期集合资产管理计划的备案确认函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中基协备案函〔2015〕236号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2015年2月16日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9</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中国证券投资基金业协会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关于招商证券股份有限公司发起设立招商汇智之智融宝2号集合资产管理计划的备案确认函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中基协备案函〔2015〕202号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2015年2月16日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10</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中国证券投资者保护基金公司</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关于招商证券股份有限公司开展客户资金消费支付服务的无异议函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证保函〔2015〕73号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2015年3月5日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11</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中国证监会机构部</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关于招商证券股份有限公司开展黄金现货合约自营业务的无异议函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机构部函〔2015〕703号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2015年3月19日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12</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中国证券投资基金业协会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关于招商证券股份有限公司发起设立招商汇智之恒健远志集合资产管理计划的备案确认函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中基协备案函〔2015〕381号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2015年3月23日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13</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深圳证券交易所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关于同意招商证券开展上市公司股权激励行权融资业务试点的函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深证函〔2015〕119号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2015年3月24日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14</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深圳证监局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深圳证监局关于核准吴光焰证券公司经理层高级管理人员任职资格的批复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深证局许可字〔2015〕40号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2015年4月2日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15</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深圳证监局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深圳证监局关于核准熊志钢证券公司经理层高级管理人员任职资格的批复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深证局许可字〔2015〕41号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2015年4月10日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16</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中国证监会机构部</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关于招商证券非现场开户业务试点方案的无异议函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机构部函〔2015〕1079号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2015年4月22日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17</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中国证券投资基金业协会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关于招商证券股份有限公司发起设立招商汇智之德佳瑞集合资产管理计划的备案确认函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中基协备案函〔2015〕623号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2015年4月30日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18</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中国证监会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关于核准博时基金管理有限公司变更股权的批复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证监许可〔2015〕812号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2015年5月6日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19</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深圳证监局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深圳证监局关于核准李宗军证券公司经理层高级管理人员任职资格的批复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深证局许可字〔2015〕56号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2015年5月27日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20</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中国证监会机构部</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关于招商证券股份有限公司申请发行短期融资券的监管意见函</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机构部函〔2015〕1559号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2015年5月27日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21</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深圳证监局</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关于核准招商证券股份有限公司设立40家分支机构的批复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深证局许可字〔2015〕63号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2015年5月27日</w:t>
            </w:r>
          </w:p>
        </w:tc>
      </w:tr>
      <w:tr w:rsidR="00BE3605" w:rsidRPr="0055633D" w:rsidTr="001B67A6">
        <w:trPr>
          <w:trHeight w:val="585"/>
          <w:jc w:val="center"/>
        </w:trPr>
        <w:tc>
          <w:tcPr>
            <w:tcW w:w="274" w:type="pct"/>
            <w:shd w:val="clear" w:color="auto" w:fill="auto"/>
            <w:vAlign w:val="center"/>
            <w:hideMark/>
          </w:tcPr>
          <w:p w:rsidR="00BE3605" w:rsidRPr="0055633D" w:rsidRDefault="00BE3605" w:rsidP="00C817D8">
            <w:pPr>
              <w:jc w:val="center"/>
              <w:rPr>
                <w:sz w:val="20"/>
              </w:rPr>
            </w:pPr>
            <w:r w:rsidRPr="0055633D">
              <w:rPr>
                <w:rFonts w:hint="eastAsia"/>
                <w:sz w:val="20"/>
              </w:rPr>
              <w:t>22</w:t>
            </w:r>
          </w:p>
        </w:tc>
        <w:tc>
          <w:tcPr>
            <w:tcW w:w="945" w:type="pct"/>
            <w:shd w:val="clear" w:color="auto" w:fill="auto"/>
            <w:vAlign w:val="center"/>
            <w:hideMark/>
          </w:tcPr>
          <w:p w:rsidR="00BE3605" w:rsidRPr="0055633D" w:rsidRDefault="00BE3605" w:rsidP="00C817D8">
            <w:pPr>
              <w:rPr>
                <w:sz w:val="20"/>
              </w:rPr>
            </w:pPr>
            <w:r w:rsidRPr="0055633D">
              <w:rPr>
                <w:rFonts w:hint="eastAsia"/>
                <w:sz w:val="20"/>
              </w:rPr>
              <w:t>国务院国有资产监督管理委员会</w:t>
            </w:r>
          </w:p>
        </w:tc>
        <w:tc>
          <w:tcPr>
            <w:tcW w:w="1776" w:type="pct"/>
            <w:shd w:val="clear" w:color="auto" w:fill="auto"/>
            <w:vAlign w:val="center"/>
            <w:hideMark/>
          </w:tcPr>
          <w:p w:rsidR="00BE3605" w:rsidRPr="0055633D" w:rsidRDefault="00BE3605" w:rsidP="00C817D8">
            <w:pPr>
              <w:rPr>
                <w:sz w:val="20"/>
              </w:rPr>
            </w:pPr>
            <w:r w:rsidRPr="0055633D">
              <w:rPr>
                <w:rFonts w:hint="eastAsia"/>
                <w:sz w:val="20"/>
              </w:rPr>
              <w:t>关于招商证券股份有限公司首次公开发行H股股票有关问题的批复</w:t>
            </w:r>
          </w:p>
        </w:tc>
        <w:tc>
          <w:tcPr>
            <w:tcW w:w="1132" w:type="pct"/>
            <w:shd w:val="clear" w:color="auto" w:fill="auto"/>
            <w:vAlign w:val="center"/>
            <w:hideMark/>
          </w:tcPr>
          <w:p w:rsidR="00BE3605" w:rsidRPr="0055633D" w:rsidRDefault="00BE3605" w:rsidP="00C817D8">
            <w:pPr>
              <w:rPr>
                <w:sz w:val="20"/>
              </w:rPr>
            </w:pPr>
            <w:r w:rsidRPr="0055633D">
              <w:rPr>
                <w:rFonts w:hint="eastAsia"/>
                <w:sz w:val="20"/>
              </w:rPr>
              <w:t>国资产权〔2015〕412号</w:t>
            </w:r>
          </w:p>
        </w:tc>
        <w:tc>
          <w:tcPr>
            <w:tcW w:w="873" w:type="pct"/>
            <w:shd w:val="clear" w:color="auto" w:fill="auto"/>
            <w:vAlign w:val="center"/>
            <w:hideMark/>
          </w:tcPr>
          <w:p w:rsidR="00BE3605" w:rsidRPr="0055633D" w:rsidRDefault="00BE3605" w:rsidP="00C817D8">
            <w:pPr>
              <w:rPr>
                <w:sz w:val="20"/>
              </w:rPr>
            </w:pPr>
            <w:r w:rsidRPr="0055633D">
              <w:rPr>
                <w:rFonts w:hint="eastAsia"/>
                <w:sz w:val="20"/>
              </w:rPr>
              <w:t>2015年6月2日</w:t>
            </w:r>
          </w:p>
        </w:tc>
      </w:tr>
    </w:tbl>
    <w:p w:rsidR="00704CAD" w:rsidRDefault="00704CAD"/>
    <w:sdt>
      <w:sdtPr>
        <w:rPr>
          <w:rFonts w:ascii="宋体" w:hAnsi="宋体" w:cs="宋体" w:hint="eastAsia"/>
          <w:b w:val="0"/>
          <w:bCs w:val="0"/>
          <w:kern w:val="0"/>
          <w:szCs w:val="24"/>
        </w:rPr>
        <w:tag w:val="_GBC_5949514604a94758a0f2996c810d5c25"/>
        <w:id w:val="24727242"/>
        <w:lock w:val="sdtLocked"/>
        <w:placeholder>
          <w:docPart w:val="GBC22222222222222222222222222222"/>
        </w:placeholder>
      </w:sdtPr>
      <w:sdtContent>
        <w:p w:rsidR="00704CAD" w:rsidRDefault="00720895" w:rsidP="009950AC">
          <w:pPr>
            <w:pStyle w:val="2"/>
            <w:numPr>
              <w:ilvl w:val="0"/>
              <w:numId w:val="23"/>
            </w:numPr>
            <w:tabs>
              <w:tab w:val="left" w:pos="574"/>
            </w:tabs>
          </w:pPr>
          <w:r>
            <w:rPr>
              <w:rFonts w:hint="eastAsia"/>
            </w:rPr>
            <w:t>监管部门对公司的分类结果</w:t>
          </w:r>
        </w:p>
        <w:sdt>
          <w:sdtPr>
            <w:alias w:val="是否适用：监管部门对公司的分类结果"/>
            <w:tag w:val="_GBC_58e842cba60d45aaae96a2ad514c9358"/>
            <w:id w:val="24727240"/>
            <w:lock w:val="sdtContentLocked"/>
            <w:placeholder>
              <w:docPart w:val="GBC22222222222222222222222222222"/>
            </w:placeholder>
          </w:sdtPr>
          <w:sdtContent>
            <w:p w:rsidR="00704CAD" w:rsidRDefault="00422DCA">
              <w:r>
                <w:fldChar w:fldCharType="begin"/>
              </w:r>
              <w:r w:rsidR="00BE3605">
                <w:instrText xml:space="preserve"> MACROBUTTON  SnrToggleCheckbox √适用 </w:instrText>
              </w:r>
              <w:r>
                <w:fldChar w:fldCharType="end"/>
              </w:r>
              <w:r>
                <w:fldChar w:fldCharType="begin"/>
              </w:r>
              <w:r w:rsidR="00BE3605">
                <w:instrText xml:space="preserve"> MACROBUTTON  SnrToggleCheckbox □不适用 </w:instrText>
              </w:r>
              <w:r>
                <w:fldChar w:fldCharType="end"/>
              </w:r>
            </w:p>
          </w:sdtContent>
        </w:sdt>
        <w:sdt>
          <w:sdtPr>
            <w:rPr>
              <w:rFonts w:hint="eastAsia"/>
            </w:rPr>
            <w:alias w:val="监管部门对证券公司的分类结果"/>
            <w:tag w:val="_GBC_408b793eec10403db34053fc1198e434"/>
            <w:id w:val="24727241"/>
            <w:lock w:val="sdtLocked"/>
            <w:placeholder>
              <w:docPart w:val="GBC22222222222222222222222222222"/>
            </w:placeholder>
          </w:sdtPr>
          <w:sdtContent>
            <w:p w:rsidR="008C78D0" w:rsidRDefault="008C78D0" w:rsidP="00BE360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1"/>
                <w:gridCol w:w="4610"/>
              </w:tblGrid>
              <w:tr w:rsidR="008C78D0" w:rsidRPr="0096503F" w:rsidTr="008C78D0">
                <w:trPr>
                  <w:trHeight w:val="600"/>
                  <w:jc w:val="center"/>
                </w:trPr>
                <w:tc>
                  <w:tcPr>
                    <w:tcW w:w="2581" w:type="dxa"/>
                    <w:vAlign w:val="center"/>
                  </w:tcPr>
                  <w:p w:rsidR="008C78D0" w:rsidRPr="0096503F" w:rsidRDefault="008C78D0" w:rsidP="008C78D0">
                    <w:pPr>
                      <w:jc w:val="center"/>
                      <w:rPr>
                        <w:sz w:val="24"/>
                      </w:rPr>
                    </w:pPr>
                    <w:r w:rsidRPr="0096503F">
                      <w:rPr>
                        <w:rFonts w:hint="eastAsia"/>
                        <w:sz w:val="24"/>
                      </w:rPr>
                      <w:t>2014年度</w:t>
                    </w:r>
                  </w:p>
                </w:tc>
                <w:tc>
                  <w:tcPr>
                    <w:tcW w:w="4610" w:type="dxa"/>
                    <w:vAlign w:val="center"/>
                  </w:tcPr>
                  <w:p w:rsidR="008C78D0" w:rsidRPr="0096503F" w:rsidRDefault="008C78D0" w:rsidP="008C78D0">
                    <w:pPr>
                      <w:jc w:val="center"/>
                      <w:rPr>
                        <w:sz w:val="24"/>
                      </w:rPr>
                    </w:pPr>
                    <w:r w:rsidRPr="0096503F">
                      <w:rPr>
                        <w:rFonts w:hint="eastAsia"/>
                        <w:sz w:val="24"/>
                      </w:rPr>
                      <w:t>AA</w:t>
                    </w:r>
                  </w:p>
                </w:tc>
              </w:tr>
              <w:tr w:rsidR="008C78D0" w:rsidRPr="0096503F" w:rsidTr="008C78D0">
                <w:trPr>
                  <w:trHeight w:val="600"/>
                  <w:jc w:val="center"/>
                </w:trPr>
                <w:tc>
                  <w:tcPr>
                    <w:tcW w:w="2581" w:type="dxa"/>
                    <w:vAlign w:val="center"/>
                  </w:tcPr>
                  <w:p w:rsidR="008C78D0" w:rsidRPr="0096503F" w:rsidRDefault="008C78D0" w:rsidP="008C78D0">
                    <w:pPr>
                      <w:jc w:val="center"/>
                      <w:rPr>
                        <w:sz w:val="24"/>
                      </w:rPr>
                    </w:pPr>
                    <w:r w:rsidRPr="0096503F">
                      <w:rPr>
                        <w:rFonts w:hint="eastAsia"/>
                        <w:sz w:val="24"/>
                      </w:rPr>
                      <w:t>2013年度</w:t>
                    </w:r>
                  </w:p>
                </w:tc>
                <w:tc>
                  <w:tcPr>
                    <w:tcW w:w="4610" w:type="dxa"/>
                    <w:vAlign w:val="center"/>
                  </w:tcPr>
                  <w:p w:rsidR="008C78D0" w:rsidRPr="0096503F" w:rsidRDefault="008C78D0" w:rsidP="008C78D0">
                    <w:pPr>
                      <w:jc w:val="center"/>
                      <w:rPr>
                        <w:sz w:val="24"/>
                      </w:rPr>
                    </w:pPr>
                    <w:r w:rsidRPr="0096503F">
                      <w:rPr>
                        <w:rFonts w:hint="eastAsia"/>
                        <w:sz w:val="24"/>
                      </w:rPr>
                      <w:t>AA</w:t>
                    </w:r>
                  </w:p>
                </w:tc>
              </w:tr>
              <w:tr w:rsidR="008C78D0" w:rsidRPr="0096503F" w:rsidTr="008C78D0">
                <w:trPr>
                  <w:trHeight w:val="572"/>
                  <w:jc w:val="center"/>
                </w:trPr>
                <w:tc>
                  <w:tcPr>
                    <w:tcW w:w="2581" w:type="dxa"/>
                    <w:vAlign w:val="center"/>
                  </w:tcPr>
                  <w:p w:rsidR="008C78D0" w:rsidRPr="0096503F" w:rsidRDefault="008C78D0" w:rsidP="008C78D0">
                    <w:pPr>
                      <w:jc w:val="center"/>
                      <w:rPr>
                        <w:sz w:val="24"/>
                      </w:rPr>
                    </w:pPr>
                    <w:r w:rsidRPr="0096503F">
                      <w:rPr>
                        <w:rFonts w:hint="eastAsia"/>
                        <w:sz w:val="24"/>
                      </w:rPr>
                      <w:t>2012年度</w:t>
                    </w:r>
                  </w:p>
                </w:tc>
                <w:tc>
                  <w:tcPr>
                    <w:tcW w:w="4610" w:type="dxa"/>
                    <w:vAlign w:val="center"/>
                  </w:tcPr>
                  <w:p w:rsidR="008C78D0" w:rsidRPr="0096503F" w:rsidRDefault="008C78D0" w:rsidP="008C78D0">
                    <w:pPr>
                      <w:jc w:val="center"/>
                      <w:rPr>
                        <w:sz w:val="24"/>
                      </w:rPr>
                    </w:pPr>
                    <w:r w:rsidRPr="0096503F">
                      <w:rPr>
                        <w:rFonts w:hint="eastAsia"/>
                        <w:sz w:val="24"/>
                      </w:rPr>
                      <w:t>AA</w:t>
                    </w:r>
                  </w:p>
                </w:tc>
              </w:tr>
            </w:tbl>
            <w:p w:rsidR="00704CAD" w:rsidRPr="00BE3605" w:rsidRDefault="00422DCA" w:rsidP="00BE3605"/>
          </w:sdtContent>
        </w:sdt>
      </w:sdtContent>
    </w:sdt>
    <w:sectPr w:rsidR="00704CAD" w:rsidRPr="00BE3605" w:rsidSect="000F6CCA">
      <w:headerReference w:type="default" r:id="rId31"/>
      <w:pgSz w:w="11906" w:h="16838"/>
      <w:pgMar w:top="1440" w:right="1797" w:bottom="1525" w:left="1276"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DFE" w:rsidRDefault="00822DFE" w:rsidP="00365E23">
      <w:r>
        <w:separator/>
      </w:r>
    </w:p>
  </w:endnote>
  <w:endnote w:type="continuationSeparator" w:id="1">
    <w:p w:rsidR="00822DFE" w:rsidRDefault="00822DFE"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方正仿宋简体">
    <w:altName w:val="宋体"/>
    <w:charset w:val="86"/>
    <w:family w:val="auto"/>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方正超大字符集">
    <w:altName w:val="宋体"/>
    <w:charset w:val="86"/>
    <w:family w:val="script"/>
    <w:pitch w:val="default"/>
    <w:sig w:usb0="00000001" w:usb1="080E0000" w:usb2="00000000" w:usb3="00000000" w:csb0="00040000" w:csb1="00000000"/>
  </w:font>
  <w:font w:name="Arial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1C7D23" w:rsidRDefault="00422DCA" w:rsidP="004860B6">
            <w:pPr>
              <w:pStyle w:val="ac"/>
              <w:jc w:val="center"/>
            </w:pPr>
            <w:r>
              <w:rPr>
                <w:b/>
                <w:bCs/>
                <w:sz w:val="24"/>
                <w:szCs w:val="24"/>
              </w:rPr>
              <w:fldChar w:fldCharType="begin"/>
            </w:r>
            <w:r w:rsidR="001C7D23">
              <w:rPr>
                <w:b/>
                <w:bCs/>
              </w:rPr>
              <w:instrText>PAGE</w:instrText>
            </w:r>
            <w:r>
              <w:rPr>
                <w:b/>
                <w:bCs/>
                <w:sz w:val="24"/>
                <w:szCs w:val="24"/>
              </w:rPr>
              <w:fldChar w:fldCharType="separate"/>
            </w:r>
            <w:r w:rsidR="00B64368">
              <w:rPr>
                <w:b/>
                <w:bCs/>
                <w:noProof/>
              </w:rPr>
              <w:t>20</w:t>
            </w:r>
            <w:r>
              <w:rPr>
                <w:b/>
                <w:bCs/>
                <w:sz w:val="24"/>
                <w:szCs w:val="24"/>
              </w:rPr>
              <w:fldChar w:fldCharType="end"/>
            </w:r>
            <w:r w:rsidR="001C7D23">
              <w:rPr>
                <w:lang w:val="zh-CN"/>
              </w:rPr>
              <w:t xml:space="preserve"> / </w:t>
            </w:r>
            <w:r>
              <w:rPr>
                <w:b/>
                <w:bCs/>
                <w:sz w:val="24"/>
                <w:szCs w:val="24"/>
              </w:rPr>
              <w:fldChar w:fldCharType="begin"/>
            </w:r>
            <w:r w:rsidR="001C7D23">
              <w:rPr>
                <w:b/>
                <w:bCs/>
              </w:rPr>
              <w:instrText>NUMPAGES</w:instrText>
            </w:r>
            <w:r>
              <w:rPr>
                <w:b/>
                <w:bCs/>
                <w:sz w:val="24"/>
                <w:szCs w:val="24"/>
              </w:rPr>
              <w:fldChar w:fldCharType="separate"/>
            </w:r>
            <w:r w:rsidR="00B64368">
              <w:rPr>
                <w:b/>
                <w:bCs/>
                <w:noProof/>
              </w:rPr>
              <w:t>136</w:t>
            </w:r>
            <w:r>
              <w:rPr>
                <w:b/>
                <w:bCs/>
                <w:sz w:val="24"/>
                <w:szCs w:val="24"/>
              </w:rPr>
              <w:fldChar w:fldCharType="end"/>
            </w:r>
          </w:p>
        </w:sdtContent>
      </w:sdt>
    </w:sdtContent>
  </w:sdt>
  <w:p w:rsidR="001C7D23" w:rsidRDefault="001C7D2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DFE" w:rsidRDefault="00822DFE" w:rsidP="00365E23">
      <w:r>
        <w:separator/>
      </w:r>
    </w:p>
  </w:footnote>
  <w:footnote w:type="continuationSeparator" w:id="1">
    <w:p w:rsidR="00822DFE" w:rsidRDefault="00822DFE"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1" name="图片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2" name="图片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3"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4" name="图片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8" name="图片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5" name="图片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16" name="图片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23" w:rsidRPr="009B70CF" w:rsidRDefault="001C7D23" w:rsidP="00A9773C">
    <w:pPr>
      <w:pStyle w:val="ab"/>
      <w:tabs>
        <w:tab w:val="clear" w:pos="8306"/>
        <w:tab w:val="left" w:pos="8364"/>
        <w:tab w:val="left" w:pos="8505"/>
      </w:tabs>
      <w:ind w:rightChars="10" w:right="21"/>
      <w:jc w:val="left"/>
      <w:rPr>
        <w:b/>
      </w:rPr>
    </w:pPr>
    <w:r w:rsidRPr="00945334">
      <w:rPr>
        <w:rFonts w:ascii="宋体" w:hAnsi="宋体" w:hint="eastAsia"/>
      </w:rPr>
      <w:t>招商证券股份有限公司2015年半年度报告</w:t>
    </w:r>
    <w:r>
      <w:rPr>
        <w:rFonts w:ascii="宋体" w:hAnsi="宋体" w:hint="eastAsia"/>
      </w:rPr>
      <w:t xml:space="preserve">                                         </w:t>
    </w:r>
    <w:r w:rsidRPr="00945334">
      <w:rPr>
        <w:noProof/>
      </w:rPr>
      <w:drawing>
        <wp:inline distT="0" distB="0" distL="0" distR="0">
          <wp:extent cx="1114425" cy="200025"/>
          <wp:effectExtent l="19050" t="0" r="9525" b="0"/>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76E"/>
    <w:multiLevelType w:val="multilevel"/>
    <w:tmpl w:val="2B387BFC"/>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E8F2BDA"/>
    <w:multiLevelType w:val="hybridMultilevel"/>
    <w:tmpl w:val="04BE27DA"/>
    <w:lvl w:ilvl="0" w:tplc="44108056">
      <w:start w:val="1"/>
      <w:numFmt w:val="decimalEnclosedCircle"/>
      <w:lvlText w:val="%1"/>
      <w:lvlJc w:val="left"/>
      <w:pPr>
        <w:ind w:left="782" w:hanging="360"/>
      </w:pPr>
      <w:rPr>
        <w:rFonts w:asciiTheme="minorEastAsia" w:eastAsiaTheme="minorEastAsia" w:hAnsiTheme="minorEastAsia"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
    <w:nsid w:val="0FE338C4"/>
    <w:multiLevelType w:val="hybridMultilevel"/>
    <w:tmpl w:val="D54C697E"/>
    <w:lvl w:ilvl="0" w:tplc="5B263AE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2D6BE7"/>
    <w:multiLevelType w:val="hybridMultilevel"/>
    <w:tmpl w:val="2BE8BFF0"/>
    <w:lvl w:ilvl="0" w:tplc="FBA0CC10">
      <w:start w:val="11"/>
      <w:numFmt w:val="decimal"/>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nsid w:val="123B0B58"/>
    <w:multiLevelType w:val="hybridMultilevel"/>
    <w:tmpl w:val="D2EC62B0"/>
    <w:lvl w:ilvl="0" w:tplc="B2981F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17DD25C3"/>
    <w:multiLevelType w:val="hybridMultilevel"/>
    <w:tmpl w:val="B0FEB350"/>
    <w:lvl w:ilvl="0" w:tplc="98CE9E9E">
      <w:start w:val="1"/>
      <w:numFmt w:val="decimal"/>
      <w:lvlText w:val="（%1）"/>
      <w:lvlJc w:val="left"/>
      <w:pPr>
        <w:ind w:left="1566" w:hanging="720"/>
      </w:pPr>
      <w:rPr>
        <w:rFonts w:hint="default"/>
      </w:r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1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1BA71801"/>
    <w:multiLevelType w:val="hybridMultilevel"/>
    <w:tmpl w:val="FFA4CDCA"/>
    <w:lvl w:ilvl="0" w:tplc="6ECE739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CAC24D1"/>
    <w:multiLevelType w:val="multilevel"/>
    <w:tmpl w:val="5386B2A8"/>
    <w:lvl w:ilvl="0">
      <w:start w:val="1"/>
      <w:numFmt w:val="decimal"/>
      <w:lvlText w:val="(%1)"/>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25EF004E"/>
    <w:multiLevelType w:val="hybridMultilevel"/>
    <w:tmpl w:val="A972E4B2"/>
    <w:lvl w:ilvl="0" w:tplc="2CCAD07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66C483D"/>
    <w:multiLevelType w:val="hybridMultilevel"/>
    <w:tmpl w:val="4AA896B8"/>
    <w:lvl w:ilvl="0" w:tplc="8B42DCBC">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7632F14"/>
    <w:multiLevelType w:val="hybridMultilevel"/>
    <w:tmpl w:val="A10029D6"/>
    <w:lvl w:ilvl="0" w:tplc="38A0B97E">
      <w:start w:val="1"/>
      <w:numFmt w:val="decimal"/>
      <w:lvlText w:val="(%1). "/>
      <w:lvlJc w:val="left"/>
      <w:pPr>
        <w:ind w:left="562" w:hanging="420"/>
      </w:pPr>
      <w:rPr>
        <w:rFonts w:ascii="宋体" w:eastAsia="宋体" w:hAnsi="宋体"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2">
    <w:nsid w:val="284A5E13"/>
    <w:multiLevelType w:val="hybridMultilevel"/>
    <w:tmpl w:val="621C25C4"/>
    <w:lvl w:ilvl="0" w:tplc="3064D378">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5983D39"/>
    <w:multiLevelType w:val="hybridMultilevel"/>
    <w:tmpl w:val="13F29356"/>
    <w:lvl w:ilvl="0" w:tplc="CD9455E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nsid w:val="37C3610E"/>
    <w:multiLevelType w:val="hybridMultilevel"/>
    <w:tmpl w:val="DC6A6A30"/>
    <w:lvl w:ilvl="0" w:tplc="533CAED8">
      <w:start w:val="1"/>
      <w:numFmt w:val="chineseCountingThousand"/>
      <w:lvlText w:val="%1、"/>
      <w:lvlJc w:val="left"/>
      <w:pPr>
        <w:ind w:left="562" w:hanging="420"/>
      </w:pPr>
      <w:rPr>
        <w:rFonts w:hint="default"/>
        <w:b/>
        <w:i w:val="0"/>
        <w:color w:val="auto"/>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B062354"/>
    <w:multiLevelType w:val="hybridMultilevel"/>
    <w:tmpl w:val="97840D7C"/>
    <w:lvl w:ilvl="0" w:tplc="E052659C">
      <w:start w:val="1"/>
      <w:numFmt w:val="decimal"/>
      <w:lvlText w:val="%1）"/>
      <w:lvlJc w:val="left"/>
      <w:pPr>
        <w:ind w:left="360" w:hanging="360"/>
      </w:pPr>
      <w:rPr>
        <w:rFonts w:ascii="宋体" w:eastAsia="宋体" w:hAnsi="宋体" w:cs="宋体" w:hint="default"/>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D2E3DD5"/>
    <w:multiLevelType w:val="hybridMultilevel"/>
    <w:tmpl w:val="9C7CB28E"/>
    <w:lvl w:ilvl="0" w:tplc="8476190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EF8689E"/>
    <w:multiLevelType w:val="hybridMultilevel"/>
    <w:tmpl w:val="2ECEFECC"/>
    <w:lvl w:ilvl="0" w:tplc="4B928920">
      <w:start w:val="1"/>
      <w:numFmt w:val="decimalEnclosedCircle"/>
      <w:lvlText w:val="%1"/>
      <w:lvlJc w:val="left"/>
      <w:pPr>
        <w:ind w:left="360" w:hanging="36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4170342C"/>
    <w:multiLevelType w:val="multilevel"/>
    <w:tmpl w:val="95FEA82C"/>
    <w:lvl w:ilvl="0">
      <w:start w:val="2"/>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846"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41EF2C35"/>
    <w:multiLevelType w:val="hybridMultilevel"/>
    <w:tmpl w:val="CE34304C"/>
    <w:lvl w:ilvl="0" w:tplc="04090013">
      <w:start w:val="1"/>
      <w:numFmt w:val="chineseCountingThousand"/>
      <w:lvlText w:val="%1、"/>
      <w:lvlJc w:val="left"/>
      <w:pPr>
        <w:ind w:left="862" w:hanging="420"/>
      </w:pPr>
    </w:lvl>
    <w:lvl w:ilvl="1" w:tplc="DDE2B258">
      <w:start w:val="1"/>
      <w:numFmt w:val="japaneseCounting"/>
      <w:lvlText w:val="（%2）"/>
      <w:lvlJc w:val="left"/>
      <w:pPr>
        <w:ind w:left="1582" w:hanging="720"/>
      </w:pPr>
      <w:rPr>
        <w:rFonts w:hint="default"/>
      </w:rPr>
    </w:lvl>
    <w:lvl w:ilvl="2" w:tplc="6B76133C">
      <w:start w:val="1"/>
      <w:numFmt w:val="decimalEnclosedCircle"/>
      <w:lvlText w:val="%3"/>
      <w:lvlJc w:val="left"/>
      <w:pPr>
        <w:ind w:left="1637" w:hanging="360"/>
      </w:pPr>
      <w:rPr>
        <w:rFonts w:hint="default"/>
      </w:rPr>
    </w:lvl>
    <w:lvl w:ilvl="3" w:tplc="59E873E6">
      <w:start w:val="1"/>
      <w:numFmt w:val="ideographEnclosedCircle"/>
      <w:lvlText w:val="%4"/>
      <w:lvlJc w:val="left"/>
      <w:pPr>
        <w:ind w:left="2062" w:hanging="360"/>
      </w:pPr>
      <w:rPr>
        <w:rFonts w:hint="default"/>
      </w:rPr>
    </w:lvl>
    <w:lvl w:ilvl="4" w:tplc="5FC80DC0">
      <w:start w:val="1"/>
      <w:numFmt w:val="decimal"/>
      <w:lvlText w:val="%5）"/>
      <w:lvlJc w:val="left"/>
      <w:pPr>
        <w:ind w:left="2482" w:hanging="360"/>
      </w:pPr>
      <w:rPr>
        <w:rFonts w:hint="default"/>
      </w:r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43">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3490FAC"/>
    <w:multiLevelType w:val="hybridMultilevel"/>
    <w:tmpl w:val="C98EF8D4"/>
    <w:lvl w:ilvl="0" w:tplc="6B32E2C0">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4802360A"/>
    <w:multiLevelType w:val="hybridMultilevel"/>
    <w:tmpl w:val="617A12CC"/>
    <w:lvl w:ilvl="0" w:tplc="F18E53B6">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8">
    <w:nsid w:val="4B8E4503"/>
    <w:multiLevelType w:val="hybridMultilevel"/>
    <w:tmpl w:val="6450E78E"/>
    <w:lvl w:ilvl="0" w:tplc="BCFCB460">
      <w:start w:val="1"/>
      <w:numFmt w:val="decimal"/>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9">
    <w:nsid w:val="4DD94A40"/>
    <w:multiLevelType w:val="hybridMultilevel"/>
    <w:tmpl w:val="61FEE664"/>
    <w:lvl w:ilvl="0" w:tplc="C5280378">
      <w:start w:val="1"/>
      <w:numFmt w:val="decimal"/>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0">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3">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531A58A8"/>
    <w:multiLevelType w:val="hybridMultilevel"/>
    <w:tmpl w:val="610C7030"/>
    <w:lvl w:ilvl="0" w:tplc="69F67DEC">
      <w:start w:val="1"/>
      <w:numFmt w:val="decimal"/>
      <w:lvlText w:val="(%1)"/>
      <w:lvlJc w:val="left"/>
      <w:pPr>
        <w:ind w:left="420" w:hanging="420"/>
      </w:pPr>
      <w:rPr>
        <w:rFonts w:ascii="宋体" w:eastAsia="宋体" w:hAnsi="宋体"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557C2ACE"/>
    <w:multiLevelType w:val="hybridMultilevel"/>
    <w:tmpl w:val="ABCA10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5C673432"/>
    <w:multiLevelType w:val="multilevel"/>
    <w:tmpl w:val="127C9EB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5DE8531D"/>
    <w:multiLevelType w:val="hybridMultilevel"/>
    <w:tmpl w:val="80969F1C"/>
    <w:lvl w:ilvl="0" w:tplc="96C69028">
      <w:start w:val="2"/>
      <w:numFmt w:val="decimal"/>
      <w:lvlText w:val="（%1）"/>
      <w:lvlJc w:val="left"/>
      <w:pPr>
        <w:ind w:left="1146"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602E120E"/>
    <w:multiLevelType w:val="multilevel"/>
    <w:tmpl w:val="B1E63B3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606C643A"/>
    <w:multiLevelType w:val="hybridMultilevel"/>
    <w:tmpl w:val="5164F29C"/>
    <w:lvl w:ilvl="0" w:tplc="291431EA">
      <w:start w:val="1"/>
      <w:numFmt w:val="decimal"/>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67">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6F1D091F"/>
    <w:multiLevelType w:val="hybridMultilevel"/>
    <w:tmpl w:val="07F6AB8C"/>
    <w:lvl w:ilvl="0" w:tplc="97B2162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3">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5">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76B4167B"/>
    <w:multiLevelType w:val="hybridMultilevel"/>
    <w:tmpl w:val="6BFC1580"/>
    <w:lvl w:ilvl="0" w:tplc="5538AEC8">
      <w:start w:val="1"/>
      <w:numFmt w:val="decimal"/>
      <w:lvlText w:val="%1、"/>
      <w:lvlJc w:val="left"/>
      <w:pPr>
        <w:ind w:left="562"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772D4B62"/>
    <w:multiLevelType w:val="hybridMultilevel"/>
    <w:tmpl w:val="A10029D6"/>
    <w:lvl w:ilvl="0" w:tplc="38A0B97E">
      <w:start w:val="1"/>
      <w:numFmt w:val="decimal"/>
      <w:lvlText w:val="(%1). "/>
      <w:lvlJc w:val="left"/>
      <w:pPr>
        <w:ind w:left="562" w:hanging="420"/>
      </w:pPr>
      <w:rPr>
        <w:rFonts w:ascii="宋体" w:eastAsia="宋体" w:hAnsi="宋体"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79">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846"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3"/>
  </w:num>
  <w:num w:numId="2">
    <w:abstractNumId w:val="15"/>
  </w:num>
  <w:num w:numId="3">
    <w:abstractNumId w:val="14"/>
  </w:num>
  <w:num w:numId="4">
    <w:abstractNumId w:val="18"/>
  </w:num>
  <w:num w:numId="5">
    <w:abstractNumId w:val="67"/>
  </w:num>
  <w:num w:numId="6">
    <w:abstractNumId w:val="35"/>
  </w:num>
  <w:num w:numId="7">
    <w:abstractNumId w:val="37"/>
  </w:num>
  <w:num w:numId="8">
    <w:abstractNumId w:val="7"/>
  </w:num>
  <w:num w:numId="9">
    <w:abstractNumId w:val="50"/>
  </w:num>
  <w:num w:numId="10">
    <w:abstractNumId w:val="30"/>
  </w:num>
  <w:num w:numId="11">
    <w:abstractNumId w:val="72"/>
  </w:num>
  <w:num w:numId="12">
    <w:abstractNumId w:val="62"/>
  </w:num>
  <w:num w:numId="13">
    <w:abstractNumId w:val="6"/>
  </w:num>
  <w:num w:numId="14">
    <w:abstractNumId w:val="17"/>
  </w:num>
  <w:num w:numId="15">
    <w:abstractNumId w:val="27"/>
  </w:num>
  <w:num w:numId="16">
    <w:abstractNumId w:val="51"/>
  </w:num>
  <w:num w:numId="17">
    <w:abstractNumId w:val="25"/>
  </w:num>
  <w:num w:numId="18">
    <w:abstractNumId w:val="73"/>
  </w:num>
  <w:num w:numId="19">
    <w:abstractNumId w:val="28"/>
  </w:num>
  <w:num w:numId="20">
    <w:abstractNumId w:val="46"/>
  </w:num>
  <w:num w:numId="21">
    <w:abstractNumId w:val="56"/>
  </w:num>
  <w:num w:numId="22">
    <w:abstractNumId w:val="10"/>
  </w:num>
  <w:num w:numId="23">
    <w:abstractNumId w:val="44"/>
  </w:num>
  <w:num w:numId="24">
    <w:abstractNumId w:val="58"/>
  </w:num>
  <w:num w:numId="25">
    <w:abstractNumId w:val="68"/>
  </w:num>
  <w:num w:numId="26">
    <w:abstractNumId w:val="38"/>
  </w:num>
  <w:num w:numId="27">
    <w:abstractNumId w:val="57"/>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77"/>
  </w:num>
  <w:num w:numId="31">
    <w:abstractNumId w:val="80"/>
  </w:num>
  <w:num w:numId="32">
    <w:abstractNumId w:val="42"/>
  </w:num>
  <w:num w:numId="33">
    <w:abstractNumId w:val="43"/>
  </w:num>
  <w:num w:numId="34">
    <w:abstractNumId w:val="39"/>
  </w:num>
  <w:num w:numId="35">
    <w:abstractNumId w:val="0"/>
  </w:num>
  <w:num w:numId="36">
    <w:abstractNumId w:val="29"/>
  </w:num>
  <w:num w:numId="37">
    <w:abstractNumId w:val="64"/>
  </w:num>
  <w:num w:numId="38">
    <w:abstractNumId w:val="13"/>
  </w:num>
  <w:num w:numId="39">
    <w:abstractNumId w:val="4"/>
  </w:num>
  <w:num w:numId="40">
    <w:abstractNumId w:val="71"/>
  </w:num>
  <w:num w:numId="41">
    <w:abstractNumId w:val="76"/>
  </w:num>
  <w:num w:numId="42">
    <w:abstractNumId w:val="76"/>
  </w:num>
  <w:num w:numId="43">
    <w:abstractNumId w:val="70"/>
  </w:num>
  <w:num w:numId="44">
    <w:abstractNumId w:val="19"/>
  </w:num>
  <w:num w:numId="45">
    <w:abstractNumId w:val="36"/>
  </w:num>
  <w:num w:numId="46">
    <w:abstractNumId w:val="31"/>
  </w:num>
  <w:num w:numId="47">
    <w:abstractNumId w:val="22"/>
  </w:num>
  <w:num w:numId="48">
    <w:abstractNumId w:val="80"/>
  </w:num>
  <w:num w:numId="49">
    <w:abstractNumId w:val="8"/>
  </w:num>
  <w:num w:numId="50">
    <w:abstractNumId w:val="75"/>
  </w:num>
  <w:num w:numId="51">
    <w:abstractNumId w:val="33"/>
  </w:num>
  <w:num w:numId="52">
    <w:abstractNumId w:val="79"/>
  </w:num>
  <w:num w:numId="53">
    <w:abstractNumId w:val="5"/>
  </w:num>
  <w:num w:numId="54">
    <w:abstractNumId w:val="20"/>
  </w:num>
  <w:num w:numId="55">
    <w:abstractNumId w:val="81"/>
  </w:num>
  <w:num w:numId="56">
    <w:abstractNumId w:val="11"/>
  </w:num>
  <w:num w:numId="57">
    <w:abstractNumId w:val="12"/>
  </w:num>
  <w:num w:numId="58">
    <w:abstractNumId w:val="16"/>
  </w:num>
  <w:num w:numId="59">
    <w:abstractNumId w:val="45"/>
  </w:num>
  <w:num w:numId="60">
    <w:abstractNumId w:val="60"/>
  </w:num>
  <w:num w:numId="61">
    <w:abstractNumId w:val="55"/>
  </w:num>
  <w:num w:numId="62">
    <w:abstractNumId w:val="63"/>
  </w:num>
  <w:num w:numId="63">
    <w:abstractNumId w:val="65"/>
  </w:num>
  <w:num w:numId="64">
    <w:abstractNumId w:val="47"/>
  </w:num>
  <w:num w:numId="65">
    <w:abstractNumId w:val="52"/>
  </w:num>
  <w:num w:numId="66">
    <w:abstractNumId w:val="47"/>
  </w:num>
  <w:num w:numId="67">
    <w:abstractNumId w:val="52"/>
  </w:num>
  <w:num w:numId="68">
    <w:abstractNumId w:val="74"/>
  </w:num>
  <w:num w:numId="69">
    <w:abstractNumId w:val="32"/>
  </w:num>
  <w:num w:numId="70">
    <w:abstractNumId w:val="40"/>
  </w:num>
  <w:num w:numId="71">
    <w:abstractNumId w:val="1"/>
  </w:num>
  <w:num w:numId="72">
    <w:abstractNumId w:val="54"/>
  </w:num>
  <w:num w:numId="73">
    <w:abstractNumId w:val="69"/>
  </w:num>
  <w:num w:numId="74">
    <w:abstractNumId w:val="59"/>
  </w:num>
  <w:num w:numId="75">
    <w:abstractNumId w:val="21"/>
  </w:num>
  <w:num w:numId="76">
    <w:abstractNumId w:val="3"/>
  </w:num>
  <w:num w:numId="77">
    <w:abstractNumId w:val="49"/>
  </w:num>
  <w:num w:numId="78">
    <w:abstractNumId w:val="61"/>
  </w:num>
  <w:num w:numId="79">
    <w:abstractNumId w:val="53"/>
  </w:num>
  <w:num w:numId="80">
    <w:abstractNumId w:val="41"/>
  </w:num>
  <w:num w:numId="81">
    <w:abstractNumId w:val="26"/>
  </w:num>
  <w:num w:numId="82">
    <w:abstractNumId w:val="24"/>
  </w:num>
  <w:num w:numId="83">
    <w:abstractNumId w:val="48"/>
  </w:num>
  <w:num w:numId="84">
    <w:abstractNumId w:val="78"/>
  </w:num>
  <w:num w:numId="85">
    <w:abstractNumId w:val="9"/>
  </w:num>
  <w:num w:numId="86">
    <w:abstractNumId w:val="66"/>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788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B33"/>
    <w:rsid w:val="00001E8C"/>
    <w:rsid w:val="0000230E"/>
    <w:rsid w:val="000028BC"/>
    <w:rsid w:val="00002973"/>
    <w:rsid w:val="000033A6"/>
    <w:rsid w:val="0000372D"/>
    <w:rsid w:val="000048B5"/>
    <w:rsid w:val="00004ADF"/>
    <w:rsid w:val="00004CFE"/>
    <w:rsid w:val="00004E58"/>
    <w:rsid w:val="00005071"/>
    <w:rsid w:val="0000568D"/>
    <w:rsid w:val="00007207"/>
    <w:rsid w:val="0001003D"/>
    <w:rsid w:val="00010147"/>
    <w:rsid w:val="0001033D"/>
    <w:rsid w:val="0001046B"/>
    <w:rsid w:val="000121BF"/>
    <w:rsid w:val="000122EE"/>
    <w:rsid w:val="00012AFC"/>
    <w:rsid w:val="000130AF"/>
    <w:rsid w:val="000139E7"/>
    <w:rsid w:val="00013FF0"/>
    <w:rsid w:val="000140AF"/>
    <w:rsid w:val="00014263"/>
    <w:rsid w:val="00014850"/>
    <w:rsid w:val="0001497A"/>
    <w:rsid w:val="00014DF5"/>
    <w:rsid w:val="000155A0"/>
    <w:rsid w:val="00015C7E"/>
    <w:rsid w:val="00015DF7"/>
    <w:rsid w:val="00016321"/>
    <w:rsid w:val="00016746"/>
    <w:rsid w:val="00016D21"/>
    <w:rsid w:val="00017118"/>
    <w:rsid w:val="000176B6"/>
    <w:rsid w:val="00017D54"/>
    <w:rsid w:val="00020074"/>
    <w:rsid w:val="000203A5"/>
    <w:rsid w:val="00020728"/>
    <w:rsid w:val="00020743"/>
    <w:rsid w:val="000208C4"/>
    <w:rsid w:val="00020D46"/>
    <w:rsid w:val="00020DB9"/>
    <w:rsid w:val="0002110B"/>
    <w:rsid w:val="00021700"/>
    <w:rsid w:val="00021730"/>
    <w:rsid w:val="000224B7"/>
    <w:rsid w:val="000225C5"/>
    <w:rsid w:val="0002292A"/>
    <w:rsid w:val="00022EDA"/>
    <w:rsid w:val="0002301E"/>
    <w:rsid w:val="000230D8"/>
    <w:rsid w:val="000231DC"/>
    <w:rsid w:val="00023297"/>
    <w:rsid w:val="00023BEB"/>
    <w:rsid w:val="00023C73"/>
    <w:rsid w:val="00024393"/>
    <w:rsid w:val="00025631"/>
    <w:rsid w:val="00025E29"/>
    <w:rsid w:val="00025EAF"/>
    <w:rsid w:val="0002612F"/>
    <w:rsid w:val="00026A17"/>
    <w:rsid w:val="00027348"/>
    <w:rsid w:val="000275C9"/>
    <w:rsid w:val="0003023B"/>
    <w:rsid w:val="000315C0"/>
    <w:rsid w:val="00031700"/>
    <w:rsid w:val="000317CB"/>
    <w:rsid w:val="000317E9"/>
    <w:rsid w:val="00031B72"/>
    <w:rsid w:val="00031EE6"/>
    <w:rsid w:val="0003243D"/>
    <w:rsid w:val="00032BA9"/>
    <w:rsid w:val="0003408C"/>
    <w:rsid w:val="000343F2"/>
    <w:rsid w:val="0003468B"/>
    <w:rsid w:val="000347ED"/>
    <w:rsid w:val="00034C0D"/>
    <w:rsid w:val="00034DF7"/>
    <w:rsid w:val="00035352"/>
    <w:rsid w:val="00035464"/>
    <w:rsid w:val="0003626E"/>
    <w:rsid w:val="00036357"/>
    <w:rsid w:val="00036813"/>
    <w:rsid w:val="00037922"/>
    <w:rsid w:val="00037DB8"/>
    <w:rsid w:val="000411AF"/>
    <w:rsid w:val="0004146D"/>
    <w:rsid w:val="00041525"/>
    <w:rsid w:val="00041800"/>
    <w:rsid w:val="00041AC3"/>
    <w:rsid w:val="00042154"/>
    <w:rsid w:val="00042406"/>
    <w:rsid w:val="00042574"/>
    <w:rsid w:val="000429ED"/>
    <w:rsid w:val="00042DCF"/>
    <w:rsid w:val="00043335"/>
    <w:rsid w:val="0004334C"/>
    <w:rsid w:val="000436FE"/>
    <w:rsid w:val="000438A3"/>
    <w:rsid w:val="00043C00"/>
    <w:rsid w:val="00043D7B"/>
    <w:rsid w:val="00043E96"/>
    <w:rsid w:val="00043EED"/>
    <w:rsid w:val="00044579"/>
    <w:rsid w:val="00044665"/>
    <w:rsid w:val="000446C9"/>
    <w:rsid w:val="00044D1E"/>
    <w:rsid w:val="00044DDC"/>
    <w:rsid w:val="00044FE0"/>
    <w:rsid w:val="000451ED"/>
    <w:rsid w:val="00045DCB"/>
    <w:rsid w:val="00045F39"/>
    <w:rsid w:val="000468DA"/>
    <w:rsid w:val="00046B18"/>
    <w:rsid w:val="00046BF9"/>
    <w:rsid w:val="00046C4A"/>
    <w:rsid w:val="00046C5E"/>
    <w:rsid w:val="00047621"/>
    <w:rsid w:val="000500E7"/>
    <w:rsid w:val="000501F1"/>
    <w:rsid w:val="00050236"/>
    <w:rsid w:val="00050420"/>
    <w:rsid w:val="000517E2"/>
    <w:rsid w:val="00051BE5"/>
    <w:rsid w:val="00052A13"/>
    <w:rsid w:val="00052B89"/>
    <w:rsid w:val="00052D38"/>
    <w:rsid w:val="00053F3F"/>
    <w:rsid w:val="000541F6"/>
    <w:rsid w:val="00054612"/>
    <w:rsid w:val="0005486C"/>
    <w:rsid w:val="00054D34"/>
    <w:rsid w:val="00055534"/>
    <w:rsid w:val="00055816"/>
    <w:rsid w:val="00055C3F"/>
    <w:rsid w:val="000561D7"/>
    <w:rsid w:val="000562C7"/>
    <w:rsid w:val="000569CC"/>
    <w:rsid w:val="000578C2"/>
    <w:rsid w:val="00057AD2"/>
    <w:rsid w:val="00057B25"/>
    <w:rsid w:val="00057F6E"/>
    <w:rsid w:val="0006013C"/>
    <w:rsid w:val="00060342"/>
    <w:rsid w:val="000604A6"/>
    <w:rsid w:val="00060C85"/>
    <w:rsid w:val="00061966"/>
    <w:rsid w:val="00061A16"/>
    <w:rsid w:val="00062017"/>
    <w:rsid w:val="00062AA3"/>
    <w:rsid w:val="00063342"/>
    <w:rsid w:val="000636DE"/>
    <w:rsid w:val="00063893"/>
    <w:rsid w:val="000639D3"/>
    <w:rsid w:val="00063A04"/>
    <w:rsid w:val="00063EE6"/>
    <w:rsid w:val="0006463F"/>
    <w:rsid w:val="000648F7"/>
    <w:rsid w:val="00064979"/>
    <w:rsid w:val="00064ADF"/>
    <w:rsid w:val="00065914"/>
    <w:rsid w:val="00065B7B"/>
    <w:rsid w:val="00065D51"/>
    <w:rsid w:val="00066B5B"/>
    <w:rsid w:val="00066C7F"/>
    <w:rsid w:val="00066F8C"/>
    <w:rsid w:val="000671AE"/>
    <w:rsid w:val="0006751E"/>
    <w:rsid w:val="00067AEB"/>
    <w:rsid w:val="00070D92"/>
    <w:rsid w:val="00070E33"/>
    <w:rsid w:val="00070E4B"/>
    <w:rsid w:val="00071243"/>
    <w:rsid w:val="0007147E"/>
    <w:rsid w:val="00072361"/>
    <w:rsid w:val="0007246C"/>
    <w:rsid w:val="000729B8"/>
    <w:rsid w:val="00072D7F"/>
    <w:rsid w:val="0007305C"/>
    <w:rsid w:val="000730ED"/>
    <w:rsid w:val="000732D5"/>
    <w:rsid w:val="00073BC2"/>
    <w:rsid w:val="000740C7"/>
    <w:rsid w:val="000745DB"/>
    <w:rsid w:val="00074C4E"/>
    <w:rsid w:val="00074DB6"/>
    <w:rsid w:val="00075C45"/>
    <w:rsid w:val="00075E3A"/>
    <w:rsid w:val="00075E54"/>
    <w:rsid w:val="00076117"/>
    <w:rsid w:val="000764FD"/>
    <w:rsid w:val="00080509"/>
    <w:rsid w:val="000808F7"/>
    <w:rsid w:val="0008095D"/>
    <w:rsid w:val="00080A0F"/>
    <w:rsid w:val="00081D4A"/>
    <w:rsid w:val="0008231D"/>
    <w:rsid w:val="00082700"/>
    <w:rsid w:val="0008274C"/>
    <w:rsid w:val="00082A1A"/>
    <w:rsid w:val="000830E6"/>
    <w:rsid w:val="0008328D"/>
    <w:rsid w:val="0008339D"/>
    <w:rsid w:val="000837F0"/>
    <w:rsid w:val="000839C3"/>
    <w:rsid w:val="00083C1E"/>
    <w:rsid w:val="00084008"/>
    <w:rsid w:val="000841ED"/>
    <w:rsid w:val="00084531"/>
    <w:rsid w:val="00084634"/>
    <w:rsid w:val="00084968"/>
    <w:rsid w:val="00084A2C"/>
    <w:rsid w:val="00084C94"/>
    <w:rsid w:val="000857AB"/>
    <w:rsid w:val="00085C6B"/>
    <w:rsid w:val="000866A2"/>
    <w:rsid w:val="000868AD"/>
    <w:rsid w:val="000872AC"/>
    <w:rsid w:val="000877EF"/>
    <w:rsid w:val="00087B6F"/>
    <w:rsid w:val="00090429"/>
    <w:rsid w:val="00090454"/>
    <w:rsid w:val="00090ADC"/>
    <w:rsid w:val="00090C35"/>
    <w:rsid w:val="00090F8B"/>
    <w:rsid w:val="0009141B"/>
    <w:rsid w:val="00091724"/>
    <w:rsid w:val="00091743"/>
    <w:rsid w:val="0009185C"/>
    <w:rsid w:val="000918CD"/>
    <w:rsid w:val="00091930"/>
    <w:rsid w:val="0009262A"/>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D6"/>
    <w:rsid w:val="00095382"/>
    <w:rsid w:val="00095388"/>
    <w:rsid w:val="000955B9"/>
    <w:rsid w:val="00095CD6"/>
    <w:rsid w:val="000960F5"/>
    <w:rsid w:val="00096A00"/>
    <w:rsid w:val="00096B84"/>
    <w:rsid w:val="00096CF0"/>
    <w:rsid w:val="00097097"/>
    <w:rsid w:val="000974B2"/>
    <w:rsid w:val="000975B1"/>
    <w:rsid w:val="000976C1"/>
    <w:rsid w:val="00097A4E"/>
    <w:rsid w:val="00097B67"/>
    <w:rsid w:val="00097E3C"/>
    <w:rsid w:val="000A04A2"/>
    <w:rsid w:val="000A0989"/>
    <w:rsid w:val="000A1026"/>
    <w:rsid w:val="000A1547"/>
    <w:rsid w:val="000A199C"/>
    <w:rsid w:val="000A1C7E"/>
    <w:rsid w:val="000A1CBE"/>
    <w:rsid w:val="000A3997"/>
    <w:rsid w:val="000A4309"/>
    <w:rsid w:val="000A4AE5"/>
    <w:rsid w:val="000A4C9E"/>
    <w:rsid w:val="000A5126"/>
    <w:rsid w:val="000A5A58"/>
    <w:rsid w:val="000A6410"/>
    <w:rsid w:val="000A6636"/>
    <w:rsid w:val="000A6A70"/>
    <w:rsid w:val="000A6F48"/>
    <w:rsid w:val="000A700E"/>
    <w:rsid w:val="000A7407"/>
    <w:rsid w:val="000A74D2"/>
    <w:rsid w:val="000A784E"/>
    <w:rsid w:val="000A78D8"/>
    <w:rsid w:val="000B0362"/>
    <w:rsid w:val="000B0479"/>
    <w:rsid w:val="000B0EE6"/>
    <w:rsid w:val="000B12D3"/>
    <w:rsid w:val="000B1DB7"/>
    <w:rsid w:val="000B23C8"/>
    <w:rsid w:val="000B28AE"/>
    <w:rsid w:val="000B31E0"/>
    <w:rsid w:val="000B443C"/>
    <w:rsid w:val="000B4A82"/>
    <w:rsid w:val="000B4BDA"/>
    <w:rsid w:val="000B5098"/>
    <w:rsid w:val="000B5590"/>
    <w:rsid w:val="000B56E2"/>
    <w:rsid w:val="000B5992"/>
    <w:rsid w:val="000B60FA"/>
    <w:rsid w:val="000B666A"/>
    <w:rsid w:val="000B6B2E"/>
    <w:rsid w:val="000B6BC7"/>
    <w:rsid w:val="000B6C66"/>
    <w:rsid w:val="000B717E"/>
    <w:rsid w:val="000B757F"/>
    <w:rsid w:val="000C0519"/>
    <w:rsid w:val="000C0D45"/>
    <w:rsid w:val="000C1078"/>
    <w:rsid w:val="000C1784"/>
    <w:rsid w:val="000C1CEC"/>
    <w:rsid w:val="000C2197"/>
    <w:rsid w:val="000C25F5"/>
    <w:rsid w:val="000C2C2E"/>
    <w:rsid w:val="000C3232"/>
    <w:rsid w:val="000C37A8"/>
    <w:rsid w:val="000C3D52"/>
    <w:rsid w:val="000C40B3"/>
    <w:rsid w:val="000C4768"/>
    <w:rsid w:val="000C4B1F"/>
    <w:rsid w:val="000C4C03"/>
    <w:rsid w:val="000C51AC"/>
    <w:rsid w:val="000C52A2"/>
    <w:rsid w:val="000C5B58"/>
    <w:rsid w:val="000C5B78"/>
    <w:rsid w:val="000C60FC"/>
    <w:rsid w:val="000C62C2"/>
    <w:rsid w:val="000C63C4"/>
    <w:rsid w:val="000C63E5"/>
    <w:rsid w:val="000C6560"/>
    <w:rsid w:val="000C698C"/>
    <w:rsid w:val="000C6A05"/>
    <w:rsid w:val="000C6DAE"/>
    <w:rsid w:val="000C7224"/>
    <w:rsid w:val="000C7371"/>
    <w:rsid w:val="000C73D8"/>
    <w:rsid w:val="000C7C71"/>
    <w:rsid w:val="000C7D9C"/>
    <w:rsid w:val="000D057C"/>
    <w:rsid w:val="000D0BE9"/>
    <w:rsid w:val="000D0E23"/>
    <w:rsid w:val="000D1028"/>
    <w:rsid w:val="000D14E3"/>
    <w:rsid w:val="000D15CB"/>
    <w:rsid w:val="000D1C50"/>
    <w:rsid w:val="000D26CD"/>
    <w:rsid w:val="000D2C5E"/>
    <w:rsid w:val="000D2DC2"/>
    <w:rsid w:val="000D2F52"/>
    <w:rsid w:val="000D3B03"/>
    <w:rsid w:val="000D3B07"/>
    <w:rsid w:val="000D3ED8"/>
    <w:rsid w:val="000D4668"/>
    <w:rsid w:val="000D49EB"/>
    <w:rsid w:val="000D5454"/>
    <w:rsid w:val="000D595A"/>
    <w:rsid w:val="000D5A34"/>
    <w:rsid w:val="000D5D3B"/>
    <w:rsid w:val="000D5D86"/>
    <w:rsid w:val="000D5DC0"/>
    <w:rsid w:val="000D6183"/>
    <w:rsid w:val="000D61FD"/>
    <w:rsid w:val="000D6D8F"/>
    <w:rsid w:val="000D7213"/>
    <w:rsid w:val="000D7307"/>
    <w:rsid w:val="000D7617"/>
    <w:rsid w:val="000D77D1"/>
    <w:rsid w:val="000D7ABF"/>
    <w:rsid w:val="000E0052"/>
    <w:rsid w:val="000E01A1"/>
    <w:rsid w:val="000E0C83"/>
    <w:rsid w:val="000E105F"/>
    <w:rsid w:val="000E13FB"/>
    <w:rsid w:val="000E1521"/>
    <w:rsid w:val="000E15A7"/>
    <w:rsid w:val="000E165C"/>
    <w:rsid w:val="000E17B3"/>
    <w:rsid w:val="000E18FC"/>
    <w:rsid w:val="000E1E69"/>
    <w:rsid w:val="000E27F7"/>
    <w:rsid w:val="000E2820"/>
    <w:rsid w:val="000E28BB"/>
    <w:rsid w:val="000E34CD"/>
    <w:rsid w:val="000E35F2"/>
    <w:rsid w:val="000E3A72"/>
    <w:rsid w:val="000E3BB8"/>
    <w:rsid w:val="000E3D2D"/>
    <w:rsid w:val="000E41A3"/>
    <w:rsid w:val="000E4352"/>
    <w:rsid w:val="000E49D8"/>
    <w:rsid w:val="000E518E"/>
    <w:rsid w:val="000E5523"/>
    <w:rsid w:val="000E567C"/>
    <w:rsid w:val="000E56D0"/>
    <w:rsid w:val="000E5B46"/>
    <w:rsid w:val="000E6C67"/>
    <w:rsid w:val="000E6CD7"/>
    <w:rsid w:val="000E6F8A"/>
    <w:rsid w:val="000E70DA"/>
    <w:rsid w:val="000E7291"/>
    <w:rsid w:val="000E7600"/>
    <w:rsid w:val="000E7A93"/>
    <w:rsid w:val="000E7F24"/>
    <w:rsid w:val="000F0456"/>
    <w:rsid w:val="000F04EC"/>
    <w:rsid w:val="000F0542"/>
    <w:rsid w:val="000F1640"/>
    <w:rsid w:val="000F192B"/>
    <w:rsid w:val="000F2843"/>
    <w:rsid w:val="000F2990"/>
    <w:rsid w:val="000F2A73"/>
    <w:rsid w:val="000F3016"/>
    <w:rsid w:val="000F3044"/>
    <w:rsid w:val="000F3234"/>
    <w:rsid w:val="000F4235"/>
    <w:rsid w:val="000F42F3"/>
    <w:rsid w:val="000F438A"/>
    <w:rsid w:val="000F442B"/>
    <w:rsid w:val="000F4540"/>
    <w:rsid w:val="000F460F"/>
    <w:rsid w:val="000F463A"/>
    <w:rsid w:val="000F49E8"/>
    <w:rsid w:val="000F4D18"/>
    <w:rsid w:val="000F509F"/>
    <w:rsid w:val="000F528B"/>
    <w:rsid w:val="000F52DA"/>
    <w:rsid w:val="000F59FB"/>
    <w:rsid w:val="000F5A2D"/>
    <w:rsid w:val="000F5E14"/>
    <w:rsid w:val="000F6B1C"/>
    <w:rsid w:val="000F6CCA"/>
    <w:rsid w:val="000F73C3"/>
    <w:rsid w:val="000F74CF"/>
    <w:rsid w:val="000F7633"/>
    <w:rsid w:val="000F7CB8"/>
    <w:rsid w:val="000F7D23"/>
    <w:rsid w:val="000F7D3C"/>
    <w:rsid w:val="000F7EA0"/>
    <w:rsid w:val="00100112"/>
    <w:rsid w:val="0010063A"/>
    <w:rsid w:val="001007FD"/>
    <w:rsid w:val="00100C4F"/>
    <w:rsid w:val="00101376"/>
    <w:rsid w:val="00101B38"/>
    <w:rsid w:val="00101DF3"/>
    <w:rsid w:val="001022D3"/>
    <w:rsid w:val="001026CF"/>
    <w:rsid w:val="0010345C"/>
    <w:rsid w:val="001036AD"/>
    <w:rsid w:val="001038D1"/>
    <w:rsid w:val="00103BDD"/>
    <w:rsid w:val="00104087"/>
    <w:rsid w:val="001044B7"/>
    <w:rsid w:val="001044EA"/>
    <w:rsid w:val="001048E8"/>
    <w:rsid w:val="001048FE"/>
    <w:rsid w:val="00105921"/>
    <w:rsid w:val="001059DB"/>
    <w:rsid w:val="00105F72"/>
    <w:rsid w:val="00107599"/>
    <w:rsid w:val="00107A8E"/>
    <w:rsid w:val="0011023E"/>
    <w:rsid w:val="00110717"/>
    <w:rsid w:val="00110C29"/>
    <w:rsid w:val="00110D00"/>
    <w:rsid w:val="00110FC4"/>
    <w:rsid w:val="001116D4"/>
    <w:rsid w:val="00111BAC"/>
    <w:rsid w:val="00111D4E"/>
    <w:rsid w:val="00111E23"/>
    <w:rsid w:val="00111E87"/>
    <w:rsid w:val="00112570"/>
    <w:rsid w:val="001126AB"/>
    <w:rsid w:val="001127CC"/>
    <w:rsid w:val="001133A9"/>
    <w:rsid w:val="001133FC"/>
    <w:rsid w:val="001137A6"/>
    <w:rsid w:val="001138AA"/>
    <w:rsid w:val="001139E6"/>
    <w:rsid w:val="00114029"/>
    <w:rsid w:val="00114189"/>
    <w:rsid w:val="0011419A"/>
    <w:rsid w:val="00114724"/>
    <w:rsid w:val="00114F3A"/>
    <w:rsid w:val="00115730"/>
    <w:rsid w:val="0011578C"/>
    <w:rsid w:val="0011587B"/>
    <w:rsid w:val="001165AE"/>
    <w:rsid w:val="001167C6"/>
    <w:rsid w:val="001167C8"/>
    <w:rsid w:val="00116B75"/>
    <w:rsid w:val="00116D81"/>
    <w:rsid w:val="001173A8"/>
    <w:rsid w:val="00117404"/>
    <w:rsid w:val="0012016D"/>
    <w:rsid w:val="001203D4"/>
    <w:rsid w:val="0012063F"/>
    <w:rsid w:val="00120A6A"/>
    <w:rsid w:val="00120AEE"/>
    <w:rsid w:val="0012158F"/>
    <w:rsid w:val="00121D6A"/>
    <w:rsid w:val="00122BA4"/>
    <w:rsid w:val="001230F3"/>
    <w:rsid w:val="001234DF"/>
    <w:rsid w:val="001237AC"/>
    <w:rsid w:val="00123F0A"/>
    <w:rsid w:val="0012461B"/>
    <w:rsid w:val="00125221"/>
    <w:rsid w:val="001252F2"/>
    <w:rsid w:val="00125470"/>
    <w:rsid w:val="00125E10"/>
    <w:rsid w:val="00125EEF"/>
    <w:rsid w:val="0012608D"/>
    <w:rsid w:val="00126125"/>
    <w:rsid w:val="00126CBD"/>
    <w:rsid w:val="00126EBD"/>
    <w:rsid w:val="00127157"/>
    <w:rsid w:val="001272F9"/>
    <w:rsid w:val="001273FD"/>
    <w:rsid w:val="001276A9"/>
    <w:rsid w:val="00127E76"/>
    <w:rsid w:val="001303D7"/>
    <w:rsid w:val="001304AD"/>
    <w:rsid w:val="00130697"/>
    <w:rsid w:val="00130783"/>
    <w:rsid w:val="001308AF"/>
    <w:rsid w:val="00130B78"/>
    <w:rsid w:val="00130D6C"/>
    <w:rsid w:val="00130DE5"/>
    <w:rsid w:val="0013119E"/>
    <w:rsid w:val="0013204C"/>
    <w:rsid w:val="00132615"/>
    <w:rsid w:val="00132A09"/>
    <w:rsid w:val="00132A1B"/>
    <w:rsid w:val="0013301F"/>
    <w:rsid w:val="0013309F"/>
    <w:rsid w:val="00133139"/>
    <w:rsid w:val="001332D2"/>
    <w:rsid w:val="0013379B"/>
    <w:rsid w:val="00133BDB"/>
    <w:rsid w:val="00133E33"/>
    <w:rsid w:val="001344EA"/>
    <w:rsid w:val="001346BE"/>
    <w:rsid w:val="00134E3C"/>
    <w:rsid w:val="00135200"/>
    <w:rsid w:val="00135556"/>
    <w:rsid w:val="0013555C"/>
    <w:rsid w:val="0013565E"/>
    <w:rsid w:val="001357DD"/>
    <w:rsid w:val="00135FBD"/>
    <w:rsid w:val="00136A9A"/>
    <w:rsid w:val="001372F3"/>
    <w:rsid w:val="00137861"/>
    <w:rsid w:val="00137C6F"/>
    <w:rsid w:val="00137C75"/>
    <w:rsid w:val="00140363"/>
    <w:rsid w:val="001406FF"/>
    <w:rsid w:val="00140BD7"/>
    <w:rsid w:val="00140E08"/>
    <w:rsid w:val="00141331"/>
    <w:rsid w:val="0014192A"/>
    <w:rsid w:val="0014197A"/>
    <w:rsid w:val="00141BE5"/>
    <w:rsid w:val="00141CF7"/>
    <w:rsid w:val="00142014"/>
    <w:rsid w:val="001420C3"/>
    <w:rsid w:val="0014231A"/>
    <w:rsid w:val="00142921"/>
    <w:rsid w:val="00142E7D"/>
    <w:rsid w:val="00142ECD"/>
    <w:rsid w:val="00143309"/>
    <w:rsid w:val="0014344C"/>
    <w:rsid w:val="00143D08"/>
    <w:rsid w:val="00143F15"/>
    <w:rsid w:val="00143F60"/>
    <w:rsid w:val="00143FDE"/>
    <w:rsid w:val="001444F7"/>
    <w:rsid w:val="0014483D"/>
    <w:rsid w:val="00144B78"/>
    <w:rsid w:val="00144BF1"/>
    <w:rsid w:val="0014520A"/>
    <w:rsid w:val="00145561"/>
    <w:rsid w:val="001455E9"/>
    <w:rsid w:val="0014596A"/>
    <w:rsid w:val="001464BB"/>
    <w:rsid w:val="00146D65"/>
    <w:rsid w:val="00146FA2"/>
    <w:rsid w:val="00147584"/>
    <w:rsid w:val="00147900"/>
    <w:rsid w:val="00147BFC"/>
    <w:rsid w:val="00147DB1"/>
    <w:rsid w:val="001508C9"/>
    <w:rsid w:val="00150E78"/>
    <w:rsid w:val="001511B5"/>
    <w:rsid w:val="0015156E"/>
    <w:rsid w:val="0015159B"/>
    <w:rsid w:val="001516EE"/>
    <w:rsid w:val="001518BA"/>
    <w:rsid w:val="00151A22"/>
    <w:rsid w:val="00151B81"/>
    <w:rsid w:val="00151EEF"/>
    <w:rsid w:val="001521BE"/>
    <w:rsid w:val="00152FE0"/>
    <w:rsid w:val="00153F4B"/>
    <w:rsid w:val="00154069"/>
    <w:rsid w:val="001541EB"/>
    <w:rsid w:val="001543D4"/>
    <w:rsid w:val="0015445C"/>
    <w:rsid w:val="0015450F"/>
    <w:rsid w:val="00154B6D"/>
    <w:rsid w:val="00154E9A"/>
    <w:rsid w:val="0015523A"/>
    <w:rsid w:val="0015523D"/>
    <w:rsid w:val="00155AF9"/>
    <w:rsid w:val="00155B68"/>
    <w:rsid w:val="00156F5B"/>
    <w:rsid w:val="00157106"/>
    <w:rsid w:val="0015748D"/>
    <w:rsid w:val="001575B8"/>
    <w:rsid w:val="001575F4"/>
    <w:rsid w:val="00157CE3"/>
    <w:rsid w:val="00157DE4"/>
    <w:rsid w:val="001604BD"/>
    <w:rsid w:val="00160787"/>
    <w:rsid w:val="00160818"/>
    <w:rsid w:val="001608C9"/>
    <w:rsid w:val="001614D4"/>
    <w:rsid w:val="0016181B"/>
    <w:rsid w:val="00161A39"/>
    <w:rsid w:val="00161B38"/>
    <w:rsid w:val="00161CAF"/>
    <w:rsid w:val="00162669"/>
    <w:rsid w:val="001626DD"/>
    <w:rsid w:val="0016283C"/>
    <w:rsid w:val="00162C8A"/>
    <w:rsid w:val="001630E5"/>
    <w:rsid w:val="00163357"/>
    <w:rsid w:val="001634EF"/>
    <w:rsid w:val="0016426E"/>
    <w:rsid w:val="00164A49"/>
    <w:rsid w:val="0016585A"/>
    <w:rsid w:val="0016586E"/>
    <w:rsid w:val="001662C0"/>
    <w:rsid w:val="0016636C"/>
    <w:rsid w:val="001667A9"/>
    <w:rsid w:val="00166FF6"/>
    <w:rsid w:val="00167739"/>
    <w:rsid w:val="00167A3A"/>
    <w:rsid w:val="00167B26"/>
    <w:rsid w:val="00170327"/>
    <w:rsid w:val="00170450"/>
    <w:rsid w:val="00170650"/>
    <w:rsid w:val="0017134C"/>
    <w:rsid w:val="001715BD"/>
    <w:rsid w:val="00172683"/>
    <w:rsid w:val="00172B99"/>
    <w:rsid w:val="00173821"/>
    <w:rsid w:val="00173EF2"/>
    <w:rsid w:val="00174053"/>
    <w:rsid w:val="00175144"/>
    <w:rsid w:val="001754A4"/>
    <w:rsid w:val="00176294"/>
    <w:rsid w:val="00176393"/>
    <w:rsid w:val="00176395"/>
    <w:rsid w:val="00176613"/>
    <w:rsid w:val="0017692B"/>
    <w:rsid w:val="00176C1A"/>
    <w:rsid w:val="00176E6E"/>
    <w:rsid w:val="00176E78"/>
    <w:rsid w:val="0017709B"/>
    <w:rsid w:val="00177D11"/>
    <w:rsid w:val="00180E29"/>
    <w:rsid w:val="001815B8"/>
    <w:rsid w:val="001816A6"/>
    <w:rsid w:val="00181FE2"/>
    <w:rsid w:val="0018228D"/>
    <w:rsid w:val="00182367"/>
    <w:rsid w:val="001826DB"/>
    <w:rsid w:val="0018280C"/>
    <w:rsid w:val="00182BAC"/>
    <w:rsid w:val="00182C4C"/>
    <w:rsid w:val="0018313C"/>
    <w:rsid w:val="001832F9"/>
    <w:rsid w:val="0018389F"/>
    <w:rsid w:val="00183957"/>
    <w:rsid w:val="0018413C"/>
    <w:rsid w:val="0018421D"/>
    <w:rsid w:val="00184476"/>
    <w:rsid w:val="001844E5"/>
    <w:rsid w:val="00184530"/>
    <w:rsid w:val="001847E6"/>
    <w:rsid w:val="00184ABD"/>
    <w:rsid w:val="00185085"/>
    <w:rsid w:val="001851BD"/>
    <w:rsid w:val="00185D0E"/>
    <w:rsid w:val="00185E48"/>
    <w:rsid w:val="00186113"/>
    <w:rsid w:val="00186C23"/>
    <w:rsid w:val="00186F1C"/>
    <w:rsid w:val="00187858"/>
    <w:rsid w:val="00187DEF"/>
    <w:rsid w:val="0019008D"/>
    <w:rsid w:val="001901F9"/>
    <w:rsid w:val="0019022B"/>
    <w:rsid w:val="001902BB"/>
    <w:rsid w:val="0019037D"/>
    <w:rsid w:val="0019126B"/>
    <w:rsid w:val="001917FF"/>
    <w:rsid w:val="00191C4F"/>
    <w:rsid w:val="00192350"/>
    <w:rsid w:val="00192CCC"/>
    <w:rsid w:val="00193278"/>
    <w:rsid w:val="0019367A"/>
    <w:rsid w:val="0019388E"/>
    <w:rsid w:val="00193C5E"/>
    <w:rsid w:val="00193E3F"/>
    <w:rsid w:val="00194F95"/>
    <w:rsid w:val="0019506D"/>
    <w:rsid w:val="00195857"/>
    <w:rsid w:val="00195A1C"/>
    <w:rsid w:val="00195DE7"/>
    <w:rsid w:val="00195DFE"/>
    <w:rsid w:val="00196123"/>
    <w:rsid w:val="00196221"/>
    <w:rsid w:val="00196DF5"/>
    <w:rsid w:val="00196E4C"/>
    <w:rsid w:val="00196F3D"/>
    <w:rsid w:val="0019711B"/>
    <w:rsid w:val="001976BC"/>
    <w:rsid w:val="00197868"/>
    <w:rsid w:val="0019788A"/>
    <w:rsid w:val="0019799A"/>
    <w:rsid w:val="00197C0F"/>
    <w:rsid w:val="001A02FE"/>
    <w:rsid w:val="001A0769"/>
    <w:rsid w:val="001A0BFC"/>
    <w:rsid w:val="001A0F7A"/>
    <w:rsid w:val="001A0FD3"/>
    <w:rsid w:val="001A116E"/>
    <w:rsid w:val="001A1A11"/>
    <w:rsid w:val="001A2056"/>
    <w:rsid w:val="001A25C7"/>
    <w:rsid w:val="001A27A6"/>
    <w:rsid w:val="001A2AD1"/>
    <w:rsid w:val="001A3375"/>
    <w:rsid w:val="001A35C2"/>
    <w:rsid w:val="001A3637"/>
    <w:rsid w:val="001A37C6"/>
    <w:rsid w:val="001A3C77"/>
    <w:rsid w:val="001A409E"/>
    <w:rsid w:val="001A4780"/>
    <w:rsid w:val="001A4B57"/>
    <w:rsid w:val="001A5C8D"/>
    <w:rsid w:val="001A6342"/>
    <w:rsid w:val="001A652B"/>
    <w:rsid w:val="001A657D"/>
    <w:rsid w:val="001A6FC1"/>
    <w:rsid w:val="001A7EBE"/>
    <w:rsid w:val="001A7F1C"/>
    <w:rsid w:val="001B0143"/>
    <w:rsid w:val="001B0472"/>
    <w:rsid w:val="001B0B8E"/>
    <w:rsid w:val="001B102B"/>
    <w:rsid w:val="001B11CD"/>
    <w:rsid w:val="001B1D8E"/>
    <w:rsid w:val="001B20B4"/>
    <w:rsid w:val="001B21B7"/>
    <w:rsid w:val="001B25DC"/>
    <w:rsid w:val="001B2678"/>
    <w:rsid w:val="001B40F8"/>
    <w:rsid w:val="001B4556"/>
    <w:rsid w:val="001B4E88"/>
    <w:rsid w:val="001B55DF"/>
    <w:rsid w:val="001B5EAC"/>
    <w:rsid w:val="001B616C"/>
    <w:rsid w:val="001B627A"/>
    <w:rsid w:val="001B67A6"/>
    <w:rsid w:val="001B6C5E"/>
    <w:rsid w:val="001B721C"/>
    <w:rsid w:val="001B75FB"/>
    <w:rsid w:val="001B76F4"/>
    <w:rsid w:val="001B77C3"/>
    <w:rsid w:val="001B7A5A"/>
    <w:rsid w:val="001C02E0"/>
    <w:rsid w:val="001C0611"/>
    <w:rsid w:val="001C0A9D"/>
    <w:rsid w:val="001C114E"/>
    <w:rsid w:val="001C1A59"/>
    <w:rsid w:val="001C2900"/>
    <w:rsid w:val="001C294F"/>
    <w:rsid w:val="001C2C05"/>
    <w:rsid w:val="001C35DC"/>
    <w:rsid w:val="001C3A6E"/>
    <w:rsid w:val="001C3C8B"/>
    <w:rsid w:val="001C3F9F"/>
    <w:rsid w:val="001C41F9"/>
    <w:rsid w:val="001C499B"/>
    <w:rsid w:val="001C4AC0"/>
    <w:rsid w:val="001C4B0F"/>
    <w:rsid w:val="001C5048"/>
    <w:rsid w:val="001C5504"/>
    <w:rsid w:val="001C59B3"/>
    <w:rsid w:val="001C62B5"/>
    <w:rsid w:val="001C6693"/>
    <w:rsid w:val="001C685A"/>
    <w:rsid w:val="001C6E80"/>
    <w:rsid w:val="001C7153"/>
    <w:rsid w:val="001C78B4"/>
    <w:rsid w:val="001C7BD4"/>
    <w:rsid w:val="001C7CA1"/>
    <w:rsid w:val="001C7D23"/>
    <w:rsid w:val="001D09D0"/>
    <w:rsid w:val="001D0CCB"/>
    <w:rsid w:val="001D14AC"/>
    <w:rsid w:val="001D1829"/>
    <w:rsid w:val="001D19A9"/>
    <w:rsid w:val="001D1AF1"/>
    <w:rsid w:val="001D2208"/>
    <w:rsid w:val="001D25CB"/>
    <w:rsid w:val="001D285A"/>
    <w:rsid w:val="001D2ABC"/>
    <w:rsid w:val="001D2C3C"/>
    <w:rsid w:val="001D32E8"/>
    <w:rsid w:val="001D371D"/>
    <w:rsid w:val="001D38C2"/>
    <w:rsid w:val="001D44B5"/>
    <w:rsid w:val="001D46DF"/>
    <w:rsid w:val="001D48A4"/>
    <w:rsid w:val="001D5261"/>
    <w:rsid w:val="001D5589"/>
    <w:rsid w:val="001D599D"/>
    <w:rsid w:val="001D5BD6"/>
    <w:rsid w:val="001D770B"/>
    <w:rsid w:val="001D7A34"/>
    <w:rsid w:val="001D7BCD"/>
    <w:rsid w:val="001E00D9"/>
    <w:rsid w:val="001E04DE"/>
    <w:rsid w:val="001E076B"/>
    <w:rsid w:val="001E0A77"/>
    <w:rsid w:val="001E0F47"/>
    <w:rsid w:val="001E13C5"/>
    <w:rsid w:val="001E18AC"/>
    <w:rsid w:val="001E1926"/>
    <w:rsid w:val="001E27EC"/>
    <w:rsid w:val="001E2E8E"/>
    <w:rsid w:val="001E3433"/>
    <w:rsid w:val="001E35BF"/>
    <w:rsid w:val="001E35D2"/>
    <w:rsid w:val="001E37CF"/>
    <w:rsid w:val="001E3BCC"/>
    <w:rsid w:val="001E450F"/>
    <w:rsid w:val="001E4836"/>
    <w:rsid w:val="001E4851"/>
    <w:rsid w:val="001E4B1D"/>
    <w:rsid w:val="001E5076"/>
    <w:rsid w:val="001E5479"/>
    <w:rsid w:val="001E55CD"/>
    <w:rsid w:val="001E5737"/>
    <w:rsid w:val="001E5F29"/>
    <w:rsid w:val="001E6802"/>
    <w:rsid w:val="001E6B0E"/>
    <w:rsid w:val="001E6C90"/>
    <w:rsid w:val="001E6D5D"/>
    <w:rsid w:val="001E6DF8"/>
    <w:rsid w:val="001E6FB0"/>
    <w:rsid w:val="001E7E60"/>
    <w:rsid w:val="001F018E"/>
    <w:rsid w:val="001F019F"/>
    <w:rsid w:val="001F07B9"/>
    <w:rsid w:val="001F0B04"/>
    <w:rsid w:val="001F0C13"/>
    <w:rsid w:val="001F126D"/>
    <w:rsid w:val="001F1552"/>
    <w:rsid w:val="001F17E9"/>
    <w:rsid w:val="001F1868"/>
    <w:rsid w:val="001F1A82"/>
    <w:rsid w:val="001F2A1C"/>
    <w:rsid w:val="001F2A57"/>
    <w:rsid w:val="001F2DCA"/>
    <w:rsid w:val="001F2E16"/>
    <w:rsid w:val="001F30EE"/>
    <w:rsid w:val="001F3221"/>
    <w:rsid w:val="001F33A0"/>
    <w:rsid w:val="001F3AE4"/>
    <w:rsid w:val="001F3C0E"/>
    <w:rsid w:val="001F3C4B"/>
    <w:rsid w:val="001F3DF0"/>
    <w:rsid w:val="001F3E2C"/>
    <w:rsid w:val="001F474E"/>
    <w:rsid w:val="001F486A"/>
    <w:rsid w:val="001F4B16"/>
    <w:rsid w:val="001F4C39"/>
    <w:rsid w:val="001F4E7B"/>
    <w:rsid w:val="001F5FE3"/>
    <w:rsid w:val="001F630B"/>
    <w:rsid w:val="001F65A3"/>
    <w:rsid w:val="001F6856"/>
    <w:rsid w:val="001F73D9"/>
    <w:rsid w:val="001F7478"/>
    <w:rsid w:val="001F7BA0"/>
    <w:rsid w:val="001F7EDD"/>
    <w:rsid w:val="001F7FCA"/>
    <w:rsid w:val="00200212"/>
    <w:rsid w:val="00200477"/>
    <w:rsid w:val="00200E3C"/>
    <w:rsid w:val="00200F08"/>
    <w:rsid w:val="0020111B"/>
    <w:rsid w:val="002019C7"/>
    <w:rsid w:val="00201FE8"/>
    <w:rsid w:val="002024FC"/>
    <w:rsid w:val="0020264D"/>
    <w:rsid w:val="002027BD"/>
    <w:rsid w:val="00202936"/>
    <w:rsid w:val="00202AE4"/>
    <w:rsid w:val="00202B8F"/>
    <w:rsid w:val="002031C1"/>
    <w:rsid w:val="00203830"/>
    <w:rsid w:val="00203D79"/>
    <w:rsid w:val="002040F7"/>
    <w:rsid w:val="00204411"/>
    <w:rsid w:val="00204A85"/>
    <w:rsid w:val="00204FC0"/>
    <w:rsid w:val="0020534E"/>
    <w:rsid w:val="00205758"/>
    <w:rsid w:val="00205B56"/>
    <w:rsid w:val="00205C40"/>
    <w:rsid w:val="00205EF7"/>
    <w:rsid w:val="0020640C"/>
    <w:rsid w:val="002069B7"/>
    <w:rsid w:val="00206B72"/>
    <w:rsid w:val="00206F81"/>
    <w:rsid w:val="00207016"/>
    <w:rsid w:val="002102CB"/>
    <w:rsid w:val="002104A6"/>
    <w:rsid w:val="002105AD"/>
    <w:rsid w:val="00210673"/>
    <w:rsid w:val="002107AC"/>
    <w:rsid w:val="002108B1"/>
    <w:rsid w:val="00210D2D"/>
    <w:rsid w:val="0021164B"/>
    <w:rsid w:val="002118F6"/>
    <w:rsid w:val="002121E4"/>
    <w:rsid w:val="0021222A"/>
    <w:rsid w:val="002125F9"/>
    <w:rsid w:val="002125FF"/>
    <w:rsid w:val="00212983"/>
    <w:rsid w:val="00212C1C"/>
    <w:rsid w:val="00213205"/>
    <w:rsid w:val="00213330"/>
    <w:rsid w:val="002137DF"/>
    <w:rsid w:val="0021382F"/>
    <w:rsid w:val="00213D3C"/>
    <w:rsid w:val="00214143"/>
    <w:rsid w:val="00214239"/>
    <w:rsid w:val="0021448A"/>
    <w:rsid w:val="00214569"/>
    <w:rsid w:val="00214773"/>
    <w:rsid w:val="002147B1"/>
    <w:rsid w:val="00214C20"/>
    <w:rsid w:val="00214FEB"/>
    <w:rsid w:val="0021514C"/>
    <w:rsid w:val="00215773"/>
    <w:rsid w:val="00216014"/>
    <w:rsid w:val="00216207"/>
    <w:rsid w:val="002168AE"/>
    <w:rsid w:val="00216E8F"/>
    <w:rsid w:val="00217811"/>
    <w:rsid w:val="00217D61"/>
    <w:rsid w:val="00217EE1"/>
    <w:rsid w:val="00220E16"/>
    <w:rsid w:val="00221055"/>
    <w:rsid w:val="00221450"/>
    <w:rsid w:val="002214C9"/>
    <w:rsid w:val="00221D4E"/>
    <w:rsid w:val="00221EF8"/>
    <w:rsid w:val="00221F4F"/>
    <w:rsid w:val="002224A3"/>
    <w:rsid w:val="00224DB1"/>
    <w:rsid w:val="00224E5D"/>
    <w:rsid w:val="00225079"/>
    <w:rsid w:val="002252F7"/>
    <w:rsid w:val="0022588B"/>
    <w:rsid w:val="00226B61"/>
    <w:rsid w:val="00226C0B"/>
    <w:rsid w:val="00226CB0"/>
    <w:rsid w:val="00227508"/>
    <w:rsid w:val="00227B03"/>
    <w:rsid w:val="00227F84"/>
    <w:rsid w:val="00230347"/>
    <w:rsid w:val="00230528"/>
    <w:rsid w:val="002308E1"/>
    <w:rsid w:val="002309E8"/>
    <w:rsid w:val="00230AC8"/>
    <w:rsid w:val="00230C63"/>
    <w:rsid w:val="00230ECD"/>
    <w:rsid w:val="002310A7"/>
    <w:rsid w:val="0023142D"/>
    <w:rsid w:val="002315DE"/>
    <w:rsid w:val="00231FDB"/>
    <w:rsid w:val="00232824"/>
    <w:rsid w:val="0023298F"/>
    <w:rsid w:val="002329B1"/>
    <w:rsid w:val="00232D34"/>
    <w:rsid w:val="00232EC1"/>
    <w:rsid w:val="002330C2"/>
    <w:rsid w:val="002331FD"/>
    <w:rsid w:val="0023329F"/>
    <w:rsid w:val="0023366B"/>
    <w:rsid w:val="0023372E"/>
    <w:rsid w:val="00233C8B"/>
    <w:rsid w:val="00233F8F"/>
    <w:rsid w:val="00234111"/>
    <w:rsid w:val="002344EC"/>
    <w:rsid w:val="0023468B"/>
    <w:rsid w:val="0023495B"/>
    <w:rsid w:val="00234B4B"/>
    <w:rsid w:val="00235448"/>
    <w:rsid w:val="0023599E"/>
    <w:rsid w:val="00235C2F"/>
    <w:rsid w:val="00235F58"/>
    <w:rsid w:val="002366DD"/>
    <w:rsid w:val="00236FC8"/>
    <w:rsid w:val="00237AE9"/>
    <w:rsid w:val="00237BC1"/>
    <w:rsid w:val="0024010C"/>
    <w:rsid w:val="00240421"/>
    <w:rsid w:val="0024061C"/>
    <w:rsid w:val="00241046"/>
    <w:rsid w:val="002411E8"/>
    <w:rsid w:val="00241725"/>
    <w:rsid w:val="00241BC8"/>
    <w:rsid w:val="00241D41"/>
    <w:rsid w:val="0024280E"/>
    <w:rsid w:val="00243224"/>
    <w:rsid w:val="0024336E"/>
    <w:rsid w:val="002434A7"/>
    <w:rsid w:val="00244291"/>
    <w:rsid w:val="00246364"/>
    <w:rsid w:val="00246851"/>
    <w:rsid w:val="002468AE"/>
    <w:rsid w:val="00246D02"/>
    <w:rsid w:val="00246D9D"/>
    <w:rsid w:val="00247828"/>
    <w:rsid w:val="00247C35"/>
    <w:rsid w:val="00250D47"/>
    <w:rsid w:val="00250E9D"/>
    <w:rsid w:val="00250F2F"/>
    <w:rsid w:val="00251555"/>
    <w:rsid w:val="0025183D"/>
    <w:rsid w:val="00251ACE"/>
    <w:rsid w:val="00251AD5"/>
    <w:rsid w:val="00251FA9"/>
    <w:rsid w:val="00252017"/>
    <w:rsid w:val="00252036"/>
    <w:rsid w:val="00252144"/>
    <w:rsid w:val="0025286F"/>
    <w:rsid w:val="00252B31"/>
    <w:rsid w:val="00252DC2"/>
    <w:rsid w:val="00253109"/>
    <w:rsid w:val="00253678"/>
    <w:rsid w:val="00253C48"/>
    <w:rsid w:val="002541D0"/>
    <w:rsid w:val="002548B1"/>
    <w:rsid w:val="0025561E"/>
    <w:rsid w:val="002557C7"/>
    <w:rsid w:val="00256013"/>
    <w:rsid w:val="00256E13"/>
    <w:rsid w:val="00257066"/>
    <w:rsid w:val="002571A7"/>
    <w:rsid w:val="002578DF"/>
    <w:rsid w:val="00257CA5"/>
    <w:rsid w:val="00257D00"/>
    <w:rsid w:val="00260461"/>
    <w:rsid w:val="00260656"/>
    <w:rsid w:val="002606F8"/>
    <w:rsid w:val="002607EA"/>
    <w:rsid w:val="00261101"/>
    <w:rsid w:val="00261743"/>
    <w:rsid w:val="00261C6D"/>
    <w:rsid w:val="00261D4C"/>
    <w:rsid w:val="00262F5B"/>
    <w:rsid w:val="00262F63"/>
    <w:rsid w:val="00263072"/>
    <w:rsid w:val="002638E1"/>
    <w:rsid w:val="00264752"/>
    <w:rsid w:val="002649D9"/>
    <w:rsid w:val="002650E3"/>
    <w:rsid w:val="00266603"/>
    <w:rsid w:val="002674BC"/>
    <w:rsid w:val="00267C19"/>
    <w:rsid w:val="00267C71"/>
    <w:rsid w:val="00267FCC"/>
    <w:rsid w:val="00270A70"/>
    <w:rsid w:val="00270C5C"/>
    <w:rsid w:val="00270CD4"/>
    <w:rsid w:val="00270F23"/>
    <w:rsid w:val="00271861"/>
    <w:rsid w:val="00271934"/>
    <w:rsid w:val="002721B5"/>
    <w:rsid w:val="00272416"/>
    <w:rsid w:val="0027262C"/>
    <w:rsid w:val="00272D29"/>
    <w:rsid w:val="00273C7F"/>
    <w:rsid w:val="00273DE8"/>
    <w:rsid w:val="002741A0"/>
    <w:rsid w:val="00274494"/>
    <w:rsid w:val="00275E59"/>
    <w:rsid w:val="0027632F"/>
    <w:rsid w:val="002765F4"/>
    <w:rsid w:val="002769EA"/>
    <w:rsid w:val="00276BA1"/>
    <w:rsid w:val="00277B3D"/>
    <w:rsid w:val="002802DC"/>
    <w:rsid w:val="002802FF"/>
    <w:rsid w:val="00280706"/>
    <w:rsid w:val="00280F8D"/>
    <w:rsid w:val="00281606"/>
    <w:rsid w:val="00281617"/>
    <w:rsid w:val="002816A7"/>
    <w:rsid w:val="00281EC3"/>
    <w:rsid w:val="00282592"/>
    <w:rsid w:val="002827D7"/>
    <w:rsid w:val="00283084"/>
    <w:rsid w:val="00283251"/>
    <w:rsid w:val="00283421"/>
    <w:rsid w:val="00283D22"/>
    <w:rsid w:val="0028412B"/>
    <w:rsid w:val="002845E0"/>
    <w:rsid w:val="00284EBB"/>
    <w:rsid w:val="002851FB"/>
    <w:rsid w:val="0028552E"/>
    <w:rsid w:val="0028552F"/>
    <w:rsid w:val="002857D5"/>
    <w:rsid w:val="00285ED1"/>
    <w:rsid w:val="00286620"/>
    <w:rsid w:val="0028663A"/>
    <w:rsid w:val="00286B0E"/>
    <w:rsid w:val="00286B4B"/>
    <w:rsid w:val="00286BD1"/>
    <w:rsid w:val="00287088"/>
    <w:rsid w:val="0028710A"/>
    <w:rsid w:val="00287283"/>
    <w:rsid w:val="0028732F"/>
    <w:rsid w:val="00287492"/>
    <w:rsid w:val="00287BFE"/>
    <w:rsid w:val="00287CAE"/>
    <w:rsid w:val="00287E08"/>
    <w:rsid w:val="00290222"/>
    <w:rsid w:val="0029079D"/>
    <w:rsid w:val="002912C9"/>
    <w:rsid w:val="002913B9"/>
    <w:rsid w:val="00291524"/>
    <w:rsid w:val="002917E3"/>
    <w:rsid w:val="00291BF2"/>
    <w:rsid w:val="00291D71"/>
    <w:rsid w:val="00292313"/>
    <w:rsid w:val="00292C08"/>
    <w:rsid w:val="00292C86"/>
    <w:rsid w:val="0029373A"/>
    <w:rsid w:val="00293C3E"/>
    <w:rsid w:val="00293F49"/>
    <w:rsid w:val="00293F5F"/>
    <w:rsid w:val="0029439C"/>
    <w:rsid w:val="0029493A"/>
    <w:rsid w:val="00294A4E"/>
    <w:rsid w:val="00294D6F"/>
    <w:rsid w:val="00294E64"/>
    <w:rsid w:val="00295279"/>
    <w:rsid w:val="00295F6A"/>
    <w:rsid w:val="0029603B"/>
    <w:rsid w:val="00296E62"/>
    <w:rsid w:val="002972DF"/>
    <w:rsid w:val="0029765E"/>
    <w:rsid w:val="002A04DB"/>
    <w:rsid w:val="002A0633"/>
    <w:rsid w:val="002A0826"/>
    <w:rsid w:val="002A0DD3"/>
    <w:rsid w:val="002A12F1"/>
    <w:rsid w:val="002A1346"/>
    <w:rsid w:val="002A1887"/>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9FD"/>
    <w:rsid w:val="002A5DA0"/>
    <w:rsid w:val="002A69BC"/>
    <w:rsid w:val="002A69C8"/>
    <w:rsid w:val="002A6DDE"/>
    <w:rsid w:val="002A7556"/>
    <w:rsid w:val="002A7653"/>
    <w:rsid w:val="002A7E8B"/>
    <w:rsid w:val="002B0041"/>
    <w:rsid w:val="002B0F56"/>
    <w:rsid w:val="002B103F"/>
    <w:rsid w:val="002B16E0"/>
    <w:rsid w:val="002B1A2F"/>
    <w:rsid w:val="002B1B05"/>
    <w:rsid w:val="002B1D72"/>
    <w:rsid w:val="002B27DE"/>
    <w:rsid w:val="002B3111"/>
    <w:rsid w:val="002B32FC"/>
    <w:rsid w:val="002B37AD"/>
    <w:rsid w:val="002B3BCE"/>
    <w:rsid w:val="002B3E02"/>
    <w:rsid w:val="002B417F"/>
    <w:rsid w:val="002B468E"/>
    <w:rsid w:val="002B4709"/>
    <w:rsid w:val="002B4DA6"/>
    <w:rsid w:val="002B4F0D"/>
    <w:rsid w:val="002B5024"/>
    <w:rsid w:val="002B525E"/>
    <w:rsid w:val="002B57DD"/>
    <w:rsid w:val="002B59CA"/>
    <w:rsid w:val="002B5CD2"/>
    <w:rsid w:val="002B5E47"/>
    <w:rsid w:val="002B5FB0"/>
    <w:rsid w:val="002B6437"/>
    <w:rsid w:val="002B6BE2"/>
    <w:rsid w:val="002B709D"/>
    <w:rsid w:val="002B70F6"/>
    <w:rsid w:val="002B7189"/>
    <w:rsid w:val="002B7900"/>
    <w:rsid w:val="002B7948"/>
    <w:rsid w:val="002B7C21"/>
    <w:rsid w:val="002C0060"/>
    <w:rsid w:val="002C0078"/>
    <w:rsid w:val="002C10F7"/>
    <w:rsid w:val="002C1218"/>
    <w:rsid w:val="002C14DB"/>
    <w:rsid w:val="002C14F8"/>
    <w:rsid w:val="002C15D2"/>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5870"/>
    <w:rsid w:val="002C5A15"/>
    <w:rsid w:val="002C60AF"/>
    <w:rsid w:val="002C6236"/>
    <w:rsid w:val="002C62A6"/>
    <w:rsid w:val="002C6444"/>
    <w:rsid w:val="002C6677"/>
    <w:rsid w:val="002C6F73"/>
    <w:rsid w:val="002C70A1"/>
    <w:rsid w:val="002C7C1A"/>
    <w:rsid w:val="002C7D31"/>
    <w:rsid w:val="002C7E63"/>
    <w:rsid w:val="002D00BA"/>
    <w:rsid w:val="002D0E5F"/>
    <w:rsid w:val="002D11A3"/>
    <w:rsid w:val="002D16DB"/>
    <w:rsid w:val="002D18FC"/>
    <w:rsid w:val="002D19B4"/>
    <w:rsid w:val="002D20A7"/>
    <w:rsid w:val="002D20EC"/>
    <w:rsid w:val="002D21E4"/>
    <w:rsid w:val="002D22A0"/>
    <w:rsid w:val="002D2B57"/>
    <w:rsid w:val="002D2DC4"/>
    <w:rsid w:val="002D2F09"/>
    <w:rsid w:val="002D33D6"/>
    <w:rsid w:val="002D34BC"/>
    <w:rsid w:val="002D35D0"/>
    <w:rsid w:val="002D3BF0"/>
    <w:rsid w:val="002D3F35"/>
    <w:rsid w:val="002D4703"/>
    <w:rsid w:val="002D535D"/>
    <w:rsid w:val="002D548B"/>
    <w:rsid w:val="002D58A9"/>
    <w:rsid w:val="002D58E5"/>
    <w:rsid w:val="002D5902"/>
    <w:rsid w:val="002D5E91"/>
    <w:rsid w:val="002D60FB"/>
    <w:rsid w:val="002D616C"/>
    <w:rsid w:val="002D6265"/>
    <w:rsid w:val="002D6996"/>
    <w:rsid w:val="002D6AB5"/>
    <w:rsid w:val="002D7D47"/>
    <w:rsid w:val="002E0263"/>
    <w:rsid w:val="002E0B8F"/>
    <w:rsid w:val="002E0C25"/>
    <w:rsid w:val="002E116E"/>
    <w:rsid w:val="002E149C"/>
    <w:rsid w:val="002E1AA5"/>
    <w:rsid w:val="002E1E43"/>
    <w:rsid w:val="002E26B3"/>
    <w:rsid w:val="002E2BF5"/>
    <w:rsid w:val="002E2D95"/>
    <w:rsid w:val="002E3140"/>
    <w:rsid w:val="002E31A4"/>
    <w:rsid w:val="002E3C1C"/>
    <w:rsid w:val="002E3EBE"/>
    <w:rsid w:val="002E4B8D"/>
    <w:rsid w:val="002E5C6F"/>
    <w:rsid w:val="002E6559"/>
    <w:rsid w:val="002E685A"/>
    <w:rsid w:val="002E6ABC"/>
    <w:rsid w:val="002E75A6"/>
    <w:rsid w:val="002E75F5"/>
    <w:rsid w:val="002E7ABB"/>
    <w:rsid w:val="002F00FF"/>
    <w:rsid w:val="002F148F"/>
    <w:rsid w:val="002F1911"/>
    <w:rsid w:val="002F1D8C"/>
    <w:rsid w:val="002F2141"/>
    <w:rsid w:val="002F2D68"/>
    <w:rsid w:val="002F3582"/>
    <w:rsid w:val="002F36A6"/>
    <w:rsid w:val="002F39B0"/>
    <w:rsid w:val="002F3F2F"/>
    <w:rsid w:val="002F41D2"/>
    <w:rsid w:val="002F460A"/>
    <w:rsid w:val="002F46E1"/>
    <w:rsid w:val="002F4DE5"/>
    <w:rsid w:val="002F52A7"/>
    <w:rsid w:val="002F5C0F"/>
    <w:rsid w:val="002F5C8B"/>
    <w:rsid w:val="002F6015"/>
    <w:rsid w:val="002F602F"/>
    <w:rsid w:val="002F6316"/>
    <w:rsid w:val="002F660C"/>
    <w:rsid w:val="002F6A62"/>
    <w:rsid w:val="002F6C84"/>
    <w:rsid w:val="002F786C"/>
    <w:rsid w:val="002F791E"/>
    <w:rsid w:val="002F79F4"/>
    <w:rsid w:val="002F7FCB"/>
    <w:rsid w:val="003003F1"/>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2F34"/>
    <w:rsid w:val="00303552"/>
    <w:rsid w:val="0030383E"/>
    <w:rsid w:val="00303ADC"/>
    <w:rsid w:val="00303AFA"/>
    <w:rsid w:val="00303B82"/>
    <w:rsid w:val="00303EEE"/>
    <w:rsid w:val="00304161"/>
    <w:rsid w:val="003045AD"/>
    <w:rsid w:val="00304678"/>
    <w:rsid w:val="00304D95"/>
    <w:rsid w:val="00305257"/>
    <w:rsid w:val="00305763"/>
    <w:rsid w:val="00305947"/>
    <w:rsid w:val="00305FE1"/>
    <w:rsid w:val="00306732"/>
    <w:rsid w:val="00306A0B"/>
    <w:rsid w:val="00306C96"/>
    <w:rsid w:val="003070FA"/>
    <w:rsid w:val="00307186"/>
    <w:rsid w:val="003077A5"/>
    <w:rsid w:val="003103BE"/>
    <w:rsid w:val="003104EE"/>
    <w:rsid w:val="00310DB3"/>
    <w:rsid w:val="00310ED4"/>
    <w:rsid w:val="00310F45"/>
    <w:rsid w:val="0031118C"/>
    <w:rsid w:val="00311460"/>
    <w:rsid w:val="003121A6"/>
    <w:rsid w:val="00312777"/>
    <w:rsid w:val="003127D5"/>
    <w:rsid w:val="00312878"/>
    <w:rsid w:val="00312A26"/>
    <w:rsid w:val="00312B67"/>
    <w:rsid w:val="00312BE3"/>
    <w:rsid w:val="00312D73"/>
    <w:rsid w:val="003131DA"/>
    <w:rsid w:val="003132D1"/>
    <w:rsid w:val="00313783"/>
    <w:rsid w:val="00313AD8"/>
    <w:rsid w:val="00313C71"/>
    <w:rsid w:val="00313C7C"/>
    <w:rsid w:val="00313E71"/>
    <w:rsid w:val="00314563"/>
    <w:rsid w:val="003148D6"/>
    <w:rsid w:val="00314B03"/>
    <w:rsid w:val="00314BF3"/>
    <w:rsid w:val="003155D2"/>
    <w:rsid w:val="0031567F"/>
    <w:rsid w:val="0031574A"/>
    <w:rsid w:val="00315A8B"/>
    <w:rsid w:val="0031643E"/>
    <w:rsid w:val="00316E30"/>
    <w:rsid w:val="003174A2"/>
    <w:rsid w:val="003177EA"/>
    <w:rsid w:val="00317C18"/>
    <w:rsid w:val="00317DE2"/>
    <w:rsid w:val="00317DE3"/>
    <w:rsid w:val="00320391"/>
    <w:rsid w:val="00320566"/>
    <w:rsid w:val="0032070D"/>
    <w:rsid w:val="00320996"/>
    <w:rsid w:val="00320A68"/>
    <w:rsid w:val="00320DBB"/>
    <w:rsid w:val="003217A0"/>
    <w:rsid w:val="00321887"/>
    <w:rsid w:val="003218FA"/>
    <w:rsid w:val="00322036"/>
    <w:rsid w:val="00322159"/>
    <w:rsid w:val="003223DE"/>
    <w:rsid w:val="003226F3"/>
    <w:rsid w:val="003228AC"/>
    <w:rsid w:val="00322B57"/>
    <w:rsid w:val="00322E41"/>
    <w:rsid w:val="00322FCD"/>
    <w:rsid w:val="0032301D"/>
    <w:rsid w:val="0032310A"/>
    <w:rsid w:val="00323DC0"/>
    <w:rsid w:val="00323F7B"/>
    <w:rsid w:val="00324056"/>
    <w:rsid w:val="00324208"/>
    <w:rsid w:val="003245AA"/>
    <w:rsid w:val="00324AF7"/>
    <w:rsid w:val="00325630"/>
    <w:rsid w:val="003259A3"/>
    <w:rsid w:val="00325A7A"/>
    <w:rsid w:val="00325ABC"/>
    <w:rsid w:val="00325CB3"/>
    <w:rsid w:val="00326163"/>
    <w:rsid w:val="0032670D"/>
    <w:rsid w:val="003269AB"/>
    <w:rsid w:val="00326ED8"/>
    <w:rsid w:val="00326F1D"/>
    <w:rsid w:val="003276B9"/>
    <w:rsid w:val="00327D35"/>
    <w:rsid w:val="003308AC"/>
    <w:rsid w:val="00330B40"/>
    <w:rsid w:val="00330B78"/>
    <w:rsid w:val="003311C4"/>
    <w:rsid w:val="0033180A"/>
    <w:rsid w:val="00331FBE"/>
    <w:rsid w:val="0033253F"/>
    <w:rsid w:val="0033295D"/>
    <w:rsid w:val="0033296A"/>
    <w:rsid w:val="00332DFF"/>
    <w:rsid w:val="00333128"/>
    <w:rsid w:val="00333223"/>
    <w:rsid w:val="003346CE"/>
    <w:rsid w:val="0033515F"/>
    <w:rsid w:val="00335467"/>
    <w:rsid w:val="00335474"/>
    <w:rsid w:val="003356C8"/>
    <w:rsid w:val="003358CE"/>
    <w:rsid w:val="00335AFA"/>
    <w:rsid w:val="00335DA9"/>
    <w:rsid w:val="00336770"/>
    <w:rsid w:val="003367B9"/>
    <w:rsid w:val="00336F2C"/>
    <w:rsid w:val="003375F2"/>
    <w:rsid w:val="00337797"/>
    <w:rsid w:val="00340878"/>
    <w:rsid w:val="00340B7E"/>
    <w:rsid w:val="00340BFC"/>
    <w:rsid w:val="00340D58"/>
    <w:rsid w:val="00341011"/>
    <w:rsid w:val="0034111B"/>
    <w:rsid w:val="00341440"/>
    <w:rsid w:val="003414D2"/>
    <w:rsid w:val="003416BB"/>
    <w:rsid w:val="003417AD"/>
    <w:rsid w:val="00341A8C"/>
    <w:rsid w:val="00341CD5"/>
    <w:rsid w:val="00341E48"/>
    <w:rsid w:val="003422F0"/>
    <w:rsid w:val="0034257E"/>
    <w:rsid w:val="003426E8"/>
    <w:rsid w:val="00342877"/>
    <w:rsid w:val="00342895"/>
    <w:rsid w:val="00342D3E"/>
    <w:rsid w:val="00343157"/>
    <w:rsid w:val="0034333F"/>
    <w:rsid w:val="00343DB9"/>
    <w:rsid w:val="00344502"/>
    <w:rsid w:val="00344C88"/>
    <w:rsid w:val="0034538F"/>
    <w:rsid w:val="00345754"/>
    <w:rsid w:val="003459BC"/>
    <w:rsid w:val="00345B71"/>
    <w:rsid w:val="00345FAC"/>
    <w:rsid w:val="003469F1"/>
    <w:rsid w:val="00346A8C"/>
    <w:rsid w:val="00346C96"/>
    <w:rsid w:val="00346DDD"/>
    <w:rsid w:val="00346F98"/>
    <w:rsid w:val="00347009"/>
    <w:rsid w:val="0034736E"/>
    <w:rsid w:val="00347992"/>
    <w:rsid w:val="00347A62"/>
    <w:rsid w:val="00347D0F"/>
    <w:rsid w:val="00347E52"/>
    <w:rsid w:val="003501F6"/>
    <w:rsid w:val="003503A3"/>
    <w:rsid w:val="00350C1D"/>
    <w:rsid w:val="00350E74"/>
    <w:rsid w:val="00351D3A"/>
    <w:rsid w:val="00352335"/>
    <w:rsid w:val="00352505"/>
    <w:rsid w:val="003528AE"/>
    <w:rsid w:val="00352904"/>
    <w:rsid w:val="00352A62"/>
    <w:rsid w:val="00352B17"/>
    <w:rsid w:val="00352D35"/>
    <w:rsid w:val="0035309B"/>
    <w:rsid w:val="00353CAB"/>
    <w:rsid w:val="0035403B"/>
    <w:rsid w:val="00354A12"/>
    <w:rsid w:val="00355379"/>
    <w:rsid w:val="00355AC5"/>
    <w:rsid w:val="0035613B"/>
    <w:rsid w:val="003561CB"/>
    <w:rsid w:val="00356253"/>
    <w:rsid w:val="0035643C"/>
    <w:rsid w:val="00356AA4"/>
    <w:rsid w:val="003571FB"/>
    <w:rsid w:val="0035750A"/>
    <w:rsid w:val="00357680"/>
    <w:rsid w:val="00357982"/>
    <w:rsid w:val="00357A44"/>
    <w:rsid w:val="00357D33"/>
    <w:rsid w:val="0036059C"/>
    <w:rsid w:val="00360AD9"/>
    <w:rsid w:val="00360CF1"/>
    <w:rsid w:val="00360D16"/>
    <w:rsid w:val="00360DA1"/>
    <w:rsid w:val="00360DAA"/>
    <w:rsid w:val="00360E70"/>
    <w:rsid w:val="003611C4"/>
    <w:rsid w:val="003614B0"/>
    <w:rsid w:val="003617B8"/>
    <w:rsid w:val="003619CA"/>
    <w:rsid w:val="00362919"/>
    <w:rsid w:val="00362B31"/>
    <w:rsid w:val="00362C4B"/>
    <w:rsid w:val="003634EA"/>
    <w:rsid w:val="00363A15"/>
    <w:rsid w:val="00363CDC"/>
    <w:rsid w:val="00363ECF"/>
    <w:rsid w:val="003646FB"/>
    <w:rsid w:val="00364B2A"/>
    <w:rsid w:val="00364C5E"/>
    <w:rsid w:val="00365701"/>
    <w:rsid w:val="0036573A"/>
    <w:rsid w:val="0036598D"/>
    <w:rsid w:val="00365E23"/>
    <w:rsid w:val="0036668C"/>
    <w:rsid w:val="003669A6"/>
    <w:rsid w:val="00366B60"/>
    <w:rsid w:val="00366BFF"/>
    <w:rsid w:val="00367164"/>
    <w:rsid w:val="003672CD"/>
    <w:rsid w:val="0036747E"/>
    <w:rsid w:val="00367EE9"/>
    <w:rsid w:val="003701AC"/>
    <w:rsid w:val="00370645"/>
    <w:rsid w:val="003706B7"/>
    <w:rsid w:val="00371090"/>
    <w:rsid w:val="0037192A"/>
    <w:rsid w:val="003725BF"/>
    <w:rsid w:val="00372773"/>
    <w:rsid w:val="003728D7"/>
    <w:rsid w:val="003729E3"/>
    <w:rsid w:val="0037312C"/>
    <w:rsid w:val="00373F94"/>
    <w:rsid w:val="00374200"/>
    <w:rsid w:val="003742E9"/>
    <w:rsid w:val="00374549"/>
    <w:rsid w:val="0037484D"/>
    <w:rsid w:val="00374FDC"/>
    <w:rsid w:val="003756A8"/>
    <w:rsid w:val="0037647F"/>
    <w:rsid w:val="003769B4"/>
    <w:rsid w:val="00376B6A"/>
    <w:rsid w:val="0037705C"/>
    <w:rsid w:val="00377351"/>
    <w:rsid w:val="003777E2"/>
    <w:rsid w:val="00377A00"/>
    <w:rsid w:val="00377A0D"/>
    <w:rsid w:val="00377E05"/>
    <w:rsid w:val="0038054D"/>
    <w:rsid w:val="00381260"/>
    <w:rsid w:val="003819AD"/>
    <w:rsid w:val="00381F15"/>
    <w:rsid w:val="003821E7"/>
    <w:rsid w:val="00382326"/>
    <w:rsid w:val="0038258C"/>
    <w:rsid w:val="00382636"/>
    <w:rsid w:val="00382B5E"/>
    <w:rsid w:val="00382EDC"/>
    <w:rsid w:val="00382F70"/>
    <w:rsid w:val="00382F73"/>
    <w:rsid w:val="003831BC"/>
    <w:rsid w:val="003832AD"/>
    <w:rsid w:val="003837CD"/>
    <w:rsid w:val="00383846"/>
    <w:rsid w:val="00383BA8"/>
    <w:rsid w:val="0038461D"/>
    <w:rsid w:val="0038480A"/>
    <w:rsid w:val="00384AB5"/>
    <w:rsid w:val="00384C92"/>
    <w:rsid w:val="00384D9B"/>
    <w:rsid w:val="00384F61"/>
    <w:rsid w:val="003850F8"/>
    <w:rsid w:val="0038555F"/>
    <w:rsid w:val="0038567B"/>
    <w:rsid w:val="00385912"/>
    <w:rsid w:val="00385979"/>
    <w:rsid w:val="00385D3D"/>
    <w:rsid w:val="003861D5"/>
    <w:rsid w:val="00386400"/>
    <w:rsid w:val="00386D50"/>
    <w:rsid w:val="00387EAE"/>
    <w:rsid w:val="00387EC3"/>
    <w:rsid w:val="003900E9"/>
    <w:rsid w:val="00390685"/>
    <w:rsid w:val="0039114E"/>
    <w:rsid w:val="00391591"/>
    <w:rsid w:val="00391716"/>
    <w:rsid w:val="0039191D"/>
    <w:rsid w:val="00391ABF"/>
    <w:rsid w:val="00391E30"/>
    <w:rsid w:val="00391E36"/>
    <w:rsid w:val="00392145"/>
    <w:rsid w:val="003922C1"/>
    <w:rsid w:val="003924E4"/>
    <w:rsid w:val="00392621"/>
    <w:rsid w:val="0039291E"/>
    <w:rsid w:val="003936DF"/>
    <w:rsid w:val="00393895"/>
    <w:rsid w:val="00393CE6"/>
    <w:rsid w:val="00393EDF"/>
    <w:rsid w:val="00394211"/>
    <w:rsid w:val="0039438A"/>
    <w:rsid w:val="00394791"/>
    <w:rsid w:val="003947BF"/>
    <w:rsid w:val="00394E02"/>
    <w:rsid w:val="00394FD6"/>
    <w:rsid w:val="00395229"/>
    <w:rsid w:val="00395286"/>
    <w:rsid w:val="00395F99"/>
    <w:rsid w:val="003961EC"/>
    <w:rsid w:val="00396437"/>
    <w:rsid w:val="0039687E"/>
    <w:rsid w:val="00396A34"/>
    <w:rsid w:val="00396DC3"/>
    <w:rsid w:val="0039758B"/>
    <w:rsid w:val="0039769A"/>
    <w:rsid w:val="00397D4E"/>
    <w:rsid w:val="003A0277"/>
    <w:rsid w:val="003A0284"/>
    <w:rsid w:val="003A0316"/>
    <w:rsid w:val="003A063D"/>
    <w:rsid w:val="003A090B"/>
    <w:rsid w:val="003A12D7"/>
    <w:rsid w:val="003A13DE"/>
    <w:rsid w:val="003A17C3"/>
    <w:rsid w:val="003A1976"/>
    <w:rsid w:val="003A1B0E"/>
    <w:rsid w:val="003A21F8"/>
    <w:rsid w:val="003A284B"/>
    <w:rsid w:val="003A2A56"/>
    <w:rsid w:val="003A2D67"/>
    <w:rsid w:val="003A36CE"/>
    <w:rsid w:val="003A46E9"/>
    <w:rsid w:val="003A472D"/>
    <w:rsid w:val="003A49AC"/>
    <w:rsid w:val="003A49D5"/>
    <w:rsid w:val="003A4F5F"/>
    <w:rsid w:val="003A4FFA"/>
    <w:rsid w:val="003A510B"/>
    <w:rsid w:val="003A550E"/>
    <w:rsid w:val="003A5C62"/>
    <w:rsid w:val="003A684C"/>
    <w:rsid w:val="003A6A5D"/>
    <w:rsid w:val="003A6EBC"/>
    <w:rsid w:val="003A70CF"/>
    <w:rsid w:val="003A77A6"/>
    <w:rsid w:val="003A7D3E"/>
    <w:rsid w:val="003B01FF"/>
    <w:rsid w:val="003B0B3A"/>
    <w:rsid w:val="003B0DB6"/>
    <w:rsid w:val="003B0E84"/>
    <w:rsid w:val="003B10A8"/>
    <w:rsid w:val="003B1337"/>
    <w:rsid w:val="003B1636"/>
    <w:rsid w:val="003B1807"/>
    <w:rsid w:val="003B197A"/>
    <w:rsid w:val="003B1E8A"/>
    <w:rsid w:val="003B3072"/>
    <w:rsid w:val="003B41FC"/>
    <w:rsid w:val="003B45C0"/>
    <w:rsid w:val="003B4634"/>
    <w:rsid w:val="003B4DB9"/>
    <w:rsid w:val="003B61EE"/>
    <w:rsid w:val="003B6348"/>
    <w:rsid w:val="003B6FEC"/>
    <w:rsid w:val="003B70FD"/>
    <w:rsid w:val="003B7695"/>
    <w:rsid w:val="003B769E"/>
    <w:rsid w:val="003B7C0A"/>
    <w:rsid w:val="003C0190"/>
    <w:rsid w:val="003C021F"/>
    <w:rsid w:val="003C026B"/>
    <w:rsid w:val="003C048B"/>
    <w:rsid w:val="003C0C33"/>
    <w:rsid w:val="003C0FB8"/>
    <w:rsid w:val="003C1364"/>
    <w:rsid w:val="003C19EC"/>
    <w:rsid w:val="003C1C7F"/>
    <w:rsid w:val="003C2F67"/>
    <w:rsid w:val="003C30BF"/>
    <w:rsid w:val="003C33A6"/>
    <w:rsid w:val="003C37A3"/>
    <w:rsid w:val="003C3BBC"/>
    <w:rsid w:val="003C477A"/>
    <w:rsid w:val="003C4C2D"/>
    <w:rsid w:val="003C521E"/>
    <w:rsid w:val="003C54A5"/>
    <w:rsid w:val="003C590E"/>
    <w:rsid w:val="003C594E"/>
    <w:rsid w:val="003C6259"/>
    <w:rsid w:val="003C6511"/>
    <w:rsid w:val="003C6565"/>
    <w:rsid w:val="003C7091"/>
    <w:rsid w:val="003C79EB"/>
    <w:rsid w:val="003C7E88"/>
    <w:rsid w:val="003D001B"/>
    <w:rsid w:val="003D04D6"/>
    <w:rsid w:val="003D0AB5"/>
    <w:rsid w:val="003D0BAF"/>
    <w:rsid w:val="003D0C96"/>
    <w:rsid w:val="003D0D3C"/>
    <w:rsid w:val="003D1C3F"/>
    <w:rsid w:val="003D1E1C"/>
    <w:rsid w:val="003D1FF9"/>
    <w:rsid w:val="003D2A68"/>
    <w:rsid w:val="003D2DC7"/>
    <w:rsid w:val="003D3EC6"/>
    <w:rsid w:val="003D583D"/>
    <w:rsid w:val="003D58FC"/>
    <w:rsid w:val="003D5A9B"/>
    <w:rsid w:val="003D5AB0"/>
    <w:rsid w:val="003D5F07"/>
    <w:rsid w:val="003D6A9A"/>
    <w:rsid w:val="003D6AE2"/>
    <w:rsid w:val="003D771E"/>
    <w:rsid w:val="003D7742"/>
    <w:rsid w:val="003E020B"/>
    <w:rsid w:val="003E039A"/>
    <w:rsid w:val="003E0406"/>
    <w:rsid w:val="003E0471"/>
    <w:rsid w:val="003E10F4"/>
    <w:rsid w:val="003E126E"/>
    <w:rsid w:val="003E151E"/>
    <w:rsid w:val="003E1535"/>
    <w:rsid w:val="003E1C08"/>
    <w:rsid w:val="003E1C42"/>
    <w:rsid w:val="003E22FD"/>
    <w:rsid w:val="003E2428"/>
    <w:rsid w:val="003E2758"/>
    <w:rsid w:val="003E2D0C"/>
    <w:rsid w:val="003E31BE"/>
    <w:rsid w:val="003E35CF"/>
    <w:rsid w:val="003E3B0F"/>
    <w:rsid w:val="003E3CBD"/>
    <w:rsid w:val="003E3E9A"/>
    <w:rsid w:val="003E3EA7"/>
    <w:rsid w:val="003E4721"/>
    <w:rsid w:val="003E477C"/>
    <w:rsid w:val="003E491C"/>
    <w:rsid w:val="003E4FD5"/>
    <w:rsid w:val="003E5135"/>
    <w:rsid w:val="003E5158"/>
    <w:rsid w:val="003E5405"/>
    <w:rsid w:val="003E59B7"/>
    <w:rsid w:val="003E6423"/>
    <w:rsid w:val="003E6513"/>
    <w:rsid w:val="003E7003"/>
    <w:rsid w:val="003E701B"/>
    <w:rsid w:val="003E710B"/>
    <w:rsid w:val="003E762D"/>
    <w:rsid w:val="003E7A91"/>
    <w:rsid w:val="003E7B17"/>
    <w:rsid w:val="003E7FA3"/>
    <w:rsid w:val="003F1776"/>
    <w:rsid w:val="003F1843"/>
    <w:rsid w:val="003F1997"/>
    <w:rsid w:val="003F1B52"/>
    <w:rsid w:val="003F1E9B"/>
    <w:rsid w:val="003F20A4"/>
    <w:rsid w:val="003F20DE"/>
    <w:rsid w:val="003F2764"/>
    <w:rsid w:val="003F2DDE"/>
    <w:rsid w:val="003F321F"/>
    <w:rsid w:val="003F3325"/>
    <w:rsid w:val="003F335A"/>
    <w:rsid w:val="003F340D"/>
    <w:rsid w:val="003F3FAB"/>
    <w:rsid w:val="003F40D1"/>
    <w:rsid w:val="003F4F84"/>
    <w:rsid w:val="003F516E"/>
    <w:rsid w:val="003F569E"/>
    <w:rsid w:val="003F5716"/>
    <w:rsid w:val="003F5A4F"/>
    <w:rsid w:val="003F5B36"/>
    <w:rsid w:val="003F60C2"/>
    <w:rsid w:val="003F698E"/>
    <w:rsid w:val="003F69DB"/>
    <w:rsid w:val="003F6A94"/>
    <w:rsid w:val="003F6FD7"/>
    <w:rsid w:val="003F74D8"/>
    <w:rsid w:val="003F7758"/>
    <w:rsid w:val="003F7B4F"/>
    <w:rsid w:val="004008A0"/>
    <w:rsid w:val="00400E28"/>
    <w:rsid w:val="00401287"/>
    <w:rsid w:val="0040218F"/>
    <w:rsid w:val="00402274"/>
    <w:rsid w:val="00402AD4"/>
    <w:rsid w:val="0040354E"/>
    <w:rsid w:val="00403783"/>
    <w:rsid w:val="004040FE"/>
    <w:rsid w:val="00404785"/>
    <w:rsid w:val="00404BF3"/>
    <w:rsid w:val="00404F2A"/>
    <w:rsid w:val="0040554F"/>
    <w:rsid w:val="00405F4A"/>
    <w:rsid w:val="00405FB4"/>
    <w:rsid w:val="004062D7"/>
    <w:rsid w:val="004063BD"/>
    <w:rsid w:val="0040644E"/>
    <w:rsid w:val="00406B8E"/>
    <w:rsid w:val="00406E86"/>
    <w:rsid w:val="004071AA"/>
    <w:rsid w:val="00407B1E"/>
    <w:rsid w:val="00407B24"/>
    <w:rsid w:val="00410386"/>
    <w:rsid w:val="00410598"/>
    <w:rsid w:val="00410BBB"/>
    <w:rsid w:val="004110F7"/>
    <w:rsid w:val="004115F5"/>
    <w:rsid w:val="00411607"/>
    <w:rsid w:val="00411C04"/>
    <w:rsid w:val="00411F9F"/>
    <w:rsid w:val="00412366"/>
    <w:rsid w:val="00412488"/>
    <w:rsid w:val="00414636"/>
    <w:rsid w:val="00414936"/>
    <w:rsid w:val="00414BEA"/>
    <w:rsid w:val="00414D29"/>
    <w:rsid w:val="00415552"/>
    <w:rsid w:val="00415807"/>
    <w:rsid w:val="004159D2"/>
    <w:rsid w:val="00416D3B"/>
    <w:rsid w:val="00416F71"/>
    <w:rsid w:val="00417431"/>
    <w:rsid w:val="00417B83"/>
    <w:rsid w:val="004201DE"/>
    <w:rsid w:val="00420984"/>
    <w:rsid w:val="00420A6E"/>
    <w:rsid w:val="00420BA9"/>
    <w:rsid w:val="004214FD"/>
    <w:rsid w:val="004216A1"/>
    <w:rsid w:val="004216E4"/>
    <w:rsid w:val="0042213B"/>
    <w:rsid w:val="00422195"/>
    <w:rsid w:val="004226E7"/>
    <w:rsid w:val="00422C3B"/>
    <w:rsid w:val="00422DCA"/>
    <w:rsid w:val="00422DF0"/>
    <w:rsid w:val="00423689"/>
    <w:rsid w:val="004236D0"/>
    <w:rsid w:val="004237D9"/>
    <w:rsid w:val="004237DE"/>
    <w:rsid w:val="00423847"/>
    <w:rsid w:val="00423B1B"/>
    <w:rsid w:val="00423C21"/>
    <w:rsid w:val="00423D4D"/>
    <w:rsid w:val="0042443E"/>
    <w:rsid w:val="0042500C"/>
    <w:rsid w:val="00425557"/>
    <w:rsid w:val="004256F0"/>
    <w:rsid w:val="004257F8"/>
    <w:rsid w:val="00425B7D"/>
    <w:rsid w:val="0042695B"/>
    <w:rsid w:val="004273AC"/>
    <w:rsid w:val="00427DA6"/>
    <w:rsid w:val="00430244"/>
    <w:rsid w:val="00430DC0"/>
    <w:rsid w:val="0043160C"/>
    <w:rsid w:val="00432EBC"/>
    <w:rsid w:val="004346DD"/>
    <w:rsid w:val="00434FF6"/>
    <w:rsid w:val="00436558"/>
    <w:rsid w:val="00436A99"/>
    <w:rsid w:val="00436FF7"/>
    <w:rsid w:val="0043720F"/>
    <w:rsid w:val="00437592"/>
    <w:rsid w:val="00437B42"/>
    <w:rsid w:val="00437C9C"/>
    <w:rsid w:val="0044008A"/>
    <w:rsid w:val="0044033D"/>
    <w:rsid w:val="00441C5C"/>
    <w:rsid w:val="00441E22"/>
    <w:rsid w:val="00442016"/>
    <w:rsid w:val="00442327"/>
    <w:rsid w:val="00442947"/>
    <w:rsid w:val="00442CF6"/>
    <w:rsid w:val="00442EB8"/>
    <w:rsid w:val="00442EC8"/>
    <w:rsid w:val="0044308C"/>
    <w:rsid w:val="00443F4D"/>
    <w:rsid w:val="0044443D"/>
    <w:rsid w:val="00444B47"/>
    <w:rsid w:val="00444B5E"/>
    <w:rsid w:val="004451E4"/>
    <w:rsid w:val="004454AE"/>
    <w:rsid w:val="004456B2"/>
    <w:rsid w:val="00446087"/>
    <w:rsid w:val="0044611D"/>
    <w:rsid w:val="00446D39"/>
    <w:rsid w:val="00446DAB"/>
    <w:rsid w:val="00446FAD"/>
    <w:rsid w:val="00447064"/>
    <w:rsid w:val="004475B4"/>
    <w:rsid w:val="004476C3"/>
    <w:rsid w:val="00450AF0"/>
    <w:rsid w:val="00450C2E"/>
    <w:rsid w:val="00450C3E"/>
    <w:rsid w:val="00450C9D"/>
    <w:rsid w:val="00450D05"/>
    <w:rsid w:val="00450D81"/>
    <w:rsid w:val="00450FB6"/>
    <w:rsid w:val="00450FD7"/>
    <w:rsid w:val="00451061"/>
    <w:rsid w:val="004510C4"/>
    <w:rsid w:val="004519EA"/>
    <w:rsid w:val="004525F8"/>
    <w:rsid w:val="004529F8"/>
    <w:rsid w:val="00452A0A"/>
    <w:rsid w:val="00452B48"/>
    <w:rsid w:val="00452EB4"/>
    <w:rsid w:val="00453B5B"/>
    <w:rsid w:val="00453C6F"/>
    <w:rsid w:val="00454495"/>
    <w:rsid w:val="004544DA"/>
    <w:rsid w:val="00454655"/>
    <w:rsid w:val="004546AB"/>
    <w:rsid w:val="00454EA6"/>
    <w:rsid w:val="00455914"/>
    <w:rsid w:val="00455A2B"/>
    <w:rsid w:val="00455C8B"/>
    <w:rsid w:val="00456124"/>
    <w:rsid w:val="00456237"/>
    <w:rsid w:val="0045644C"/>
    <w:rsid w:val="004568C0"/>
    <w:rsid w:val="00456A16"/>
    <w:rsid w:val="00456A88"/>
    <w:rsid w:val="00456CA0"/>
    <w:rsid w:val="00456E1F"/>
    <w:rsid w:val="004572B1"/>
    <w:rsid w:val="004579A0"/>
    <w:rsid w:val="0046046D"/>
    <w:rsid w:val="00460B03"/>
    <w:rsid w:val="00460B37"/>
    <w:rsid w:val="0046177A"/>
    <w:rsid w:val="0046197F"/>
    <w:rsid w:val="00462DA6"/>
    <w:rsid w:val="0046305C"/>
    <w:rsid w:val="00463435"/>
    <w:rsid w:val="00463536"/>
    <w:rsid w:val="00463DA3"/>
    <w:rsid w:val="00464220"/>
    <w:rsid w:val="00464BF6"/>
    <w:rsid w:val="00464E85"/>
    <w:rsid w:val="004650C0"/>
    <w:rsid w:val="0046517B"/>
    <w:rsid w:val="00465293"/>
    <w:rsid w:val="00465C2D"/>
    <w:rsid w:val="00466490"/>
    <w:rsid w:val="00466E88"/>
    <w:rsid w:val="00467B5D"/>
    <w:rsid w:val="00467C0B"/>
    <w:rsid w:val="00467D56"/>
    <w:rsid w:val="004707D4"/>
    <w:rsid w:val="00471044"/>
    <w:rsid w:val="0047110B"/>
    <w:rsid w:val="00472192"/>
    <w:rsid w:val="00472374"/>
    <w:rsid w:val="00472C8E"/>
    <w:rsid w:val="004730B6"/>
    <w:rsid w:val="0047333D"/>
    <w:rsid w:val="00473CFC"/>
    <w:rsid w:val="00473D18"/>
    <w:rsid w:val="0047429B"/>
    <w:rsid w:val="0047450B"/>
    <w:rsid w:val="00474B33"/>
    <w:rsid w:val="00474C30"/>
    <w:rsid w:val="00474D75"/>
    <w:rsid w:val="00474FAD"/>
    <w:rsid w:val="00475139"/>
    <w:rsid w:val="004751CA"/>
    <w:rsid w:val="00475935"/>
    <w:rsid w:val="0047667D"/>
    <w:rsid w:val="004772AB"/>
    <w:rsid w:val="0047739F"/>
    <w:rsid w:val="00477A38"/>
    <w:rsid w:val="00477D4F"/>
    <w:rsid w:val="0048058C"/>
    <w:rsid w:val="00480867"/>
    <w:rsid w:val="00480974"/>
    <w:rsid w:val="00481794"/>
    <w:rsid w:val="00481968"/>
    <w:rsid w:val="00481BA3"/>
    <w:rsid w:val="004822A7"/>
    <w:rsid w:val="0048239B"/>
    <w:rsid w:val="00482834"/>
    <w:rsid w:val="00483516"/>
    <w:rsid w:val="0048374D"/>
    <w:rsid w:val="00483758"/>
    <w:rsid w:val="004838CA"/>
    <w:rsid w:val="0048393C"/>
    <w:rsid w:val="0048432C"/>
    <w:rsid w:val="004843F9"/>
    <w:rsid w:val="00484A41"/>
    <w:rsid w:val="00485C21"/>
    <w:rsid w:val="00485F83"/>
    <w:rsid w:val="004860B6"/>
    <w:rsid w:val="004860CA"/>
    <w:rsid w:val="00486140"/>
    <w:rsid w:val="00486452"/>
    <w:rsid w:val="0048770D"/>
    <w:rsid w:val="004877B8"/>
    <w:rsid w:val="00487B26"/>
    <w:rsid w:val="00487C22"/>
    <w:rsid w:val="00487D34"/>
    <w:rsid w:val="00490041"/>
    <w:rsid w:val="004900D9"/>
    <w:rsid w:val="00490993"/>
    <w:rsid w:val="004910DF"/>
    <w:rsid w:val="0049131F"/>
    <w:rsid w:val="00491B2C"/>
    <w:rsid w:val="00491C77"/>
    <w:rsid w:val="00492045"/>
    <w:rsid w:val="004921AB"/>
    <w:rsid w:val="0049239F"/>
    <w:rsid w:val="00492F01"/>
    <w:rsid w:val="00493101"/>
    <w:rsid w:val="00493172"/>
    <w:rsid w:val="00493675"/>
    <w:rsid w:val="00493A90"/>
    <w:rsid w:val="00494C05"/>
    <w:rsid w:val="00495181"/>
    <w:rsid w:val="004952BA"/>
    <w:rsid w:val="00495458"/>
    <w:rsid w:val="0049558A"/>
    <w:rsid w:val="00495834"/>
    <w:rsid w:val="00495AF5"/>
    <w:rsid w:val="00495B68"/>
    <w:rsid w:val="00495E00"/>
    <w:rsid w:val="004960DF"/>
    <w:rsid w:val="00496263"/>
    <w:rsid w:val="0049685F"/>
    <w:rsid w:val="00497BB7"/>
    <w:rsid w:val="00497E65"/>
    <w:rsid w:val="004A046F"/>
    <w:rsid w:val="004A0B68"/>
    <w:rsid w:val="004A0D0A"/>
    <w:rsid w:val="004A1164"/>
    <w:rsid w:val="004A1263"/>
    <w:rsid w:val="004A12BA"/>
    <w:rsid w:val="004A2129"/>
    <w:rsid w:val="004A2327"/>
    <w:rsid w:val="004A23DA"/>
    <w:rsid w:val="004A26AB"/>
    <w:rsid w:val="004A2ADC"/>
    <w:rsid w:val="004A2B24"/>
    <w:rsid w:val="004A2C55"/>
    <w:rsid w:val="004A2CA7"/>
    <w:rsid w:val="004A37A5"/>
    <w:rsid w:val="004A3C0E"/>
    <w:rsid w:val="004A3E7A"/>
    <w:rsid w:val="004A4239"/>
    <w:rsid w:val="004A4509"/>
    <w:rsid w:val="004A48E2"/>
    <w:rsid w:val="004A4BA5"/>
    <w:rsid w:val="004A4BB7"/>
    <w:rsid w:val="004A4F19"/>
    <w:rsid w:val="004A4F80"/>
    <w:rsid w:val="004A522D"/>
    <w:rsid w:val="004A63A3"/>
    <w:rsid w:val="004A66BC"/>
    <w:rsid w:val="004A6BFE"/>
    <w:rsid w:val="004A7D22"/>
    <w:rsid w:val="004B059F"/>
    <w:rsid w:val="004B0E6E"/>
    <w:rsid w:val="004B1019"/>
    <w:rsid w:val="004B1282"/>
    <w:rsid w:val="004B1566"/>
    <w:rsid w:val="004B1638"/>
    <w:rsid w:val="004B16E3"/>
    <w:rsid w:val="004B17FD"/>
    <w:rsid w:val="004B19D0"/>
    <w:rsid w:val="004B1ECA"/>
    <w:rsid w:val="004B1F23"/>
    <w:rsid w:val="004B2396"/>
    <w:rsid w:val="004B23DF"/>
    <w:rsid w:val="004B24CB"/>
    <w:rsid w:val="004B24F3"/>
    <w:rsid w:val="004B2FC5"/>
    <w:rsid w:val="004B335F"/>
    <w:rsid w:val="004B35F0"/>
    <w:rsid w:val="004B3729"/>
    <w:rsid w:val="004B3C43"/>
    <w:rsid w:val="004B3D3A"/>
    <w:rsid w:val="004B3F24"/>
    <w:rsid w:val="004B3F31"/>
    <w:rsid w:val="004B42EB"/>
    <w:rsid w:val="004B44CB"/>
    <w:rsid w:val="004B4ABF"/>
    <w:rsid w:val="004B4BD8"/>
    <w:rsid w:val="004B4C91"/>
    <w:rsid w:val="004B4CF8"/>
    <w:rsid w:val="004B4DE3"/>
    <w:rsid w:val="004B4E46"/>
    <w:rsid w:val="004B56C7"/>
    <w:rsid w:val="004B5A39"/>
    <w:rsid w:val="004B6410"/>
    <w:rsid w:val="004B6A37"/>
    <w:rsid w:val="004B7280"/>
    <w:rsid w:val="004B7281"/>
    <w:rsid w:val="004C04D9"/>
    <w:rsid w:val="004C05AD"/>
    <w:rsid w:val="004C0850"/>
    <w:rsid w:val="004C0857"/>
    <w:rsid w:val="004C147B"/>
    <w:rsid w:val="004C1AB2"/>
    <w:rsid w:val="004C1F0F"/>
    <w:rsid w:val="004C249F"/>
    <w:rsid w:val="004C2B36"/>
    <w:rsid w:val="004C33AB"/>
    <w:rsid w:val="004C3755"/>
    <w:rsid w:val="004C3C92"/>
    <w:rsid w:val="004C43DB"/>
    <w:rsid w:val="004C469A"/>
    <w:rsid w:val="004C47F9"/>
    <w:rsid w:val="004C4CF6"/>
    <w:rsid w:val="004C5593"/>
    <w:rsid w:val="004C5C3B"/>
    <w:rsid w:val="004C5C6B"/>
    <w:rsid w:val="004C5DB4"/>
    <w:rsid w:val="004C6307"/>
    <w:rsid w:val="004C6949"/>
    <w:rsid w:val="004C69CF"/>
    <w:rsid w:val="004C7495"/>
    <w:rsid w:val="004D0024"/>
    <w:rsid w:val="004D0614"/>
    <w:rsid w:val="004D13B9"/>
    <w:rsid w:val="004D16F6"/>
    <w:rsid w:val="004D1BE3"/>
    <w:rsid w:val="004D1F83"/>
    <w:rsid w:val="004D2158"/>
    <w:rsid w:val="004D21A7"/>
    <w:rsid w:val="004D255A"/>
    <w:rsid w:val="004D261C"/>
    <w:rsid w:val="004D26DB"/>
    <w:rsid w:val="004D3381"/>
    <w:rsid w:val="004D40C2"/>
    <w:rsid w:val="004D4540"/>
    <w:rsid w:val="004D52A1"/>
    <w:rsid w:val="004D52DC"/>
    <w:rsid w:val="004D59C6"/>
    <w:rsid w:val="004D5C91"/>
    <w:rsid w:val="004D5F68"/>
    <w:rsid w:val="004D652B"/>
    <w:rsid w:val="004D6533"/>
    <w:rsid w:val="004D67E4"/>
    <w:rsid w:val="004D6B48"/>
    <w:rsid w:val="004D6C5B"/>
    <w:rsid w:val="004D7871"/>
    <w:rsid w:val="004D7ABB"/>
    <w:rsid w:val="004E000C"/>
    <w:rsid w:val="004E05B7"/>
    <w:rsid w:val="004E0D57"/>
    <w:rsid w:val="004E0D79"/>
    <w:rsid w:val="004E10C1"/>
    <w:rsid w:val="004E1821"/>
    <w:rsid w:val="004E1F37"/>
    <w:rsid w:val="004E2195"/>
    <w:rsid w:val="004E2446"/>
    <w:rsid w:val="004E2B18"/>
    <w:rsid w:val="004E2C18"/>
    <w:rsid w:val="004E2D89"/>
    <w:rsid w:val="004E2E92"/>
    <w:rsid w:val="004E30D1"/>
    <w:rsid w:val="004E32ED"/>
    <w:rsid w:val="004E3677"/>
    <w:rsid w:val="004E3823"/>
    <w:rsid w:val="004E3D10"/>
    <w:rsid w:val="004E4013"/>
    <w:rsid w:val="004E41AF"/>
    <w:rsid w:val="004E47B0"/>
    <w:rsid w:val="004E49A5"/>
    <w:rsid w:val="004E4B1E"/>
    <w:rsid w:val="004E502E"/>
    <w:rsid w:val="004E5563"/>
    <w:rsid w:val="004E56B0"/>
    <w:rsid w:val="004E58E7"/>
    <w:rsid w:val="004E5C32"/>
    <w:rsid w:val="004E5ECA"/>
    <w:rsid w:val="004E71FB"/>
    <w:rsid w:val="004E75AC"/>
    <w:rsid w:val="004E789C"/>
    <w:rsid w:val="004E7A65"/>
    <w:rsid w:val="004E7AEF"/>
    <w:rsid w:val="004E7F14"/>
    <w:rsid w:val="004F0486"/>
    <w:rsid w:val="004F0563"/>
    <w:rsid w:val="004F0728"/>
    <w:rsid w:val="004F0A14"/>
    <w:rsid w:val="004F10AF"/>
    <w:rsid w:val="004F1142"/>
    <w:rsid w:val="004F260D"/>
    <w:rsid w:val="004F30C8"/>
    <w:rsid w:val="004F32DA"/>
    <w:rsid w:val="004F3359"/>
    <w:rsid w:val="004F38F7"/>
    <w:rsid w:val="004F3DC4"/>
    <w:rsid w:val="004F405D"/>
    <w:rsid w:val="004F42CB"/>
    <w:rsid w:val="004F4600"/>
    <w:rsid w:val="004F4855"/>
    <w:rsid w:val="004F4A04"/>
    <w:rsid w:val="004F4C1D"/>
    <w:rsid w:val="004F4E64"/>
    <w:rsid w:val="004F4F6D"/>
    <w:rsid w:val="004F4F84"/>
    <w:rsid w:val="004F5465"/>
    <w:rsid w:val="004F596C"/>
    <w:rsid w:val="004F60FB"/>
    <w:rsid w:val="004F6AAD"/>
    <w:rsid w:val="004F6C98"/>
    <w:rsid w:val="004F7573"/>
    <w:rsid w:val="004F78D8"/>
    <w:rsid w:val="004F7901"/>
    <w:rsid w:val="004F7FD7"/>
    <w:rsid w:val="00500220"/>
    <w:rsid w:val="00500AD0"/>
    <w:rsid w:val="00501213"/>
    <w:rsid w:val="0050161C"/>
    <w:rsid w:val="0050170E"/>
    <w:rsid w:val="00501A4C"/>
    <w:rsid w:val="00501EFA"/>
    <w:rsid w:val="00501F7C"/>
    <w:rsid w:val="00502B2A"/>
    <w:rsid w:val="005030F5"/>
    <w:rsid w:val="00503394"/>
    <w:rsid w:val="005039AB"/>
    <w:rsid w:val="00503CDD"/>
    <w:rsid w:val="00503D57"/>
    <w:rsid w:val="00503DB3"/>
    <w:rsid w:val="00503FD2"/>
    <w:rsid w:val="005047DA"/>
    <w:rsid w:val="0050494D"/>
    <w:rsid w:val="00504C7E"/>
    <w:rsid w:val="00504CFC"/>
    <w:rsid w:val="00505979"/>
    <w:rsid w:val="00505E15"/>
    <w:rsid w:val="00506131"/>
    <w:rsid w:val="005067BD"/>
    <w:rsid w:val="00506B18"/>
    <w:rsid w:val="00507007"/>
    <w:rsid w:val="00507DFB"/>
    <w:rsid w:val="0051076D"/>
    <w:rsid w:val="00510CE4"/>
    <w:rsid w:val="00511241"/>
    <w:rsid w:val="00512072"/>
    <w:rsid w:val="005123F5"/>
    <w:rsid w:val="00512961"/>
    <w:rsid w:val="005129E1"/>
    <w:rsid w:val="00513872"/>
    <w:rsid w:val="00514196"/>
    <w:rsid w:val="005142BD"/>
    <w:rsid w:val="00514B32"/>
    <w:rsid w:val="005153DF"/>
    <w:rsid w:val="00515452"/>
    <w:rsid w:val="00515671"/>
    <w:rsid w:val="0051589A"/>
    <w:rsid w:val="00515C26"/>
    <w:rsid w:val="00515E02"/>
    <w:rsid w:val="00515E0D"/>
    <w:rsid w:val="0051617A"/>
    <w:rsid w:val="00516AC0"/>
    <w:rsid w:val="00516ACF"/>
    <w:rsid w:val="00516E82"/>
    <w:rsid w:val="00517010"/>
    <w:rsid w:val="00517E80"/>
    <w:rsid w:val="005202C6"/>
    <w:rsid w:val="0052094C"/>
    <w:rsid w:val="00520E13"/>
    <w:rsid w:val="00521302"/>
    <w:rsid w:val="005213BD"/>
    <w:rsid w:val="005215E0"/>
    <w:rsid w:val="0052254F"/>
    <w:rsid w:val="005225C4"/>
    <w:rsid w:val="005230E3"/>
    <w:rsid w:val="005238ED"/>
    <w:rsid w:val="00523956"/>
    <w:rsid w:val="00523FC8"/>
    <w:rsid w:val="0052419D"/>
    <w:rsid w:val="00524C31"/>
    <w:rsid w:val="00524C4E"/>
    <w:rsid w:val="00524C5F"/>
    <w:rsid w:val="00525A58"/>
    <w:rsid w:val="00525ABA"/>
    <w:rsid w:val="0052795F"/>
    <w:rsid w:val="00527DBD"/>
    <w:rsid w:val="00527F62"/>
    <w:rsid w:val="0053033B"/>
    <w:rsid w:val="005303FF"/>
    <w:rsid w:val="00531030"/>
    <w:rsid w:val="00531481"/>
    <w:rsid w:val="00531856"/>
    <w:rsid w:val="00531C1D"/>
    <w:rsid w:val="0053208E"/>
    <w:rsid w:val="005322F8"/>
    <w:rsid w:val="005325AA"/>
    <w:rsid w:val="00532A7B"/>
    <w:rsid w:val="00532A9E"/>
    <w:rsid w:val="005330CC"/>
    <w:rsid w:val="005336A8"/>
    <w:rsid w:val="00533BF8"/>
    <w:rsid w:val="00534404"/>
    <w:rsid w:val="0053528F"/>
    <w:rsid w:val="00535F02"/>
    <w:rsid w:val="00535FF6"/>
    <w:rsid w:val="00536315"/>
    <w:rsid w:val="00536362"/>
    <w:rsid w:val="00536B42"/>
    <w:rsid w:val="00537417"/>
    <w:rsid w:val="00537775"/>
    <w:rsid w:val="005377EA"/>
    <w:rsid w:val="00537BA9"/>
    <w:rsid w:val="00540476"/>
    <w:rsid w:val="005404FE"/>
    <w:rsid w:val="00540BCA"/>
    <w:rsid w:val="0054148A"/>
    <w:rsid w:val="005414DA"/>
    <w:rsid w:val="00541825"/>
    <w:rsid w:val="00541D70"/>
    <w:rsid w:val="0054213F"/>
    <w:rsid w:val="005421E8"/>
    <w:rsid w:val="005428A2"/>
    <w:rsid w:val="00542B7D"/>
    <w:rsid w:val="00542F75"/>
    <w:rsid w:val="0054344F"/>
    <w:rsid w:val="00543700"/>
    <w:rsid w:val="00544A5D"/>
    <w:rsid w:val="005455C1"/>
    <w:rsid w:val="0054585F"/>
    <w:rsid w:val="0054615F"/>
    <w:rsid w:val="00546427"/>
    <w:rsid w:val="0054674E"/>
    <w:rsid w:val="00546851"/>
    <w:rsid w:val="0054750A"/>
    <w:rsid w:val="00547893"/>
    <w:rsid w:val="00547A70"/>
    <w:rsid w:val="00547A8E"/>
    <w:rsid w:val="00550495"/>
    <w:rsid w:val="005507F2"/>
    <w:rsid w:val="0055091B"/>
    <w:rsid w:val="00550B4C"/>
    <w:rsid w:val="00550BF0"/>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339A"/>
    <w:rsid w:val="005535BE"/>
    <w:rsid w:val="005537A5"/>
    <w:rsid w:val="00553949"/>
    <w:rsid w:val="0055406E"/>
    <w:rsid w:val="00554240"/>
    <w:rsid w:val="005547A0"/>
    <w:rsid w:val="00554A8C"/>
    <w:rsid w:val="00554C9C"/>
    <w:rsid w:val="00555CA6"/>
    <w:rsid w:val="0055619C"/>
    <w:rsid w:val="00557CAA"/>
    <w:rsid w:val="00557DC6"/>
    <w:rsid w:val="0056020F"/>
    <w:rsid w:val="005607B6"/>
    <w:rsid w:val="00560CD6"/>
    <w:rsid w:val="005610B6"/>
    <w:rsid w:val="0056124D"/>
    <w:rsid w:val="00561AC7"/>
    <w:rsid w:val="00561B63"/>
    <w:rsid w:val="005621D4"/>
    <w:rsid w:val="00562922"/>
    <w:rsid w:val="005629E7"/>
    <w:rsid w:val="00562A24"/>
    <w:rsid w:val="00562FD5"/>
    <w:rsid w:val="00563059"/>
    <w:rsid w:val="00563685"/>
    <w:rsid w:val="00563752"/>
    <w:rsid w:val="00563EE6"/>
    <w:rsid w:val="00564199"/>
    <w:rsid w:val="005642B4"/>
    <w:rsid w:val="00564D37"/>
    <w:rsid w:val="0056555C"/>
    <w:rsid w:val="00565943"/>
    <w:rsid w:val="00565A76"/>
    <w:rsid w:val="00565AAF"/>
    <w:rsid w:val="0056637D"/>
    <w:rsid w:val="00566518"/>
    <w:rsid w:val="00566B1D"/>
    <w:rsid w:val="005671F2"/>
    <w:rsid w:val="005673E2"/>
    <w:rsid w:val="0056780E"/>
    <w:rsid w:val="00567B0D"/>
    <w:rsid w:val="00571100"/>
    <w:rsid w:val="0057186E"/>
    <w:rsid w:val="00571AE6"/>
    <w:rsid w:val="00571E22"/>
    <w:rsid w:val="00571FBA"/>
    <w:rsid w:val="005720BF"/>
    <w:rsid w:val="00572729"/>
    <w:rsid w:val="0057323E"/>
    <w:rsid w:val="00573521"/>
    <w:rsid w:val="0057385B"/>
    <w:rsid w:val="00573E58"/>
    <w:rsid w:val="00573E96"/>
    <w:rsid w:val="0057428B"/>
    <w:rsid w:val="00574629"/>
    <w:rsid w:val="005748E7"/>
    <w:rsid w:val="0057514C"/>
    <w:rsid w:val="0057528B"/>
    <w:rsid w:val="005757AF"/>
    <w:rsid w:val="0057630C"/>
    <w:rsid w:val="005769A0"/>
    <w:rsid w:val="00576A35"/>
    <w:rsid w:val="0057734E"/>
    <w:rsid w:val="005809B6"/>
    <w:rsid w:val="0058189D"/>
    <w:rsid w:val="00581B40"/>
    <w:rsid w:val="00581E9D"/>
    <w:rsid w:val="0058205F"/>
    <w:rsid w:val="005820A2"/>
    <w:rsid w:val="0058226A"/>
    <w:rsid w:val="00582418"/>
    <w:rsid w:val="00582B31"/>
    <w:rsid w:val="00582C47"/>
    <w:rsid w:val="00582F17"/>
    <w:rsid w:val="00583050"/>
    <w:rsid w:val="0058316E"/>
    <w:rsid w:val="005834C8"/>
    <w:rsid w:val="00583522"/>
    <w:rsid w:val="00583C24"/>
    <w:rsid w:val="00584125"/>
    <w:rsid w:val="0058454D"/>
    <w:rsid w:val="00584742"/>
    <w:rsid w:val="00584AEF"/>
    <w:rsid w:val="00584D5F"/>
    <w:rsid w:val="00584DC7"/>
    <w:rsid w:val="0058588E"/>
    <w:rsid w:val="00585A6A"/>
    <w:rsid w:val="00585EF3"/>
    <w:rsid w:val="00586078"/>
    <w:rsid w:val="005860FF"/>
    <w:rsid w:val="00586460"/>
    <w:rsid w:val="005868D7"/>
    <w:rsid w:val="00586A14"/>
    <w:rsid w:val="00586B87"/>
    <w:rsid w:val="00586E40"/>
    <w:rsid w:val="00587207"/>
    <w:rsid w:val="005874FE"/>
    <w:rsid w:val="005877FD"/>
    <w:rsid w:val="00587BC4"/>
    <w:rsid w:val="00587BDA"/>
    <w:rsid w:val="00587DE9"/>
    <w:rsid w:val="0059089C"/>
    <w:rsid w:val="00591153"/>
    <w:rsid w:val="005911E9"/>
    <w:rsid w:val="005912D3"/>
    <w:rsid w:val="00591C6D"/>
    <w:rsid w:val="00592401"/>
    <w:rsid w:val="00592768"/>
    <w:rsid w:val="005932B0"/>
    <w:rsid w:val="005932EE"/>
    <w:rsid w:val="005933A4"/>
    <w:rsid w:val="00593B83"/>
    <w:rsid w:val="00593E9C"/>
    <w:rsid w:val="0059421A"/>
    <w:rsid w:val="00595004"/>
    <w:rsid w:val="0059559F"/>
    <w:rsid w:val="00595A3A"/>
    <w:rsid w:val="00595C0F"/>
    <w:rsid w:val="00595E52"/>
    <w:rsid w:val="00596021"/>
    <w:rsid w:val="005960CB"/>
    <w:rsid w:val="00596283"/>
    <w:rsid w:val="005962BE"/>
    <w:rsid w:val="00596609"/>
    <w:rsid w:val="0059694C"/>
    <w:rsid w:val="00596ACC"/>
    <w:rsid w:val="00597973"/>
    <w:rsid w:val="005A0AE4"/>
    <w:rsid w:val="005A1901"/>
    <w:rsid w:val="005A22E4"/>
    <w:rsid w:val="005A2D39"/>
    <w:rsid w:val="005A2DF6"/>
    <w:rsid w:val="005A3306"/>
    <w:rsid w:val="005A3406"/>
    <w:rsid w:val="005A4184"/>
    <w:rsid w:val="005A4750"/>
    <w:rsid w:val="005A4780"/>
    <w:rsid w:val="005A4BCE"/>
    <w:rsid w:val="005A4D7F"/>
    <w:rsid w:val="005A5389"/>
    <w:rsid w:val="005A5856"/>
    <w:rsid w:val="005A585A"/>
    <w:rsid w:val="005A5AB2"/>
    <w:rsid w:val="005A5CA2"/>
    <w:rsid w:val="005A60EB"/>
    <w:rsid w:val="005A6509"/>
    <w:rsid w:val="005B121D"/>
    <w:rsid w:val="005B150C"/>
    <w:rsid w:val="005B2635"/>
    <w:rsid w:val="005B26A9"/>
    <w:rsid w:val="005B2E57"/>
    <w:rsid w:val="005B338D"/>
    <w:rsid w:val="005B39DF"/>
    <w:rsid w:val="005B3A75"/>
    <w:rsid w:val="005B3F08"/>
    <w:rsid w:val="005B40D8"/>
    <w:rsid w:val="005B486F"/>
    <w:rsid w:val="005B4D14"/>
    <w:rsid w:val="005B5078"/>
    <w:rsid w:val="005B5389"/>
    <w:rsid w:val="005B567D"/>
    <w:rsid w:val="005B56D4"/>
    <w:rsid w:val="005B5D50"/>
    <w:rsid w:val="005B5E52"/>
    <w:rsid w:val="005B6E88"/>
    <w:rsid w:val="005B7363"/>
    <w:rsid w:val="005B76CF"/>
    <w:rsid w:val="005B79E4"/>
    <w:rsid w:val="005B7F43"/>
    <w:rsid w:val="005C0E12"/>
    <w:rsid w:val="005C1159"/>
    <w:rsid w:val="005C254C"/>
    <w:rsid w:val="005C25AC"/>
    <w:rsid w:val="005C2B04"/>
    <w:rsid w:val="005C2F43"/>
    <w:rsid w:val="005C3076"/>
    <w:rsid w:val="005C3215"/>
    <w:rsid w:val="005C3273"/>
    <w:rsid w:val="005C3561"/>
    <w:rsid w:val="005C38AA"/>
    <w:rsid w:val="005C42E7"/>
    <w:rsid w:val="005C44B9"/>
    <w:rsid w:val="005C46FB"/>
    <w:rsid w:val="005C4D49"/>
    <w:rsid w:val="005C5107"/>
    <w:rsid w:val="005C51EE"/>
    <w:rsid w:val="005C6D2C"/>
    <w:rsid w:val="005C6ED4"/>
    <w:rsid w:val="005C6F0E"/>
    <w:rsid w:val="005C7718"/>
    <w:rsid w:val="005C77AD"/>
    <w:rsid w:val="005C780A"/>
    <w:rsid w:val="005C79A0"/>
    <w:rsid w:val="005D02DD"/>
    <w:rsid w:val="005D0350"/>
    <w:rsid w:val="005D0DFF"/>
    <w:rsid w:val="005D1436"/>
    <w:rsid w:val="005D1477"/>
    <w:rsid w:val="005D149D"/>
    <w:rsid w:val="005D174B"/>
    <w:rsid w:val="005D200F"/>
    <w:rsid w:val="005D263D"/>
    <w:rsid w:val="005D27D1"/>
    <w:rsid w:val="005D2BB5"/>
    <w:rsid w:val="005D4A61"/>
    <w:rsid w:val="005D5790"/>
    <w:rsid w:val="005D5C1C"/>
    <w:rsid w:val="005D6614"/>
    <w:rsid w:val="005D6618"/>
    <w:rsid w:val="005D68F3"/>
    <w:rsid w:val="005D6DC6"/>
    <w:rsid w:val="005D6DD6"/>
    <w:rsid w:val="005D70A9"/>
    <w:rsid w:val="005D737F"/>
    <w:rsid w:val="005D7598"/>
    <w:rsid w:val="005D76AF"/>
    <w:rsid w:val="005D78F6"/>
    <w:rsid w:val="005D79E2"/>
    <w:rsid w:val="005D7A3A"/>
    <w:rsid w:val="005D7B99"/>
    <w:rsid w:val="005D7BD2"/>
    <w:rsid w:val="005D7D23"/>
    <w:rsid w:val="005D7FBF"/>
    <w:rsid w:val="005E0938"/>
    <w:rsid w:val="005E1786"/>
    <w:rsid w:val="005E200A"/>
    <w:rsid w:val="005E2150"/>
    <w:rsid w:val="005E262D"/>
    <w:rsid w:val="005E27D9"/>
    <w:rsid w:val="005E2856"/>
    <w:rsid w:val="005E2F8E"/>
    <w:rsid w:val="005E35B3"/>
    <w:rsid w:val="005E37C3"/>
    <w:rsid w:val="005E3BA1"/>
    <w:rsid w:val="005E3C66"/>
    <w:rsid w:val="005E46C2"/>
    <w:rsid w:val="005E48AA"/>
    <w:rsid w:val="005E51EC"/>
    <w:rsid w:val="005E5211"/>
    <w:rsid w:val="005E5652"/>
    <w:rsid w:val="005E5C7E"/>
    <w:rsid w:val="005E6167"/>
    <w:rsid w:val="005E64FA"/>
    <w:rsid w:val="005E6E01"/>
    <w:rsid w:val="005E7452"/>
    <w:rsid w:val="005E7618"/>
    <w:rsid w:val="005F087B"/>
    <w:rsid w:val="005F0FB1"/>
    <w:rsid w:val="005F114E"/>
    <w:rsid w:val="005F13AB"/>
    <w:rsid w:val="005F2429"/>
    <w:rsid w:val="005F274F"/>
    <w:rsid w:val="005F3050"/>
    <w:rsid w:val="005F321C"/>
    <w:rsid w:val="005F3350"/>
    <w:rsid w:val="005F34A4"/>
    <w:rsid w:val="005F3561"/>
    <w:rsid w:val="005F3875"/>
    <w:rsid w:val="005F3920"/>
    <w:rsid w:val="005F41A2"/>
    <w:rsid w:val="005F4706"/>
    <w:rsid w:val="005F4A18"/>
    <w:rsid w:val="005F4C07"/>
    <w:rsid w:val="005F4D4A"/>
    <w:rsid w:val="005F4D93"/>
    <w:rsid w:val="005F52E4"/>
    <w:rsid w:val="005F536D"/>
    <w:rsid w:val="005F57E1"/>
    <w:rsid w:val="005F5E57"/>
    <w:rsid w:val="005F5EDF"/>
    <w:rsid w:val="005F6183"/>
    <w:rsid w:val="005F669F"/>
    <w:rsid w:val="005F6D2A"/>
    <w:rsid w:val="005F7039"/>
    <w:rsid w:val="005F783A"/>
    <w:rsid w:val="005F7F36"/>
    <w:rsid w:val="00600371"/>
    <w:rsid w:val="00600462"/>
    <w:rsid w:val="006005CA"/>
    <w:rsid w:val="0060090C"/>
    <w:rsid w:val="00600A8B"/>
    <w:rsid w:val="00600E75"/>
    <w:rsid w:val="00600F2E"/>
    <w:rsid w:val="006011CA"/>
    <w:rsid w:val="006015AB"/>
    <w:rsid w:val="006017BC"/>
    <w:rsid w:val="006017FE"/>
    <w:rsid w:val="00601A8A"/>
    <w:rsid w:val="00601CEB"/>
    <w:rsid w:val="006022A9"/>
    <w:rsid w:val="006029E9"/>
    <w:rsid w:val="00602FDE"/>
    <w:rsid w:val="00603A0F"/>
    <w:rsid w:val="00603DCC"/>
    <w:rsid w:val="00603E5F"/>
    <w:rsid w:val="006046D0"/>
    <w:rsid w:val="00604F1B"/>
    <w:rsid w:val="00605357"/>
    <w:rsid w:val="006055D6"/>
    <w:rsid w:val="00605C47"/>
    <w:rsid w:val="00605E23"/>
    <w:rsid w:val="006061F9"/>
    <w:rsid w:val="006069D1"/>
    <w:rsid w:val="00606E67"/>
    <w:rsid w:val="006072B7"/>
    <w:rsid w:val="006078FA"/>
    <w:rsid w:val="00611445"/>
    <w:rsid w:val="00611BC7"/>
    <w:rsid w:val="00611F42"/>
    <w:rsid w:val="00611FC2"/>
    <w:rsid w:val="006122DF"/>
    <w:rsid w:val="006123FE"/>
    <w:rsid w:val="0061263E"/>
    <w:rsid w:val="00612A69"/>
    <w:rsid w:val="00612E46"/>
    <w:rsid w:val="00613131"/>
    <w:rsid w:val="006132AD"/>
    <w:rsid w:val="006132B6"/>
    <w:rsid w:val="00613444"/>
    <w:rsid w:val="00613838"/>
    <w:rsid w:val="00613CB4"/>
    <w:rsid w:val="00613E94"/>
    <w:rsid w:val="00614245"/>
    <w:rsid w:val="00615141"/>
    <w:rsid w:val="00615609"/>
    <w:rsid w:val="00615882"/>
    <w:rsid w:val="006159EC"/>
    <w:rsid w:val="00615C61"/>
    <w:rsid w:val="00616875"/>
    <w:rsid w:val="0061747B"/>
    <w:rsid w:val="006176E8"/>
    <w:rsid w:val="00620121"/>
    <w:rsid w:val="006201C8"/>
    <w:rsid w:val="00620541"/>
    <w:rsid w:val="006208F8"/>
    <w:rsid w:val="00620CBA"/>
    <w:rsid w:val="006218AB"/>
    <w:rsid w:val="006218C5"/>
    <w:rsid w:val="0062248D"/>
    <w:rsid w:val="00622978"/>
    <w:rsid w:val="00622CE0"/>
    <w:rsid w:val="00622E40"/>
    <w:rsid w:val="00623146"/>
    <w:rsid w:val="00623C25"/>
    <w:rsid w:val="006240C0"/>
    <w:rsid w:val="00624AB3"/>
    <w:rsid w:val="00624B0A"/>
    <w:rsid w:val="00624B65"/>
    <w:rsid w:val="00624C9C"/>
    <w:rsid w:val="006251CC"/>
    <w:rsid w:val="00625367"/>
    <w:rsid w:val="0062554B"/>
    <w:rsid w:val="00625F92"/>
    <w:rsid w:val="00626AD8"/>
    <w:rsid w:val="00626E22"/>
    <w:rsid w:val="00626E78"/>
    <w:rsid w:val="006277F0"/>
    <w:rsid w:val="00627E1A"/>
    <w:rsid w:val="00630263"/>
    <w:rsid w:val="00630FF7"/>
    <w:rsid w:val="006313F5"/>
    <w:rsid w:val="006314F1"/>
    <w:rsid w:val="00631965"/>
    <w:rsid w:val="00631A22"/>
    <w:rsid w:val="00632098"/>
    <w:rsid w:val="00632610"/>
    <w:rsid w:val="006326B6"/>
    <w:rsid w:val="00632A7C"/>
    <w:rsid w:val="0063305D"/>
    <w:rsid w:val="006337CF"/>
    <w:rsid w:val="00633EBC"/>
    <w:rsid w:val="0063466E"/>
    <w:rsid w:val="006351FE"/>
    <w:rsid w:val="0063595C"/>
    <w:rsid w:val="006359A0"/>
    <w:rsid w:val="00636738"/>
    <w:rsid w:val="00636E77"/>
    <w:rsid w:val="00636E7B"/>
    <w:rsid w:val="00637509"/>
    <w:rsid w:val="006377DF"/>
    <w:rsid w:val="006401DE"/>
    <w:rsid w:val="00640336"/>
    <w:rsid w:val="006404D3"/>
    <w:rsid w:val="006409BE"/>
    <w:rsid w:val="00640C41"/>
    <w:rsid w:val="006410E4"/>
    <w:rsid w:val="0064117F"/>
    <w:rsid w:val="00641630"/>
    <w:rsid w:val="00641B27"/>
    <w:rsid w:val="0064256C"/>
    <w:rsid w:val="0064262F"/>
    <w:rsid w:val="00642693"/>
    <w:rsid w:val="00642D37"/>
    <w:rsid w:val="00642F62"/>
    <w:rsid w:val="00643006"/>
    <w:rsid w:val="006435D1"/>
    <w:rsid w:val="00643A18"/>
    <w:rsid w:val="00643BE2"/>
    <w:rsid w:val="00643D49"/>
    <w:rsid w:val="00644868"/>
    <w:rsid w:val="00644C14"/>
    <w:rsid w:val="00644C9F"/>
    <w:rsid w:val="00645472"/>
    <w:rsid w:val="006459E2"/>
    <w:rsid w:val="00646D13"/>
    <w:rsid w:val="00647249"/>
    <w:rsid w:val="00647BC9"/>
    <w:rsid w:val="00647D67"/>
    <w:rsid w:val="006500F9"/>
    <w:rsid w:val="00650239"/>
    <w:rsid w:val="00650375"/>
    <w:rsid w:val="006504EA"/>
    <w:rsid w:val="0065101E"/>
    <w:rsid w:val="006512C1"/>
    <w:rsid w:val="0065142A"/>
    <w:rsid w:val="00651688"/>
    <w:rsid w:val="0065178C"/>
    <w:rsid w:val="00651AEA"/>
    <w:rsid w:val="00651B15"/>
    <w:rsid w:val="00652356"/>
    <w:rsid w:val="00652D4E"/>
    <w:rsid w:val="00653640"/>
    <w:rsid w:val="0065397E"/>
    <w:rsid w:val="00654816"/>
    <w:rsid w:val="00654BAE"/>
    <w:rsid w:val="00654BDE"/>
    <w:rsid w:val="00654EF6"/>
    <w:rsid w:val="00655CC9"/>
    <w:rsid w:val="00655CCC"/>
    <w:rsid w:val="006562D0"/>
    <w:rsid w:val="006563F3"/>
    <w:rsid w:val="006566AA"/>
    <w:rsid w:val="00656F28"/>
    <w:rsid w:val="00657252"/>
    <w:rsid w:val="0065747E"/>
    <w:rsid w:val="0066038B"/>
    <w:rsid w:val="00660BFA"/>
    <w:rsid w:val="00661066"/>
    <w:rsid w:val="00661608"/>
    <w:rsid w:val="00661D1E"/>
    <w:rsid w:val="00662949"/>
    <w:rsid w:val="00662AB5"/>
    <w:rsid w:val="006633AD"/>
    <w:rsid w:val="0066355E"/>
    <w:rsid w:val="00663580"/>
    <w:rsid w:val="00663607"/>
    <w:rsid w:val="00663DFF"/>
    <w:rsid w:val="00663E55"/>
    <w:rsid w:val="00663E99"/>
    <w:rsid w:val="00663EF7"/>
    <w:rsid w:val="00663F3A"/>
    <w:rsid w:val="00664277"/>
    <w:rsid w:val="006644BB"/>
    <w:rsid w:val="00664AA1"/>
    <w:rsid w:val="00664FE6"/>
    <w:rsid w:val="0066581A"/>
    <w:rsid w:val="006659AB"/>
    <w:rsid w:val="006659D5"/>
    <w:rsid w:val="00665CD1"/>
    <w:rsid w:val="00665E22"/>
    <w:rsid w:val="0066673C"/>
    <w:rsid w:val="006667C7"/>
    <w:rsid w:val="00666D8E"/>
    <w:rsid w:val="006672F9"/>
    <w:rsid w:val="00667310"/>
    <w:rsid w:val="006676A1"/>
    <w:rsid w:val="0066775D"/>
    <w:rsid w:val="00667B25"/>
    <w:rsid w:val="00667EC1"/>
    <w:rsid w:val="0067002B"/>
    <w:rsid w:val="0067038F"/>
    <w:rsid w:val="00670C2F"/>
    <w:rsid w:val="00670F32"/>
    <w:rsid w:val="006712F9"/>
    <w:rsid w:val="006717F3"/>
    <w:rsid w:val="00671994"/>
    <w:rsid w:val="00671EA0"/>
    <w:rsid w:val="00671EF1"/>
    <w:rsid w:val="006730F1"/>
    <w:rsid w:val="00673493"/>
    <w:rsid w:val="00673763"/>
    <w:rsid w:val="006738EC"/>
    <w:rsid w:val="00673905"/>
    <w:rsid w:val="00673C8D"/>
    <w:rsid w:val="00674899"/>
    <w:rsid w:val="006750FE"/>
    <w:rsid w:val="0067525C"/>
    <w:rsid w:val="00675504"/>
    <w:rsid w:val="00675A2C"/>
    <w:rsid w:val="00676204"/>
    <w:rsid w:val="006766BB"/>
    <w:rsid w:val="006767A3"/>
    <w:rsid w:val="00676984"/>
    <w:rsid w:val="00676C19"/>
    <w:rsid w:val="0067704A"/>
    <w:rsid w:val="006772D2"/>
    <w:rsid w:val="006773DB"/>
    <w:rsid w:val="0067754A"/>
    <w:rsid w:val="00677A30"/>
    <w:rsid w:val="00677D1E"/>
    <w:rsid w:val="006800A3"/>
    <w:rsid w:val="006801A4"/>
    <w:rsid w:val="006806EE"/>
    <w:rsid w:val="0068092A"/>
    <w:rsid w:val="006819B7"/>
    <w:rsid w:val="00681CC5"/>
    <w:rsid w:val="00681E24"/>
    <w:rsid w:val="00682544"/>
    <w:rsid w:val="006825B6"/>
    <w:rsid w:val="00682846"/>
    <w:rsid w:val="00683119"/>
    <w:rsid w:val="006834D6"/>
    <w:rsid w:val="0068360F"/>
    <w:rsid w:val="00684486"/>
    <w:rsid w:val="00684686"/>
    <w:rsid w:val="006854AB"/>
    <w:rsid w:val="00685D68"/>
    <w:rsid w:val="006871EE"/>
    <w:rsid w:val="0068782D"/>
    <w:rsid w:val="00687A7F"/>
    <w:rsid w:val="00687AE3"/>
    <w:rsid w:val="00687CC2"/>
    <w:rsid w:val="00687E95"/>
    <w:rsid w:val="00690729"/>
    <w:rsid w:val="006910DB"/>
    <w:rsid w:val="006914A3"/>
    <w:rsid w:val="006919C5"/>
    <w:rsid w:val="00691E79"/>
    <w:rsid w:val="00693071"/>
    <w:rsid w:val="00693853"/>
    <w:rsid w:val="00693ABF"/>
    <w:rsid w:val="00693B86"/>
    <w:rsid w:val="00694E22"/>
    <w:rsid w:val="00695271"/>
    <w:rsid w:val="006957C6"/>
    <w:rsid w:val="006959B5"/>
    <w:rsid w:val="00695CE8"/>
    <w:rsid w:val="00696061"/>
    <w:rsid w:val="0069699C"/>
    <w:rsid w:val="006969DB"/>
    <w:rsid w:val="00697554"/>
    <w:rsid w:val="00697CCF"/>
    <w:rsid w:val="00697D94"/>
    <w:rsid w:val="00697DE5"/>
    <w:rsid w:val="00697FA5"/>
    <w:rsid w:val="006A092C"/>
    <w:rsid w:val="006A093A"/>
    <w:rsid w:val="006A1646"/>
    <w:rsid w:val="006A175A"/>
    <w:rsid w:val="006A1FE5"/>
    <w:rsid w:val="006A23F6"/>
    <w:rsid w:val="006A24A8"/>
    <w:rsid w:val="006A2529"/>
    <w:rsid w:val="006A29AB"/>
    <w:rsid w:val="006A3DC3"/>
    <w:rsid w:val="006A40A6"/>
    <w:rsid w:val="006A422C"/>
    <w:rsid w:val="006A4445"/>
    <w:rsid w:val="006A464C"/>
    <w:rsid w:val="006A4916"/>
    <w:rsid w:val="006A4C58"/>
    <w:rsid w:val="006A4CD3"/>
    <w:rsid w:val="006A51E6"/>
    <w:rsid w:val="006A5414"/>
    <w:rsid w:val="006A55A3"/>
    <w:rsid w:val="006A5DBD"/>
    <w:rsid w:val="006A5EBB"/>
    <w:rsid w:val="006A6273"/>
    <w:rsid w:val="006A6605"/>
    <w:rsid w:val="006A66BD"/>
    <w:rsid w:val="006A6D1E"/>
    <w:rsid w:val="006A7640"/>
    <w:rsid w:val="006A7648"/>
    <w:rsid w:val="006A7800"/>
    <w:rsid w:val="006A789B"/>
    <w:rsid w:val="006A78D9"/>
    <w:rsid w:val="006A7F26"/>
    <w:rsid w:val="006B00D5"/>
    <w:rsid w:val="006B0358"/>
    <w:rsid w:val="006B1392"/>
    <w:rsid w:val="006B1855"/>
    <w:rsid w:val="006B1FD6"/>
    <w:rsid w:val="006B231E"/>
    <w:rsid w:val="006B25E8"/>
    <w:rsid w:val="006B2877"/>
    <w:rsid w:val="006B34F4"/>
    <w:rsid w:val="006B38FD"/>
    <w:rsid w:val="006B3CDF"/>
    <w:rsid w:val="006B3E5B"/>
    <w:rsid w:val="006B3F98"/>
    <w:rsid w:val="006B456F"/>
    <w:rsid w:val="006B49F1"/>
    <w:rsid w:val="006B5413"/>
    <w:rsid w:val="006B5769"/>
    <w:rsid w:val="006B5F44"/>
    <w:rsid w:val="006B645B"/>
    <w:rsid w:val="006B6713"/>
    <w:rsid w:val="006B6C73"/>
    <w:rsid w:val="006B7331"/>
    <w:rsid w:val="006B7491"/>
    <w:rsid w:val="006B7561"/>
    <w:rsid w:val="006B783F"/>
    <w:rsid w:val="006B7896"/>
    <w:rsid w:val="006B7AA0"/>
    <w:rsid w:val="006C0575"/>
    <w:rsid w:val="006C0CD8"/>
    <w:rsid w:val="006C0E2F"/>
    <w:rsid w:val="006C0EC1"/>
    <w:rsid w:val="006C1227"/>
    <w:rsid w:val="006C12B6"/>
    <w:rsid w:val="006C1412"/>
    <w:rsid w:val="006C14DD"/>
    <w:rsid w:val="006C177D"/>
    <w:rsid w:val="006C1FDD"/>
    <w:rsid w:val="006C247C"/>
    <w:rsid w:val="006C2599"/>
    <w:rsid w:val="006C2E2C"/>
    <w:rsid w:val="006C3583"/>
    <w:rsid w:val="006C393A"/>
    <w:rsid w:val="006C4161"/>
    <w:rsid w:val="006C4C17"/>
    <w:rsid w:val="006C50E0"/>
    <w:rsid w:val="006C5571"/>
    <w:rsid w:val="006C5904"/>
    <w:rsid w:val="006C5CC4"/>
    <w:rsid w:val="006C683D"/>
    <w:rsid w:val="006C6904"/>
    <w:rsid w:val="006C6EC7"/>
    <w:rsid w:val="006C72DD"/>
    <w:rsid w:val="006C73D3"/>
    <w:rsid w:val="006C7507"/>
    <w:rsid w:val="006C7771"/>
    <w:rsid w:val="006C7B28"/>
    <w:rsid w:val="006C7BE5"/>
    <w:rsid w:val="006C7F94"/>
    <w:rsid w:val="006D049E"/>
    <w:rsid w:val="006D0595"/>
    <w:rsid w:val="006D0BDE"/>
    <w:rsid w:val="006D0CF1"/>
    <w:rsid w:val="006D0F26"/>
    <w:rsid w:val="006D0F7A"/>
    <w:rsid w:val="006D15FC"/>
    <w:rsid w:val="006D20D6"/>
    <w:rsid w:val="006D23D2"/>
    <w:rsid w:val="006D2624"/>
    <w:rsid w:val="006D276D"/>
    <w:rsid w:val="006D2795"/>
    <w:rsid w:val="006D2984"/>
    <w:rsid w:val="006D29C4"/>
    <w:rsid w:val="006D2C12"/>
    <w:rsid w:val="006D2C2E"/>
    <w:rsid w:val="006D2D35"/>
    <w:rsid w:val="006D3C67"/>
    <w:rsid w:val="006D3E32"/>
    <w:rsid w:val="006D4CF0"/>
    <w:rsid w:val="006D4DFF"/>
    <w:rsid w:val="006D550F"/>
    <w:rsid w:val="006D5568"/>
    <w:rsid w:val="006D5571"/>
    <w:rsid w:val="006D6525"/>
    <w:rsid w:val="006D67C5"/>
    <w:rsid w:val="006D75DB"/>
    <w:rsid w:val="006D76E6"/>
    <w:rsid w:val="006D782C"/>
    <w:rsid w:val="006E00CA"/>
    <w:rsid w:val="006E0680"/>
    <w:rsid w:val="006E06E8"/>
    <w:rsid w:val="006E097F"/>
    <w:rsid w:val="006E0F8D"/>
    <w:rsid w:val="006E159C"/>
    <w:rsid w:val="006E1FF5"/>
    <w:rsid w:val="006E22DB"/>
    <w:rsid w:val="006E2992"/>
    <w:rsid w:val="006E2F1D"/>
    <w:rsid w:val="006E2F6C"/>
    <w:rsid w:val="006E301B"/>
    <w:rsid w:val="006E3113"/>
    <w:rsid w:val="006E34FE"/>
    <w:rsid w:val="006E38C9"/>
    <w:rsid w:val="006E3A3B"/>
    <w:rsid w:val="006E4116"/>
    <w:rsid w:val="006E4681"/>
    <w:rsid w:val="006E4980"/>
    <w:rsid w:val="006E4EC9"/>
    <w:rsid w:val="006E50B3"/>
    <w:rsid w:val="006E55DF"/>
    <w:rsid w:val="006E5ED6"/>
    <w:rsid w:val="006E6526"/>
    <w:rsid w:val="006E6CDD"/>
    <w:rsid w:val="006E6EAE"/>
    <w:rsid w:val="006E7383"/>
    <w:rsid w:val="006E758C"/>
    <w:rsid w:val="006E769B"/>
    <w:rsid w:val="006E77B9"/>
    <w:rsid w:val="006E7CCD"/>
    <w:rsid w:val="006F0A8C"/>
    <w:rsid w:val="006F0AF2"/>
    <w:rsid w:val="006F0F5C"/>
    <w:rsid w:val="006F0F97"/>
    <w:rsid w:val="006F0F9E"/>
    <w:rsid w:val="006F15FC"/>
    <w:rsid w:val="006F1B12"/>
    <w:rsid w:val="006F1D69"/>
    <w:rsid w:val="006F20F6"/>
    <w:rsid w:val="006F222A"/>
    <w:rsid w:val="006F2283"/>
    <w:rsid w:val="006F22B9"/>
    <w:rsid w:val="006F26A9"/>
    <w:rsid w:val="006F2738"/>
    <w:rsid w:val="006F298C"/>
    <w:rsid w:val="006F2B76"/>
    <w:rsid w:val="006F325F"/>
    <w:rsid w:val="006F3422"/>
    <w:rsid w:val="006F3593"/>
    <w:rsid w:val="006F383D"/>
    <w:rsid w:val="006F3CE8"/>
    <w:rsid w:val="006F42DC"/>
    <w:rsid w:val="006F4714"/>
    <w:rsid w:val="006F4B59"/>
    <w:rsid w:val="006F5356"/>
    <w:rsid w:val="006F577D"/>
    <w:rsid w:val="006F66A4"/>
    <w:rsid w:val="006F7417"/>
    <w:rsid w:val="006F7762"/>
    <w:rsid w:val="006F7B86"/>
    <w:rsid w:val="006F7CD7"/>
    <w:rsid w:val="0070088A"/>
    <w:rsid w:val="00700D8E"/>
    <w:rsid w:val="007011C5"/>
    <w:rsid w:val="00701A32"/>
    <w:rsid w:val="00701C0D"/>
    <w:rsid w:val="00701C2C"/>
    <w:rsid w:val="00701D72"/>
    <w:rsid w:val="00701EFE"/>
    <w:rsid w:val="0070227C"/>
    <w:rsid w:val="007027E3"/>
    <w:rsid w:val="007027E9"/>
    <w:rsid w:val="00702FD5"/>
    <w:rsid w:val="007032CA"/>
    <w:rsid w:val="007038F8"/>
    <w:rsid w:val="00703BAB"/>
    <w:rsid w:val="00703D6E"/>
    <w:rsid w:val="00704200"/>
    <w:rsid w:val="00704CAD"/>
    <w:rsid w:val="00704DFA"/>
    <w:rsid w:val="00705F0D"/>
    <w:rsid w:val="00706003"/>
    <w:rsid w:val="00706638"/>
    <w:rsid w:val="007100C5"/>
    <w:rsid w:val="00710166"/>
    <w:rsid w:val="00710186"/>
    <w:rsid w:val="007104B1"/>
    <w:rsid w:val="007108F4"/>
    <w:rsid w:val="007109A3"/>
    <w:rsid w:val="00710BAF"/>
    <w:rsid w:val="00710F38"/>
    <w:rsid w:val="00711410"/>
    <w:rsid w:val="007125A4"/>
    <w:rsid w:val="007125E4"/>
    <w:rsid w:val="00712889"/>
    <w:rsid w:val="007128DE"/>
    <w:rsid w:val="0071290D"/>
    <w:rsid w:val="00712B40"/>
    <w:rsid w:val="00712B9E"/>
    <w:rsid w:val="00713636"/>
    <w:rsid w:val="00714093"/>
    <w:rsid w:val="00714593"/>
    <w:rsid w:val="00715076"/>
    <w:rsid w:val="00715266"/>
    <w:rsid w:val="00715326"/>
    <w:rsid w:val="007153BB"/>
    <w:rsid w:val="00715799"/>
    <w:rsid w:val="00715B99"/>
    <w:rsid w:val="0071711A"/>
    <w:rsid w:val="0071791A"/>
    <w:rsid w:val="00720008"/>
    <w:rsid w:val="0072024F"/>
    <w:rsid w:val="0072054F"/>
    <w:rsid w:val="00720895"/>
    <w:rsid w:val="00720D17"/>
    <w:rsid w:val="0072108A"/>
    <w:rsid w:val="00721099"/>
    <w:rsid w:val="00721626"/>
    <w:rsid w:val="00721773"/>
    <w:rsid w:val="00721925"/>
    <w:rsid w:val="00721BE3"/>
    <w:rsid w:val="00721C6C"/>
    <w:rsid w:val="00721C88"/>
    <w:rsid w:val="00721FED"/>
    <w:rsid w:val="00722237"/>
    <w:rsid w:val="00722543"/>
    <w:rsid w:val="00722915"/>
    <w:rsid w:val="00722EB4"/>
    <w:rsid w:val="00722EBA"/>
    <w:rsid w:val="00723170"/>
    <w:rsid w:val="007231E8"/>
    <w:rsid w:val="0072337A"/>
    <w:rsid w:val="00723B70"/>
    <w:rsid w:val="00723F5F"/>
    <w:rsid w:val="00724444"/>
    <w:rsid w:val="007244BA"/>
    <w:rsid w:val="00724E53"/>
    <w:rsid w:val="0072535D"/>
    <w:rsid w:val="00725689"/>
    <w:rsid w:val="007259EF"/>
    <w:rsid w:val="00725F7A"/>
    <w:rsid w:val="0072652D"/>
    <w:rsid w:val="00726F58"/>
    <w:rsid w:val="0073012E"/>
    <w:rsid w:val="00730817"/>
    <w:rsid w:val="00730969"/>
    <w:rsid w:val="00730BA6"/>
    <w:rsid w:val="007312E9"/>
    <w:rsid w:val="00731650"/>
    <w:rsid w:val="007319EE"/>
    <w:rsid w:val="00731C4F"/>
    <w:rsid w:val="00732055"/>
    <w:rsid w:val="0073210E"/>
    <w:rsid w:val="0073232E"/>
    <w:rsid w:val="007325BF"/>
    <w:rsid w:val="00732636"/>
    <w:rsid w:val="007326C6"/>
    <w:rsid w:val="007335E0"/>
    <w:rsid w:val="007337F7"/>
    <w:rsid w:val="0073399D"/>
    <w:rsid w:val="00734496"/>
    <w:rsid w:val="007344C9"/>
    <w:rsid w:val="0073497F"/>
    <w:rsid w:val="00734A05"/>
    <w:rsid w:val="00734EEB"/>
    <w:rsid w:val="00734EF2"/>
    <w:rsid w:val="00734FA4"/>
    <w:rsid w:val="0073554E"/>
    <w:rsid w:val="00735786"/>
    <w:rsid w:val="007357AB"/>
    <w:rsid w:val="00735EAA"/>
    <w:rsid w:val="00736A63"/>
    <w:rsid w:val="00736D76"/>
    <w:rsid w:val="00737085"/>
    <w:rsid w:val="007374C4"/>
    <w:rsid w:val="00737AB0"/>
    <w:rsid w:val="00737D1D"/>
    <w:rsid w:val="007406E8"/>
    <w:rsid w:val="00740D08"/>
    <w:rsid w:val="0074132B"/>
    <w:rsid w:val="0074155B"/>
    <w:rsid w:val="00741B84"/>
    <w:rsid w:val="00741CA7"/>
    <w:rsid w:val="007422F1"/>
    <w:rsid w:val="00742419"/>
    <w:rsid w:val="0074246E"/>
    <w:rsid w:val="007427BF"/>
    <w:rsid w:val="00742AA7"/>
    <w:rsid w:val="0074372A"/>
    <w:rsid w:val="00743AE4"/>
    <w:rsid w:val="00743D6F"/>
    <w:rsid w:val="0074495E"/>
    <w:rsid w:val="00744A17"/>
    <w:rsid w:val="00744C0B"/>
    <w:rsid w:val="00744E23"/>
    <w:rsid w:val="00744F08"/>
    <w:rsid w:val="00745192"/>
    <w:rsid w:val="00745421"/>
    <w:rsid w:val="00745F15"/>
    <w:rsid w:val="00745FC7"/>
    <w:rsid w:val="00746284"/>
    <w:rsid w:val="00746482"/>
    <w:rsid w:val="0074655C"/>
    <w:rsid w:val="00746942"/>
    <w:rsid w:val="00746A18"/>
    <w:rsid w:val="00747053"/>
    <w:rsid w:val="00747106"/>
    <w:rsid w:val="0074733C"/>
    <w:rsid w:val="00747F28"/>
    <w:rsid w:val="00747FB9"/>
    <w:rsid w:val="0075080B"/>
    <w:rsid w:val="00750DBD"/>
    <w:rsid w:val="00751024"/>
    <w:rsid w:val="00751FE8"/>
    <w:rsid w:val="007527D2"/>
    <w:rsid w:val="00752A87"/>
    <w:rsid w:val="00752AC2"/>
    <w:rsid w:val="00752B9E"/>
    <w:rsid w:val="0075321D"/>
    <w:rsid w:val="0075398D"/>
    <w:rsid w:val="00753BA3"/>
    <w:rsid w:val="00753D81"/>
    <w:rsid w:val="00753F75"/>
    <w:rsid w:val="007541E6"/>
    <w:rsid w:val="00754472"/>
    <w:rsid w:val="007547DE"/>
    <w:rsid w:val="00754D52"/>
    <w:rsid w:val="007554E8"/>
    <w:rsid w:val="00755723"/>
    <w:rsid w:val="00755B76"/>
    <w:rsid w:val="00756D42"/>
    <w:rsid w:val="00756DD3"/>
    <w:rsid w:val="007578FE"/>
    <w:rsid w:val="00757E63"/>
    <w:rsid w:val="007608C3"/>
    <w:rsid w:val="00760E67"/>
    <w:rsid w:val="007619C4"/>
    <w:rsid w:val="007623EB"/>
    <w:rsid w:val="0076258B"/>
    <w:rsid w:val="007626C5"/>
    <w:rsid w:val="00762CE9"/>
    <w:rsid w:val="00762F17"/>
    <w:rsid w:val="00763176"/>
    <w:rsid w:val="007632C7"/>
    <w:rsid w:val="00763A71"/>
    <w:rsid w:val="007656A8"/>
    <w:rsid w:val="00765759"/>
    <w:rsid w:val="00765A01"/>
    <w:rsid w:val="00765F75"/>
    <w:rsid w:val="007667A1"/>
    <w:rsid w:val="007669E0"/>
    <w:rsid w:val="00766DB0"/>
    <w:rsid w:val="00766E82"/>
    <w:rsid w:val="00767CEB"/>
    <w:rsid w:val="00767E82"/>
    <w:rsid w:val="007707AB"/>
    <w:rsid w:val="007709DA"/>
    <w:rsid w:val="00770C53"/>
    <w:rsid w:val="00770E20"/>
    <w:rsid w:val="00771135"/>
    <w:rsid w:val="007713EE"/>
    <w:rsid w:val="00771EA7"/>
    <w:rsid w:val="007722A8"/>
    <w:rsid w:val="00772654"/>
    <w:rsid w:val="0077274A"/>
    <w:rsid w:val="00772D23"/>
    <w:rsid w:val="00772FEB"/>
    <w:rsid w:val="0077344F"/>
    <w:rsid w:val="00773788"/>
    <w:rsid w:val="00773C2C"/>
    <w:rsid w:val="00774441"/>
    <w:rsid w:val="00774B93"/>
    <w:rsid w:val="007752A9"/>
    <w:rsid w:val="007754A4"/>
    <w:rsid w:val="0077573C"/>
    <w:rsid w:val="00775AAC"/>
    <w:rsid w:val="00775B76"/>
    <w:rsid w:val="00775F9F"/>
    <w:rsid w:val="00776590"/>
    <w:rsid w:val="0077677F"/>
    <w:rsid w:val="00776EE9"/>
    <w:rsid w:val="007778C5"/>
    <w:rsid w:val="007800A3"/>
    <w:rsid w:val="007800A6"/>
    <w:rsid w:val="0078103E"/>
    <w:rsid w:val="007811CE"/>
    <w:rsid w:val="00781BDB"/>
    <w:rsid w:val="00781C30"/>
    <w:rsid w:val="00781EA9"/>
    <w:rsid w:val="007835AF"/>
    <w:rsid w:val="007836FD"/>
    <w:rsid w:val="007837C5"/>
    <w:rsid w:val="0078384C"/>
    <w:rsid w:val="00783D36"/>
    <w:rsid w:val="0078463E"/>
    <w:rsid w:val="007846A1"/>
    <w:rsid w:val="00784D4E"/>
    <w:rsid w:val="007850CC"/>
    <w:rsid w:val="0078594D"/>
    <w:rsid w:val="00785B98"/>
    <w:rsid w:val="00785F36"/>
    <w:rsid w:val="0078602F"/>
    <w:rsid w:val="007863E4"/>
    <w:rsid w:val="007867C4"/>
    <w:rsid w:val="00786FC1"/>
    <w:rsid w:val="0078797B"/>
    <w:rsid w:val="00787ECD"/>
    <w:rsid w:val="00787F5D"/>
    <w:rsid w:val="007905AE"/>
    <w:rsid w:val="007907AE"/>
    <w:rsid w:val="00790966"/>
    <w:rsid w:val="007909A2"/>
    <w:rsid w:val="00790D56"/>
    <w:rsid w:val="00791068"/>
    <w:rsid w:val="00791ADB"/>
    <w:rsid w:val="00791C11"/>
    <w:rsid w:val="007921AC"/>
    <w:rsid w:val="007921DF"/>
    <w:rsid w:val="007924C4"/>
    <w:rsid w:val="00792C19"/>
    <w:rsid w:val="00792D43"/>
    <w:rsid w:val="00793574"/>
    <w:rsid w:val="007939AE"/>
    <w:rsid w:val="00793A5A"/>
    <w:rsid w:val="00794A2E"/>
    <w:rsid w:val="00794AA0"/>
    <w:rsid w:val="00794EA4"/>
    <w:rsid w:val="00794FC8"/>
    <w:rsid w:val="007950E3"/>
    <w:rsid w:val="00795393"/>
    <w:rsid w:val="0079545D"/>
    <w:rsid w:val="007954C1"/>
    <w:rsid w:val="00795694"/>
    <w:rsid w:val="0079574A"/>
    <w:rsid w:val="00795A6B"/>
    <w:rsid w:val="00795CC9"/>
    <w:rsid w:val="0079658D"/>
    <w:rsid w:val="007969A7"/>
    <w:rsid w:val="00796AA4"/>
    <w:rsid w:val="00797F24"/>
    <w:rsid w:val="007A01DE"/>
    <w:rsid w:val="007A02D9"/>
    <w:rsid w:val="007A0BD3"/>
    <w:rsid w:val="007A13F1"/>
    <w:rsid w:val="007A1619"/>
    <w:rsid w:val="007A2778"/>
    <w:rsid w:val="007A2A31"/>
    <w:rsid w:val="007A2E9B"/>
    <w:rsid w:val="007A3647"/>
    <w:rsid w:val="007A4214"/>
    <w:rsid w:val="007A45EF"/>
    <w:rsid w:val="007A4896"/>
    <w:rsid w:val="007A4B25"/>
    <w:rsid w:val="007A4E9D"/>
    <w:rsid w:val="007A4F13"/>
    <w:rsid w:val="007A5CA4"/>
    <w:rsid w:val="007A5CB9"/>
    <w:rsid w:val="007A6005"/>
    <w:rsid w:val="007A6050"/>
    <w:rsid w:val="007A63BE"/>
    <w:rsid w:val="007A715D"/>
    <w:rsid w:val="007A721A"/>
    <w:rsid w:val="007A7446"/>
    <w:rsid w:val="007A75BD"/>
    <w:rsid w:val="007A7E9B"/>
    <w:rsid w:val="007B05A3"/>
    <w:rsid w:val="007B11D4"/>
    <w:rsid w:val="007B1218"/>
    <w:rsid w:val="007B1327"/>
    <w:rsid w:val="007B1478"/>
    <w:rsid w:val="007B1F27"/>
    <w:rsid w:val="007B2D9F"/>
    <w:rsid w:val="007B2EC1"/>
    <w:rsid w:val="007B2F75"/>
    <w:rsid w:val="007B3489"/>
    <w:rsid w:val="007B3A96"/>
    <w:rsid w:val="007B3AC3"/>
    <w:rsid w:val="007B3F6C"/>
    <w:rsid w:val="007B4312"/>
    <w:rsid w:val="007B4685"/>
    <w:rsid w:val="007B468B"/>
    <w:rsid w:val="007B48AC"/>
    <w:rsid w:val="007B49EF"/>
    <w:rsid w:val="007B4F6F"/>
    <w:rsid w:val="007B5201"/>
    <w:rsid w:val="007B54D2"/>
    <w:rsid w:val="007B55D6"/>
    <w:rsid w:val="007B58BF"/>
    <w:rsid w:val="007B5A6D"/>
    <w:rsid w:val="007B5BBD"/>
    <w:rsid w:val="007B6092"/>
    <w:rsid w:val="007B65AB"/>
    <w:rsid w:val="007B66DA"/>
    <w:rsid w:val="007B6B93"/>
    <w:rsid w:val="007B6F05"/>
    <w:rsid w:val="007B71A6"/>
    <w:rsid w:val="007B7398"/>
    <w:rsid w:val="007B772F"/>
    <w:rsid w:val="007B7960"/>
    <w:rsid w:val="007B7963"/>
    <w:rsid w:val="007B7D17"/>
    <w:rsid w:val="007B7EA1"/>
    <w:rsid w:val="007C0076"/>
    <w:rsid w:val="007C0463"/>
    <w:rsid w:val="007C08F8"/>
    <w:rsid w:val="007C0DF2"/>
    <w:rsid w:val="007C1043"/>
    <w:rsid w:val="007C11E9"/>
    <w:rsid w:val="007C1293"/>
    <w:rsid w:val="007C1B24"/>
    <w:rsid w:val="007C1EC2"/>
    <w:rsid w:val="007C2157"/>
    <w:rsid w:val="007C236A"/>
    <w:rsid w:val="007C2429"/>
    <w:rsid w:val="007C2609"/>
    <w:rsid w:val="007C2645"/>
    <w:rsid w:val="007C282B"/>
    <w:rsid w:val="007C28A6"/>
    <w:rsid w:val="007C28B1"/>
    <w:rsid w:val="007C32CF"/>
    <w:rsid w:val="007C32D4"/>
    <w:rsid w:val="007C334A"/>
    <w:rsid w:val="007C34C8"/>
    <w:rsid w:val="007C3C06"/>
    <w:rsid w:val="007C4317"/>
    <w:rsid w:val="007C4484"/>
    <w:rsid w:val="007C46C7"/>
    <w:rsid w:val="007C483E"/>
    <w:rsid w:val="007C4B89"/>
    <w:rsid w:val="007C4CA6"/>
    <w:rsid w:val="007C4CBC"/>
    <w:rsid w:val="007C55B9"/>
    <w:rsid w:val="007C58AF"/>
    <w:rsid w:val="007C5F8D"/>
    <w:rsid w:val="007C634C"/>
    <w:rsid w:val="007C651F"/>
    <w:rsid w:val="007C6543"/>
    <w:rsid w:val="007C737F"/>
    <w:rsid w:val="007C73EA"/>
    <w:rsid w:val="007C794C"/>
    <w:rsid w:val="007C7FCC"/>
    <w:rsid w:val="007D09E0"/>
    <w:rsid w:val="007D0CDF"/>
    <w:rsid w:val="007D29E3"/>
    <w:rsid w:val="007D29F7"/>
    <w:rsid w:val="007D2DBA"/>
    <w:rsid w:val="007D34E0"/>
    <w:rsid w:val="007D3A2E"/>
    <w:rsid w:val="007D3AAB"/>
    <w:rsid w:val="007D40B5"/>
    <w:rsid w:val="007D4528"/>
    <w:rsid w:val="007D53DA"/>
    <w:rsid w:val="007D57CD"/>
    <w:rsid w:val="007D5844"/>
    <w:rsid w:val="007D63F4"/>
    <w:rsid w:val="007D65A0"/>
    <w:rsid w:val="007D6AEE"/>
    <w:rsid w:val="007D733F"/>
    <w:rsid w:val="007D7343"/>
    <w:rsid w:val="007D77D8"/>
    <w:rsid w:val="007D7A7C"/>
    <w:rsid w:val="007D7E2C"/>
    <w:rsid w:val="007E013D"/>
    <w:rsid w:val="007E0233"/>
    <w:rsid w:val="007E08DF"/>
    <w:rsid w:val="007E0E82"/>
    <w:rsid w:val="007E124E"/>
    <w:rsid w:val="007E1703"/>
    <w:rsid w:val="007E18DB"/>
    <w:rsid w:val="007E1A61"/>
    <w:rsid w:val="007E1A98"/>
    <w:rsid w:val="007E1F52"/>
    <w:rsid w:val="007E2500"/>
    <w:rsid w:val="007E262F"/>
    <w:rsid w:val="007E2961"/>
    <w:rsid w:val="007E31A2"/>
    <w:rsid w:val="007E371D"/>
    <w:rsid w:val="007E3D54"/>
    <w:rsid w:val="007E3F5C"/>
    <w:rsid w:val="007E4433"/>
    <w:rsid w:val="007E4530"/>
    <w:rsid w:val="007E5332"/>
    <w:rsid w:val="007E53F0"/>
    <w:rsid w:val="007E562A"/>
    <w:rsid w:val="007E5958"/>
    <w:rsid w:val="007E5DA7"/>
    <w:rsid w:val="007E5F51"/>
    <w:rsid w:val="007E6565"/>
    <w:rsid w:val="007E676C"/>
    <w:rsid w:val="007E6AD8"/>
    <w:rsid w:val="007E6C24"/>
    <w:rsid w:val="007E713B"/>
    <w:rsid w:val="007E76C7"/>
    <w:rsid w:val="007E7C28"/>
    <w:rsid w:val="007E7C34"/>
    <w:rsid w:val="007E7D4F"/>
    <w:rsid w:val="007F02E5"/>
    <w:rsid w:val="007F0439"/>
    <w:rsid w:val="007F04ED"/>
    <w:rsid w:val="007F0B5C"/>
    <w:rsid w:val="007F1042"/>
    <w:rsid w:val="007F11E4"/>
    <w:rsid w:val="007F27A9"/>
    <w:rsid w:val="007F2EAE"/>
    <w:rsid w:val="007F3353"/>
    <w:rsid w:val="007F3412"/>
    <w:rsid w:val="007F34D7"/>
    <w:rsid w:val="007F3B66"/>
    <w:rsid w:val="007F3DCD"/>
    <w:rsid w:val="007F3E20"/>
    <w:rsid w:val="007F452B"/>
    <w:rsid w:val="007F4819"/>
    <w:rsid w:val="007F4991"/>
    <w:rsid w:val="007F4ABA"/>
    <w:rsid w:val="007F5575"/>
    <w:rsid w:val="007F590E"/>
    <w:rsid w:val="007F59E8"/>
    <w:rsid w:val="007F607E"/>
    <w:rsid w:val="007F62C7"/>
    <w:rsid w:val="007F630C"/>
    <w:rsid w:val="007F6397"/>
    <w:rsid w:val="007F6926"/>
    <w:rsid w:val="007F6A16"/>
    <w:rsid w:val="007F6F7F"/>
    <w:rsid w:val="007F7532"/>
    <w:rsid w:val="007F785F"/>
    <w:rsid w:val="007F7BB0"/>
    <w:rsid w:val="00800D74"/>
    <w:rsid w:val="008014F8"/>
    <w:rsid w:val="00801798"/>
    <w:rsid w:val="008019CD"/>
    <w:rsid w:val="00801A43"/>
    <w:rsid w:val="00801D3E"/>
    <w:rsid w:val="0080204B"/>
    <w:rsid w:val="00802705"/>
    <w:rsid w:val="00802832"/>
    <w:rsid w:val="00802A9F"/>
    <w:rsid w:val="00802CA4"/>
    <w:rsid w:val="008030CA"/>
    <w:rsid w:val="008030D8"/>
    <w:rsid w:val="008031BA"/>
    <w:rsid w:val="0080347A"/>
    <w:rsid w:val="0080351E"/>
    <w:rsid w:val="00803792"/>
    <w:rsid w:val="00803AA5"/>
    <w:rsid w:val="00803BFA"/>
    <w:rsid w:val="00803FE1"/>
    <w:rsid w:val="00804092"/>
    <w:rsid w:val="0080457B"/>
    <w:rsid w:val="00804C78"/>
    <w:rsid w:val="00804F7C"/>
    <w:rsid w:val="008052DF"/>
    <w:rsid w:val="008057CD"/>
    <w:rsid w:val="00805D34"/>
    <w:rsid w:val="00805F9F"/>
    <w:rsid w:val="00805FEE"/>
    <w:rsid w:val="00806438"/>
    <w:rsid w:val="0080667F"/>
    <w:rsid w:val="008066CB"/>
    <w:rsid w:val="00807166"/>
    <w:rsid w:val="008072EF"/>
    <w:rsid w:val="008077F3"/>
    <w:rsid w:val="00807984"/>
    <w:rsid w:val="008103F0"/>
    <w:rsid w:val="0081062E"/>
    <w:rsid w:val="00810A9C"/>
    <w:rsid w:val="00810F20"/>
    <w:rsid w:val="00811C9D"/>
    <w:rsid w:val="00811D74"/>
    <w:rsid w:val="0081209B"/>
    <w:rsid w:val="0081216F"/>
    <w:rsid w:val="008121E3"/>
    <w:rsid w:val="00812326"/>
    <w:rsid w:val="00812D9E"/>
    <w:rsid w:val="00812E9C"/>
    <w:rsid w:val="0081361E"/>
    <w:rsid w:val="0081372B"/>
    <w:rsid w:val="008137A8"/>
    <w:rsid w:val="00814122"/>
    <w:rsid w:val="00815058"/>
    <w:rsid w:val="00815271"/>
    <w:rsid w:val="008152E0"/>
    <w:rsid w:val="00816448"/>
    <w:rsid w:val="0081675F"/>
    <w:rsid w:val="00816984"/>
    <w:rsid w:val="00820151"/>
    <w:rsid w:val="008206FE"/>
    <w:rsid w:val="00821232"/>
    <w:rsid w:val="008223C4"/>
    <w:rsid w:val="0082287F"/>
    <w:rsid w:val="00822CCE"/>
    <w:rsid w:val="00822DFE"/>
    <w:rsid w:val="00823816"/>
    <w:rsid w:val="00823BCC"/>
    <w:rsid w:val="00823C1F"/>
    <w:rsid w:val="00824233"/>
    <w:rsid w:val="0082486C"/>
    <w:rsid w:val="00824B04"/>
    <w:rsid w:val="00824FD2"/>
    <w:rsid w:val="008254FB"/>
    <w:rsid w:val="00825680"/>
    <w:rsid w:val="00825FD4"/>
    <w:rsid w:val="00826D9D"/>
    <w:rsid w:val="00827083"/>
    <w:rsid w:val="00827136"/>
    <w:rsid w:val="008275D5"/>
    <w:rsid w:val="00827A84"/>
    <w:rsid w:val="008302B3"/>
    <w:rsid w:val="008303C3"/>
    <w:rsid w:val="00830D84"/>
    <w:rsid w:val="0083119B"/>
    <w:rsid w:val="008314E2"/>
    <w:rsid w:val="00831BC2"/>
    <w:rsid w:val="008322AC"/>
    <w:rsid w:val="00832C15"/>
    <w:rsid w:val="00832C19"/>
    <w:rsid w:val="00832D9B"/>
    <w:rsid w:val="00833020"/>
    <w:rsid w:val="0083328B"/>
    <w:rsid w:val="00833425"/>
    <w:rsid w:val="008335C1"/>
    <w:rsid w:val="00833957"/>
    <w:rsid w:val="00833AC6"/>
    <w:rsid w:val="00834198"/>
    <w:rsid w:val="008347EA"/>
    <w:rsid w:val="00834ADC"/>
    <w:rsid w:val="00834E7B"/>
    <w:rsid w:val="00834EA9"/>
    <w:rsid w:val="00834F5B"/>
    <w:rsid w:val="008352C3"/>
    <w:rsid w:val="00835627"/>
    <w:rsid w:val="0083583A"/>
    <w:rsid w:val="00835903"/>
    <w:rsid w:val="00835BD3"/>
    <w:rsid w:val="00836EFA"/>
    <w:rsid w:val="00837412"/>
    <w:rsid w:val="008376EB"/>
    <w:rsid w:val="008379D2"/>
    <w:rsid w:val="008402CC"/>
    <w:rsid w:val="0084076B"/>
    <w:rsid w:val="00840E50"/>
    <w:rsid w:val="0084121E"/>
    <w:rsid w:val="00841B2E"/>
    <w:rsid w:val="00842869"/>
    <w:rsid w:val="008429BB"/>
    <w:rsid w:val="00842BE1"/>
    <w:rsid w:val="00842CD6"/>
    <w:rsid w:val="00842F01"/>
    <w:rsid w:val="008434FC"/>
    <w:rsid w:val="00844297"/>
    <w:rsid w:val="0084459A"/>
    <w:rsid w:val="008445B5"/>
    <w:rsid w:val="008447BB"/>
    <w:rsid w:val="00844C5F"/>
    <w:rsid w:val="00844CB2"/>
    <w:rsid w:val="00844EDC"/>
    <w:rsid w:val="00844F8A"/>
    <w:rsid w:val="0084515D"/>
    <w:rsid w:val="008453AD"/>
    <w:rsid w:val="00845673"/>
    <w:rsid w:val="00846312"/>
    <w:rsid w:val="008463AC"/>
    <w:rsid w:val="00846654"/>
    <w:rsid w:val="008474C2"/>
    <w:rsid w:val="0084795A"/>
    <w:rsid w:val="00847E0D"/>
    <w:rsid w:val="00847F3D"/>
    <w:rsid w:val="0085051B"/>
    <w:rsid w:val="00850DF3"/>
    <w:rsid w:val="00850EE9"/>
    <w:rsid w:val="0085101D"/>
    <w:rsid w:val="0085169D"/>
    <w:rsid w:val="00851A37"/>
    <w:rsid w:val="00851DFA"/>
    <w:rsid w:val="00852369"/>
    <w:rsid w:val="008526ED"/>
    <w:rsid w:val="008526FA"/>
    <w:rsid w:val="00852887"/>
    <w:rsid w:val="00852BA9"/>
    <w:rsid w:val="00852DE6"/>
    <w:rsid w:val="00852E8E"/>
    <w:rsid w:val="008539A9"/>
    <w:rsid w:val="00853A9F"/>
    <w:rsid w:val="00853DE9"/>
    <w:rsid w:val="00853E14"/>
    <w:rsid w:val="00853EED"/>
    <w:rsid w:val="008551ED"/>
    <w:rsid w:val="00855637"/>
    <w:rsid w:val="008557D6"/>
    <w:rsid w:val="00855A4A"/>
    <w:rsid w:val="00855E2E"/>
    <w:rsid w:val="00855E33"/>
    <w:rsid w:val="00856459"/>
    <w:rsid w:val="00856ACE"/>
    <w:rsid w:val="00857272"/>
    <w:rsid w:val="00857331"/>
    <w:rsid w:val="00860077"/>
    <w:rsid w:val="00860283"/>
    <w:rsid w:val="0086058E"/>
    <w:rsid w:val="00860C34"/>
    <w:rsid w:val="00861196"/>
    <w:rsid w:val="00861986"/>
    <w:rsid w:val="00861A0C"/>
    <w:rsid w:val="00862FC7"/>
    <w:rsid w:val="008630CA"/>
    <w:rsid w:val="00863243"/>
    <w:rsid w:val="00863374"/>
    <w:rsid w:val="0086342F"/>
    <w:rsid w:val="0086360A"/>
    <w:rsid w:val="00863A21"/>
    <w:rsid w:val="00863BB4"/>
    <w:rsid w:val="00864760"/>
    <w:rsid w:val="00864A63"/>
    <w:rsid w:val="00865053"/>
    <w:rsid w:val="00865D9B"/>
    <w:rsid w:val="0086614C"/>
    <w:rsid w:val="0086659C"/>
    <w:rsid w:val="008666EC"/>
    <w:rsid w:val="00867060"/>
    <w:rsid w:val="00867137"/>
    <w:rsid w:val="00867997"/>
    <w:rsid w:val="0087073A"/>
    <w:rsid w:val="008711EA"/>
    <w:rsid w:val="00871C5A"/>
    <w:rsid w:val="00871CED"/>
    <w:rsid w:val="00871DC9"/>
    <w:rsid w:val="00871E74"/>
    <w:rsid w:val="0087221C"/>
    <w:rsid w:val="008726DF"/>
    <w:rsid w:val="00872C13"/>
    <w:rsid w:val="00872F22"/>
    <w:rsid w:val="00872F59"/>
    <w:rsid w:val="00873133"/>
    <w:rsid w:val="00873403"/>
    <w:rsid w:val="0087404B"/>
    <w:rsid w:val="00874A5E"/>
    <w:rsid w:val="00874B4C"/>
    <w:rsid w:val="00874F29"/>
    <w:rsid w:val="00875351"/>
    <w:rsid w:val="008764A6"/>
    <w:rsid w:val="00876903"/>
    <w:rsid w:val="008779C5"/>
    <w:rsid w:val="00877C13"/>
    <w:rsid w:val="00880F26"/>
    <w:rsid w:val="0088175C"/>
    <w:rsid w:val="008818EB"/>
    <w:rsid w:val="00881E57"/>
    <w:rsid w:val="0088270D"/>
    <w:rsid w:val="00882A3B"/>
    <w:rsid w:val="00883F3D"/>
    <w:rsid w:val="00884539"/>
    <w:rsid w:val="00884FAA"/>
    <w:rsid w:val="00885467"/>
    <w:rsid w:val="008861A9"/>
    <w:rsid w:val="00886DC6"/>
    <w:rsid w:val="00886F07"/>
    <w:rsid w:val="00886F21"/>
    <w:rsid w:val="00887D1D"/>
    <w:rsid w:val="0089082A"/>
    <w:rsid w:val="00890E81"/>
    <w:rsid w:val="00890FE6"/>
    <w:rsid w:val="008910FD"/>
    <w:rsid w:val="008913E0"/>
    <w:rsid w:val="00891454"/>
    <w:rsid w:val="00891EEF"/>
    <w:rsid w:val="008920E9"/>
    <w:rsid w:val="00892AAB"/>
    <w:rsid w:val="00892C82"/>
    <w:rsid w:val="00892CB0"/>
    <w:rsid w:val="00892D17"/>
    <w:rsid w:val="00892E08"/>
    <w:rsid w:val="008932D5"/>
    <w:rsid w:val="00893449"/>
    <w:rsid w:val="00893493"/>
    <w:rsid w:val="00893B79"/>
    <w:rsid w:val="0089431A"/>
    <w:rsid w:val="00894E93"/>
    <w:rsid w:val="00895253"/>
    <w:rsid w:val="0089529B"/>
    <w:rsid w:val="00895896"/>
    <w:rsid w:val="00895A90"/>
    <w:rsid w:val="00895CF0"/>
    <w:rsid w:val="0089630C"/>
    <w:rsid w:val="00896666"/>
    <w:rsid w:val="00896F03"/>
    <w:rsid w:val="008973B6"/>
    <w:rsid w:val="00897630"/>
    <w:rsid w:val="008A004D"/>
    <w:rsid w:val="008A0B6B"/>
    <w:rsid w:val="008A10DB"/>
    <w:rsid w:val="008A1319"/>
    <w:rsid w:val="008A1855"/>
    <w:rsid w:val="008A1FAD"/>
    <w:rsid w:val="008A23E6"/>
    <w:rsid w:val="008A2B9F"/>
    <w:rsid w:val="008A3048"/>
    <w:rsid w:val="008A31C9"/>
    <w:rsid w:val="008A347B"/>
    <w:rsid w:val="008A38BB"/>
    <w:rsid w:val="008A39E2"/>
    <w:rsid w:val="008A3C6A"/>
    <w:rsid w:val="008A3CFB"/>
    <w:rsid w:val="008A3D5E"/>
    <w:rsid w:val="008A409C"/>
    <w:rsid w:val="008A40D5"/>
    <w:rsid w:val="008A48C5"/>
    <w:rsid w:val="008A5DB5"/>
    <w:rsid w:val="008A5DEE"/>
    <w:rsid w:val="008A6DDE"/>
    <w:rsid w:val="008A717A"/>
    <w:rsid w:val="008A721A"/>
    <w:rsid w:val="008A7866"/>
    <w:rsid w:val="008B0368"/>
    <w:rsid w:val="008B085D"/>
    <w:rsid w:val="008B0CDC"/>
    <w:rsid w:val="008B0F2C"/>
    <w:rsid w:val="008B13D9"/>
    <w:rsid w:val="008B158E"/>
    <w:rsid w:val="008B171F"/>
    <w:rsid w:val="008B219F"/>
    <w:rsid w:val="008B2E8C"/>
    <w:rsid w:val="008B2ECE"/>
    <w:rsid w:val="008B3041"/>
    <w:rsid w:val="008B3407"/>
    <w:rsid w:val="008B3752"/>
    <w:rsid w:val="008B42B9"/>
    <w:rsid w:val="008B47F0"/>
    <w:rsid w:val="008B48DB"/>
    <w:rsid w:val="008B5078"/>
    <w:rsid w:val="008B5235"/>
    <w:rsid w:val="008B598F"/>
    <w:rsid w:val="008B5C19"/>
    <w:rsid w:val="008B5C87"/>
    <w:rsid w:val="008B6130"/>
    <w:rsid w:val="008B621E"/>
    <w:rsid w:val="008B6536"/>
    <w:rsid w:val="008B6735"/>
    <w:rsid w:val="008B6822"/>
    <w:rsid w:val="008B6977"/>
    <w:rsid w:val="008B6B7F"/>
    <w:rsid w:val="008B710F"/>
    <w:rsid w:val="008B72F8"/>
    <w:rsid w:val="008B7683"/>
    <w:rsid w:val="008C0C29"/>
    <w:rsid w:val="008C0E26"/>
    <w:rsid w:val="008C0F4C"/>
    <w:rsid w:val="008C1510"/>
    <w:rsid w:val="008C1B4E"/>
    <w:rsid w:val="008C26B2"/>
    <w:rsid w:val="008C28BC"/>
    <w:rsid w:val="008C29DD"/>
    <w:rsid w:val="008C3287"/>
    <w:rsid w:val="008C34B6"/>
    <w:rsid w:val="008C3773"/>
    <w:rsid w:val="008C3806"/>
    <w:rsid w:val="008C3F0B"/>
    <w:rsid w:val="008C3F7C"/>
    <w:rsid w:val="008C4DAE"/>
    <w:rsid w:val="008C5B54"/>
    <w:rsid w:val="008C64AD"/>
    <w:rsid w:val="008C6762"/>
    <w:rsid w:val="008C7537"/>
    <w:rsid w:val="008C7892"/>
    <w:rsid w:val="008C78BB"/>
    <w:rsid w:val="008C78D0"/>
    <w:rsid w:val="008C79B0"/>
    <w:rsid w:val="008C7C99"/>
    <w:rsid w:val="008D0728"/>
    <w:rsid w:val="008D126E"/>
    <w:rsid w:val="008D129B"/>
    <w:rsid w:val="008D12A2"/>
    <w:rsid w:val="008D1808"/>
    <w:rsid w:val="008D195A"/>
    <w:rsid w:val="008D19FC"/>
    <w:rsid w:val="008D2725"/>
    <w:rsid w:val="008D2C43"/>
    <w:rsid w:val="008D3242"/>
    <w:rsid w:val="008D3C38"/>
    <w:rsid w:val="008D3F63"/>
    <w:rsid w:val="008D4656"/>
    <w:rsid w:val="008D4F97"/>
    <w:rsid w:val="008D514B"/>
    <w:rsid w:val="008D582E"/>
    <w:rsid w:val="008D5DEB"/>
    <w:rsid w:val="008D5F21"/>
    <w:rsid w:val="008D663D"/>
    <w:rsid w:val="008D69B6"/>
    <w:rsid w:val="008D6B9B"/>
    <w:rsid w:val="008D75D3"/>
    <w:rsid w:val="008D77E3"/>
    <w:rsid w:val="008D7B53"/>
    <w:rsid w:val="008D7BB0"/>
    <w:rsid w:val="008E018E"/>
    <w:rsid w:val="008E06E8"/>
    <w:rsid w:val="008E0789"/>
    <w:rsid w:val="008E0A8C"/>
    <w:rsid w:val="008E0B9E"/>
    <w:rsid w:val="008E1600"/>
    <w:rsid w:val="008E1776"/>
    <w:rsid w:val="008E1C2A"/>
    <w:rsid w:val="008E2493"/>
    <w:rsid w:val="008E2576"/>
    <w:rsid w:val="008E2868"/>
    <w:rsid w:val="008E298B"/>
    <w:rsid w:val="008E3594"/>
    <w:rsid w:val="008E4761"/>
    <w:rsid w:val="008E4A8A"/>
    <w:rsid w:val="008E4D07"/>
    <w:rsid w:val="008E589E"/>
    <w:rsid w:val="008E58B9"/>
    <w:rsid w:val="008E5B41"/>
    <w:rsid w:val="008E5F5E"/>
    <w:rsid w:val="008E600C"/>
    <w:rsid w:val="008E66C1"/>
    <w:rsid w:val="008E6FA3"/>
    <w:rsid w:val="008E732D"/>
    <w:rsid w:val="008E74EE"/>
    <w:rsid w:val="008E78F4"/>
    <w:rsid w:val="008E7A4B"/>
    <w:rsid w:val="008E7ABD"/>
    <w:rsid w:val="008E7C30"/>
    <w:rsid w:val="008E7D53"/>
    <w:rsid w:val="008F02A3"/>
    <w:rsid w:val="008F054E"/>
    <w:rsid w:val="008F0AA6"/>
    <w:rsid w:val="008F0C8B"/>
    <w:rsid w:val="008F0FC5"/>
    <w:rsid w:val="008F1761"/>
    <w:rsid w:val="008F1887"/>
    <w:rsid w:val="008F26A5"/>
    <w:rsid w:val="008F2B79"/>
    <w:rsid w:val="008F3B8B"/>
    <w:rsid w:val="008F3FAC"/>
    <w:rsid w:val="008F4B52"/>
    <w:rsid w:val="008F53BA"/>
    <w:rsid w:val="008F563E"/>
    <w:rsid w:val="008F6729"/>
    <w:rsid w:val="008F67F4"/>
    <w:rsid w:val="008F686A"/>
    <w:rsid w:val="008F6C5E"/>
    <w:rsid w:val="008F6DC3"/>
    <w:rsid w:val="008F7023"/>
    <w:rsid w:val="008F7070"/>
    <w:rsid w:val="008F7547"/>
    <w:rsid w:val="008F7947"/>
    <w:rsid w:val="0090088A"/>
    <w:rsid w:val="009008A3"/>
    <w:rsid w:val="00900B9A"/>
    <w:rsid w:val="00900DA2"/>
    <w:rsid w:val="009011AE"/>
    <w:rsid w:val="009011B7"/>
    <w:rsid w:val="00901AB4"/>
    <w:rsid w:val="00901D44"/>
    <w:rsid w:val="00901E64"/>
    <w:rsid w:val="0090269C"/>
    <w:rsid w:val="00902B00"/>
    <w:rsid w:val="00902BCF"/>
    <w:rsid w:val="00903D2A"/>
    <w:rsid w:val="009047A1"/>
    <w:rsid w:val="00904B95"/>
    <w:rsid w:val="00905146"/>
    <w:rsid w:val="009051D6"/>
    <w:rsid w:val="0090532F"/>
    <w:rsid w:val="00905A4C"/>
    <w:rsid w:val="00905B69"/>
    <w:rsid w:val="00906775"/>
    <w:rsid w:val="00907024"/>
    <w:rsid w:val="00907703"/>
    <w:rsid w:val="00907A1B"/>
    <w:rsid w:val="00907EEB"/>
    <w:rsid w:val="009103F1"/>
    <w:rsid w:val="00911195"/>
    <w:rsid w:val="00911340"/>
    <w:rsid w:val="009114DD"/>
    <w:rsid w:val="00911B7D"/>
    <w:rsid w:val="009123D2"/>
    <w:rsid w:val="009127DD"/>
    <w:rsid w:val="00912B40"/>
    <w:rsid w:val="00912C93"/>
    <w:rsid w:val="00912D86"/>
    <w:rsid w:val="009131C5"/>
    <w:rsid w:val="0091381D"/>
    <w:rsid w:val="009138BF"/>
    <w:rsid w:val="00913A49"/>
    <w:rsid w:val="00913F55"/>
    <w:rsid w:val="00914201"/>
    <w:rsid w:val="00914494"/>
    <w:rsid w:val="009156F8"/>
    <w:rsid w:val="009157F2"/>
    <w:rsid w:val="00915AAF"/>
    <w:rsid w:val="00916049"/>
    <w:rsid w:val="009165C1"/>
    <w:rsid w:val="00916747"/>
    <w:rsid w:val="00916814"/>
    <w:rsid w:val="0091691D"/>
    <w:rsid w:val="00917388"/>
    <w:rsid w:val="00917925"/>
    <w:rsid w:val="00917CA5"/>
    <w:rsid w:val="00920CB7"/>
    <w:rsid w:val="00920F25"/>
    <w:rsid w:val="00921252"/>
    <w:rsid w:val="00921528"/>
    <w:rsid w:val="00921657"/>
    <w:rsid w:val="00921872"/>
    <w:rsid w:val="00921EC9"/>
    <w:rsid w:val="00921FF2"/>
    <w:rsid w:val="0092246D"/>
    <w:rsid w:val="009224FC"/>
    <w:rsid w:val="00922EE3"/>
    <w:rsid w:val="00923082"/>
    <w:rsid w:val="009233D6"/>
    <w:rsid w:val="0092380B"/>
    <w:rsid w:val="00923C96"/>
    <w:rsid w:val="00924157"/>
    <w:rsid w:val="0092437C"/>
    <w:rsid w:val="0092479E"/>
    <w:rsid w:val="00924B1A"/>
    <w:rsid w:val="00924DFB"/>
    <w:rsid w:val="00925F10"/>
    <w:rsid w:val="0092621F"/>
    <w:rsid w:val="0092692E"/>
    <w:rsid w:val="00926CB5"/>
    <w:rsid w:val="00927516"/>
    <w:rsid w:val="0092797D"/>
    <w:rsid w:val="00927A37"/>
    <w:rsid w:val="00930088"/>
    <w:rsid w:val="0093008A"/>
    <w:rsid w:val="009302D5"/>
    <w:rsid w:val="00930394"/>
    <w:rsid w:val="00930674"/>
    <w:rsid w:val="00930873"/>
    <w:rsid w:val="00930F49"/>
    <w:rsid w:val="0093129E"/>
    <w:rsid w:val="0093132D"/>
    <w:rsid w:val="00931519"/>
    <w:rsid w:val="00931889"/>
    <w:rsid w:val="00931D2D"/>
    <w:rsid w:val="00931DB8"/>
    <w:rsid w:val="00931E9A"/>
    <w:rsid w:val="00931EF6"/>
    <w:rsid w:val="00931EF8"/>
    <w:rsid w:val="009320B7"/>
    <w:rsid w:val="00932375"/>
    <w:rsid w:val="009323D9"/>
    <w:rsid w:val="00932C1A"/>
    <w:rsid w:val="00932CEB"/>
    <w:rsid w:val="00933656"/>
    <w:rsid w:val="00933B80"/>
    <w:rsid w:val="0093415B"/>
    <w:rsid w:val="009341A0"/>
    <w:rsid w:val="009341D8"/>
    <w:rsid w:val="0093508E"/>
    <w:rsid w:val="00935108"/>
    <w:rsid w:val="0093552B"/>
    <w:rsid w:val="009358A9"/>
    <w:rsid w:val="00935A2B"/>
    <w:rsid w:val="00935F2E"/>
    <w:rsid w:val="0093608B"/>
    <w:rsid w:val="00936187"/>
    <w:rsid w:val="009367F1"/>
    <w:rsid w:val="0093699B"/>
    <w:rsid w:val="009378CD"/>
    <w:rsid w:val="00940C04"/>
    <w:rsid w:val="00941297"/>
    <w:rsid w:val="00941BA3"/>
    <w:rsid w:val="00942DB0"/>
    <w:rsid w:val="009433FC"/>
    <w:rsid w:val="009436EA"/>
    <w:rsid w:val="009438A4"/>
    <w:rsid w:val="009438E3"/>
    <w:rsid w:val="0094411A"/>
    <w:rsid w:val="009444C2"/>
    <w:rsid w:val="009445D8"/>
    <w:rsid w:val="00944AE7"/>
    <w:rsid w:val="00944B5A"/>
    <w:rsid w:val="00945334"/>
    <w:rsid w:val="0094565C"/>
    <w:rsid w:val="00945BC7"/>
    <w:rsid w:val="00945D9A"/>
    <w:rsid w:val="00945FB3"/>
    <w:rsid w:val="009462BB"/>
    <w:rsid w:val="00946360"/>
    <w:rsid w:val="0094642E"/>
    <w:rsid w:val="0094665B"/>
    <w:rsid w:val="009473AC"/>
    <w:rsid w:val="00950077"/>
    <w:rsid w:val="0095015A"/>
    <w:rsid w:val="0095066B"/>
    <w:rsid w:val="00950CB7"/>
    <w:rsid w:val="0095178C"/>
    <w:rsid w:val="009518F2"/>
    <w:rsid w:val="00951A43"/>
    <w:rsid w:val="00951B60"/>
    <w:rsid w:val="00951CC7"/>
    <w:rsid w:val="00951EF8"/>
    <w:rsid w:val="00951FB0"/>
    <w:rsid w:val="009528C9"/>
    <w:rsid w:val="00952CC5"/>
    <w:rsid w:val="00952CCE"/>
    <w:rsid w:val="009532B7"/>
    <w:rsid w:val="009536E6"/>
    <w:rsid w:val="00953886"/>
    <w:rsid w:val="00953B99"/>
    <w:rsid w:val="00953F9D"/>
    <w:rsid w:val="009544CB"/>
    <w:rsid w:val="009554C1"/>
    <w:rsid w:val="0095554B"/>
    <w:rsid w:val="009559B4"/>
    <w:rsid w:val="00955A6B"/>
    <w:rsid w:val="00955B9C"/>
    <w:rsid w:val="00955E00"/>
    <w:rsid w:val="00955E61"/>
    <w:rsid w:val="009560B3"/>
    <w:rsid w:val="00956235"/>
    <w:rsid w:val="009562A2"/>
    <w:rsid w:val="009562CD"/>
    <w:rsid w:val="00956969"/>
    <w:rsid w:val="00956C16"/>
    <w:rsid w:val="0095710B"/>
    <w:rsid w:val="009575C4"/>
    <w:rsid w:val="009578AA"/>
    <w:rsid w:val="00957F98"/>
    <w:rsid w:val="00960A50"/>
    <w:rsid w:val="00960B83"/>
    <w:rsid w:val="00960D62"/>
    <w:rsid w:val="00961291"/>
    <w:rsid w:val="00961755"/>
    <w:rsid w:val="00962651"/>
    <w:rsid w:val="00963ACA"/>
    <w:rsid w:val="0096447C"/>
    <w:rsid w:val="00964499"/>
    <w:rsid w:val="0096527C"/>
    <w:rsid w:val="00965D4F"/>
    <w:rsid w:val="009661AB"/>
    <w:rsid w:val="00966511"/>
    <w:rsid w:val="00966624"/>
    <w:rsid w:val="00966CFF"/>
    <w:rsid w:val="00967793"/>
    <w:rsid w:val="00967B76"/>
    <w:rsid w:val="00967C5E"/>
    <w:rsid w:val="00967DFA"/>
    <w:rsid w:val="0097038D"/>
    <w:rsid w:val="00970399"/>
    <w:rsid w:val="0097047C"/>
    <w:rsid w:val="00970627"/>
    <w:rsid w:val="00970C56"/>
    <w:rsid w:val="009713FE"/>
    <w:rsid w:val="00971566"/>
    <w:rsid w:val="009719C1"/>
    <w:rsid w:val="00971E19"/>
    <w:rsid w:val="00972484"/>
    <w:rsid w:val="009725CE"/>
    <w:rsid w:val="00972DAD"/>
    <w:rsid w:val="00973047"/>
    <w:rsid w:val="009734E7"/>
    <w:rsid w:val="00973873"/>
    <w:rsid w:val="00973D52"/>
    <w:rsid w:val="00973E9B"/>
    <w:rsid w:val="009742EF"/>
    <w:rsid w:val="0097471A"/>
    <w:rsid w:val="00974A0D"/>
    <w:rsid w:val="00975374"/>
    <w:rsid w:val="009756A8"/>
    <w:rsid w:val="009756EE"/>
    <w:rsid w:val="009758A9"/>
    <w:rsid w:val="00975A47"/>
    <w:rsid w:val="00975BD2"/>
    <w:rsid w:val="00975E26"/>
    <w:rsid w:val="00976292"/>
    <w:rsid w:val="0097630B"/>
    <w:rsid w:val="00976695"/>
    <w:rsid w:val="00980088"/>
    <w:rsid w:val="009802BE"/>
    <w:rsid w:val="00980797"/>
    <w:rsid w:val="00980F5F"/>
    <w:rsid w:val="00981022"/>
    <w:rsid w:val="009811B6"/>
    <w:rsid w:val="009812A4"/>
    <w:rsid w:val="009814C7"/>
    <w:rsid w:val="0098227B"/>
    <w:rsid w:val="00982413"/>
    <w:rsid w:val="00982417"/>
    <w:rsid w:val="009826E4"/>
    <w:rsid w:val="00982ED6"/>
    <w:rsid w:val="00983300"/>
    <w:rsid w:val="009834C6"/>
    <w:rsid w:val="00983722"/>
    <w:rsid w:val="009837CE"/>
    <w:rsid w:val="009838B0"/>
    <w:rsid w:val="00983BB5"/>
    <w:rsid w:val="00983D3B"/>
    <w:rsid w:val="00984D06"/>
    <w:rsid w:val="00984DAA"/>
    <w:rsid w:val="00984F31"/>
    <w:rsid w:val="00985131"/>
    <w:rsid w:val="00985629"/>
    <w:rsid w:val="0098591F"/>
    <w:rsid w:val="00985B49"/>
    <w:rsid w:val="00985C61"/>
    <w:rsid w:val="009867CF"/>
    <w:rsid w:val="0098699F"/>
    <w:rsid w:val="0098791E"/>
    <w:rsid w:val="00987C10"/>
    <w:rsid w:val="00987CA5"/>
    <w:rsid w:val="00987E19"/>
    <w:rsid w:val="009901E7"/>
    <w:rsid w:val="00990290"/>
    <w:rsid w:val="0099071D"/>
    <w:rsid w:val="00990C4E"/>
    <w:rsid w:val="00991021"/>
    <w:rsid w:val="0099210B"/>
    <w:rsid w:val="009937D3"/>
    <w:rsid w:val="00994057"/>
    <w:rsid w:val="00994286"/>
    <w:rsid w:val="009945AF"/>
    <w:rsid w:val="0099470F"/>
    <w:rsid w:val="00994DCB"/>
    <w:rsid w:val="009950AC"/>
    <w:rsid w:val="0099532F"/>
    <w:rsid w:val="0099537E"/>
    <w:rsid w:val="00995D39"/>
    <w:rsid w:val="00996B27"/>
    <w:rsid w:val="00996D56"/>
    <w:rsid w:val="009975D2"/>
    <w:rsid w:val="00997CBE"/>
    <w:rsid w:val="009A0CB4"/>
    <w:rsid w:val="009A17FB"/>
    <w:rsid w:val="009A18C3"/>
    <w:rsid w:val="009A191D"/>
    <w:rsid w:val="009A1E12"/>
    <w:rsid w:val="009A32A8"/>
    <w:rsid w:val="009A3C7B"/>
    <w:rsid w:val="009A3E36"/>
    <w:rsid w:val="009A3E97"/>
    <w:rsid w:val="009A4150"/>
    <w:rsid w:val="009A43FD"/>
    <w:rsid w:val="009A4A1D"/>
    <w:rsid w:val="009A4E04"/>
    <w:rsid w:val="009A4E40"/>
    <w:rsid w:val="009A5678"/>
    <w:rsid w:val="009A5751"/>
    <w:rsid w:val="009A583C"/>
    <w:rsid w:val="009A58B2"/>
    <w:rsid w:val="009A5D84"/>
    <w:rsid w:val="009A60D8"/>
    <w:rsid w:val="009A65CC"/>
    <w:rsid w:val="009A663B"/>
    <w:rsid w:val="009A6671"/>
    <w:rsid w:val="009A6CE5"/>
    <w:rsid w:val="009A7810"/>
    <w:rsid w:val="009B03E6"/>
    <w:rsid w:val="009B08A9"/>
    <w:rsid w:val="009B1151"/>
    <w:rsid w:val="009B1411"/>
    <w:rsid w:val="009B18A7"/>
    <w:rsid w:val="009B2949"/>
    <w:rsid w:val="009B2962"/>
    <w:rsid w:val="009B2AF4"/>
    <w:rsid w:val="009B2C03"/>
    <w:rsid w:val="009B34C7"/>
    <w:rsid w:val="009B3F42"/>
    <w:rsid w:val="009B43CA"/>
    <w:rsid w:val="009B4B40"/>
    <w:rsid w:val="009B4C2E"/>
    <w:rsid w:val="009B4CF4"/>
    <w:rsid w:val="009B5480"/>
    <w:rsid w:val="009B69A2"/>
    <w:rsid w:val="009B6FF9"/>
    <w:rsid w:val="009B70CF"/>
    <w:rsid w:val="009B72CE"/>
    <w:rsid w:val="009C0245"/>
    <w:rsid w:val="009C092E"/>
    <w:rsid w:val="009C0AC2"/>
    <w:rsid w:val="009C0E59"/>
    <w:rsid w:val="009C1AD3"/>
    <w:rsid w:val="009C292B"/>
    <w:rsid w:val="009C2A92"/>
    <w:rsid w:val="009C2B18"/>
    <w:rsid w:val="009C332F"/>
    <w:rsid w:val="009C3688"/>
    <w:rsid w:val="009C3F3A"/>
    <w:rsid w:val="009C4106"/>
    <w:rsid w:val="009C41CC"/>
    <w:rsid w:val="009C4268"/>
    <w:rsid w:val="009C4631"/>
    <w:rsid w:val="009C4C72"/>
    <w:rsid w:val="009C4C78"/>
    <w:rsid w:val="009C4DAC"/>
    <w:rsid w:val="009C4FC1"/>
    <w:rsid w:val="009C55B3"/>
    <w:rsid w:val="009C6966"/>
    <w:rsid w:val="009C6A0E"/>
    <w:rsid w:val="009C6A2C"/>
    <w:rsid w:val="009C6C76"/>
    <w:rsid w:val="009C6FF8"/>
    <w:rsid w:val="009C7A5C"/>
    <w:rsid w:val="009C7A61"/>
    <w:rsid w:val="009C7ED1"/>
    <w:rsid w:val="009C7EF3"/>
    <w:rsid w:val="009D028E"/>
    <w:rsid w:val="009D0A5C"/>
    <w:rsid w:val="009D0A99"/>
    <w:rsid w:val="009D0E73"/>
    <w:rsid w:val="009D19F9"/>
    <w:rsid w:val="009D2282"/>
    <w:rsid w:val="009D2551"/>
    <w:rsid w:val="009D3B21"/>
    <w:rsid w:val="009D3BDB"/>
    <w:rsid w:val="009D457B"/>
    <w:rsid w:val="009D46A6"/>
    <w:rsid w:val="009D483E"/>
    <w:rsid w:val="009D4BF2"/>
    <w:rsid w:val="009D4CFD"/>
    <w:rsid w:val="009D5985"/>
    <w:rsid w:val="009D5BA1"/>
    <w:rsid w:val="009D601F"/>
    <w:rsid w:val="009D6435"/>
    <w:rsid w:val="009D69A8"/>
    <w:rsid w:val="009D6EEA"/>
    <w:rsid w:val="009D75FF"/>
    <w:rsid w:val="009D7A63"/>
    <w:rsid w:val="009D7DE9"/>
    <w:rsid w:val="009D7FD6"/>
    <w:rsid w:val="009E0692"/>
    <w:rsid w:val="009E07E5"/>
    <w:rsid w:val="009E0BDC"/>
    <w:rsid w:val="009E134F"/>
    <w:rsid w:val="009E16A1"/>
    <w:rsid w:val="009E1DC4"/>
    <w:rsid w:val="009E2035"/>
    <w:rsid w:val="009E203F"/>
    <w:rsid w:val="009E2088"/>
    <w:rsid w:val="009E2401"/>
    <w:rsid w:val="009E27B5"/>
    <w:rsid w:val="009E3506"/>
    <w:rsid w:val="009E3570"/>
    <w:rsid w:val="009E36A0"/>
    <w:rsid w:val="009E3970"/>
    <w:rsid w:val="009E3E4A"/>
    <w:rsid w:val="009E3FDE"/>
    <w:rsid w:val="009E4303"/>
    <w:rsid w:val="009E48EB"/>
    <w:rsid w:val="009E4AA8"/>
    <w:rsid w:val="009E4D0E"/>
    <w:rsid w:val="009E5180"/>
    <w:rsid w:val="009E5380"/>
    <w:rsid w:val="009E5C2A"/>
    <w:rsid w:val="009E65B9"/>
    <w:rsid w:val="009E6ABC"/>
    <w:rsid w:val="009E76BC"/>
    <w:rsid w:val="009E7AF4"/>
    <w:rsid w:val="009E7CFF"/>
    <w:rsid w:val="009E7EC6"/>
    <w:rsid w:val="009E7F33"/>
    <w:rsid w:val="009F01D9"/>
    <w:rsid w:val="009F0E19"/>
    <w:rsid w:val="009F1267"/>
    <w:rsid w:val="009F1418"/>
    <w:rsid w:val="009F1421"/>
    <w:rsid w:val="009F1678"/>
    <w:rsid w:val="009F1A40"/>
    <w:rsid w:val="009F1F75"/>
    <w:rsid w:val="009F2A71"/>
    <w:rsid w:val="009F2CEC"/>
    <w:rsid w:val="009F37B5"/>
    <w:rsid w:val="009F4407"/>
    <w:rsid w:val="009F4DC0"/>
    <w:rsid w:val="009F4FE6"/>
    <w:rsid w:val="009F502C"/>
    <w:rsid w:val="009F50A5"/>
    <w:rsid w:val="009F5151"/>
    <w:rsid w:val="009F53B2"/>
    <w:rsid w:val="009F5AC0"/>
    <w:rsid w:val="009F69B9"/>
    <w:rsid w:val="009F7915"/>
    <w:rsid w:val="009F7F65"/>
    <w:rsid w:val="00A01304"/>
    <w:rsid w:val="00A01CAF"/>
    <w:rsid w:val="00A01CF8"/>
    <w:rsid w:val="00A01E4E"/>
    <w:rsid w:val="00A02115"/>
    <w:rsid w:val="00A03205"/>
    <w:rsid w:val="00A034B4"/>
    <w:rsid w:val="00A037CA"/>
    <w:rsid w:val="00A037EC"/>
    <w:rsid w:val="00A03BCA"/>
    <w:rsid w:val="00A046A3"/>
    <w:rsid w:val="00A04D4D"/>
    <w:rsid w:val="00A051A6"/>
    <w:rsid w:val="00A052DA"/>
    <w:rsid w:val="00A05331"/>
    <w:rsid w:val="00A05B87"/>
    <w:rsid w:val="00A05CDC"/>
    <w:rsid w:val="00A05FB8"/>
    <w:rsid w:val="00A0619F"/>
    <w:rsid w:val="00A066C9"/>
    <w:rsid w:val="00A06BED"/>
    <w:rsid w:val="00A07B83"/>
    <w:rsid w:val="00A110AF"/>
    <w:rsid w:val="00A11AC5"/>
    <w:rsid w:val="00A11BC6"/>
    <w:rsid w:val="00A11D5F"/>
    <w:rsid w:val="00A11E9A"/>
    <w:rsid w:val="00A121B0"/>
    <w:rsid w:val="00A12367"/>
    <w:rsid w:val="00A124EF"/>
    <w:rsid w:val="00A12BF2"/>
    <w:rsid w:val="00A12C60"/>
    <w:rsid w:val="00A13154"/>
    <w:rsid w:val="00A13448"/>
    <w:rsid w:val="00A13C58"/>
    <w:rsid w:val="00A145A4"/>
    <w:rsid w:val="00A1478E"/>
    <w:rsid w:val="00A1495C"/>
    <w:rsid w:val="00A149E6"/>
    <w:rsid w:val="00A14C95"/>
    <w:rsid w:val="00A14F77"/>
    <w:rsid w:val="00A14F8D"/>
    <w:rsid w:val="00A15090"/>
    <w:rsid w:val="00A1513E"/>
    <w:rsid w:val="00A15719"/>
    <w:rsid w:val="00A15A30"/>
    <w:rsid w:val="00A15F91"/>
    <w:rsid w:val="00A15FD9"/>
    <w:rsid w:val="00A167F5"/>
    <w:rsid w:val="00A17500"/>
    <w:rsid w:val="00A202ED"/>
    <w:rsid w:val="00A20AEA"/>
    <w:rsid w:val="00A20B3E"/>
    <w:rsid w:val="00A20B90"/>
    <w:rsid w:val="00A20BB9"/>
    <w:rsid w:val="00A210D8"/>
    <w:rsid w:val="00A21703"/>
    <w:rsid w:val="00A217F3"/>
    <w:rsid w:val="00A21BA3"/>
    <w:rsid w:val="00A21D57"/>
    <w:rsid w:val="00A21E7A"/>
    <w:rsid w:val="00A21EC1"/>
    <w:rsid w:val="00A22495"/>
    <w:rsid w:val="00A224AE"/>
    <w:rsid w:val="00A2255C"/>
    <w:rsid w:val="00A2257B"/>
    <w:rsid w:val="00A228DC"/>
    <w:rsid w:val="00A22B95"/>
    <w:rsid w:val="00A22C40"/>
    <w:rsid w:val="00A23A2A"/>
    <w:rsid w:val="00A23DDA"/>
    <w:rsid w:val="00A24828"/>
    <w:rsid w:val="00A24D10"/>
    <w:rsid w:val="00A24E85"/>
    <w:rsid w:val="00A2583C"/>
    <w:rsid w:val="00A25D37"/>
    <w:rsid w:val="00A25E0F"/>
    <w:rsid w:val="00A25FA6"/>
    <w:rsid w:val="00A2609C"/>
    <w:rsid w:val="00A2617E"/>
    <w:rsid w:val="00A2630F"/>
    <w:rsid w:val="00A265DF"/>
    <w:rsid w:val="00A26770"/>
    <w:rsid w:val="00A26D6D"/>
    <w:rsid w:val="00A30449"/>
    <w:rsid w:val="00A305C7"/>
    <w:rsid w:val="00A3096B"/>
    <w:rsid w:val="00A309C0"/>
    <w:rsid w:val="00A30CE6"/>
    <w:rsid w:val="00A30F5E"/>
    <w:rsid w:val="00A31196"/>
    <w:rsid w:val="00A317E2"/>
    <w:rsid w:val="00A31978"/>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4F57"/>
    <w:rsid w:val="00A3507F"/>
    <w:rsid w:val="00A350D5"/>
    <w:rsid w:val="00A354C9"/>
    <w:rsid w:val="00A356FA"/>
    <w:rsid w:val="00A357E2"/>
    <w:rsid w:val="00A35807"/>
    <w:rsid w:val="00A35EE4"/>
    <w:rsid w:val="00A3678C"/>
    <w:rsid w:val="00A376E6"/>
    <w:rsid w:val="00A37863"/>
    <w:rsid w:val="00A37984"/>
    <w:rsid w:val="00A37AC9"/>
    <w:rsid w:val="00A37D52"/>
    <w:rsid w:val="00A400EA"/>
    <w:rsid w:val="00A4022B"/>
    <w:rsid w:val="00A4067F"/>
    <w:rsid w:val="00A40A25"/>
    <w:rsid w:val="00A40DD5"/>
    <w:rsid w:val="00A40F0D"/>
    <w:rsid w:val="00A41056"/>
    <w:rsid w:val="00A41F8C"/>
    <w:rsid w:val="00A42132"/>
    <w:rsid w:val="00A42691"/>
    <w:rsid w:val="00A43091"/>
    <w:rsid w:val="00A43945"/>
    <w:rsid w:val="00A439D0"/>
    <w:rsid w:val="00A43CE7"/>
    <w:rsid w:val="00A441EA"/>
    <w:rsid w:val="00A4466A"/>
    <w:rsid w:val="00A44B23"/>
    <w:rsid w:val="00A44CB5"/>
    <w:rsid w:val="00A453F3"/>
    <w:rsid w:val="00A45A80"/>
    <w:rsid w:val="00A46091"/>
    <w:rsid w:val="00A46391"/>
    <w:rsid w:val="00A46BD5"/>
    <w:rsid w:val="00A46D15"/>
    <w:rsid w:val="00A471B5"/>
    <w:rsid w:val="00A4768D"/>
    <w:rsid w:val="00A4781D"/>
    <w:rsid w:val="00A50494"/>
    <w:rsid w:val="00A504A0"/>
    <w:rsid w:val="00A50766"/>
    <w:rsid w:val="00A50DA3"/>
    <w:rsid w:val="00A51255"/>
    <w:rsid w:val="00A51441"/>
    <w:rsid w:val="00A51CB7"/>
    <w:rsid w:val="00A52DCC"/>
    <w:rsid w:val="00A53144"/>
    <w:rsid w:val="00A53819"/>
    <w:rsid w:val="00A53E58"/>
    <w:rsid w:val="00A543B7"/>
    <w:rsid w:val="00A544FE"/>
    <w:rsid w:val="00A54B42"/>
    <w:rsid w:val="00A55981"/>
    <w:rsid w:val="00A55D6D"/>
    <w:rsid w:val="00A55FD3"/>
    <w:rsid w:val="00A564E8"/>
    <w:rsid w:val="00A565DA"/>
    <w:rsid w:val="00A56EBD"/>
    <w:rsid w:val="00A5756B"/>
    <w:rsid w:val="00A5765C"/>
    <w:rsid w:val="00A60C96"/>
    <w:rsid w:val="00A60F2C"/>
    <w:rsid w:val="00A616A4"/>
    <w:rsid w:val="00A62188"/>
    <w:rsid w:val="00A62731"/>
    <w:rsid w:val="00A62C5D"/>
    <w:rsid w:val="00A6372C"/>
    <w:rsid w:val="00A6386C"/>
    <w:rsid w:val="00A638B5"/>
    <w:rsid w:val="00A63C4A"/>
    <w:rsid w:val="00A63DF9"/>
    <w:rsid w:val="00A64FFD"/>
    <w:rsid w:val="00A6520F"/>
    <w:rsid w:val="00A66663"/>
    <w:rsid w:val="00A6706E"/>
    <w:rsid w:val="00A671B2"/>
    <w:rsid w:val="00A6733E"/>
    <w:rsid w:val="00A6766A"/>
    <w:rsid w:val="00A70B34"/>
    <w:rsid w:val="00A70BF9"/>
    <w:rsid w:val="00A71583"/>
    <w:rsid w:val="00A71E6A"/>
    <w:rsid w:val="00A71FEF"/>
    <w:rsid w:val="00A7212A"/>
    <w:rsid w:val="00A72484"/>
    <w:rsid w:val="00A724D9"/>
    <w:rsid w:val="00A7251C"/>
    <w:rsid w:val="00A733D7"/>
    <w:rsid w:val="00A73689"/>
    <w:rsid w:val="00A73B3F"/>
    <w:rsid w:val="00A73ECE"/>
    <w:rsid w:val="00A740B0"/>
    <w:rsid w:val="00A74B08"/>
    <w:rsid w:val="00A74C31"/>
    <w:rsid w:val="00A74F2B"/>
    <w:rsid w:val="00A7544B"/>
    <w:rsid w:val="00A763E5"/>
    <w:rsid w:val="00A76542"/>
    <w:rsid w:val="00A76A57"/>
    <w:rsid w:val="00A76CA6"/>
    <w:rsid w:val="00A76D6A"/>
    <w:rsid w:val="00A771E7"/>
    <w:rsid w:val="00A7744B"/>
    <w:rsid w:val="00A77522"/>
    <w:rsid w:val="00A7763B"/>
    <w:rsid w:val="00A77D13"/>
    <w:rsid w:val="00A77F41"/>
    <w:rsid w:val="00A800D3"/>
    <w:rsid w:val="00A8030D"/>
    <w:rsid w:val="00A80650"/>
    <w:rsid w:val="00A80679"/>
    <w:rsid w:val="00A80739"/>
    <w:rsid w:val="00A80819"/>
    <w:rsid w:val="00A80878"/>
    <w:rsid w:val="00A80B2F"/>
    <w:rsid w:val="00A80CD6"/>
    <w:rsid w:val="00A810B2"/>
    <w:rsid w:val="00A8136E"/>
    <w:rsid w:val="00A815A3"/>
    <w:rsid w:val="00A81848"/>
    <w:rsid w:val="00A823C1"/>
    <w:rsid w:val="00A8247C"/>
    <w:rsid w:val="00A8254C"/>
    <w:rsid w:val="00A827C4"/>
    <w:rsid w:val="00A829FA"/>
    <w:rsid w:val="00A82E13"/>
    <w:rsid w:val="00A82FF1"/>
    <w:rsid w:val="00A83A9F"/>
    <w:rsid w:val="00A846F4"/>
    <w:rsid w:val="00A84DFE"/>
    <w:rsid w:val="00A85343"/>
    <w:rsid w:val="00A853A3"/>
    <w:rsid w:val="00A8552F"/>
    <w:rsid w:val="00A85766"/>
    <w:rsid w:val="00A85785"/>
    <w:rsid w:val="00A862BF"/>
    <w:rsid w:val="00A863B6"/>
    <w:rsid w:val="00A863E0"/>
    <w:rsid w:val="00A86682"/>
    <w:rsid w:val="00A86FBA"/>
    <w:rsid w:val="00A87751"/>
    <w:rsid w:val="00A87910"/>
    <w:rsid w:val="00A87B77"/>
    <w:rsid w:val="00A87DB8"/>
    <w:rsid w:val="00A90783"/>
    <w:rsid w:val="00A90A42"/>
    <w:rsid w:val="00A9146B"/>
    <w:rsid w:val="00A9196A"/>
    <w:rsid w:val="00A92465"/>
    <w:rsid w:val="00A92A3D"/>
    <w:rsid w:val="00A92B34"/>
    <w:rsid w:val="00A92C22"/>
    <w:rsid w:val="00A9316B"/>
    <w:rsid w:val="00A93ED0"/>
    <w:rsid w:val="00A9403E"/>
    <w:rsid w:val="00A940B1"/>
    <w:rsid w:val="00A9423A"/>
    <w:rsid w:val="00A943ED"/>
    <w:rsid w:val="00A9478B"/>
    <w:rsid w:val="00A949DB"/>
    <w:rsid w:val="00A95004"/>
    <w:rsid w:val="00A95B32"/>
    <w:rsid w:val="00A95FEA"/>
    <w:rsid w:val="00A962A4"/>
    <w:rsid w:val="00A969BF"/>
    <w:rsid w:val="00A96AF9"/>
    <w:rsid w:val="00A974BB"/>
    <w:rsid w:val="00A9773C"/>
    <w:rsid w:val="00AA0121"/>
    <w:rsid w:val="00AA0268"/>
    <w:rsid w:val="00AA080B"/>
    <w:rsid w:val="00AA093B"/>
    <w:rsid w:val="00AA0EB9"/>
    <w:rsid w:val="00AA1075"/>
    <w:rsid w:val="00AA1809"/>
    <w:rsid w:val="00AA194B"/>
    <w:rsid w:val="00AA225E"/>
    <w:rsid w:val="00AA2382"/>
    <w:rsid w:val="00AA390E"/>
    <w:rsid w:val="00AA3FFD"/>
    <w:rsid w:val="00AA4242"/>
    <w:rsid w:val="00AA4344"/>
    <w:rsid w:val="00AA4702"/>
    <w:rsid w:val="00AA4899"/>
    <w:rsid w:val="00AA4D13"/>
    <w:rsid w:val="00AA4F2E"/>
    <w:rsid w:val="00AA4F46"/>
    <w:rsid w:val="00AA4FC6"/>
    <w:rsid w:val="00AA58D7"/>
    <w:rsid w:val="00AA5911"/>
    <w:rsid w:val="00AA5C21"/>
    <w:rsid w:val="00AA5C4A"/>
    <w:rsid w:val="00AA5E7D"/>
    <w:rsid w:val="00AA6330"/>
    <w:rsid w:val="00AA6367"/>
    <w:rsid w:val="00AA6379"/>
    <w:rsid w:val="00AA63D2"/>
    <w:rsid w:val="00AA6893"/>
    <w:rsid w:val="00AA6979"/>
    <w:rsid w:val="00AA6C18"/>
    <w:rsid w:val="00AA72CF"/>
    <w:rsid w:val="00AA7A05"/>
    <w:rsid w:val="00AB015C"/>
    <w:rsid w:val="00AB0569"/>
    <w:rsid w:val="00AB0D93"/>
    <w:rsid w:val="00AB0FF4"/>
    <w:rsid w:val="00AB103B"/>
    <w:rsid w:val="00AB132C"/>
    <w:rsid w:val="00AB152A"/>
    <w:rsid w:val="00AB18C2"/>
    <w:rsid w:val="00AB1FFB"/>
    <w:rsid w:val="00AB2A29"/>
    <w:rsid w:val="00AB33B6"/>
    <w:rsid w:val="00AB37BB"/>
    <w:rsid w:val="00AB3E57"/>
    <w:rsid w:val="00AB403C"/>
    <w:rsid w:val="00AB40DD"/>
    <w:rsid w:val="00AB41DA"/>
    <w:rsid w:val="00AB4BE9"/>
    <w:rsid w:val="00AB4DB4"/>
    <w:rsid w:val="00AB4DF7"/>
    <w:rsid w:val="00AB5FC2"/>
    <w:rsid w:val="00AB641A"/>
    <w:rsid w:val="00AB7378"/>
    <w:rsid w:val="00AB743B"/>
    <w:rsid w:val="00AB78CD"/>
    <w:rsid w:val="00AB792A"/>
    <w:rsid w:val="00AC0202"/>
    <w:rsid w:val="00AC0218"/>
    <w:rsid w:val="00AC0410"/>
    <w:rsid w:val="00AC08E7"/>
    <w:rsid w:val="00AC0DF3"/>
    <w:rsid w:val="00AC1AF7"/>
    <w:rsid w:val="00AC29F8"/>
    <w:rsid w:val="00AC34BD"/>
    <w:rsid w:val="00AC3E8A"/>
    <w:rsid w:val="00AC4921"/>
    <w:rsid w:val="00AC4D55"/>
    <w:rsid w:val="00AC4E36"/>
    <w:rsid w:val="00AC59C2"/>
    <w:rsid w:val="00AC60E9"/>
    <w:rsid w:val="00AC75A7"/>
    <w:rsid w:val="00AC78F5"/>
    <w:rsid w:val="00AD00E6"/>
    <w:rsid w:val="00AD02AF"/>
    <w:rsid w:val="00AD03CF"/>
    <w:rsid w:val="00AD0493"/>
    <w:rsid w:val="00AD0530"/>
    <w:rsid w:val="00AD055C"/>
    <w:rsid w:val="00AD06C3"/>
    <w:rsid w:val="00AD0911"/>
    <w:rsid w:val="00AD11D4"/>
    <w:rsid w:val="00AD11FA"/>
    <w:rsid w:val="00AD1204"/>
    <w:rsid w:val="00AD139A"/>
    <w:rsid w:val="00AD15EE"/>
    <w:rsid w:val="00AD173A"/>
    <w:rsid w:val="00AD1E90"/>
    <w:rsid w:val="00AD1F83"/>
    <w:rsid w:val="00AD1F8F"/>
    <w:rsid w:val="00AD296A"/>
    <w:rsid w:val="00AD2AFB"/>
    <w:rsid w:val="00AD2C41"/>
    <w:rsid w:val="00AD2C46"/>
    <w:rsid w:val="00AD2FF3"/>
    <w:rsid w:val="00AD32A0"/>
    <w:rsid w:val="00AD32D0"/>
    <w:rsid w:val="00AD3371"/>
    <w:rsid w:val="00AD550E"/>
    <w:rsid w:val="00AD59B0"/>
    <w:rsid w:val="00AD5F2F"/>
    <w:rsid w:val="00AD658E"/>
    <w:rsid w:val="00AD68DE"/>
    <w:rsid w:val="00AD6E7C"/>
    <w:rsid w:val="00AD752B"/>
    <w:rsid w:val="00AE0A60"/>
    <w:rsid w:val="00AE0FC2"/>
    <w:rsid w:val="00AE10B2"/>
    <w:rsid w:val="00AE1710"/>
    <w:rsid w:val="00AE18F4"/>
    <w:rsid w:val="00AE1A9F"/>
    <w:rsid w:val="00AE1B44"/>
    <w:rsid w:val="00AE1FB1"/>
    <w:rsid w:val="00AE23D4"/>
    <w:rsid w:val="00AE27DE"/>
    <w:rsid w:val="00AE2AEE"/>
    <w:rsid w:val="00AE30C8"/>
    <w:rsid w:val="00AE346D"/>
    <w:rsid w:val="00AE48FE"/>
    <w:rsid w:val="00AE4B82"/>
    <w:rsid w:val="00AE4F58"/>
    <w:rsid w:val="00AE5C10"/>
    <w:rsid w:val="00AE5D9C"/>
    <w:rsid w:val="00AE5EBB"/>
    <w:rsid w:val="00AE6012"/>
    <w:rsid w:val="00AE68E2"/>
    <w:rsid w:val="00AE6ADF"/>
    <w:rsid w:val="00AE703D"/>
    <w:rsid w:val="00AE7480"/>
    <w:rsid w:val="00AE776C"/>
    <w:rsid w:val="00AE7D81"/>
    <w:rsid w:val="00AF005D"/>
    <w:rsid w:val="00AF041E"/>
    <w:rsid w:val="00AF04ED"/>
    <w:rsid w:val="00AF0690"/>
    <w:rsid w:val="00AF1C33"/>
    <w:rsid w:val="00AF1F2C"/>
    <w:rsid w:val="00AF1F3E"/>
    <w:rsid w:val="00AF2397"/>
    <w:rsid w:val="00AF25AB"/>
    <w:rsid w:val="00AF2910"/>
    <w:rsid w:val="00AF2D3C"/>
    <w:rsid w:val="00AF3309"/>
    <w:rsid w:val="00AF3761"/>
    <w:rsid w:val="00AF37E8"/>
    <w:rsid w:val="00AF39CE"/>
    <w:rsid w:val="00AF418E"/>
    <w:rsid w:val="00AF43D5"/>
    <w:rsid w:val="00AF4654"/>
    <w:rsid w:val="00AF4661"/>
    <w:rsid w:val="00AF47E7"/>
    <w:rsid w:val="00AF4A5F"/>
    <w:rsid w:val="00AF4E7A"/>
    <w:rsid w:val="00AF4F56"/>
    <w:rsid w:val="00AF554E"/>
    <w:rsid w:val="00AF5A12"/>
    <w:rsid w:val="00AF5F65"/>
    <w:rsid w:val="00AF619E"/>
    <w:rsid w:val="00AF6B95"/>
    <w:rsid w:val="00AF6D72"/>
    <w:rsid w:val="00AF6F55"/>
    <w:rsid w:val="00AF6F57"/>
    <w:rsid w:val="00AF7A9D"/>
    <w:rsid w:val="00B00D8E"/>
    <w:rsid w:val="00B00F85"/>
    <w:rsid w:val="00B00FBC"/>
    <w:rsid w:val="00B012F4"/>
    <w:rsid w:val="00B014A4"/>
    <w:rsid w:val="00B014D4"/>
    <w:rsid w:val="00B016B8"/>
    <w:rsid w:val="00B01855"/>
    <w:rsid w:val="00B01F39"/>
    <w:rsid w:val="00B02071"/>
    <w:rsid w:val="00B03A5D"/>
    <w:rsid w:val="00B03F6E"/>
    <w:rsid w:val="00B0409E"/>
    <w:rsid w:val="00B046C7"/>
    <w:rsid w:val="00B047DE"/>
    <w:rsid w:val="00B04BAD"/>
    <w:rsid w:val="00B054EA"/>
    <w:rsid w:val="00B05852"/>
    <w:rsid w:val="00B0598B"/>
    <w:rsid w:val="00B05FAE"/>
    <w:rsid w:val="00B0735F"/>
    <w:rsid w:val="00B0746F"/>
    <w:rsid w:val="00B0777A"/>
    <w:rsid w:val="00B0792D"/>
    <w:rsid w:val="00B1079D"/>
    <w:rsid w:val="00B108C5"/>
    <w:rsid w:val="00B113C0"/>
    <w:rsid w:val="00B12100"/>
    <w:rsid w:val="00B12889"/>
    <w:rsid w:val="00B12AAA"/>
    <w:rsid w:val="00B13141"/>
    <w:rsid w:val="00B131F5"/>
    <w:rsid w:val="00B13331"/>
    <w:rsid w:val="00B13B7E"/>
    <w:rsid w:val="00B13E87"/>
    <w:rsid w:val="00B1424B"/>
    <w:rsid w:val="00B15321"/>
    <w:rsid w:val="00B1546D"/>
    <w:rsid w:val="00B1593E"/>
    <w:rsid w:val="00B15ABC"/>
    <w:rsid w:val="00B16190"/>
    <w:rsid w:val="00B16A40"/>
    <w:rsid w:val="00B17440"/>
    <w:rsid w:val="00B174A5"/>
    <w:rsid w:val="00B17A42"/>
    <w:rsid w:val="00B17D52"/>
    <w:rsid w:val="00B2040C"/>
    <w:rsid w:val="00B2063E"/>
    <w:rsid w:val="00B20F73"/>
    <w:rsid w:val="00B2138F"/>
    <w:rsid w:val="00B21AA3"/>
    <w:rsid w:val="00B2248F"/>
    <w:rsid w:val="00B22644"/>
    <w:rsid w:val="00B22D32"/>
    <w:rsid w:val="00B22E0A"/>
    <w:rsid w:val="00B22E59"/>
    <w:rsid w:val="00B23038"/>
    <w:rsid w:val="00B2363C"/>
    <w:rsid w:val="00B2421E"/>
    <w:rsid w:val="00B24553"/>
    <w:rsid w:val="00B2467D"/>
    <w:rsid w:val="00B24BAB"/>
    <w:rsid w:val="00B24E89"/>
    <w:rsid w:val="00B2592F"/>
    <w:rsid w:val="00B25A77"/>
    <w:rsid w:val="00B25E48"/>
    <w:rsid w:val="00B25E77"/>
    <w:rsid w:val="00B26C38"/>
    <w:rsid w:val="00B26FEF"/>
    <w:rsid w:val="00B2771D"/>
    <w:rsid w:val="00B279EA"/>
    <w:rsid w:val="00B27C05"/>
    <w:rsid w:val="00B3058C"/>
    <w:rsid w:val="00B307F6"/>
    <w:rsid w:val="00B30B7E"/>
    <w:rsid w:val="00B30C5F"/>
    <w:rsid w:val="00B30E80"/>
    <w:rsid w:val="00B31069"/>
    <w:rsid w:val="00B3149A"/>
    <w:rsid w:val="00B316D7"/>
    <w:rsid w:val="00B31901"/>
    <w:rsid w:val="00B31AFC"/>
    <w:rsid w:val="00B31BA7"/>
    <w:rsid w:val="00B31EBC"/>
    <w:rsid w:val="00B33880"/>
    <w:rsid w:val="00B339AB"/>
    <w:rsid w:val="00B33A2D"/>
    <w:rsid w:val="00B33D3B"/>
    <w:rsid w:val="00B33EFA"/>
    <w:rsid w:val="00B34B48"/>
    <w:rsid w:val="00B35C88"/>
    <w:rsid w:val="00B3642C"/>
    <w:rsid w:val="00B3655A"/>
    <w:rsid w:val="00B36703"/>
    <w:rsid w:val="00B3677B"/>
    <w:rsid w:val="00B368FE"/>
    <w:rsid w:val="00B36AE3"/>
    <w:rsid w:val="00B3745E"/>
    <w:rsid w:val="00B375CF"/>
    <w:rsid w:val="00B3763D"/>
    <w:rsid w:val="00B37873"/>
    <w:rsid w:val="00B37A6A"/>
    <w:rsid w:val="00B40176"/>
    <w:rsid w:val="00B4100A"/>
    <w:rsid w:val="00B411AC"/>
    <w:rsid w:val="00B412B5"/>
    <w:rsid w:val="00B41341"/>
    <w:rsid w:val="00B4156E"/>
    <w:rsid w:val="00B418CB"/>
    <w:rsid w:val="00B421C2"/>
    <w:rsid w:val="00B42BC5"/>
    <w:rsid w:val="00B42D26"/>
    <w:rsid w:val="00B42F6B"/>
    <w:rsid w:val="00B431BD"/>
    <w:rsid w:val="00B4325E"/>
    <w:rsid w:val="00B43FCC"/>
    <w:rsid w:val="00B43FEC"/>
    <w:rsid w:val="00B441F3"/>
    <w:rsid w:val="00B444A2"/>
    <w:rsid w:val="00B44C0F"/>
    <w:rsid w:val="00B4554E"/>
    <w:rsid w:val="00B45904"/>
    <w:rsid w:val="00B45A02"/>
    <w:rsid w:val="00B45C67"/>
    <w:rsid w:val="00B45CF8"/>
    <w:rsid w:val="00B46006"/>
    <w:rsid w:val="00B46C25"/>
    <w:rsid w:val="00B5007C"/>
    <w:rsid w:val="00B50273"/>
    <w:rsid w:val="00B504DA"/>
    <w:rsid w:val="00B51181"/>
    <w:rsid w:val="00B5173B"/>
    <w:rsid w:val="00B51CED"/>
    <w:rsid w:val="00B5227A"/>
    <w:rsid w:val="00B523A5"/>
    <w:rsid w:val="00B52440"/>
    <w:rsid w:val="00B524F2"/>
    <w:rsid w:val="00B5274C"/>
    <w:rsid w:val="00B5317B"/>
    <w:rsid w:val="00B532D1"/>
    <w:rsid w:val="00B53D00"/>
    <w:rsid w:val="00B53D9A"/>
    <w:rsid w:val="00B53E2E"/>
    <w:rsid w:val="00B53E63"/>
    <w:rsid w:val="00B54A6B"/>
    <w:rsid w:val="00B54C9F"/>
    <w:rsid w:val="00B55261"/>
    <w:rsid w:val="00B55334"/>
    <w:rsid w:val="00B5588A"/>
    <w:rsid w:val="00B55A02"/>
    <w:rsid w:val="00B55B94"/>
    <w:rsid w:val="00B5602E"/>
    <w:rsid w:val="00B5677E"/>
    <w:rsid w:val="00B569DA"/>
    <w:rsid w:val="00B56F6D"/>
    <w:rsid w:val="00B570EE"/>
    <w:rsid w:val="00B57391"/>
    <w:rsid w:val="00B57791"/>
    <w:rsid w:val="00B57B4D"/>
    <w:rsid w:val="00B57E69"/>
    <w:rsid w:val="00B606A1"/>
    <w:rsid w:val="00B60FE5"/>
    <w:rsid w:val="00B611AE"/>
    <w:rsid w:val="00B61319"/>
    <w:rsid w:val="00B617B7"/>
    <w:rsid w:val="00B622BB"/>
    <w:rsid w:val="00B622D7"/>
    <w:rsid w:val="00B622FD"/>
    <w:rsid w:val="00B62687"/>
    <w:rsid w:val="00B62B13"/>
    <w:rsid w:val="00B62CAC"/>
    <w:rsid w:val="00B62FA3"/>
    <w:rsid w:val="00B632EE"/>
    <w:rsid w:val="00B637DE"/>
    <w:rsid w:val="00B6398B"/>
    <w:rsid w:val="00B63D0B"/>
    <w:rsid w:val="00B63F83"/>
    <w:rsid w:val="00B64368"/>
    <w:rsid w:val="00B645FF"/>
    <w:rsid w:val="00B64646"/>
    <w:rsid w:val="00B65AF9"/>
    <w:rsid w:val="00B662E8"/>
    <w:rsid w:val="00B664DA"/>
    <w:rsid w:val="00B667B4"/>
    <w:rsid w:val="00B6681A"/>
    <w:rsid w:val="00B66BDD"/>
    <w:rsid w:val="00B67146"/>
    <w:rsid w:val="00B6722E"/>
    <w:rsid w:val="00B673F6"/>
    <w:rsid w:val="00B674FB"/>
    <w:rsid w:val="00B67607"/>
    <w:rsid w:val="00B67809"/>
    <w:rsid w:val="00B70F0F"/>
    <w:rsid w:val="00B71137"/>
    <w:rsid w:val="00B71840"/>
    <w:rsid w:val="00B71B2C"/>
    <w:rsid w:val="00B71BB9"/>
    <w:rsid w:val="00B71CD0"/>
    <w:rsid w:val="00B71D66"/>
    <w:rsid w:val="00B7216E"/>
    <w:rsid w:val="00B721C1"/>
    <w:rsid w:val="00B722E2"/>
    <w:rsid w:val="00B7237B"/>
    <w:rsid w:val="00B7295A"/>
    <w:rsid w:val="00B72C53"/>
    <w:rsid w:val="00B72CB5"/>
    <w:rsid w:val="00B73149"/>
    <w:rsid w:val="00B73154"/>
    <w:rsid w:val="00B731FE"/>
    <w:rsid w:val="00B735AD"/>
    <w:rsid w:val="00B738B5"/>
    <w:rsid w:val="00B73E3F"/>
    <w:rsid w:val="00B742B7"/>
    <w:rsid w:val="00B74755"/>
    <w:rsid w:val="00B74A4E"/>
    <w:rsid w:val="00B74B99"/>
    <w:rsid w:val="00B75217"/>
    <w:rsid w:val="00B75D76"/>
    <w:rsid w:val="00B76283"/>
    <w:rsid w:val="00B76A77"/>
    <w:rsid w:val="00B775A2"/>
    <w:rsid w:val="00B77A82"/>
    <w:rsid w:val="00B77E22"/>
    <w:rsid w:val="00B80350"/>
    <w:rsid w:val="00B8093B"/>
    <w:rsid w:val="00B80DFF"/>
    <w:rsid w:val="00B81CB9"/>
    <w:rsid w:val="00B820CA"/>
    <w:rsid w:val="00B826AE"/>
    <w:rsid w:val="00B83046"/>
    <w:rsid w:val="00B83C1E"/>
    <w:rsid w:val="00B8569B"/>
    <w:rsid w:val="00B856CB"/>
    <w:rsid w:val="00B85CED"/>
    <w:rsid w:val="00B85D54"/>
    <w:rsid w:val="00B864B6"/>
    <w:rsid w:val="00B864F6"/>
    <w:rsid w:val="00B86585"/>
    <w:rsid w:val="00B86BAC"/>
    <w:rsid w:val="00B879C3"/>
    <w:rsid w:val="00B87F32"/>
    <w:rsid w:val="00B87F6D"/>
    <w:rsid w:val="00B90075"/>
    <w:rsid w:val="00B90146"/>
    <w:rsid w:val="00B908BC"/>
    <w:rsid w:val="00B909E2"/>
    <w:rsid w:val="00B90A53"/>
    <w:rsid w:val="00B90E8B"/>
    <w:rsid w:val="00B921E4"/>
    <w:rsid w:val="00B9230F"/>
    <w:rsid w:val="00B92320"/>
    <w:rsid w:val="00B923E1"/>
    <w:rsid w:val="00B92750"/>
    <w:rsid w:val="00B92BC8"/>
    <w:rsid w:val="00B92CDE"/>
    <w:rsid w:val="00B93521"/>
    <w:rsid w:val="00B946D9"/>
    <w:rsid w:val="00B9485D"/>
    <w:rsid w:val="00B94FA7"/>
    <w:rsid w:val="00B9507A"/>
    <w:rsid w:val="00B950A8"/>
    <w:rsid w:val="00B95A41"/>
    <w:rsid w:val="00B95BD2"/>
    <w:rsid w:val="00B96269"/>
    <w:rsid w:val="00B96407"/>
    <w:rsid w:val="00B96468"/>
    <w:rsid w:val="00B9662A"/>
    <w:rsid w:val="00B96FB0"/>
    <w:rsid w:val="00B973E8"/>
    <w:rsid w:val="00B97690"/>
    <w:rsid w:val="00B977D0"/>
    <w:rsid w:val="00B97810"/>
    <w:rsid w:val="00B97BC3"/>
    <w:rsid w:val="00BA001D"/>
    <w:rsid w:val="00BA0360"/>
    <w:rsid w:val="00BA0B90"/>
    <w:rsid w:val="00BA12DD"/>
    <w:rsid w:val="00BA155C"/>
    <w:rsid w:val="00BA16DC"/>
    <w:rsid w:val="00BA1C8A"/>
    <w:rsid w:val="00BA1CFA"/>
    <w:rsid w:val="00BA3622"/>
    <w:rsid w:val="00BA3AC2"/>
    <w:rsid w:val="00BA3CD9"/>
    <w:rsid w:val="00BA3FAE"/>
    <w:rsid w:val="00BA4F09"/>
    <w:rsid w:val="00BA5077"/>
    <w:rsid w:val="00BA5453"/>
    <w:rsid w:val="00BA5B05"/>
    <w:rsid w:val="00BA5C56"/>
    <w:rsid w:val="00BA6738"/>
    <w:rsid w:val="00BA77E9"/>
    <w:rsid w:val="00BA79B5"/>
    <w:rsid w:val="00BB00D2"/>
    <w:rsid w:val="00BB01A4"/>
    <w:rsid w:val="00BB03BF"/>
    <w:rsid w:val="00BB09C9"/>
    <w:rsid w:val="00BB0B68"/>
    <w:rsid w:val="00BB0EE7"/>
    <w:rsid w:val="00BB1066"/>
    <w:rsid w:val="00BB119F"/>
    <w:rsid w:val="00BB1341"/>
    <w:rsid w:val="00BB2479"/>
    <w:rsid w:val="00BB2A0F"/>
    <w:rsid w:val="00BB355C"/>
    <w:rsid w:val="00BB3CDD"/>
    <w:rsid w:val="00BB41C9"/>
    <w:rsid w:val="00BB4350"/>
    <w:rsid w:val="00BB463E"/>
    <w:rsid w:val="00BB46A2"/>
    <w:rsid w:val="00BB4E3F"/>
    <w:rsid w:val="00BB4F2C"/>
    <w:rsid w:val="00BB521F"/>
    <w:rsid w:val="00BB58F3"/>
    <w:rsid w:val="00BB5CE6"/>
    <w:rsid w:val="00BB601B"/>
    <w:rsid w:val="00BB6393"/>
    <w:rsid w:val="00BB6CBA"/>
    <w:rsid w:val="00BB73FD"/>
    <w:rsid w:val="00BB7629"/>
    <w:rsid w:val="00BC05E3"/>
    <w:rsid w:val="00BC1B87"/>
    <w:rsid w:val="00BC1CB9"/>
    <w:rsid w:val="00BC1DEC"/>
    <w:rsid w:val="00BC279E"/>
    <w:rsid w:val="00BC2FDF"/>
    <w:rsid w:val="00BC30C7"/>
    <w:rsid w:val="00BC3D7B"/>
    <w:rsid w:val="00BC40CA"/>
    <w:rsid w:val="00BC4273"/>
    <w:rsid w:val="00BC49B6"/>
    <w:rsid w:val="00BC4E65"/>
    <w:rsid w:val="00BC5110"/>
    <w:rsid w:val="00BC5401"/>
    <w:rsid w:val="00BC5585"/>
    <w:rsid w:val="00BC55CC"/>
    <w:rsid w:val="00BC5661"/>
    <w:rsid w:val="00BC586C"/>
    <w:rsid w:val="00BC5CD5"/>
    <w:rsid w:val="00BC629F"/>
    <w:rsid w:val="00BC6310"/>
    <w:rsid w:val="00BC650D"/>
    <w:rsid w:val="00BC6709"/>
    <w:rsid w:val="00BC6776"/>
    <w:rsid w:val="00BC7050"/>
    <w:rsid w:val="00BC707F"/>
    <w:rsid w:val="00BC71B2"/>
    <w:rsid w:val="00BC71D2"/>
    <w:rsid w:val="00BC726F"/>
    <w:rsid w:val="00BD006A"/>
    <w:rsid w:val="00BD05F3"/>
    <w:rsid w:val="00BD0F2A"/>
    <w:rsid w:val="00BD1B09"/>
    <w:rsid w:val="00BD1BB7"/>
    <w:rsid w:val="00BD1CE1"/>
    <w:rsid w:val="00BD1F8B"/>
    <w:rsid w:val="00BD202B"/>
    <w:rsid w:val="00BD26ED"/>
    <w:rsid w:val="00BD2A49"/>
    <w:rsid w:val="00BD2ED8"/>
    <w:rsid w:val="00BD3289"/>
    <w:rsid w:val="00BD3338"/>
    <w:rsid w:val="00BD3DF5"/>
    <w:rsid w:val="00BD46F3"/>
    <w:rsid w:val="00BD4BCC"/>
    <w:rsid w:val="00BD50AD"/>
    <w:rsid w:val="00BD604B"/>
    <w:rsid w:val="00BD6183"/>
    <w:rsid w:val="00BD6591"/>
    <w:rsid w:val="00BD659D"/>
    <w:rsid w:val="00BD6B14"/>
    <w:rsid w:val="00BD6D2D"/>
    <w:rsid w:val="00BD7999"/>
    <w:rsid w:val="00BD7AB6"/>
    <w:rsid w:val="00BD7DE3"/>
    <w:rsid w:val="00BE009B"/>
    <w:rsid w:val="00BE010F"/>
    <w:rsid w:val="00BE0B5F"/>
    <w:rsid w:val="00BE180F"/>
    <w:rsid w:val="00BE1B91"/>
    <w:rsid w:val="00BE1CB4"/>
    <w:rsid w:val="00BE223F"/>
    <w:rsid w:val="00BE23EF"/>
    <w:rsid w:val="00BE2565"/>
    <w:rsid w:val="00BE25F2"/>
    <w:rsid w:val="00BE29A7"/>
    <w:rsid w:val="00BE2EEF"/>
    <w:rsid w:val="00BE3041"/>
    <w:rsid w:val="00BE3605"/>
    <w:rsid w:val="00BE3B9C"/>
    <w:rsid w:val="00BE3E56"/>
    <w:rsid w:val="00BE4308"/>
    <w:rsid w:val="00BE45EE"/>
    <w:rsid w:val="00BE46DE"/>
    <w:rsid w:val="00BE4764"/>
    <w:rsid w:val="00BE4EB9"/>
    <w:rsid w:val="00BE502D"/>
    <w:rsid w:val="00BE53FF"/>
    <w:rsid w:val="00BE5571"/>
    <w:rsid w:val="00BE567C"/>
    <w:rsid w:val="00BE57DB"/>
    <w:rsid w:val="00BE67D3"/>
    <w:rsid w:val="00BE6A58"/>
    <w:rsid w:val="00BE6E8C"/>
    <w:rsid w:val="00BE7681"/>
    <w:rsid w:val="00BE77F6"/>
    <w:rsid w:val="00BE78B9"/>
    <w:rsid w:val="00BE7AA7"/>
    <w:rsid w:val="00BF03B7"/>
    <w:rsid w:val="00BF0518"/>
    <w:rsid w:val="00BF0AC7"/>
    <w:rsid w:val="00BF0E98"/>
    <w:rsid w:val="00BF178F"/>
    <w:rsid w:val="00BF1A35"/>
    <w:rsid w:val="00BF1CCE"/>
    <w:rsid w:val="00BF1E82"/>
    <w:rsid w:val="00BF2078"/>
    <w:rsid w:val="00BF2E71"/>
    <w:rsid w:val="00BF3114"/>
    <w:rsid w:val="00BF3340"/>
    <w:rsid w:val="00BF3B2C"/>
    <w:rsid w:val="00BF3E55"/>
    <w:rsid w:val="00BF42B9"/>
    <w:rsid w:val="00BF4654"/>
    <w:rsid w:val="00BF47D6"/>
    <w:rsid w:val="00BF4816"/>
    <w:rsid w:val="00BF4E96"/>
    <w:rsid w:val="00BF4FF6"/>
    <w:rsid w:val="00BF5528"/>
    <w:rsid w:val="00BF5569"/>
    <w:rsid w:val="00BF6098"/>
    <w:rsid w:val="00BF643B"/>
    <w:rsid w:val="00BF6873"/>
    <w:rsid w:val="00BF6CBD"/>
    <w:rsid w:val="00BF7208"/>
    <w:rsid w:val="00BF72AB"/>
    <w:rsid w:val="00BF7497"/>
    <w:rsid w:val="00BF7BC9"/>
    <w:rsid w:val="00BF7F78"/>
    <w:rsid w:val="00C00410"/>
    <w:rsid w:val="00C00891"/>
    <w:rsid w:val="00C00D48"/>
    <w:rsid w:val="00C0100F"/>
    <w:rsid w:val="00C01F38"/>
    <w:rsid w:val="00C02147"/>
    <w:rsid w:val="00C0216B"/>
    <w:rsid w:val="00C021AE"/>
    <w:rsid w:val="00C0239D"/>
    <w:rsid w:val="00C023DB"/>
    <w:rsid w:val="00C0255B"/>
    <w:rsid w:val="00C028E8"/>
    <w:rsid w:val="00C043C9"/>
    <w:rsid w:val="00C04927"/>
    <w:rsid w:val="00C04E40"/>
    <w:rsid w:val="00C0535A"/>
    <w:rsid w:val="00C05818"/>
    <w:rsid w:val="00C062A8"/>
    <w:rsid w:val="00C066BA"/>
    <w:rsid w:val="00C06951"/>
    <w:rsid w:val="00C07342"/>
    <w:rsid w:val="00C07DCB"/>
    <w:rsid w:val="00C07F4C"/>
    <w:rsid w:val="00C10831"/>
    <w:rsid w:val="00C10867"/>
    <w:rsid w:val="00C10F01"/>
    <w:rsid w:val="00C111A1"/>
    <w:rsid w:val="00C12105"/>
    <w:rsid w:val="00C121DB"/>
    <w:rsid w:val="00C12417"/>
    <w:rsid w:val="00C125F5"/>
    <w:rsid w:val="00C12942"/>
    <w:rsid w:val="00C129DE"/>
    <w:rsid w:val="00C12DCE"/>
    <w:rsid w:val="00C13031"/>
    <w:rsid w:val="00C1334D"/>
    <w:rsid w:val="00C13734"/>
    <w:rsid w:val="00C13D56"/>
    <w:rsid w:val="00C140E0"/>
    <w:rsid w:val="00C1537A"/>
    <w:rsid w:val="00C1548A"/>
    <w:rsid w:val="00C15FB8"/>
    <w:rsid w:val="00C15FBE"/>
    <w:rsid w:val="00C16672"/>
    <w:rsid w:val="00C168B2"/>
    <w:rsid w:val="00C1708B"/>
    <w:rsid w:val="00C175F2"/>
    <w:rsid w:val="00C17942"/>
    <w:rsid w:val="00C1795B"/>
    <w:rsid w:val="00C179E6"/>
    <w:rsid w:val="00C17C40"/>
    <w:rsid w:val="00C17CE1"/>
    <w:rsid w:val="00C20097"/>
    <w:rsid w:val="00C20158"/>
    <w:rsid w:val="00C20369"/>
    <w:rsid w:val="00C20CBA"/>
    <w:rsid w:val="00C20DAE"/>
    <w:rsid w:val="00C210C2"/>
    <w:rsid w:val="00C21146"/>
    <w:rsid w:val="00C219A4"/>
    <w:rsid w:val="00C21E30"/>
    <w:rsid w:val="00C22278"/>
    <w:rsid w:val="00C2245D"/>
    <w:rsid w:val="00C22EEC"/>
    <w:rsid w:val="00C23006"/>
    <w:rsid w:val="00C23090"/>
    <w:rsid w:val="00C23713"/>
    <w:rsid w:val="00C237EE"/>
    <w:rsid w:val="00C23B06"/>
    <w:rsid w:val="00C23E99"/>
    <w:rsid w:val="00C2404A"/>
    <w:rsid w:val="00C24160"/>
    <w:rsid w:val="00C244D8"/>
    <w:rsid w:val="00C246D6"/>
    <w:rsid w:val="00C24EA5"/>
    <w:rsid w:val="00C25F7F"/>
    <w:rsid w:val="00C265D0"/>
    <w:rsid w:val="00C269F2"/>
    <w:rsid w:val="00C26BB6"/>
    <w:rsid w:val="00C27466"/>
    <w:rsid w:val="00C27C9F"/>
    <w:rsid w:val="00C3031F"/>
    <w:rsid w:val="00C30A93"/>
    <w:rsid w:val="00C30ABC"/>
    <w:rsid w:val="00C30B7F"/>
    <w:rsid w:val="00C31C7F"/>
    <w:rsid w:val="00C31EE5"/>
    <w:rsid w:val="00C322C9"/>
    <w:rsid w:val="00C322E5"/>
    <w:rsid w:val="00C32E68"/>
    <w:rsid w:val="00C3312E"/>
    <w:rsid w:val="00C33749"/>
    <w:rsid w:val="00C33797"/>
    <w:rsid w:val="00C33B9A"/>
    <w:rsid w:val="00C33DDD"/>
    <w:rsid w:val="00C3474B"/>
    <w:rsid w:val="00C34A6C"/>
    <w:rsid w:val="00C34AAE"/>
    <w:rsid w:val="00C34B7B"/>
    <w:rsid w:val="00C34E36"/>
    <w:rsid w:val="00C358B7"/>
    <w:rsid w:val="00C35A3E"/>
    <w:rsid w:val="00C35AC4"/>
    <w:rsid w:val="00C35B58"/>
    <w:rsid w:val="00C35E80"/>
    <w:rsid w:val="00C35FA6"/>
    <w:rsid w:val="00C364C5"/>
    <w:rsid w:val="00C36739"/>
    <w:rsid w:val="00C36F1C"/>
    <w:rsid w:val="00C36FA2"/>
    <w:rsid w:val="00C37A99"/>
    <w:rsid w:val="00C37F12"/>
    <w:rsid w:val="00C37F2D"/>
    <w:rsid w:val="00C400D0"/>
    <w:rsid w:val="00C40489"/>
    <w:rsid w:val="00C40D00"/>
    <w:rsid w:val="00C40DAC"/>
    <w:rsid w:val="00C41460"/>
    <w:rsid w:val="00C416A3"/>
    <w:rsid w:val="00C41C47"/>
    <w:rsid w:val="00C42A1F"/>
    <w:rsid w:val="00C42B0F"/>
    <w:rsid w:val="00C42B2F"/>
    <w:rsid w:val="00C437DB"/>
    <w:rsid w:val="00C43A0A"/>
    <w:rsid w:val="00C43A3C"/>
    <w:rsid w:val="00C43BFE"/>
    <w:rsid w:val="00C43DE6"/>
    <w:rsid w:val="00C44018"/>
    <w:rsid w:val="00C442B6"/>
    <w:rsid w:val="00C442E5"/>
    <w:rsid w:val="00C4433B"/>
    <w:rsid w:val="00C4437E"/>
    <w:rsid w:val="00C45077"/>
    <w:rsid w:val="00C454D4"/>
    <w:rsid w:val="00C45545"/>
    <w:rsid w:val="00C45887"/>
    <w:rsid w:val="00C45B73"/>
    <w:rsid w:val="00C45C2F"/>
    <w:rsid w:val="00C45F38"/>
    <w:rsid w:val="00C45FC0"/>
    <w:rsid w:val="00C45FF0"/>
    <w:rsid w:val="00C4608B"/>
    <w:rsid w:val="00C46AF2"/>
    <w:rsid w:val="00C46EB8"/>
    <w:rsid w:val="00C47193"/>
    <w:rsid w:val="00C471B9"/>
    <w:rsid w:val="00C47993"/>
    <w:rsid w:val="00C47C63"/>
    <w:rsid w:val="00C50262"/>
    <w:rsid w:val="00C50612"/>
    <w:rsid w:val="00C508C5"/>
    <w:rsid w:val="00C50AB2"/>
    <w:rsid w:val="00C50C30"/>
    <w:rsid w:val="00C513A8"/>
    <w:rsid w:val="00C513CA"/>
    <w:rsid w:val="00C5172F"/>
    <w:rsid w:val="00C51B4B"/>
    <w:rsid w:val="00C51DB6"/>
    <w:rsid w:val="00C51FDE"/>
    <w:rsid w:val="00C52079"/>
    <w:rsid w:val="00C524D5"/>
    <w:rsid w:val="00C531A1"/>
    <w:rsid w:val="00C53460"/>
    <w:rsid w:val="00C5393E"/>
    <w:rsid w:val="00C53977"/>
    <w:rsid w:val="00C53DCD"/>
    <w:rsid w:val="00C549B5"/>
    <w:rsid w:val="00C54BEA"/>
    <w:rsid w:val="00C54D15"/>
    <w:rsid w:val="00C55629"/>
    <w:rsid w:val="00C55BEB"/>
    <w:rsid w:val="00C564CB"/>
    <w:rsid w:val="00C5684D"/>
    <w:rsid w:val="00C56C9D"/>
    <w:rsid w:val="00C56CE0"/>
    <w:rsid w:val="00C57377"/>
    <w:rsid w:val="00C5758D"/>
    <w:rsid w:val="00C575D8"/>
    <w:rsid w:val="00C5763C"/>
    <w:rsid w:val="00C57A98"/>
    <w:rsid w:val="00C604D4"/>
    <w:rsid w:val="00C604DC"/>
    <w:rsid w:val="00C609ED"/>
    <w:rsid w:val="00C60B8C"/>
    <w:rsid w:val="00C60BCA"/>
    <w:rsid w:val="00C60CD5"/>
    <w:rsid w:val="00C610A7"/>
    <w:rsid w:val="00C6163F"/>
    <w:rsid w:val="00C6167B"/>
    <w:rsid w:val="00C61F65"/>
    <w:rsid w:val="00C6231D"/>
    <w:rsid w:val="00C629BE"/>
    <w:rsid w:val="00C62EE8"/>
    <w:rsid w:val="00C63094"/>
    <w:rsid w:val="00C635F3"/>
    <w:rsid w:val="00C63D45"/>
    <w:rsid w:val="00C63F92"/>
    <w:rsid w:val="00C646DB"/>
    <w:rsid w:val="00C64FA6"/>
    <w:rsid w:val="00C64FBF"/>
    <w:rsid w:val="00C65930"/>
    <w:rsid w:val="00C65A63"/>
    <w:rsid w:val="00C65A98"/>
    <w:rsid w:val="00C65FBD"/>
    <w:rsid w:val="00C66BD9"/>
    <w:rsid w:val="00C67146"/>
    <w:rsid w:val="00C67501"/>
    <w:rsid w:val="00C67758"/>
    <w:rsid w:val="00C67AAB"/>
    <w:rsid w:val="00C70082"/>
    <w:rsid w:val="00C70250"/>
    <w:rsid w:val="00C707EA"/>
    <w:rsid w:val="00C70A5C"/>
    <w:rsid w:val="00C70BC8"/>
    <w:rsid w:val="00C70BFA"/>
    <w:rsid w:val="00C70E36"/>
    <w:rsid w:val="00C70F1E"/>
    <w:rsid w:val="00C71CC7"/>
    <w:rsid w:val="00C72141"/>
    <w:rsid w:val="00C72554"/>
    <w:rsid w:val="00C72F10"/>
    <w:rsid w:val="00C7325E"/>
    <w:rsid w:val="00C735B9"/>
    <w:rsid w:val="00C7378E"/>
    <w:rsid w:val="00C73AA9"/>
    <w:rsid w:val="00C7452A"/>
    <w:rsid w:val="00C749C9"/>
    <w:rsid w:val="00C74C29"/>
    <w:rsid w:val="00C753AC"/>
    <w:rsid w:val="00C75518"/>
    <w:rsid w:val="00C75896"/>
    <w:rsid w:val="00C76EAE"/>
    <w:rsid w:val="00C7714F"/>
    <w:rsid w:val="00C77152"/>
    <w:rsid w:val="00C77366"/>
    <w:rsid w:val="00C77A33"/>
    <w:rsid w:val="00C77B1D"/>
    <w:rsid w:val="00C8041C"/>
    <w:rsid w:val="00C80588"/>
    <w:rsid w:val="00C8078B"/>
    <w:rsid w:val="00C80C0A"/>
    <w:rsid w:val="00C8106E"/>
    <w:rsid w:val="00C817D8"/>
    <w:rsid w:val="00C8255D"/>
    <w:rsid w:val="00C826BE"/>
    <w:rsid w:val="00C8299E"/>
    <w:rsid w:val="00C82D1F"/>
    <w:rsid w:val="00C833D1"/>
    <w:rsid w:val="00C834F0"/>
    <w:rsid w:val="00C83560"/>
    <w:rsid w:val="00C8396A"/>
    <w:rsid w:val="00C83AF2"/>
    <w:rsid w:val="00C83B15"/>
    <w:rsid w:val="00C84DD8"/>
    <w:rsid w:val="00C851A5"/>
    <w:rsid w:val="00C852C4"/>
    <w:rsid w:val="00C85A2E"/>
    <w:rsid w:val="00C85C15"/>
    <w:rsid w:val="00C861A6"/>
    <w:rsid w:val="00C8631E"/>
    <w:rsid w:val="00C8670F"/>
    <w:rsid w:val="00C86CC9"/>
    <w:rsid w:val="00C86FD9"/>
    <w:rsid w:val="00C8717D"/>
    <w:rsid w:val="00C872E1"/>
    <w:rsid w:val="00C876B2"/>
    <w:rsid w:val="00C878FB"/>
    <w:rsid w:val="00C87A3F"/>
    <w:rsid w:val="00C87A77"/>
    <w:rsid w:val="00C90135"/>
    <w:rsid w:val="00C90337"/>
    <w:rsid w:val="00C905C7"/>
    <w:rsid w:val="00C90F37"/>
    <w:rsid w:val="00C91A09"/>
    <w:rsid w:val="00C91BB4"/>
    <w:rsid w:val="00C9244F"/>
    <w:rsid w:val="00C925CA"/>
    <w:rsid w:val="00C92804"/>
    <w:rsid w:val="00C92CCE"/>
    <w:rsid w:val="00C9320F"/>
    <w:rsid w:val="00C93A79"/>
    <w:rsid w:val="00C93EFA"/>
    <w:rsid w:val="00C9412E"/>
    <w:rsid w:val="00C94955"/>
    <w:rsid w:val="00C950E1"/>
    <w:rsid w:val="00C95138"/>
    <w:rsid w:val="00C95800"/>
    <w:rsid w:val="00C959DF"/>
    <w:rsid w:val="00C95AE1"/>
    <w:rsid w:val="00C95EBC"/>
    <w:rsid w:val="00C95F80"/>
    <w:rsid w:val="00C96C86"/>
    <w:rsid w:val="00C96DF2"/>
    <w:rsid w:val="00C97183"/>
    <w:rsid w:val="00C97427"/>
    <w:rsid w:val="00C979C5"/>
    <w:rsid w:val="00C97CC0"/>
    <w:rsid w:val="00C97F8D"/>
    <w:rsid w:val="00CA05B3"/>
    <w:rsid w:val="00CA0B1C"/>
    <w:rsid w:val="00CA0DB9"/>
    <w:rsid w:val="00CA1AB9"/>
    <w:rsid w:val="00CA1DD8"/>
    <w:rsid w:val="00CA1F28"/>
    <w:rsid w:val="00CA23D1"/>
    <w:rsid w:val="00CA2AFC"/>
    <w:rsid w:val="00CA2C80"/>
    <w:rsid w:val="00CA2DA7"/>
    <w:rsid w:val="00CA2F8A"/>
    <w:rsid w:val="00CA3F97"/>
    <w:rsid w:val="00CA3FF1"/>
    <w:rsid w:val="00CA47C7"/>
    <w:rsid w:val="00CA4D54"/>
    <w:rsid w:val="00CA4D76"/>
    <w:rsid w:val="00CA4F33"/>
    <w:rsid w:val="00CA4F92"/>
    <w:rsid w:val="00CA4FD1"/>
    <w:rsid w:val="00CA5666"/>
    <w:rsid w:val="00CA5B28"/>
    <w:rsid w:val="00CA71F8"/>
    <w:rsid w:val="00CA7297"/>
    <w:rsid w:val="00CA796E"/>
    <w:rsid w:val="00CA7A89"/>
    <w:rsid w:val="00CA7E99"/>
    <w:rsid w:val="00CB00E2"/>
    <w:rsid w:val="00CB017E"/>
    <w:rsid w:val="00CB07A7"/>
    <w:rsid w:val="00CB0AAA"/>
    <w:rsid w:val="00CB0F05"/>
    <w:rsid w:val="00CB1935"/>
    <w:rsid w:val="00CB1DC2"/>
    <w:rsid w:val="00CB1EDC"/>
    <w:rsid w:val="00CB217A"/>
    <w:rsid w:val="00CB25DD"/>
    <w:rsid w:val="00CB2680"/>
    <w:rsid w:val="00CB3139"/>
    <w:rsid w:val="00CB3248"/>
    <w:rsid w:val="00CB3294"/>
    <w:rsid w:val="00CB3756"/>
    <w:rsid w:val="00CB392E"/>
    <w:rsid w:val="00CB3B84"/>
    <w:rsid w:val="00CB3E76"/>
    <w:rsid w:val="00CB4273"/>
    <w:rsid w:val="00CB4A37"/>
    <w:rsid w:val="00CB4DFE"/>
    <w:rsid w:val="00CB50D4"/>
    <w:rsid w:val="00CB5EBF"/>
    <w:rsid w:val="00CB5FB2"/>
    <w:rsid w:val="00CB608B"/>
    <w:rsid w:val="00CB60BC"/>
    <w:rsid w:val="00CB68F4"/>
    <w:rsid w:val="00CB6A1F"/>
    <w:rsid w:val="00CB6DC2"/>
    <w:rsid w:val="00CB71EB"/>
    <w:rsid w:val="00CB7D73"/>
    <w:rsid w:val="00CB7E15"/>
    <w:rsid w:val="00CB7F70"/>
    <w:rsid w:val="00CC028B"/>
    <w:rsid w:val="00CC0B03"/>
    <w:rsid w:val="00CC10F9"/>
    <w:rsid w:val="00CC11DD"/>
    <w:rsid w:val="00CC12A1"/>
    <w:rsid w:val="00CC2658"/>
    <w:rsid w:val="00CC296B"/>
    <w:rsid w:val="00CC2E9D"/>
    <w:rsid w:val="00CC342D"/>
    <w:rsid w:val="00CC369B"/>
    <w:rsid w:val="00CC41DD"/>
    <w:rsid w:val="00CC46AA"/>
    <w:rsid w:val="00CC4D5B"/>
    <w:rsid w:val="00CC5105"/>
    <w:rsid w:val="00CC5665"/>
    <w:rsid w:val="00CC5A69"/>
    <w:rsid w:val="00CC6AF3"/>
    <w:rsid w:val="00CC6C7B"/>
    <w:rsid w:val="00CC71AB"/>
    <w:rsid w:val="00CC7325"/>
    <w:rsid w:val="00CC78C8"/>
    <w:rsid w:val="00CC7C47"/>
    <w:rsid w:val="00CC7FAB"/>
    <w:rsid w:val="00CD0D77"/>
    <w:rsid w:val="00CD0FB3"/>
    <w:rsid w:val="00CD139C"/>
    <w:rsid w:val="00CD14E8"/>
    <w:rsid w:val="00CD1B95"/>
    <w:rsid w:val="00CD1BDF"/>
    <w:rsid w:val="00CD1E04"/>
    <w:rsid w:val="00CD25F6"/>
    <w:rsid w:val="00CD2B5B"/>
    <w:rsid w:val="00CD2D79"/>
    <w:rsid w:val="00CD3593"/>
    <w:rsid w:val="00CD3604"/>
    <w:rsid w:val="00CD3867"/>
    <w:rsid w:val="00CD3909"/>
    <w:rsid w:val="00CD435D"/>
    <w:rsid w:val="00CD44C7"/>
    <w:rsid w:val="00CD498F"/>
    <w:rsid w:val="00CD4B8D"/>
    <w:rsid w:val="00CD53FF"/>
    <w:rsid w:val="00CD550C"/>
    <w:rsid w:val="00CD5CB0"/>
    <w:rsid w:val="00CD5E5D"/>
    <w:rsid w:val="00CD62C6"/>
    <w:rsid w:val="00CD6BD0"/>
    <w:rsid w:val="00CD6F3E"/>
    <w:rsid w:val="00CD77EA"/>
    <w:rsid w:val="00CE09C2"/>
    <w:rsid w:val="00CE0A59"/>
    <w:rsid w:val="00CE0D8E"/>
    <w:rsid w:val="00CE0E56"/>
    <w:rsid w:val="00CE10A4"/>
    <w:rsid w:val="00CE17DD"/>
    <w:rsid w:val="00CE1A52"/>
    <w:rsid w:val="00CE1FF3"/>
    <w:rsid w:val="00CE219F"/>
    <w:rsid w:val="00CE2FF0"/>
    <w:rsid w:val="00CE3773"/>
    <w:rsid w:val="00CE3DEC"/>
    <w:rsid w:val="00CE4780"/>
    <w:rsid w:val="00CE5087"/>
    <w:rsid w:val="00CE5BC9"/>
    <w:rsid w:val="00CE5D34"/>
    <w:rsid w:val="00CE5F7E"/>
    <w:rsid w:val="00CE6922"/>
    <w:rsid w:val="00CE6F82"/>
    <w:rsid w:val="00CE720B"/>
    <w:rsid w:val="00CE7505"/>
    <w:rsid w:val="00CE7927"/>
    <w:rsid w:val="00CF0570"/>
    <w:rsid w:val="00CF05D5"/>
    <w:rsid w:val="00CF08F6"/>
    <w:rsid w:val="00CF0E55"/>
    <w:rsid w:val="00CF0FBD"/>
    <w:rsid w:val="00CF11F9"/>
    <w:rsid w:val="00CF18D2"/>
    <w:rsid w:val="00CF1941"/>
    <w:rsid w:val="00CF1DCC"/>
    <w:rsid w:val="00CF1E53"/>
    <w:rsid w:val="00CF251E"/>
    <w:rsid w:val="00CF294E"/>
    <w:rsid w:val="00CF2A1A"/>
    <w:rsid w:val="00CF2C34"/>
    <w:rsid w:val="00CF3446"/>
    <w:rsid w:val="00CF3447"/>
    <w:rsid w:val="00CF3507"/>
    <w:rsid w:val="00CF3526"/>
    <w:rsid w:val="00CF3E93"/>
    <w:rsid w:val="00CF420F"/>
    <w:rsid w:val="00CF4DB6"/>
    <w:rsid w:val="00CF5012"/>
    <w:rsid w:val="00CF5AA9"/>
    <w:rsid w:val="00CF6BD3"/>
    <w:rsid w:val="00CF722A"/>
    <w:rsid w:val="00CF739C"/>
    <w:rsid w:val="00CF7630"/>
    <w:rsid w:val="00CF7788"/>
    <w:rsid w:val="00CF7BBE"/>
    <w:rsid w:val="00D00D87"/>
    <w:rsid w:val="00D012A3"/>
    <w:rsid w:val="00D02619"/>
    <w:rsid w:val="00D02945"/>
    <w:rsid w:val="00D02B57"/>
    <w:rsid w:val="00D02CE3"/>
    <w:rsid w:val="00D033A4"/>
    <w:rsid w:val="00D036D7"/>
    <w:rsid w:val="00D0436F"/>
    <w:rsid w:val="00D04478"/>
    <w:rsid w:val="00D046B5"/>
    <w:rsid w:val="00D04A4E"/>
    <w:rsid w:val="00D04AE8"/>
    <w:rsid w:val="00D04DBB"/>
    <w:rsid w:val="00D052AB"/>
    <w:rsid w:val="00D0533D"/>
    <w:rsid w:val="00D054DD"/>
    <w:rsid w:val="00D05641"/>
    <w:rsid w:val="00D05969"/>
    <w:rsid w:val="00D05BF2"/>
    <w:rsid w:val="00D05C53"/>
    <w:rsid w:val="00D05E21"/>
    <w:rsid w:val="00D05EB4"/>
    <w:rsid w:val="00D061B4"/>
    <w:rsid w:val="00D06257"/>
    <w:rsid w:val="00D062FF"/>
    <w:rsid w:val="00D0637F"/>
    <w:rsid w:val="00D06785"/>
    <w:rsid w:val="00D067B0"/>
    <w:rsid w:val="00D076BB"/>
    <w:rsid w:val="00D077F3"/>
    <w:rsid w:val="00D10061"/>
    <w:rsid w:val="00D104DD"/>
    <w:rsid w:val="00D104E3"/>
    <w:rsid w:val="00D10A4D"/>
    <w:rsid w:val="00D10C04"/>
    <w:rsid w:val="00D11784"/>
    <w:rsid w:val="00D11C2D"/>
    <w:rsid w:val="00D120DA"/>
    <w:rsid w:val="00D121FA"/>
    <w:rsid w:val="00D1272F"/>
    <w:rsid w:val="00D12FC5"/>
    <w:rsid w:val="00D13021"/>
    <w:rsid w:val="00D13E64"/>
    <w:rsid w:val="00D13FFE"/>
    <w:rsid w:val="00D141D2"/>
    <w:rsid w:val="00D14F2F"/>
    <w:rsid w:val="00D14F87"/>
    <w:rsid w:val="00D1526E"/>
    <w:rsid w:val="00D158D8"/>
    <w:rsid w:val="00D160B8"/>
    <w:rsid w:val="00D16230"/>
    <w:rsid w:val="00D164A1"/>
    <w:rsid w:val="00D164A3"/>
    <w:rsid w:val="00D165C4"/>
    <w:rsid w:val="00D166DA"/>
    <w:rsid w:val="00D16EAF"/>
    <w:rsid w:val="00D171B2"/>
    <w:rsid w:val="00D174FE"/>
    <w:rsid w:val="00D1763A"/>
    <w:rsid w:val="00D17A79"/>
    <w:rsid w:val="00D17AF1"/>
    <w:rsid w:val="00D17DAC"/>
    <w:rsid w:val="00D17F9C"/>
    <w:rsid w:val="00D20700"/>
    <w:rsid w:val="00D20FD4"/>
    <w:rsid w:val="00D212BF"/>
    <w:rsid w:val="00D2131D"/>
    <w:rsid w:val="00D2140A"/>
    <w:rsid w:val="00D214DE"/>
    <w:rsid w:val="00D21523"/>
    <w:rsid w:val="00D215EA"/>
    <w:rsid w:val="00D219CE"/>
    <w:rsid w:val="00D220E8"/>
    <w:rsid w:val="00D22DBC"/>
    <w:rsid w:val="00D2345B"/>
    <w:rsid w:val="00D234D1"/>
    <w:rsid w:val="00D237E2"/>
    <w:rsid w:val="00D23A6F"/>
    <w:rsid w:val="00D24145"/>
    <w:rsid w:val="00D24191"/>
    <w:rsid w:val="00D24665"/>
    <w:rsid w:val="00D2467B"/>
    <w:rsid w:val="00D2483C"/>
    <w:rsid w:val="00D2501F"/>
    <w:rsid w:val="00D25307"/>
    <w:rsid w:val="00D2539C"/>
    <w:rsid w:val="00D254E9"/>
    <w:rsid w:val="00D255CF"/>
    <w:rsid w:val="00D2678E"/>
    <w:rsid w:val="00D26863"/>
    <w:rsid w:val="00D2694C"/>
    <w:rsid w:val="00D271C9"/>
    <w:rsid w:val="00D276BB"/>
    <w:rsid w:val="00D27853"/>
    <w:rsid w:val="00D27B38"/>
    <w:rsid w:val="00D301A2"/>
    <w:rsid w:val="00D30AE0"/>
    <w:rsid w:val="00D31A0F"/>
    <w:rsid w:val="00D32155"/>
    <w:rsid w:val="00D3239C"/>
    <w:rsid w:val="00D3296E"/>
    <w:rsid w:val="00D3307C"/>
    <w:rsid w:val="00D331A9"/>
    <w:rsid w:val="00D331F1"/>
    <w:rsid w:val="00D3323E"/>
    <w:rsid w:val="00D33581"/>
    <w:rsid w:val="00D33701"/>
    <w:rsid w:val="00D33AC0"/>
    <w:rsid w:val="00D3434A"/>
    <w:rsid w:val="00D34379"/>
    <w:rsid w:val="00D34A8E"/>
    <w:rsid w:val="00D34FB1"/>
    <w:rsid w:val="00D350AF"/>
    <w:rsid w:val="00D35A56"/>
    <w:rsid w:val="00D35CAE"/>
    <w:rsid w:val="00D36107"/>
    <w:rsid w:val="00D361AF"/>
    <w:rsid w:val="00D36A87"/>
    <w:rsid w:val="00D37058"/>
    <w:rsid w:val="00D376CF"/>
    <w:rsid w:val="00D37734"/>
    <w:rsid w:val="00D37BDE"/>
    <w:rsid w:val="00D37F37"/>
    <w:rsid w:val="00D401A7"/>
    <w:rsid w:val="00D40B8D"/>
    <w:rsid w:val="00D40D1B"/>
    <w:rsid w:val="00D41040"/>
    <w:rsid w:val="00D411B3"/>
    <w:rsid w:val="00D413EC"/>
    <w:rsid w:val="00D41BDF"/>
    <w:rsid w:val="00D41C99"/>
    <w:rsid w:val="00D41D11"/>
    <w:rsid w:val="00D41E44"/>
    <w:rsid w:val="00D42591"/>
    <w:rsid w:val="00D42E3B"/>
    <w:rsid w:val="00D4312C"/>
    <w:rsid w:val="00D43189"/>
    <w:rsid w:val="00D433C8"/>
    <w:rsid w:val="00D4421B"/>
    <w:rsid w:val="00D44672"/>
    <w:rsid w:val="00D447BF"/>
    <w:rsid w:val="00D44E9A"/>
    <w:rsid w:val="00D4561E"/>
    <w:rsid w:val="00D45F34"/>
    <w:rsid w:val="00D45F5F"/>
    <w:rsid w:val="00D462E4"/>
    <w:rsid w:val="00D4689C"/>
    <w:rsid w:val="00D47291"/>
    <w:rsid w:val="00D472C4"/>
    <w:rsid w:val="00D472FC"/>
    <w:rsid w:val="00D475DB"/>
    <w:rsid w:val="00D50510"/>
    <w:rsid w:val="00D50DED"/>
    <w:rsid w:val="00D511DD"/>
    <w:rsid w:val="00D516AB"/>
    <w:rsid w:val="00D5282D"/>
    <w:rsid w:val="00D52E71"/>
    <w:rsid w:val="00D5380F"/>
    <w:rsid w:val="00D53815"/>
    <w:rsid w:val="00D538D8"/>
    <w:rsid w:val="00D540FA"/>
    <w:rsid w:val="00D54D41"/>
    <w:rsid w:val="00D551FD"/>
    <w:rsid w:val="00D5527A"/>
    <w:rsid w:val="00D55561"/>
    <w:rsid w:val="00D55CAA"/>
    <w:rsid w:val="00D55CED"/>
    <w:rsid w:val="00D56036"/>
    <w:rsid w:val="00D56A30"/>
    <w:rsid w:val="00D56CA6"/>
    <w:rsid w:val="00D57A61"/>
    <w:rsid w:val="00D57C03"/>
    <w:rsid w:val="00D60077"/>
    <w:rsid w:val="00D601E6"/>
    <w:rsid w:val="00D60296"/>
    <w:rsid w:val="00D60662"/>
    <w:rsid w:val="00D60DE4"/>
    <w:rsid w:val="00D60E3E"/>
    <w:rsid w:val="00D61125"/>
    <w:rsid w:val="00D6125B"/>
    <w:rsid w:val="00D61583"/>
    <w:rsid w:val="00D61F26"/>
    <w:rsid w:val="00D6224C"/>
    <w:rsid w:val="00D622F2"/>
    <w:rsid w:val="00D634B7"/>
    <w:rsid w:val="00D635A7"/>
    <w:rsid w:val="00D63938"/>
    <w:rsid w:val="00D63EEE"/>
    <w:rsid w:val="00D6438E"/>
    <w:rsid w:val="00D6441B"/>
    <w:rsid w:val="00D649DE"/>
    <w:rsid w:val="00D64D7A"/>
    <w:rsid w:val="00D64E6F"/>
    <w:rsid w:val="00D65430"/>
    <w:rsid w:val="00D65A2F"/>
    <w:rsid w:val="00D65C6F"/>
    <w:rsid w:val="00D66130"/>
    <w:rsid w:val="00D66A2A"/>
    <w:rsid w:val="00D66A44"/>
    <w:rsid w:val="00D67515"/>
    <w:rsid w:val="00D67AD0"/>
    <w:rsid w:val="00D67C6B"/>
    <w:rsid w:val="00D67CAC"/>
    <w:rsid w:val="00D7037D"/>
    <w:rsid w:val="00D70476"/>
    <w:rsid w:val="00D70C0A"/>
    <w:rsid w:val="00D717BB"/>
    <w:rsid w:val="00D718B4"/>
    <w:rsid w:val="00D71D41"/>
    <w:rsid w:val="00D72236"/>
    <w:rsid w:val="00D72391"/>
    <w:rsid w:val="00D7279E"/>
    <w:rsid w:val="00D72D42"/>
    <w:rsid w:val="00D72E40"/>
    <w:rsid w:val="00D738D4"/>
    <w:rsid w:val="00D73B6D"/>
    <w:rsid w:val="00D74352"/>
    <w:rsid w:val="00D74913"/>
    <w:rsid w:val="00D755EE"/>
    <w:rsid w:val="00D75B73"/>
    <w:rsid w:val="00D75DFA"/>
    <w:rsid w:val="00D76007"/>
    <w:rsid w:val="00D7676C"/>
    <w:rsid w:val="00D76A39"/>
    <w:rsid w:val="00D76FBD"/>
    <w:rsid w:val="00D77F99"/>
    <w:rsid w:val="00D77FB9"/>
    <w:rsid w:val="00D801C7"/>
    <w:rsid w:val="00D80359"/>
    <w:rsid w:val="00D80BB0"/>
    <w:rsid w:val="00D80CC9"/>
    <w:rsid w:val="00D80ECF"/>
    <w:rsid w:val="00D80FF9"/>
    <w:rsid w:val="00D81167"/>
    <w:rsid w:val="00D8148B"/>
    <w:rsid w:val="00D8184C"/>
    <w:rsid w:val="00D81CA5"/>
    <w:rsid w:val="00D81FE7"/>
    <w:rsid w:val="00D82110"/>
    <w:rsid w:val="00D823E4"/>
    <w:rsid w:val="00D82472"/>
    <w:rsid w:val="00D83081"/>
    <w:rsid w:val="00D83288"/>
    <w:rsid w:val="00D83A5E"/>
    <w:rsid w:val="00D83C00"/>
    <w:rsid w:val="00D840FF"/>
    <w:rsid w:val="00D8434E"/>
    <w:rsid w:val="00D84418"/>
    <w:rsid w:val="00D84527"/>
    <w:rsid w:val="00D84D13"/>
    <w:rsid w:val="00D84E86"/>
    <w:rsid w:val="00D85D8D"/>
    <w:rsid w:val="00D86007"/>
    <w:rsid w:val="00D86DF0"/>
    <w:rsid w:val="00D8705E"/>
    <w:rsid w:val="00D871A8"/>
    <w:rsid w:val="00D901B9"/>
    <w:rsid w:val="00D90718"/>
    <w:rsid w:val="00D90961"/>
    <w:rsid w:val="00D90A7E"/>
    <w:rsid w:val="00D90D3F"/>
    <w:rsid w:val="00D90DAB"/>
    <w:rsid w:val="00D90E3F"/>
    <w:rsid w:val="00D911C5"/>
    <w:rsid w:val="00D912CC"/>
    <w:rsid w:val="00D913B8"/>
    <w:rsid w:val="00D915E4"/>
    <w:rsid w:val="00D915EC"/>
    <w:rsid w:val="00D9162B"/>
    <w:rsid w:val="00D917C7"/>
    <w:rsid w:val="00D91D14"/>
    <w:rsid w:val="00D91EAA"/>
    <w:rsid w:val="00D921F8"/>
    <w:rsid w:val="00D925B0"/>
    <w:rsid w:val="00D92AA1"/>
    <w:rsid w:val="00D92E04"/>
    <w:rsid w:val="00D93C62"/>
    <w:rsid w:val="00D948E4"/>
    <w:rsid w:val="00D949D1"/>
    <w:rsid w:val="00D94BE4"/>
    <w:rsid w:val="00D953CC"/>
    <w:rsid w:val="00D95578"/>
    <w:rsid w:val="00D9648C"/>
    <w:rsid w:val="00D9660B"/>
    <w:rsid w:val="00D96BC1"/>
    <w:rsid w:val="00D96C63"/>
    <w:rsid w:val="00D96CD6"/>
    <w:rsid w:val="00D96EB1"/>
    <w:rsid w:val="00D9718F"/>
    <w:rsid w:val="00D971BC"/>
    <w:rsid w:val="00D972D1"/>
    <w:rsid w:val="00D97347"/>
    <w:rsid w:val="00D97C82"/>
    <w:rsid w:val="00DA0018"/>
    <w:rsid w:val="00DA0497"/>
    <w:rsid w:val="00DA0678"/>
    <w:rsid w:val="00DA0CDD"/>
    <w:rsid w:val="00DA1A47"/>
    <w:rsid w:val="00DA1C12"/>
    <w:rsid w:val="00DA1C1B"/>
    <w:rsid w:val="00DA2661"/>
    <w:rsid w:val="00DA2864"/>
    <w:rsid w:val="00DA2FAF"/>
    <w:rsid w:val="00DA356B"/>
    <w:rsid w:val="00DA3584"/>
    <w:rsid w:val="00DA3719"/>
    <w:rsid w:val="00DA39AF"/>
    <w:rsid w:val="00DA41D7"/>
    <w:rsid w:val="00DA4322"/>
    <w:rsid w:val="00DA49C7"/>
    <w:rsid w:val="00DA4B42"/>
    <w:rsid w:val="00DA4BA5"/>
    <w:rsid w:val="00DA5DCC"/>
    <w:rsid w:val="00DA5F3B"/>
    <w:rsid w:val="00DA5FC3"/>
    <w:rsid w:val="00DA6004"/>
    <w:rsid w:val="00DA6624"/>
    <w:rsid w:val="00DA68C4"/>
    <w:rsid w:val="00DA6DB6"/>
    <w:rsid w:val="00DA6EB0"/>
    <w:rsid w:val="00DA72F7"/>
    <w:rsid w:val="00DA747D"/>
    <w:rsid w:val="00DB006F"/>
    <w:rsid w:val="00DB04A8"/>
    <w:rsid w:val="00DB0659"/>
    <w:rsid w:val="00DB0673"/>
    <w:rsid w:val="00DB0851"/>
    <w:rsid w:val="00DB0B74"/>
    <w:rsid w:val="00DB0FB7"/>
    <w:rsid w:val="00DB143A"/>
    <w:rsid w:val="00DB1447"/>
    <w:rsid w:val="00DB2612"/>
    <w:rsid w:val="00DB2745"/>
    <w:rsid w:val="00DB28CF"/>
    <w:rsid w:val="00DB334F"/>
    <w:rsid w:val="00DB33AC"/>
    <w:rsid w:val="00DB36B3"/>
    <w:rsid w:val="00DB36D3"/>
    <w:rsid w:val="00DB3DB4"/>
    <w:rsid w:val="00DB3EB7"/>
    <w:rsid w:val="00DB410A"/>
    <w:rsid w:val="00DB41E6"/>
    <w:rsid w:val="00DB4A63"/>
    <w:rsid w:val="00DB4BBF"/>
    <w:rsid w:val="00DB58AE"/>
    <w:rsid w:val="00DB5C18"/>
    <w:rsid w:val="00DB5C7A"/>
    <w:rsid w:val="00DB5F08"/>
    <w:rsid w:val="00DB60D5"/>
    <w:rsid w:val="00DB6122"/>
    <w:rsid w:val="00DB627F"/>
    <w:rsid w:val="00DB6463"/>
    <w:rsid w:val="00DB66D1"/>
    <w:rsid w:val="00DB66D5"/>
    <w:rsid w:val="00DB66E1"/>
    <w:rsid w:val="00DB67EE"/>
    <w:rsid w:val="00DB7236"/>
    <w:rsid w:val="00DB758F"/>
    <w:rsid w:val="00DB7B82"/>
    <w:rsid w:val="00DB7E87"/>
    <w:rsid w:val="00DC00C5"/>
    <w:rsid w:val="00DC0C44"/>
    <w:rsid w:val="00DC199A"/>
    <w:rsid w:val="00DC19D3"/>
    <w:rsid w:val="00DC1CC2"/>
    <w:rsid w:val="00DC2068"/>
    <w:rsid w:val="00DC231A"/>
    <w:rsid w:val="00DC2757"/>
    <w:rsid w:val="00DC28E0"/>
    <w:rsid w:val="00DC2F7A"/>
    <w:rsid w:val="00DC30FF"/>
    <w:rsid w:val="00DC342A"/>
    <w:rsid w:val="00DC3582"/>
    <w:rsid w:val="00DC36BC"/>
    <w:rsid w:val="00DC4385"/>
    <w:rsid w:val="00DC456C"/>
    <w:rsid w:val="00DC4CA6"/>
    <w:rsid w:val="00DC4DE8"/>
    <w:rsid w:val="00DC50BC"/>
    <w:rsid w:val="00DC5174"/>
    <w:rsid w:val="00DC60CC"/>
    <w:rsid w:val="00DC6237"/>
    <w:rsid w:val="00DC63B6"/>
    <w:rsid w:val="00DC6786"/>
    <w:rsid w:val="00DC6E69"/>
    <w:rsid w:val="00DC725F"/>
    <w:rsid w:val="00DC7292"/>
    <w:rsid w:val="00DC73DA"/>
    <w:rsid w:val="00DC78E1"/>
    <w:rsid w:val="00DC7E68"/>
    <w:rsid w:val="00DD0368"/>
    <w:rsid w:val="00DD0860"/>
    <w:rsid w:val="00DD0FCD"/>
    <w:rsid w:val="00DD10AF"/>
    <w:rsid w:val="00DD17BD"/>
    <w:rsid w:val="00DD2178"/>
    <w:rsid w:val="00DD24D8"/>
    <w:rsid w:val="00DD256F"/>
    <w:rsid w:val="00DD25C6"/>
    <w:rsid w:val="00DD2B7A"/>
    <w:rsid w:val="00DD2D0E"/>
    <w:rsid w:val="00DD407B"/>
    <w:rsid w:val="00DD47C9"/>
    <w:rsid w:val="00DD49EF"/>
    <w:rsid w:val="00DD4A14"/>
    <w:rsid w:val="00DD4AB7"/>
    <w:rsid w:val="00DD5D39"/>
    <w:rsid w:val="00DD5E51"/>
    <w:rsid w:val="00DD6BDF"/>
    <w:rsid w:val="00DD76EF"/>
    <w:rsid w:val="00DE031E"/>
    <w:rsid w:val="00DE0386"/>
    <w:rsid w:val="00DE0A4A"/>
    <w:rsid w:val="00DE1136"/>
    <w:rsid w:val="00DE1186"/>
    <w:rsid w:val="00DE120C"/>
    <w:rsid w:val="00DE19FA"/>
    <w:rsid w:val="00DE1D15"/>
    <w:rsid w:val="00DE2320"/>
    <w:rsid w:val="00DE2958"/>
    <w:rsid w:val="00DE2AD2"/>
    <w:rsid w:val="00DE2CB3"/>
    <w:rsid w:val="00DE2D50"/>
    <w:rsid w:val="00DE2F92"/>
    <w:rsid w:val="00DE367F"/>
    <w:rsid w:val="00DE3EE9"/>
    <w:rsid w:val="00DE400A"/>
    <w:rsid w:val="00DE4318"/>
    <w:rsid w:val="00DE522A"/>
    <w:rsid w:val="00DE64CA"/>
    <w:rsid w:val="00DE6649"/>
    <w:rsid w:val="00DE677E"/>
    <w:rsid w:val="00DE682B"/>
    <w:rsid w:val="00DE7190"/>
    <w:rsid w:val="00DE788D"/>
    <w:rsid w:val="00DE79BA"/>
    <w:rsid w:val="00DE7CAA"/>
    <w:rsid w:val="00DE7D84"/>
    <w:rsid w:val="00DF0018"/>
    <w:rsid w:val="00DF019D"/>
    <w:rsid w:val="00DF0206"/>
    <w:rsid w:val="00DF02F8"/>
    <w:rsid w:val="00DF12C9"/>
    <w:rsid w:val="00DF13E0"/>
    <w:rsid w:val="00DF1677"/>
    <w:rsid w:val="00DF17CA"/>
    <w:rsid w:val="00DF2375"/>
    <w:rsid w:val="00DF271C"/>
    <w:rsid w:val="00DF273A"/>
    <w:rsid w:val="00DF2791"/>
    <w:rsid w:val="00DF279B"/>
    <w:rsid w:val="00DF2941"/>
    <w:rsid w:val="00DF2CBB"/>
    <w:rsid w:val="00DF3341"/>
    <w:rsid w:val="00DF35AC"/>
    <w:rsid w:val="00DF35B5"/>
    <w:rsid w:val="00DF3F7E"/>
    <w:rsid w:val="00DF41D0"/>
    <w:rsid w:val="00DF44F1"/>
    <w:rsid w:val="00DF4698"/>
    <w:rsid w:val="00DF4808"/>
    <w:rsid w:val="00DF4E30"/>
    <w:rsid w:val="00DF583C"/>
    <w:rsid w:val="00DF596D"/>
    <w:rsid w:val="00DF5A38"/>
    <w:rsid w:val="00DF5A85"/>
    <w:rsid w:val="00DF5D0E"/>
    <w:rsid w:val="00DF60FF"/>
    <w:rsid w:val="00DF6297"/>
    <w:rsid w:val="00DF6603"/>
    <w:rsid w:val="00DF6660"/>
    <w:rsid w:val="00E00545"/>
    <w:rsid w:val="00E00607"/>
    <w:rsid w:val="00E00733"/>
    <w:rsid w:val="00E00749"/>
    <w:rsid w:val="00E00863"/>
    <w:rsid w:val="00E00BFA"/>
    <w:rsid w:val="00E00F61"/>
    <w:rsid w:val="00E0145F"/>
    <w:rsid w:val="00E01461"/>
    <w:rsid w:val="00E01786"/>
    <w:rsid w:val="00E01AD6"/>
    <w:rsid w:val="00E01F91"/>
    <w:rsid w:val="00E02134"/>
    <w:rsid w:val="00E021BF"/>
    <w:rsid w:val="00E023A1"/>
    <w:rsid w:val="00E0272B"/>
    <w:rsid w:val="00E027CF"/>
    <w:rsid w:val="00E03130"/>
    <w:rsid w:val="00E03C28"/>
    <w:rsid w:val="00E03CB6"/>
    <w:rsid w:val="00E04537"/>
    <w:rsid w:val="00E047AF"/>
    <w:rsid w:val="00E04C46"/>
    <w:rsid w:val="00E0561E"/>
    <w:rsid w:val="00E0574C"/>
    <w:rsid w:val="00E057B8"/>
    <w:rsid w:val="00E05880"/>
    <w:rsid w:val="00E05C42"/>
    <w:rsid w:val="00E05FDF"/>
    <w:rsid w:val="00E06615"/>
    <w:rsid w:val="00E066CB"/>
    <w:rsid w:val="00E06851"/>
    <w:rsid w:val="00E068AD"/>
    <w:rsid w:val="00E07227"/>
    <w:rsid w:val="00E0749B"/>
    <w:rsid w:val="00E07A21"/>
    <w:rsid w:val="00E1005D"/>
    <w:rsid w:val="00E10210"/>
    <w:rsid w:val="00E104FB"/>
    <w:rsid w:val="00E10711"/>
    <w:rsid w:val="00E11264"/>
    <w:rsid w:val="00E116D2"/>
    <w:rsid w:val="00E118A2"/>
    <w:rsid w:val="00E11FC1"/>
    <w:rsid w:val="00E121A1"/>
    <w:rsid w:val="00E1246E"/>
    <w:rsid w:val="00E125D4"/>
    <w:rsid w:val="00E128FD"/>
    <w:rsid w:val="00E12C60"/>
    <w:rsid w:val="00E12F98"/>
    <w:rsid w:val="00E1301E"/>
    <w:rsid w:val="00E141A4"/>
    <w:rsid w:val="00E14302"/>
    <w:rsid w:val="00E14D8B"/>
    <w:rsid w:val="00E14FE9"/>
    <w:rsid w:val="00E15851"/>
    <w:rsid w:val="00E15B72"/>
    <w:rsid w:val="00E16109"/>
    <w:rsid w:val="00E16427"/>
    <w:rsid w:val="00E170BD"/>
    <w:rsid w:val="00E20CB9"/>
    <w:rsid w:val="00E20E9A"/>
    <w:rsid w:val="00E21E83"/>
    <w:rsid w:val="00E232E9"/>
    <w:rsid w:val="00E233DB"/>
    <w:rsid w:val="00E235D2"/>
    <w:rsid w:val="00E2392C"/>
    <w:rsid w:val="00E23FA5"/>
    <w:rsid w:val="00E2432B"/>
    <w:rsid w:val="00E243D5"/>
    <w:rsid w:val="00E24C59"/>
    <w:rsid w:val="00E25371"/>
    <w:rsid w:val="00E254E6"/>
    <w:rsid w:val="00E25B68"/>
    <w:rsid w:val="00E261B2"/>
    <w:rsid w:val="00E26254"/>
    <w:rsid w:val="00E2651F"/>
    <w:rsid w:val="00E269D1"/>
    <w:rsid w:val="00E26C03"/>
    <w:rsid w:val="00E26CDF"/>
    <w:rsid w:val="00E276E7"/>
    <w:rsid w:val="00E27D34"/>
    <w:rsid w:val="00E307B5"/>
    <w:rsid w:val="00E30A6F"/>
    <w:rsid w:val="00E30C61"/>
    <w:rsid w:val="00E30F62"/>
    <w:rsid w:val="00E31651"/>
    <w:rsid w:val="00E31725"/>
    <w:rsid w:val="00E319A3"/>
    <w:rsid w:val="00E31B50"/>
    <w:rsid w:val="00E3228B"/>
    <w:rsid w:val="00E32294"/>
    <w:rsid w:val="00E32699"/>
    <w:rsid w:val="00E32AD4"/>
    <w:rsid w:val="00E33140"/>
    <w:rsid w:val="00E336F1"/>
    <w:rsid w:val="00E33BD8"/>
    <w:rsid w:val="00E33C8A"/>
    <w:rsid w:val="00E33F61"/>
    <w:rsid w:val="00E34E25"/>
    <w:rsid w:val="00E35484"/>
    <w:rsid w:val="00E36708"/>
    <w:rsid w:val="00E36BAB"/>
    <w:rsid w:val="00E36F20"/>
    <w:rsid w:val="00E36FED"/>
    <w:rsid w:val="00E370B9"/>
    <w:rsid w:val="00E37307"/>
    <w:rsid w:val="00E374ED"/>
    <w:rsid w:val="00E37A4F"/>
    <w:rsid w:val="00E37D9F"/>
    <w:rsid w:val="00E400C0"/>
    <w:rsid w:val="00E40630"/>
    <w:rsid w:val="00E407DE"/>
    <w:rsid w:val="00E40CEE"/>
    <w:rsid w:val="00E40D73"/>
    <w:rsid w:val="00E41375"/>
    <w:rsid w:val="00E4167D"/>
    <w:rsid w:val="00E418FF"/>
    <w:rsid w:val="00E41923"/>
    <w:rsid w:val="00E41B9C"/>
    <w:rsid w:val="00E426BF"/>
    <w:rsid w:val="00E42AC8"/>
    <w:rsid w:val="00E42BB6"/>
    <w:rsid w:val="00E42CB4"/>
    <w:rsid w:val="00E42FD6"/>
    <w:rsid w:val="00E43074"/>
    <w:rsid w:val="00E43851"/>
    <w:rsid w:val="00E43BAF"/>
    <w:rsid w:val="00E43FB3"/>
    <w:rsid w:val="00E44A7C"/>
    <w:rsid w:val="00E44EE9"/>
    <w:rsid w:val="00E44F95"/>
    <w:rsid w:val="00E45721"/>
    <w:rsid w:val="00E45B61"/>
    <w:rsid w:val="00E45BBC"/>
    <w:rsid w:val="00E45E04"/>
    <w:rsid w:val="00E46574"/>
    <w:rsid w:val="00E465AD"/>
    <w:rsid w:val="00E468E9"/>
    <w:rsid w:val="00E46AC9"/>
    <w:rsid w:val="00E46D51"/>
    <w:rsid w:val="00E46DF7"/>
    <w:rsid w:val="00E47140"/>
    <w:rsid w:val="00E47CE8"/>
    <w:rsid w:val="00E50071"/>
    <w:rsid w:val="00E503EB"/>
    <w:rsid w:val="00E50651"/>
    <w:rsid w:val="00E50A0E"/>
    <w:rsid w:val="00E50DB2"/>
    <w:rsid w:val="00E512FB"/>
    <w:rsid w:val="00E522B2"/>
    <w:rsid w:val="00E529C3"/>
    <w:rsid w:val="00E52B68"/>
    <w:rsid w:val="00E5340D"/>
    <w:rsid w:val="00E5363B"/>
    <w:rsid w:val="00E539DD"/>
    <w:rsid w:val="00E53DDA"/>
    <w:rsid w:val="00E543E0"/>
    <w:rsid w:val="00E545C6"/>
    <w:rsid w:val="00E5460B"/>
    <w:rsid w:val="00E54AAC"/>
    <w:rsid w:val="00E555E4"/>
    <w:rsid w:val="00E5576B"/>
    <w:rsid w:val="00E5595E"/>
    <w:rsid w:val="00E55AF7"/>
    <w:rsid w:val="00E55F17"/>
    <w:rsid w:val="00E56F6A"/>
    <w:rsid w:val="00E57056"/>
    <w:rsid w:val="00E57482"/>
    <w:rsid w:val="00E5764A"/>
    <w:rsid w:val="00E57777"/>
    <w:rsid w:val="00E57B34"/>
    <w:rsid w:val="00E57E87"/>
    <w:rsid w:val="00E60BDC"/>
    <w:rsid w:val="00E60CDD"/>
    <w:rsid w:val="00E60CF7"/>
    <w:rsid w:val="00E60DDF"/>
    <w:rsid w:val="00E620E7"/>
    <w:rsid w:val="00E622C3"/>
    <w:rsid w:val="00E6250E"/>
    <w:rsid w:val="00E62BE9"/>
    <w:rsid w:val="00E632BF"/>
    <w:rsid w:val="00E6378A"/>
    <w:rsid w:val="00E640D4"/>
    <w:rsid w:val="00E640D8"/>
    <w:rsid w:val="00E6453A"/>
    <w:rsid w:val="00E649E0"/>
    <w:rsid w:val="00E64DDF"/>
    <w:rsid w:val="00E64E10"/>
    <w:rsid w:val="00E650AC"/>
    <w:rsid w:val="00E65BB4"/>
    <w:rsid w:val="00E65C6C"/>
    <w:rsid w:val="00E67342"/>
    <w:rsid w:val="00E67853"/>
    <w:rsid w:val="00E67ADA"/>
    <w:rsid w:val="00E67B2D"/>
    <w:rsid w:val="00E70378"/>
    <w:rsid w:val="00E705CC"/>
    <w:rsid w:val="00E7099A"/>
    <w:rsid w:val="00E71602"/>
    <w:rsid w:val="00E718C9"/>
    <w:rsid w:val="00E71DE9"/>
    <w:rsid w:val="00E7244E"/>
    <w:rsid w:val="00E727D2"/>
    <w:rsid w:val="00E73258"/>
    <w:rsid w:val="00E73627"/>
    <w:rsid w:val="00E73768"/>
    <w:rsid w:val="00E747AC"/>
    <w:rsid w:val="00E754E4"/>
    <w:rsid w:val="00E757E3"/>
    <w:rsid w:val="00E75B1C"/>
    <w:rsid w:val="00E75D52"/>
    <w:rsid w:val="00E77038"/>
    <w:rsid w:val="00E77C00"/>
    <w:rsid w:val="00E77EB8"/>
    <w:rsid w:val="00E800ED"/>
    <w:rsid w:val="00E80590"/>
    <w:rsid w:val="00E8072F"/>
    <w:rsid w:val="00E80D20"/>
    <w:rsid w:val="00E811DB"/>
    <w:rsid w:val="00E8171D"/>
    <w:rsid w:val="00E81877"/>
    <w:rsid w:val="00E81BA8"/>
    <w:rsid w:val="00E81F1B"/>
    <w:rsid w:val="00E8212C"/>
    <w:rsid w:val="00E828CF"/>
    <w:rsid w:val="00E835B4"/>
    <w:rsid w:val="00E836B2"/>
    <w:rsid w:val="00E838B5"/>
    <w:rsid w:val="00E83949"/>
    <w:rsid w:val="00E83BFB"/>
    <w:rsid w:val="00E83BFF"/>
    <w:rsid w:val="00E83CFD"/>
    <w:rsid w:val="00E83E67"/>
    <w:rsid w:val="00E8449F"/>
    <w:rsid w:val="00E848C5"/>
    <w:rsid w:val="00E84B68"/>
    <w:rsid w:val="00E84EF4"/>
    <w:rsid w:val="00E84FAC"/>
    <w:rsid w:val="00E85580"/>
    <w:rsid w:val="00E8565A"/>
    <w:rsid w:val="00E85675"/>
    <w:rsid w:val="00E864AE"/>
    <w:rsid w:val="00E86C3F"/>
    <w:rsid w:val="00E86CA8"/>
    <w:rsid w:val="00E8766F"/>
    <w:rsid w:val="00E87D27"/>
    <w:rsid w:val="00E87EE0"/>
    <w:rsid w:val="00E90156"/>
    <w:rsid w:val="00E90EFC"/>
    <w:rsid w:val="00E9112C"/>
    <w:rsid w:val="00E9149B"/>
    <w:rsid w:val="00E918B9"/>
    <w:rsid w:val="00E91DDE"/>
    <w:rsid w:val="00E91DEC"/>
    <w:rsid w:val="00E91E40"/>
    <w:rsid w:val="00E92BB9"/>
    <w:rsid w:val="00E92BC1"/>
    <w:rsid w:val="00E92C0F"/>
    <w:rsid w:val="00E92C24"/>
    <w:rsid w:val="00E934BF"/>
    <w:rsid w:val="00E93517"/>
    <w:rsid w:val="00E94187"/>
    <w:rsid w:val="00E9447C"/>
    <w:rsid w:val="00E9454F"/>
    <w:rsid w:val="00E946F2"/>
    <w:rsid w:val="00E94CC7"/>
    <w:rsid w:val="00E94D73"/>
    <w:rsid w:val="00E9535E"/>
    <w:rsid w:val="00E954AE"/>
    <w:rsid w:val="00E95695"/>
    <w:rsid w:val="00E95C7C"/>
    <w:rsid w:val="00E96351"/>
    <w:rsid w:val="00E9658E"/>
    <w:rsid w:val="00E96607"/>
    <w:rsid w:val="00E9681B"/>
    <w:rsid w:val="00E96B58"/>
    <w:rsid w:val="00E96E5B"/>
    <w:rsid w:val="00E97754"/>
    <w:rsid w:val="00E97AC6"/>
    <w:rsid w:val="00E97BD4"/>
    <w:rsid w:val="00E97F9F"/>
    <w:rsid w:val="00EA0135"/>
    <w:rsid w:val="00EA0A5B"/>
    <w:rsid w:val="00EA10A5"/>
    <w:rsid w:val="00EA17B6"/>
    <w:rsid w:val="00EA1945"/>
    <w:rsid w:val="00EA1DBB"/>
    <w:rsid w:val="00EA1E33"/>
    <w:rsid w:val="00EA254E"/>
    <w:rsid w:val="00EA25FF"/>
    <w:rsid w:val="00EA2641"/>
    <w:rsid w:val="00EA2AC6"/>
    <w:rsid w:val="00EA2FA5"/>
    <w:rsid w:val="00EA3311"/>
    <w:rsid w:val="00EA369E"/>
    <w:rsid w:val="00EA3820"/>
    <w:rsid w:val="00EA3AC5"/>
    <w:rsid w:val="00EA4424"/>
    <w:rsid w:val="00EA4475"/>
    <w:rsid w:val="00EA4B34"/>
    <w:rsid w:val="00EA5772"/>
    <w:rsid w:val="00EA5BE6"/>
    <w:rsid w:val="00EA619E"/>
    <w:rsid w:val="00EA642C"/>
    <w:rsid w:val="00EA7026"/>
    <w:rsid w:val="00EA7099"/>
    <w:rsid w:val="00EA723A"/>
    <w:rsid w:val="00EA7284"/>
    <w:rsid w:val="00EA7399"/>
    <w:rsid w:val="00EA7538"/>
    <w:rsid w:val="00EA7960"/>
    <w:rsid w:val="00EA7C27"/>
    <w:rsid w:val="00EB021D"/>
    <w:rsid w:val="00EB0CC9"/>
    <w:rsid w:val="00EB0D9A"/>
    <w:rsid w:val="00EB0DB7"/>
    <w:rsid w:val="00EB1098"/>
    <w:rsid w:val="00EB1B98"/>
    <w:rsid w:val="00EB2188"/>
    <w:rsid w:val="00EB3135"/>
    <w:rsid w:val="00EB349D"/>
    <w:rsid w:val="00EB45A7"/>
    <w:rsid w:val="00EB4683"/>
    <w:rsid w:val="00EB4FB8"/>
    <w:rsid w:val="00EB56B1"/>
    <w:rsid w:val="00EB5A30"/>
    <w:rsid w:val="00EB5B64"/>
    <w:rsid w:val="00EB5B8A"/>
    <w:rsid w:val="00EB5CF1"/>
    <w:rsid w:val="00EB6A6A"/>
    <w:rsid w:val="00EB76DC"/>
    <w:rsid w:val="00EB7BFD"/>
    <w:rsid w:val="00EC0926"/>
    <w:rsid w:val="00EC0A5C"/>
    <w:rsid w:val="00EC1675"/>
    <w:rsid w:val="00EC243C"/>
    <w:rsid w:val="00EC25D8"/>
    <w:rsid w:val="00EC26D2"/>
    <w:rsid w:val="00EC287C"/>
    <w:rsid w:val="00EC33FA"/>
    <w:rsid w:val="00EC3B8D"/>
    <w:rsid w:val="00EC3F4B"/>
    <w:rsid w:val="00EC4379"/>
    <w:rsid w:val="00EC442A"/>
    <w:rsid w:val="00EC4C93"/>
    <w:rsid w:val="00EC514B"/>
    <w:rsid w:val="00EC5988"/>
    <w:rsid w:val="00EC5BD0"/>
    <w:rsid w:val="00EC5CF9"/>
    <w:rsid w:val="00EC5F1F"/>
    <w:rsid w:val="00EC6474"/>
    <w:rsid w:val="00EC6530"/>
    <w:rsid w:val="00EC6962"/>
    <w:rsid w:val="00EC6B6B"/>
    <w:rsid w:val="00EC6BC1"/>
    <w:rsid w:val="00EC6F12"/>
    <w:rsid w:val="00EC7257"/>
    <w:rsid w:val="00EC7BA4"/>
    <w:rsid w:val="00EC7C45"/>
    <w:rsid w:val="00ED0342"/>
    <w:rsid w:val="00ED0759"/>
    <w:rsid w:val="00ED10DF"/>
    <w:rsid w:val="00ED1239"/>
    <w:rsid w:val="00ED154B"/>
    <w:rsid w:val="00ED1806"/>
    <w:rsid w:val="00ED27C7"/>
    <w:rsid w:val="00ED3125"/>
    <w:rsid w:val="00ED31E8"/>
    <w:rsid w:val="00ED372A"/>
    <w:rsid w:val="00ED383D"/>
    <w:rsid w:val="00ED4814"/>
    <w:rsid w:val="00ED53EB"/>
    <w:rsid w:val="00ED5637"/>
    <w:rsid w:val="00ED5C72"/>
    <w:rsid w:val="00ED5DFB"/>
    <w:rsid w:val="00ED6149"/>
    <w:rsid w:val="00ED65BB"/>
    <w:rsid w:val="00ED70C4"/>
    <w:rsid w:val="00ED70E4"/>
    <w:rsid w:val="00ED7106"/>
    <w:rsid w:val="00ED71F7"/>
    <w:rsid w:val="00ED72C9"/>
    <w:rsid w:val="00ED74A5"/>
    <w:rsid w:val="00ED7C67"/>
    <w:rsid w:val="00EE01DB"/>
    <w:rsid w:val="00EE039E"/>
    <w:rsid w:val="00EE0619"/>
    <w:rsid w:val="00EE0A56"/>
    <w:rsid w:val="00EE0AD6"/>
    <w:rsid w:val="00EE0BAC"/>
    <w:rsid w:val="00EE11AC"/>
    <w:rsid w:val="00EE191B"/>
    <w:rsid w:val="00EE211D"/>
    <w:rsid w:val="00EE2A0A"/>
    <w:rsid w:val="00EE2DDA"/>
    <w:rsid w:val="00EE300F"/>
    <w:rsid w:val="00EE3199"/>
    <w:rsid w:val="00EE3880"/>
    <w:rsid w:val="00EE3B57"/>
    <w:rsid w:val="00EE4103"/>
    <w:rsid w:val="00EE42C3"/>
    <w:rsid w:val="00EE487A"/>
    <w:rsid w:val="00EE4DB1"/>
    <w:rsid w:val="00EE5496"/>
    <w:rsid w:val="00EE5AC7"/>
    <w:rsid w:val="00EE60BF"/>
    <w:rsid w:val="00EE6137"/>
    <w:rsid w:val="00EE674B"/>
    <w:rsid w:val="00EE71C8"/>
    <w:rsid w:val="00EE737F"/>
    <w:rsid w:val="00EE73CF"/>
    <w:rsid w:val="00EE767E"/>
    <w:rsid w:val="00EE76ED"/>
    <w:rsid w:val="00EE7B24"/>
    <w:rsid w:val="00EF0BC9"/>
    <w:rsid w:val="00EF11D4"/>
    <w:rsid w:val="00EF1526"/>
    <w:rsid w:val="00EF1A2A"/>
    <w:rsid w:val="00EF2092"/>
    <w:rsid w:val="00EF24EC"/>
    <w:rsid w:val="00EF29FE"/>
    <w:rsid w:val="00EF310B"/>
    <w:rsid w:val="00EF372E"/>
    <w:rsid w:val="00EF3A75"/>
    <w:rsid w:val="00EF3D0C"/>
    <w:rsid w:val="00EF450D"/>
    <w:rsid w:val="00EF45D7"/>
    <w:rsid w:val="00EF4611"/>
    <w:rsid w:val="00EF47C3"/>
    <w:rsid w:val="00EF48BC"/>
    <w:rsid w:val="00EF4967"/>
    <w:rsid w:val="00EF517A"/>
    <w:rsid w:val="00EF541C"/>
    <w:rsid w:val="00EF58C5"/>
    <w:rsid w:val="00EF5A9C"/>
    <w:rsid w:val="00EF6FB7"/>
    <w:rsid w:val="00EF6FC3"/>
    <w:rsid w:val="00EF71BD"/>
    <w:rsid w:val="00EF72CB"/>
    <w:rsid w:val="00EF736B"/>
    <w:rsid w:val="00EF74A5"/>
    <w:rsid w:val="00F0039A"/>
    <w:rsid w:val="00F008B6"/>
    <w:rsid w:val="00F0093A"/>
    <w:rsid w:val="00F00F8C"/>
    <w:rsid w:val="00F01233"/>
    <w:rsid w:val="00F017F7"/>
    <w:rsid w:val="00F02370"/>
    <w:rsid w:val="00F02871"/>
    <w:rsid w:val="00F029BA"/>
    <w:rsid w:val="00F02B46"/>
    <w:rsid w:val="00F02C83"/>
    <w:rsid w:val="00F0301F"/>
    <w:rsid w:val="00F032DC"/>
    <w:rsid w:val="00F03DFF"/>
    <w:rsid w:val="00F03E8D"/>
    <w:rsid w:val="00F04144"/>
    <w:rsid w:val="00F0422A"/>
    <w:rsid w:val="00F04AF2"/>
    <w:rsid w:val="00F04BAD"/>
    <w:rsid w:val="00F04E85"/>
    <w:rsid w:val="00F0529C"/>
    <w:rsid w:val="00F057A7"/>
    <w:rsid w:val="00F05A69"/>
    <w:rsid w:val="00F0681C"/>
    <w:rsid w:val="00F06F97"/>
    <w:rsid w:val="00F07137"/>
    <w:rsid w:val="00F07174"/>
    <w:rsid w:val="00F0728D"/>
    <w:rsid w:val="00F07843"/>
    <w:rsid w:val="00F1017D"/>
    <w:rsid w:val="00F107B8"/>
    <w:rsid w:val="00F1099E"/>
    <w:rsid w:val="00F10BFD"/>
    <w:rsid w:val="00F10D66"/>
    <w:rsid w:val="00F112BC"/>
    <w:rsid w:val="00F11EC8"/>
    <w:rsid w:val="00F12084"/>
    <w:rsid w:val="00F12702"/>
    <w:rsid w:val="00F128CE"/>
    <w:rsid w:val="00F12C6F"/>
    <w:rsid w:val="00F12CF7"/>
    <w:rsid w:val="00F13F14"/>
    <w:rsid w:val="00F14077"/>
    <w:rsid w:val="00F146AD"/>
    <w:rsid w:val="00F14A28"/>
    <w:rsid w:val="00F14A98"/>
    <w:rsid w:val="00F14C76"/>
    <w:rsid w:val="00F150E9"/>
    <w:rsid w:val="00F154C6"/>
    <w:rsid w:val="00F15596"/>
    <w:rsid w:val="00F15AD5"/>
    <w:rsid w:val="00F15F0F"/>
    <w:rsid w:val="00F161E1"/>
    <w:rsid w:val="00F1621C"/>
    <w:rsid w:val="00F169E1"/>
    <w:rsid w:val="00F17518"/>
    <w:rsid w:val="00F20241"/>
    <w:rsid w:val="00F209B8"/>
    <w:rsid w:val="00F20D01"/>
    <w:rsid w:val="00F21296"/>
    <w:rsid w:val="00F2193C"/>
    <w:rsid w:val="00F21D10"/>
    <w:rsid w:val="00F21E9D"/>
    <w:rsid w:val="00F22117"/>
    <w:rsid w:val="00F2235F"/>
    <w:rsid w:val="00F22726"/>
    <w:rsid w:val="00F228E8"/>
    <w:rsid w:val="00F23543"/>
    <w:rsid w:val="00F2356E"/>
    <w:rsid w:val="00F23D17"/>
    <w:rsid w:val="00F2482F"/>
    <w:rsid w:val="00F24DCD"/>
    <w:rsid w:val="00F25323"/>
    <w:rsid w:val="00F2554E"/>
    <w:rsid w:val="00F25BC2"/>
    <w:rsid w:val="00F2604A"/>
    <w:rsid w:val="00F265E6"/>
    <w:rsid w:val="00F26675"/>
    <w:rsid w:val="00F2709B"/>
    <w:rsid w:val="00F270FB"/>
    <w:rsid w:val="00F27238"/>
    <w:rsid w:val="00F272A7"/>
    <w:rsid w:val="00F2765F"/>
    <w:rsid w:val="00F27875"/>
    <w:rsid w:val="00F279CE"/>
    <w:rsid w:val="00F30011"/>
    <w:rsid w:val="00F301ED"/>
    <w:rsid w:val="00F302FE"/>
    <w:rsid w:val="00F30357"/>
    <w:rsid w:val="00F303E3"/>
    <w:rsid w:val="00F30B9F"/>
    <w:rsid w:val="00F30D13"/>
    <w:rsid w:val="00F30E8A"/>
    <w:rsid w:val="00F30F77"/>
    <w:rsid w:val="00F310D8"/>
    <w:rsid w:val="00F31123"/>
    <w:rsid w:val="00F31223"/>
    <w:rsid w:val="00F3147C"/>
    <w:rsid w:val="00F3187A"/>
    <w:rsid w:val="00F320F1"/>
    <w:rsid w:val="00F3226F"/>
    <w:rsid w:val="00F32CDD"/>
    <w:rsid w:val="00F33051"/>
    <w:rsid w:val="00F33233"/>
    <w:rsid w:val="00F3371B"/>
    <w:rsid w:val="00F33744"/>
    <w:rsid w:val="00F33B90"/>
    <w:rsid w:val="00F3431C"/>
    <w:rsid w:val="00F34B02"/>
    <w:rsid w:val="00F35D62"/>
    <w:rsid w:val="00F364D4"/>
    <w:rsid w:val="00F3664C"/>
    <w:rsid w:val="00F36826"/>
    <w:rsid w:val="00F36A68"/>
    <w:rsid w:val="00F36DE1"/>
    <w:rsid w:val="00F37149"/>
    <w:rsid w:val="00F3748B"/>
    <w:rsid w:val="00F37B45"/>
    <w:rsid w:val="00F400D4"/>
    <w:rsid w:val="00F40220"/>
    <w:rsid w:val="00F406F8"/>
    <w:rsid w:val="00F4077C"/>
    <w:rsid w:val="00F40D4A"/>
    <w:rsid w:val="00F40F3E"/>
    <w:rsid w:val="00F416A5"/>
    <w:rsid w:val="00F41A01"/>
    <w:rsid w:val="00F41B0F"/>
    <w:rsid w:val="00F41FAA"/>
    <w:rsid w:val="00F42366"/>
    <w:rsid w:val="00F42C90"/>
    <w:rsid w:val="00F43679"/>
    <w:rsid w:val="00F43826"/>
    <w:rsid w:val="00F43E2B"/>
    <w:rsid w:val="00F43F00"/>
    <w:rsid w:val="00F442B1"/>
    <w:rsid w:val="00F44806"/>
    <w:rsid w:val="00F44AA0"/>
    <w:rsid w:val="00F44C34"/>
    <w:rsid w:val="00F459E9"/>
    <w:rsid w:val="00F45BD1"/>
    <w:rsid w:val="00F45C32"/>
    <w:rsid w:val="00F45CE2"/>
    <w:rsid w:val="00F45D39"/>
    <w:rsid w:val="00F4637F"/>
    <w:rsid w:val="00F46506"/>
    <w:rsid w:val="00F46726"/>
    <w:rsid w:val="00F4689B"/>
    <w:rsid w:val="00F46996"/>
    <w:rsid w:val="00F46B54"/>
    <w:rsid w:val="00F46B74"/>
    <w:rsid w:val="00F475EE"/>
    <w:rsid w:val="00F4760C"/>
    <w:rsid w:val="00F47694"/>
    <w:rsid w:val="00F4777D"/>
    <w:rsid w:val="00F47A2C"/>
    <w:rsid w:val="00F47D7D"/>
    <w:rsid w:val="00F5009E"/>
    <w:rsid w:val="00F508C1"/>
    <w:rsid w:val="00F514BB"/>
    <w:rsid w:val="00F517FD"/>
    <w:rsid w:val="00F51E29"/>
    <w:rsid w:val="00F5204E"/>
    <w:rsid w:val="00F52181"/>
    <w:rsid w:val="00F524F8"/>
    <w:rsid w:val="00F5291F"/>
    <w:rsid w:val="00F529BF"/>
    <w:rsid w:val="00F53903"/>
    <w:rsid w:val="00F53C64"/>
    <w:rsid w:val="00F53DDB"/>
    <w:rsid w:val="00F53EE7"/>
    <w:rsid w:val="00F5409B"/>
    <w:rsid w:val="00F545FE"/>
    <w:rsid w:val="00F54874"/>
    <w:rsid w:val="00F54AF1"/>
    <w:rsid w:val="00F55C12"/>
    <w:rsid w:val="00F55E3D"/>
    <w:rsid w:val="00F55EC6"/>
    <w:rsid w:val="00F55FF7"/>
    <w:rsid w:val="00F56256"/>
    <w:rsid w:val="00F5646B"/>
    <w:rsid w:val="00F56754"/>
    <w:rsid w:val="00F56AF3"/>
    <w:rsid w:val="00F56D12"/>
    <w:rsid w:val="00F56DD4"/>
    <w:rsid w:val="00F56DFE"/>
    <w:rsid w:val="00F571F2"/>
    <w:rsid w:val="00F603CA"/>
    <w:rsid w:val="00F60BED"/>
    <w:rsid w:val="00F616EE"/>
    <w:rsid w:val="00F618CD"/>
    <w:rsid w:val="00F61E3D"/>
    <w:rsid w:val="00F61EE4"/>
    <w:rsid w:val="00F6225B"/>
    <w:rsid w:val="00F627C2"/>
    <w:rsid w:val="00F6318B"/>
    <w:rsid w:val="00F6377A"/>
    <w:rsid w:val="00F642F0"/>
    <w:rsid w:val="00F64422"/>
    <w:rsid w:val="00F64703"/>
    <w:rsid w:val="00F647C9"/>
    <w:rsid w:val="00F64E64"/>
    <w:rsid w:val="00F6615C"/>
    <w:rsid w:val="00F66778"/>
    <w:rsid w:val="00F668DF"/>
    <w:rsid w:val="00F66A8B"/>
    <w:rsid w:val="00F66B2E"/>
    <w:rsid w:val="00F6781E"/>
    <w:rsid w:val="00F67A17"/>
    <w:rsid w:val="00F67A7B"/>
    <w:rsid w:val="00F700D7"/>
    <w:rsid w:val="00F7080E"/>
    <w:rsid w:val="00F70B38"/>
    <w:rsid w:val="00F70B68"/>
    <w:rsid w:val="00F70F8D"/>
    <w:rsid w:val="00F71020"/>
    <w:rsid w:val="00F710A1"/>
    <w:rsid w:val="00F712B8"/>
    <w:rsid w:val="00F7139E"/>
    <w:rsid w:val="00F7144B"/>
    <w:rsid w:val="00F718A1"/>
    <w:rsid w:val="00F71C40"/>
    <w:rsid w:val="00F722D9"/>
    <w:rsid w:val="00F72744"/>
    <w:rsid w:val="00F73201"/>
    <w:rsid w:val="00F73505"/>
    <w:rsid w:val="00F735CD"/>
    <w:rsid w:val="00F73C3D"/>
    <w:rsid w:val="00F74231"/>
    <w:rsid w:val="00F7437E"/>
    <w:rsid w:val="00F746AF"/>
    <w:rsid w:val="00F746FB"/>
    <w:rsid w:val="00F74B88"/>
    <w:rsid w:val="00F74C6F"/>
    <w:rsid w:val="00F74F5C"/>
    <w:rsid w:val="00F751FD"/>
    <w:rsid w:val="00F75A05"/>
    <w:rsid w:val="00F75FEE"/>
    <w:rsid w:val="00F7606B"/>
    <w:rsid w:val="00F7637D"/>
    <w:rsid w:val="00F763F3"/>
    <w:rsid w:val="00F764D8"/>
    <w:rsid w:val="00F7691F"/>
    <w:rsid w:val="00F772D0"/>
    <w:rsid w:val="00F779BA"/>
    <w:rsid w:val="00F77A1B"/>
    <w:rsid w:val="00F807C9"/>
    <w:rsid w:val="00F80B9E"/>
    <w:rsid w:val="00F80F70"/>
    <w:rsid w:val="00F813BA"/>
    <w:rsid w:val="00F821B2"/>
    <w:rsid w:val="00F82780"/>
    <w:rsid w:val="00F82827"/>
    <w:rsid w:val="00F838EB"/>
    <w:rsid w:val="00F83A8A"/>
    <w:rsid w:val="00F83E0D"/>
    <w:rsid w:val="00F83F45"/>
    <w:rsid w:val="00F83FBE"/>
    <w:rsid w:val="00F848EF"/>
    <w:rsid w:val="00F852BD"/>
    <w:rsid w:val="00F85662"/>
    <w:rsid w:val="00F86526"/>
    <w:rsid w:val="00F8666A"/>
    <w:rsid w:val="00F866B1"/>
    <w:rsid w:val="00F8690F"/>
    <w:rsid w:val="00F870E3"/>
    <w:rsid w:val="00F874A9"/>
    <w:rsid w:val="00F90972"/>
    <w:rsid w:val="00F90A38"/>
    <w:rsid w:val="00F90B06"/>
    <w:rsid w:val="00F90B95"/>
    <w:rsid w:val="00F913CB"/>
    <w:rsid w:val="00F91465"/>
    <w:rsid w:val="00F914A9"/>
    <w:rsid w:val="00F91732"/>
    <w:rsid w:val="00F91A45"/>
    <w:rsid w:val="00F91D9A"/>
    <w:rsid w:val="00F91DE1"/>
    <w:rsid w:val="00F91E3F"/>
    <w:rsid w:val="00F922F5"/>
    <w:rsid w:val="00F9259F"/>
    <w:rsid w:val="00F9298A"/>
    <w:rsid w:val="00F92A0C"/>
    <w:rsid w:val="00F92C73"/>
    <w:rsid w:val="00F93325"/>
    <w:rsid w:val="00F93878"/>
    <w:rsid w:val="00F93E82"/>
    <w:rsid w:val="00F9430D"/>
    <w:rsid w:val="00F948BC"/>
    <w:rsid w:val="00F94B6A"/>
    <w:rsid w:val="00F94B93"/>
    <w:rsid w:val="00F958E3"/>
    <w:rsid w:val="00F959DB"/>
    <w:rsid w:val="00F95C16"/>
    <w:rsid w:val="00F95F51"/>
    <w:rsid w:val="00F96290"/>
    <w:rsid w:val="00F968AC"/>
    <w:rsid w:val="00F968C9"/>
    <w:rsid w:val="00F96B30"/>
    <w:rsid w:val="00F96FB5"/>
    <w:rsid w:val="00F9770C"/>
    <w:rsid w:val="00FA04FF"/>
    <w:rsid w:val="00FA0B1A"/>
    <w:rsid w:val="00FA106C"/>
    <w:rsid w:val="00FA14F4"/>
    <w:rsid w:val="00FA1C96"/>
    <w:rsid w:val="00FA20B3"/>
    <w:rsid w:val="00FA2148"/>
    <w:rsid w:val="00FA2344"/>
    <w:rsid w:val="00FA2603"/>
    <w:rsid w:val="00FA2A61"/>
    <w:rsid w:val="00FA2E53"/>
    <w:rsid w:val="00FA3E1D"/>
    <w:rsid w:val="00FA46C1"/>
    <w:rsid w:val="00FA4B12"/>
    <w:rsid w:val="00FA4DD8"/>
    <w:rsid w:val="00FA4E1E"/>
    <w:rsid w:val="00FA5411"/>
    <w:rsid w:val="00FA544A"/>
    <w:rsid w:val="00FA54C8"/>
    <w:rsid w:val="00FA54D8"/>
    <w:rsid w:val="00FA61D8"/>
    <w:rsid w:val="00FA69CF"/>
    <w:rsid w:val="00FA6B6A"/>
    <w:rsid w:val="00FA6DEA"/>
    <w:rsid w:val="00FA77A5"/>
    <w:rsid w:val="00FA7955"/>
    <w:rsid w:val="00FA7B4B"/>
    <w:rsid w:val="00FA7E79"/>
    <w:rsid w:val="00FB070F"/>
    <w:rsid w:val="00FB0C6E"/>
    <w:rsid w:val="00FB0ED2"/>
    <w:rsid w:val="00FB125E"/>
    <w:rsid w:val="00FB13FE"/>
    <w:rsid w:val="00FB150D"/>
    <w:rsid w:val="00FB165F"/>
    <w:rsid w:val="00FB1BAA"/>
    <w:rsid w:val="00FB20CD"/>
    <w:rsid w:val="00FB2921"/>
    <w:rsid w:val="00FB29F6"/>
    <w:rsid w:val="00FB2A6C"/>
    <w:rsid w:val="00FB2FD0"/>
    <w:rsid w:val="00FB3400"/>
    <w:rsid w:val="00FB3509"/>
    <w:rsid w:val="00FB43F0"/>
    <w:rsid w:val="00FB4913"/>
    <w:rsid w:val="00FB4EF8"/>
    <w:rsid w:val="00FB50A7"/>
    <w:rsid w:val="00FB56B1"/>
    <w:rsid w:val="00FB5E10"/>
    <w:rsid w:val="00FB624E"/>
    <w:rsid w:val="00FB6432"/>
    <w:rsid w:val="00FB648A"/>
    <w:rsid w:val="00FB65F9"/>
    <w:rsid w:val="00FB6D52"/>
    <w:rsid w:val="00FB6DE2"/>
    <w:rsid w:val="00FC0146"/>
    <w:rsid w:val="00FC0206"/>
    <w:rsid w:val="00FC0C72"/>
    <w:rsid w:val="00FC0D62"/>
    <w:rsid w:val="00FC0EB1"/>
    <w:rsid w:val="00FC1549"/>
    <w:rsid w:val="00FC18FD"/>
    <w:rsid w:val="00FC19B0"/>
    <w:rsid w:val="00FC1F56"/>
    <w:rsid w:val="00FC2950"/>
    <w:rsid w:val="00FC313F"/>
    <w:rsid w:val="00FC37B9"/>
    <w:rsid w:val="00FC3A49"/>
    <w:rsid w:val="00FC3AFA"/>
    <w:rsid w:val="00FC41F4"/>
    <w:rsid w:val="00FC486B"/>
    <w:rsid w:val="00FC4C85"/>
    <w:rsid w:val="00FC520C"/>
    <w:rsid w:val="00FC5395"/>
    <w:rsid w:val="00FC5540"/>
    <w:rsid w:val="00FC63EA"/>
    <w:rsid w:val="00FC7375"/>
    <w:rsid w:val="00FC7C90"/>
    <w:rsid w:val="00FD0291"/>
    <w:rsid w:val="00FD042A"/>
    <w:rsid w:val="00FD04B7"/>
    <w:rsid w:val="00FD0851"/>
    <w:rsid w:val="00FD0E93"/>
    <w:rsid w:val="00FD0EBA"/>
    <w:rsid w:val="00FD1059"/>
    <w:rsid w:val="00FD1B5C"/>
    <w:rsid w:val="00FD1D87"/>
    <w:rsid w:val="00FD1EBC"/>
    <w:rsid w:val="00FD2AC5"/>
    <w:rsid w:val="00FD2E47"/>
    <w:rsid w:val="00FD33B5"/>
    <w:rsid w:val="00FD35CC"/>
    <w:rsid w:val="00FD3C81"/>
    <w:rsid w:val="00FD3F5B"/>
    <w:rsid w:val="00FD4426"/>
    <w:rsid w:val="00FD4887"/>
    <w:rsid w:val="00FD5010"/>
    <w:rsid w:val="00FD508A"/>
    <w:rsid w:val="00FD546D"/>
    <w:rsid w:val="00FD57C2"/>
    <w:rsid w:val="00FD6286"/>
    <w:rsid w:val="00FD6458"/>
    <w:rsid w:val="00FD645D"/>
    <w:rsid w:val="00FD64EC"/>
    <w:rsid w:val="00FD68DC"/>
    <w:rsid w:val="00FD76C3"/>
    <w:rsid w:val="00FD7B72"/>
    <w:rsid w:val="00FE0679"/>
    <w:rsid w:val="00FE073F"/>
    <w:rsid w:val="00FE07ED"/>
    <w:rsid w:val="00FE0844"/>
    <w:rsid w:val="00FE0F1B"/>
    <w:rsid w:val="00FE14CF"/>
    <w:rsid w:val="00FE179F"/>
    <w:rsid w:val="00FE1BE6"/>
    <w:rsid w:val="00FE1E3E"/>
    <w:rsid w:val="00FE2142"/>
    <w:rsid w:val="00FE2375"/>
    <w:rsid w:val="00FE27AD"/>
    <w:rsid w:val="00FE2B13"/>
    <w:rsid w:val="00FE2C1B"/>
    <w:rsid w:val="00FE2CBB"/>
    <w:rsid w:val="00FE3AC9"/>
    <w:rsid w:val="00FE3BF0"/>
    <w:rsid w:val="00FE45C0"/>
    <w:rsid w:val="00FE4640"/>
    <w:rsid w:val="00FE4ED1"/>
    <w:rsid w:val="00FE5155"/>
    <w:rsid w:val="00FE5979"/>
    <w:rsid w:val="00FE5C12"/>
    <w:rsid w:val="00FE5D19"/>
    <w:rsid w:val="00FE6189"/>
    <w:rsid w:val="00FE6B3B"/>
    <w:rsid w:val="00FE6C5B"/>
    <w:rsid w:val="00FE767F"/>
    <w:rsid w:val="00FF022D"/>
    <w:rsid w:val="00FF028A"/>
    <w:rsid w:val="00FF03F3"/>
    <w:rsid w:val="00FF0504"/>
    <w:rsid w:val="00FF0B5C"/>
    <w:rsid w:val="00FF0EE5"/>
    <w:rsid w:val="00FF122A"/>
    <w:rsid w:val="00FF1869"/>
    <w:rsid w:val="00FF1995"/>
    <w:rsid w:val="00FF1D12"/>
    <w:rsid w:val="00FF1F5E"/>
    <w:rsid w:val="00FF1FCB"/>
    <w:rsid w:val="00FF26F6"/>
    <w:rsid w:val="00FF2C73"/>
    <w:rsid w:val="00FF31F9"/>
    <w:rsid w:val="00FF3859"/>
    <w:rsid w:val="00FF3BA1"/>
    <w:rsid w:val="00FF40B0"/>
    <w:rsid w:val="00FF4458"/>
    <w:rsid w:val="00FF4512"/>
    <w:rsid w:val="00FF4D52"/>
    <w:rsid w:val="00FF4F84"/>
    <w:rsid w:val="00FF55CD"/>
    <w:rsid w:val="00FF569E"/>
    <w:rsid w:val="00FF618D"/>
    <w:rsid w:val="00FF634F"/>
    <w:rsid w:val="00FF64BD"/>
    <w:rsid w:val="00FF6869"/>
    <w:rsid w:val="00FF6C1C"/>
    <w:rsid w:val="00FF7537"/>
    <w:rsid w:val="00FF75EC"/>
    <w:rsid w:val="00FF7756"/>
    <w:rsid w:val="00FF7C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34DF7"/>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rsid w:val="00DD256F"/>
    <w:pPr>
      <w:widowControl w:val="0"/>
      <w:jc w:val="both"/>
    </w:pPr>
    <w:rPr>
      <w:rFonts w:ascii="Times New Roman" w:hAnsi="Times New Roman" w:cs="Times New Roman"/>
      <w:kern w:val="2"/>
      <w:szCs w:val="21"/>
    </w:rPr>
  </w:style>
  <w:style w:type="character" w:customStyle="1" w:styleId="Char1">
    <w:name w:val="称呼 Char"/>
    <w:basedOn w:val="a0"/>
    <w:link w:val="a8"/>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41">
    <w:name w:val="List Number 4"/>
    <w:basedOn w:val="a"/>
    <w:rsid w:val="000F73C3"/>
    <w:pPr>
      <w:widowControl w:val="0"/>
      <w:tabs>
        <w:tab w:val="left" w:pos="1620"/>
      </w:tabs>
      <w:ind w:left="1620" w:hanging="360"/>
      <w:jc w:val="both"/>
    </w:pPr>
    <w:rPr>
      <w:rFonts w:ascii="Times New Roman" w:hAnsi="Times New Roman" w:cs="Times New Roman"/>
      <w:kern w:val="2"/>
      <w:szCs w:val="21"/>
    </w:rPr>
  </w:style>
  <w:style w:type="paragraph" w:customStyle="1" w:styleId="CM11">
    <w:name w:val="CM11"/>
    <w:basedOn w:val="a"/>
    <w:next w:val="a"/>
    <w:rsid w:val="00217D61"/>
    <w:pPr>
      <w:widowControl w:val="0"/>
      <w:autoSpaceDE w:val="0"/>
      <w:autoSpaceDN w:val="0"/>
      <w:adjustRightInd w:val="0"/>
      <w:spacing w:after="380"/>
    </w:pPr>
    <w:rPr>
      <w:rFonts w:ascii="黑体" w:eastAsia="黑体" w:hAnsi="Times New Roman" w:cs="Times New Roman"/>
      <w:sz w:val="24"/>
    </w:rPr>
  </w:style>
  <w:style w:type="character" w:customStyle="1" w:styleId="aspnetdisabled">
    <w:name w:val="aspnetdisabled"/>
    <w:basedOn w:val="a0"/>
    <w:rsid w:val="00681CC5"/>
  </w:style>
  <w:style w:type="paragraph" w:customStyle="1" w:styleId="p19">
    <w:name w:val="p19"/>
    <w:basedOn w:val="a"/>
    <w:rsid w:val="00C9244F"/>
    <w:pPr>
      <w:ind w:firstLine="420"/>
      <w:jc w:val="both"/>
    </w:pPr>
    <w:rPr>
      <w:rFonts w:ascii="Calibri" w:hAnsi="Calibri"/>
      <w:szCs w:val="21"/>
    </w:rPr>
  </w:style>
  <w:style w:type="table" w:customStyle="1" w:styleId="g1">
    <w:name w:val="g1"/>
    <w:uiPriority w:val="99"/>
    <w:semiHidden/>
    <w:unhideWhenUsed/>
    <w:rsid w:val="00516ACF"/>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样式1"/>
    <w:uiPriority w:val="99"/>
    <w:rsid w:val="00C65930"/>
  </w:style>
  <w:style w:type="paragraph" w:customStyle="1" w:styleId="31">
    <w:name w:val="样式3"/>
    <w:basedOn w:val="a"/>
    <w:rsid w:val="00051F10"/>
    <w:pPr>
      <w:spacing w:line="360" w:lineRule="auto"/>
      <w:ind w:firstLineChars="208" w:firstLine="437"/>
      <w:jc w:val="both"/>
    </w:pPr>
    <w:rPr>
      <w:rFonts w:ascii="Times New Roman" w:hAnsi="Times New Roman" w:cs="Times New Roman"/>
      <w:bCs/>
      <w:szCs w:val="20"/>
    </w:rPr>
  </w:style>
  <w:style w:type="paragraph" w:customStyle="1" w:styleId="Default">
    <w:name w:val="Default"/>
    <w:rsid w:val="00784147"/>
    <w:pPr>
      <w:widowControl w:val="0"/>
      <w:autoSpaceDE w:val="0"/>
      <w:autoSpaceDN w:val="0"/>
      <w:adjustRightInd w:val="0"/>
    </w:pPr>
    <w:rPr>
      <w:rFonts w:ascii="华文中宋" w:eastAsia="华文中宋" w:hAnsi="Times New Roman" w:cs="华文中宋"/>
      <w:color w:val="000000"/>
      <w:sz w:val="24"/>
      <w:szCs w:val="24"/>
    </w:rPr>
  </w:style>
  <w:style w:type="character" w:customStyle="1" w:styleId="DefaultChar">
    <w:name w:val="Default Char"/>
    <w:basedOn w:val="a0"/>
    <w:rsid w:val="00784147"/>
    <w:rPr>
      <w:rFonts w:ascii="华文中宋" w:eastAsia="华文中宋" w:hAnsi="Times New Roman" w:cs="华文中宋"/>
      <w:color w:val="000000"/>
      <w:sz w:val="24"/>
      <w:szCs w:val="24"/>
    </w:rPr>
  </w:style>
  <w:style w:type="paragraph" w:customStyle="1" w:styleId="afb">
    <w:name w:val="三级"/>
    <w:basedOn w:val="a"/>
    <w:qFormat/>
    <w:rsid w:val="00C170A0"/>
    <w:pPr>
      <w:widowControl w:val="0"/>
      <w:autoSpaceDE w:val="0"/>
      <w:autoSpaceDN w:val="0"/>
      <w:adjustRightInd w:val="0"/>
      <w:spacing w:afterLines="50" w:line="360" w:lineRule="exact"/>
      <w:ind w:firstLineChars="200" w:firstLine="420"/>
      <w:jc w:val="both"/>
      <w:outlineLvl w:val="0"/>
    </w:pPr>
    <w:rPr>
      <w:rFonts w:cs="Times New Roman"/>
      <w:kern w:val="2"/>
      <w:szCs w:val="21"/>
    </w:rPr>
  </w:style>
  <w:style w:type="character" w:customStyle="1" w:styleId="Chard">
    <w:name w:val="三级 Char"/>
    <w:basedOn w:val="a0"/>
    <w:rsid w:val="00C170A0"/>
    <w:rPr>
      <w:rFonts w:ascii="宋体" w:hAnsi="宋体"/>
      <w:kern w:val="2"/>
      <w:sz w:val="21"/>
      <w:szCs w:val="21"/>
    </w:rPr>
  </w:style>
  <w:style w:type="paragraph" w:styleId="21">
    <w:name w:val="List 2"/>
    <w:basedOn w:val="a"/>
    <w:uiPriority w:val="99"/>
    <w:semiHidden/>
    <w:unhideWhenUsed/>
    <w:rsid w:val="00207BCF"/>
    <w:pPr>
      <w:ind w:leftChars="200" w:left="100" w:hangingChars="200" w:hanging="200"/>
      <w:contextualSpacing/>
    </w:pPr>
  </w:style>
  <w:style w:type="paragraph" w:customStyle="1" w:styleId="afc">
    <w:name w:val="二级"/>
    <w:qFormat/>
    <w:rsid w:val="00053307"/>
    <w:pPr>
      <w:spacing w:beforeLines="100" w:afterLines="100" w:line="360" w:lineRule="exact"/>
      <w:ind w:firstLineChars="200" w:firstLine="422"/>
      <w:jc w:val="both"/>
      <w:outlineLvl w:val="0"/>
    </w:pPr>
    <w:rPr>
      <w:rFonts w:ascii="黑体" w:eastAsia="黑体" w:hAnsi="宋体"/>
      <w:b/>
      <w:szCs w:val="21"/>
    </w:rPr>
  </w:style>
  <w:style w:type="character" w:customStyle="1" w:styleId="Chare">
    <w:name w:val="二级 Char"/>
    <w:rsid w:val="00053307"/>
    <w:rPr>
      <w:rFonts w:ascii="黑体" w:eastAsia="黑体" w:hAnsi="宋体" w:cs="华文中宋"/>
      <w:b/>
      <w:color w:val="000000"/>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34DF7"/>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rsid w:val="00DD256F"/>
    <w:pPr>
      <w:widowControl w:val="0"/>
      <w:jc w:val="both"/>
    </w:pPr>
    <w:rPr>
      <w:rFonts w:ascii="Times New Roman" w:hAnsi="Times New Roman" w:cs="Times New Roman"/>
      <w:kern w:val="2"/>
      <w:szCs w:val="21"/>
    </w:rPr>
  </w:style>
  <w:style w:type="character" w:customStyle="1" w:styleId="Char1">
    <w:name w:val="称呼 Char"/>
    <w:basedOn w:val="a0"/>
    <w:link w:val="a8"/>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41">
    <w:name w:val="List Number 4"/>
    <w:basedOn w:val="a"/>
    <w:rsid w:val="000F73C3"/>
    <w:pPr>
      <w:widowControl w:val="0"/>
      <w:tabs>
        <w:tab w:val="left" w:pos="1620"/>
      </w:tabs>
      <w:ind w:left="1620" w:hanging="360"/>
      <w:jc w:val="both"/>
    </w:pPr>
    <w:rPr>
      <w:rFonts w:ascii="Times New Roman" w:hAnsi="Times New Roman" w:cs="Times New Roman"/>
      <w:kern w:val="2"/>
      <w:szCs w:val="21"/>
    </w:rPr>
  </w:style>
  <w:style w:type="paragraph" w:customStyle="1" w:styleId="CM11">
    <w:name w:val="CM11"/>
    <w:basedOn w:val="a"/>
    <w:next w:val="a"/>
    <w:rsid w:val="00217D61"/>
    <w:pPr>
      <w:widowControl w:val="0"/>
      <w:autoSpaceDE w:val="0"/>
      <w:autoSpaceDN w:val="0"/>
      <w:adjustRightInd w:val="0"/>
      <w:spacing w:after="380"/>
    </w:pPr>
    <w:rPr>
      <w:rFonts w:ascii="黑体" w:eastAsia="黑体" w:hAnsi="Times New Roman" w:cs="Times New Roman"/>
      <w:sz w:val="24"/>
    </w:rPr>
  </w:style>
  <w:style w:type="character" w:customStyle="1" w:styleId="aspnetdisabled">
    <w:name w:val="aspnetdisabled"/>
    <w:basedOn w:val="a0"/>
    <w:rsid w:val="00681CC5"/>
  </w:style>
  <w:style w:type="paragraph" w:customStyle="1" w:styleId="p19">
    <w:name w:val="p19"/>
    <w:basedOn w:val="a"/>
    <w:rsid w:val="00C9244F"/>
    <w:pPr>
      <w:ind w:firstLine="420"/>
      <w:jc w:val="both"/>
    </w:pPr>
    <w:rPr>
      <w:rFonts w:ascii="Calibri" w:hAnsi="Calibri"/>
      <w:szCs w:val="21"/>
    </w:rPr>
  </w:style>
  <w:style w:type="table" w:customStyle="1" w:styleId="g1">
    <w:name w:val="g1"/>
    <w:uiPriority w:val="99"/>
    <w:semiHidden/>
    <w:unhideWhenUsed/>
    <w:rsid w:val="00516ACF"/>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样式1"/>
    <w:uiPriority w:val="99"/>
    <w:rsid w:val="00C65930"/>
  </w:style>
  <w:style w:type="paragraph" w:customStyle="1" w:styleId="31">
    <w:name w:val="样式3"/>
    <w:basedOn w:val="a"/>
    <w:rsid w:val="00051F10"/>
    <w:pPr>
      <w:spacing w:line="360" w:lineRule="auto"/>
      <w:ind w:firstLineChars="208" w:firstLine="437"/>
      <w:jc w:val="both"/>
    </w:pPr>
    <w:rPr>
      <w:rFonts w:ascii="Times New Roman" w:hAnsi="Times New Roman" w:cs="Times New Roman"/>
      <w:bCs/>
      <w:szCs w:val="20"/>
    </w:rPr>
  </w:style>
  <w:style w:type="paragraph" w:customStyle="1" w:styleId="Default">
    <w:name w:val="Default"/>
    <w:rsid w:val="00784147"/>
    <w:pPr>
      <w:widowControl w:val="0"/>
      <w:autoSpaceDE w:val="0"/>
      <w:autoSpaceDN w:val="0"/>
      <w:adjustRightInd w:val="0"/>
    </w:pPr>
    <w:rPr>
      <w:rFonts w:ascii="华文中宋" w:eastAsia="华文中宋" w:hAnsi="Times New Roman" w:cs="华文中宋"/>
      <w:color w:val="000000"/>
      <w:sz w:val="24"/>
      <w:szCs w:val="24"/>
    </w:rPr>
  </w:style>
  <w:style w:type="character" w:customStyle="1" w:styleId="DefaultChar">
    <w:name w:val="Default Char"/>
    <w:basedOn w:val="a0"/>
    <w:rsid w:val="00784147"/>
    <w:rPr>
      <w:rFonts w:ascii="华文中宋" w:eastAsia="华文中宋" w:hAnsi="Times New Roman" w:cs="华文中宋"/>
      <w:color w:val="000000"/>
      <w:sz w:val="24"/>
      <w:szCs w:val="24"/>
    </w:rPr>
  </w:style>
  <w:style w:type="paragraph" w:customStyle="1" w:styleId="afb">
    <w:name w:val="三级"/>
    <w:basedOn w:val="a"/>
    <w:qFormat/>
    <w:rsid w:val="00C170A0"/>
    <w:pPr>
      <w:widowControl w:val="0"/>
      <w:autoSpaceDE w:val="0"/>
      <w:autoSpaceDN w:val="0"/>
      <w:adjustRightInd w:val="0"/>
      <w:spacing w:afterLines="50" w:line="360" w:lineRule="exact"/>
      <w:ind w:firstLineChars="200" w:firstLine="420"/>
      <w:jc w:val="both"/>
      <w:outlineLvl w:val="0"/>
    </w:pPr>
    <w:rPr>
      <w:rFonts w:cs="Times New Roman"/>
      <w:kern w:val="2"/>
      <w:szCs w:val="21"/>
    </w:rPr>
  </w:style>
  <w:style w:type="character" w:customStyle="1" w:styleId="Chard">
    <w:name w:val="三级 Char"/>
    <w:basedOn w:val="a0"/>
    <w:rsid w:val="00C170A0"/>
    <w:rPr>
      <w:rFonts w:ascii="宋体" w:hAnsi="宋体"/>
      <w:kern w:val="2"/>
      <w:sz w:val="21"/>
      <w:szCs w:val="21"/>
    </w:rPr>
  </w:style>
  <w:style w:type="paragraph" w:styleId="21">
    <w:name w:val="List 2"/>
    <w:basedOn w:val="a"/>
    <w:uiPriority w:val="99"/>
    <w:semiHidden/>
    <w:unhideWhenUsed/>
    <w:rsid w:val="00207BCF"/>
    <w:pPr>
      <w:ind w:leftChars="200" w:left="100" w:hangingChars="200" w:hanging="200"/>
      <w:contextualSpacing/>
    </w:pPr>
  </w:style>
  <w:style w:type="paragraph" w:customStyle="1" w:styleId="afc">
    <w:name w:val="二级"/>
    <w:qFormat/>
    <w:rsid w:val="00053307"/>
    <w:pPr>
      <w:spacing w:beforeLines="100" w:afterLines="100" w:line="360" w:lineRule="exact"/>
      <w:ind w:firstLineChars="200" w:firstLine="422"/>
      <w:jc w:val="both"/>
      <w:outlineLvl w:val="0"/>
    </w:pPr>
    <w:rPr>
      <w:rFonts w:ascii="黑体" w:eastAsia="黑体" w:hAnsi="宋体"/>
      <w:b/>
      <w:szCs w:val="21"/>
    </w:rPr>
  </w:style>
  <w:style w:type="character" w:customStyle="1" w:styleId="Chare">
    <w:name w:val="二级 Char"/>
    <w:rsid w:val="00053307"/>
    <w:rPr>
      <w:rFonts w:ascii="黑体" w:eastAsia="黑体" w:hAnsi="宋体" w:cs="华文中宋"/>
      <w:b/>
      <w:color w:val="000000"/>
      <w:sz w:val="24"/>
      <w:szCs w:val="21"/>
    </w:rPr>
  </w:style>
</w:styles>
</file>

<file path=word/webSettings.xml><?xml version="1.0" encoding="utf-8"?>
<w:webSettings xmlns:r="http://schemas.openxmlformats.org/officeDocument/2006/relationships" xmlns:w="http://schemas.openxmlformats.org/wordprocessingml/2006/main">
  <w:divs>
    <w:div w:id="15237603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88569028">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19844720">
      <w:bodyDiv w:val="1"/>
      <w:marLeft w:val="0"/>
      <w:marRight w:val="0"/>
      <w:marTop w:val="0"/>
      <w:marBottom w:val="0"/>
      <w:divBdr>
        <w:top w:val="none" w:sz="0" w:space="0" w:color="auto"/>
        <w:left w:val="none" w:sz="0" w:space="0" w:color="auto"/>
        <w:bottom w:val="none" w:sz="0" w:space="0" w:color="auto"/>
        <w:right w:val="none" w:sz="0" w:space="0" w:color="auto"/>
      </w:divBdr>
      <w:divsChild>
        <w:div w:id="1150707946">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99864937">
      <w:bodyDiv w:val="1"/>
      <w:marLeft w:val="0"/>
      <w:marRight w:val="0"/>
      <w:marTop w:val="0"/>
      <w:marBottom w:val="0"/>
      <w:divBdr>
        <w:top w:val="none" w:sz="0" w:space="0" w:color="auto"/>
        <w:left w:val="none" w:sz="0" w:space="0" w:color="auto"/>
        <w:bottom w:val="none" w:sz="0" w:space="0" w:color="auto"/>
        <w:right w:val="none" w:sz="0" w:space="0" w:color="auto"/>
      </w:divBdr>
      <w:divsChild>
        <w:div w:id="67073079">
          <w:marLeft w:val="0"/>
          <w:marRight w:val="0"/>
          <w:marTop w:val="0"/>
          <w:marBottom w:val="150"/>
          <w:divBdr>
            <w:top w:val="none" w:sz="0" w:space="0" w:color="auto"/>
            <w:left w:val="single" w:sz="6" w:space="0" w:color="CCCCCC"/>
            <w:bottom w:val="none" w:sz="0" w:space="0" w:color="auto"/>
            <w:right w:val="single" w:sz="6" w:space="0" w:color="CCCCCC"/>
          </w:divBdr>
          <w:divsChild>
            <w:div w:id="999849706">
              <w:marLeft w:val="0"/>
              <w:marRight w:val="0"/>
              <w:marTop w:val="0"/>
              <w:marBottom w:val="0"/>
              <w:divBdr>
                <w:top w:val="none" w:sz="0" w:space="0" w:color="auto"/>
                <w:left w:val="none" w:sz="0" w:space="0" w:color="auto"/>
                <w:bottom w:val="none" w:sz="0" w:space="0" w:color="auto"/>
                <w:right w:val="none" w:sz="0" w:space="0" w:color="auto"/>
              </w:divBdr>
              <w:divsChild>
                <w:div w:id="13857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0884346">
      <w:bodyDiv w:val="1"/>
      <w:marLeft w:val="0"/>
      <w:marRight w:val="0"/>
      <w:marTop w:val="0"/>
      <w:marBottom w:val="0"/>
      <w:divBdr>
        <w:top w:val="none" w:sz="0" w:space="0" w:color="auto"/>
        <w:left w:val="none" w:sz="0" w:space="0" w:color="auto"/>
        <w:bottom w:val="none" w:sz="0" w:space="0" w:color="auto"/>
        <w:right w:val="none" w:sz="0" w:space="0" w:color="auto"/>
      </w:divBdr>
      <w:divsChild>
        <w:div w:id="503208190">
          <w:marLeft w:val="0"/>
          <w:marRight w:val="0"/>
          <w:marTop w:val="0"/>
          <w:marBottom w:val="150"/>
          <w:divBdr>
            <w:top w:val="none" w:sz="0" w:space="0" w:color="auto"/>
            <w:left w:val="single" w:sz="6" w:space="0" w:color="CCCCCC"/>
            <w:bottom w:val="none" w:sz="0" w:space="0" w:color="auto"/>
            <w:right w:val="single" w:sz="6" w:space="0" w:color="CCCCCC"/>
          </w:divBdr>
          <w:divsChild>
            <w:div w:id="5438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26494271">
      <w:bodyDiv w:val="1"/>
      <w:marLeft w:val="0"/>
      <w:marRight w:val="0"/>
      <w:marTop w:val="0"/>
      <w:marBottom w:val="0"/>
      <w:divBdr>
        <w:top w:val="none" w:sz="0" w:space="0" w:color="auto"/>
        <w:left w:val="none" w:sz="0" w:space="0" w:color="auto"/>
        <w:bottom w:val="none" w:sz="0" w:space="0" w:color="auto"/>
        <w:right w:val="none" w:sz="0" w:space="0" w:color="auto"/>
      </w:divBdr>
      <w:divsChild>
        <w:div w:id="2027242325">
          <w:marLeft w:val="0"/>
          <w:marRight w:val="0"/>
          <w:marTop w:val="0"/>
          <w:marBottom w:val="150"/>
          <w:divBdr>
            <w:top w:val="none" w:sz="0" w:space="0" w:color="auto"/>
            <w:left w:val="single" w:sz="6" w:space="0" w:color="CCCCCC"/>
            <w:bottom w:val="none" w:sz="0" w:space="0" w:color="auto"/>
            <w:right w:val="single" w:sz="6" w:space="0" w:color="CCCCCC"/>
          </w:divBdr>
          <w:divsChild>
            <w:div w:id="16300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9762">
      <w:bodyDiv w:val="1"/>
      <w:marLeft w:val="0"/>
      <w:marRight w:val="0"/>
      <w:marTop w:val="0"/>
      <w:marBottom w:val="0"/>
      <w:divBdr>
        <w:top w:val="none" w:sz="0" w:space="0" w:color="auto"/>
        <w:left w:val="none" w:sz="0" w:space="0" w:color="auto"/>
        <w:bottom w:val="none" w:sz="0" w:space="0" w:color="auto"/>
        <w:right w:val="none" w:sz="0" w:space="0" w:color="auto"/>
      </w:divBdr>
      <w:divsChild>
        <w:div w:id="1529831512">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31226775">
      <w:bodyDiv w:val="1"/>
      <w:marLeft w:val="0"/>
      <w:marRight w:val="0"/>
      <w:marTop w:val="0"/>
      <w:marBottom w:val="0"/>
      <w:divBdr>
        <w:top w:val="none" w:sz="0" w:space="0" w:color="auto"/>
        <w:left w:val="none" w:sz="0" w:space="0" w:color="auto"/>
        <w:bottom w:val="none" w:sz="0" w:space="0" w:color="auto"/>
        <w:right w:val="none" w:sz="0" w:space="0" w:color="auto"/>
      </w:divBdr>
    </w:div>
    <w:div w:id="1257011351">
      <w:bodyDiv w:val="1"/>
      <w:marLeft w:val="0"/>
      <w:marRight w:val="0"/>
      <w:marTop w:val="0"/>
      <w:marBottom w:val="0"/>
      <w:divBdr>
        <w:top w:val="none" w:sz="0" w:space="0" w:color="auto"/>
        <w:left w:val="none" w:sz="0" w:space="0" w:color="auto"/>
        <w:bottom w:val="none" w:sz="0" w:space="0" w:color="auto"/>
        <w:right w:val="none" w:sz="0" w:space="0" w:color="auto"/>
      </w:divBdr>
    </w:div>
    <w:div w:id="1310162755">
      <w:bodyDiv w:val="1"/>
      <w:marLeft w:val="0"/>
      <w:marRight w:val="0"/>
      <w:marTop w:val="0"/>
      <w:marBottom w:val="0"/>
      <w:divBdr>
        <w:top w:val="none" w:sz="0" w:space="0" w:color="auto"/>
        <w:left w:val="none" w:sz="0" w:space="0" w:color="auto"/>
        <w:bottom w:val="none" w:sz="0" w:space="0" w:color="auto"/>
        <w:right w:val="none" w:sz="0" w:space="0" w:color="auto"/>
      </w:divBdr>
      <w:divsChild>
        <w:div w:id="1723138343">
          <w:marLeft w:val="0"/>
          <w:marRight w:val="0"/>
          <w:marTop w:val="0"/>
          <w:marBottom w:val="150"/>
          <w:divBdr>
            <w:top w:val="none" w:sz="0" w:space="0" w:color="auto"/>
            <w:left w:val="single" w:sz="6" w:space="0" w:color="CCCCCC"/>
            <w:bottom w:val="none" w:sz="0" w:space="0" w:color="auto"/>
            <w:right w:val="single" w:sz="6" w:space="0" w:color="CCCCCC"/>
          </w:divBdr>
          <w:divsChild>
            <w:div w:id="12832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8552281">
      <w:bodyDiv w:val="1"/>
      <w:marLeft w:val="0"/>
      <w:marRight w:val="0"/>
      <w:marTop w:val="0"/>
      <w:marBottom w:val="0"/>
      <w:divBdr>
        <w:top w:val="none" w:sz="0" w:space="0" w:color="auto"/>
        <w:left w:val="none" w:sz="0" w:space="0" w:color="auto"/>
        <w:bottom w:val="none" w:sz="0" w:space="0" w:color="auto"/>
        <w:right w:val="none" w:sz="0" w:space="0" w:color="auto"/>
      </w:divBdr>
      <w:divsChild>
        <w:div w:id="42141425">
          <w:marLeft w:val="0"/>
          <w:marRight w:val="0"/>
          <w:marTop w:val="0"/>
          <w:marBottom w:val="0"/>
          <w:divBdr>
            <w:top w:val="none" w:sz="0" w:space="0" w:color="auto"/>
            <w:left w:val="none" w:sz="0" w:space="0" w:color="auto"/>
            <w:bottom w:val="none" w:sz="0" w:space="0" w:color="auto"/>
            <w:right w:val="none" w:sz="0" w:space="0" w:color="auto"/>
          </w:divBdr>
        </w:div>
      </w:divsChild>
    </w:div>
    <w:div w:id="1477916204">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5652515">
      <w:bodyDiv w:val="1"/>
      <w:marLeft w:val="0"/>
      <w:marRight w:val="0"/>
      <w:marTop w:val="0"/>
      <w:marBottom w:val="0"/>
      <w:divBdr>
        <w:top w:val="none" w:sz="0" w:space="0" w:color="auto"/>
        <w:left w:val="none" w:sz="0" w:space="0" w:color="auto"/>
        <w:bottom w:val="none" w:sz="0" w:space="0" w:color="auto"/>
        <w:right w:val="none" w:sz="0" w:space="0" w:color="auto"/>
      </w:divBdr>
    </w:div>
    <w:div w:id="1678188884">
      <w:bodyDiv w:val="1"/>
      <w:marLeft w:val="0"/>
      <w:marRight w:val="0"/>
      <w:marTop w:val="0"/>
      <w:marBottom w:val="0"/>
      <w:divBdr>
        <w:top w:val="none" w:sz="0" w:space="0" w:color="auto"/>
        <w:left w:val="none" w:sz="0" w:space="0" w:color="auto"/>
        <w:bottom w:val="none" w:sz="0" w:space="0" w:color="auto"/>
        <w:right w:val="none" w:sz="0" w:space="0" w:color="auto"/>
      </w:divBdr>
      <w:divsChild>
        <w:div w:id="1923024849">
          <w:marLeft w:val="0"/>
          <w:marRight w:val="0"/>
          <w:marTop w:val="0"/>
          <w:marBottom w:val="150"/>
          <w:divBdr>
            <w:top w:val="none" w:sz="0" w:space="0" w:color="auto"/>
            <w:left w:val="single" w:sz="6" w:space="0" w:color="CCCCCC"/>
            <w:bottom w:val="none" w:sz="0" w:space="0" w:color="auto"/>
            <w:right w:val="single" w:sz="6" w:space="0" w:color="CCCCCC"/>
          </w:divBdr>
          <w:divsChild>
            <w:div w:id="251356483">
              <w:marLeft w:val="0"/>
              <w:marRight w:val="0"/>
              <w:marTop w:val="0"/>
              <w:marBottom w:val="0"/>
              <w:divBdr>
                <w:top w:val="none" w:sz="0" w:space="0" w:color="auto"/>
                <w:left w:val="none" w:sz="0" w:space="0" w:color="auto"/>
                <w:bottom w:val="none" w:sz="0" w:space="0" w:color="auto"/>
                <w:right w:val="none" w:sz="0" w:space="0" w:color="auto"/>
              </w:divBdr>
              <w:divsChild>
                <w:div w:id="1835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8575945">
      <w:bodyDiv w:val="1"/>
      <w:marLeft w:val="0"/>
      <w:marRight w:val="0"/>
      <w:marTop w:val="0"/>
      <w:marBottom w:val="0"/>
      <w:divBdr>
        <w:top w:val="none" w:sz="0" w:space="0" w:color="auto"/>
        <w:left w:val="none" w:sz="0" w:space="0" w:color="auto"/>
        <w:bottom w:val="none" w:sz="0" w:space="0" w:color="auto"/>
        <w:right w:val="none" w:sz="0" w:space="0" w:color="auto"/>
      </w:divBdr>
      <w:divsChild>
        <w:div w:id="251134101">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5030195">
      <w:bodyDiv w:val="1"/>
      <w:marLeft w:val="0"/>
      <w:marRight w:val="0"/>
      <w:marTop w:val="0"/>
      <w:marBottom w:val="0"/>
      <w:divBdr>
        <w:top w:val="none" w:sz="0" w:space="0" w:color="auto"/>
        <w:left w:val="none" w:sz="0" w:space="0" w:color="auto"/>
        <w:bottom w:val="none" w:sz="0" w:space="0" w:color="auto"/>
        <w:right w:val="none" w:sz="0" w:space="0" w:color="auto"/>
      </w:divBdr>
    </w:div>
    <w:div w:id="1827669233">
      <w:bodyDiv w:val="1"/>
      <w:marLeft w:val="0"/>
      <w:marRight w:val="0"/>
      <w:marTop w:val="0"/>
      <w:marBottom w:val="0"/>
      <w:divBdr>
        <w:top w:val="none" w:sz="0" w:space="0" w:color="auto"/>
        <w:left w:val="none" w:sz="0" w:space="0" w:color="auto"/>
        <w:bottom w:val="none" w:sz="0" w:space="0" w:color="auto"/>
        <w:right w:val="none" w:sz="0" w:space="0" w:color="auto"/>
      </w:divBdr>
      <w:divsChild>
        <w:div w:id="1472749704">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92307049">
      <w:bodyDiv w:val="1"/>
      <w:marLeft w:val="0"/>
      <w:marRight w:val="0"/>
      <w:marTop w:val="0"/>
      <w:marBottom w:val="0"/>
      <w:divBdr>
        <w:top w:val="none" w:sz="0" w:space="0" w:color="auto"/>
        <w:left w:val="none" w:sz="0" w:space="0" w:color="auto"/>
        <w:bottom w:val="none" w:sz="0" w:space="0" w:color="auto"/>
        <w:right w:val="none" w:sz="0" w:space="0" w:color="auto"/>
      </w:divBdr>
      <w:divsChild>
        <w:div w:id="773482416">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sse.com.cn" TargetMode="External"/><Relationship Id="rId23" Type="http://schemas.openxmlformats.org/officeDocument/2006/relationships/header" Target="header9.xml"/><Relationship Id="rId28" Type="http://schemas.openxmlformats.org/officeDocument/2006/relationships/header" Target="header14.xml"/><Relationship Id="rId36"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zcredit.com.cn/web/Index.aspx"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27F9BA0-445F-4E99-98B8-038646A8E4E4}"/>
      </w:docPartPr>
      <w:docPartBody>
        <w:p w:rsidR="00107DF4" w:rsidRDefault="003155A5">
          <w:r w:rsidRPr="00051625">
            <w:rPr>
              <w:rStyle w:val="a3"/>
              <w:rFonts w:hint="eastAsia"/>
              <w:u w:val="single"/>
            </w:rPr>
            <w:t xml:space="preserve">　　　</w:t>
          </w:r>
        </w:p>
      </w:docPartBody>
    </w:docPart>
    <w:docPart>
      <w:docPartPr>
        <w:name w:val="9423CC8172A64B339A08AD5FD27446A4"/>
        <w:category>
          <w:name w:val="常规"/>
          <w:gallery w:val="placeholder"/>
        </w:category>
        <w:types>
          <w:type w:val="bbPlcHdr"/>
        </w:types>
        <w:behaviors>
          <w:behavior w:val="content"/>
        </w:behaviors>
        <w:guid w:val="{7A4161E0-B2D0-4F77-B458-555783A8ECDB}"/>
      </w:docPartPr>
      <w:docPartBody>
        <w:p w:rsidR="006625BF" w:rsidRDefault="006625BF" w:rsidP="006625BF">
          <w:pPr>
            <w:pStyle w:val="9423CC8172A64B339A08AD5FD27446A4"/>
          </w:pPr>
          <w:r w:rsidRPr="00051625">
            <w:rPr>
              <w:rStyle w:val="a3"/>
              <w:rFonts w:hint="eastAsia"/>
              <w:u w:val="single"/>
            </w:rPr>
            <w:t xml:space="preserve">　　　</w:t>
          </w:r>
        </w:p>
      </w:docPartBody>
    </w:docPart>
    <w:docPart>
      <w:docPartPr>
        <w:name w:val="A54A8EAA52314BD5BB7BF28926A40DE4"/>
        <w:category>
          <w:name w:val="常规"/>
          <w:gallery w:val="placeholder"/>
        </w:category>
        <w:types>
          <w:type w:val="bbPlcHdr"/>
        </w:types>
        <w:behaviors>
          <w:behavior w:val="content"/>
        </w:behaviors>
        <w:guid w:val="{CBC1854E-D3A4-4839-829A-35F43BEE4FBE}"/>
      </w:docPartPr>
      <w:docPartBody>
        <w:p w:rsidR="00795823" w:rsidRDefault="00795823" w:rsidP="00795823">
          <w:pPr>
            <w:pStyle w:val="A54A8EAA52314BD5BB7BF28926A40DE4"/>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方正仿宋简体">
    <w:altName w:val="宋体"/>
    <w:charset w:val="86"/>
    <w:family w:val="auto"/>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方正超大字符集">
    <w:altName w:val="宋体"/>
    <w:charset w:val="86"/>
    <w:family w:val="script"/>
    <w:pitch w:val="default"/>
    <w:sig w:usb0="00000001" w:usb1="080E0000" w:usb2="00000000" w:usb3="00000000" w:csb0="00040000" w:csb1="00000000"/>
  </w:font>
  <w:font w:name="ArialM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4D9E"/>
    <w:rsid w:val="00011E75"/>
    <w:rsid w:val="00012653"/>
    <w:rsid w:val="00013B71"/>
    <w:rsid w:val="00020357"/>
    <w:rsid w:val="00021BC4"/>
    <w:rsid w:val="000234EA"/>
    <w:rsid w:val="0002361B"/>
    <w:rsid w:val="000236A0"/>
    <w:rsid w:val="0002605F"/>
    <w:rsid w:val="00032504"/>
    <w:rsid w:val="00032ECB"/>
    <w:rsid w:val="000353DC"/>
    <w:rsid w:val="0003608F"/>
    <w:rsid w:val="00036850"/>
    <w:rsid w:val="000403D5"/>
    <w:rsid w:val="00044179"/>
    <w:rsid w:val="00044916"/>
    <w:rsid w:val="00045444"/>
    <w:rsid w:val="00055561"/>
    <w:rsid w:val="00060B52"/>
    <w:rsid w:val="00061F65"/>
    <w:rsid w:val="00063874"/>
    <w:rsid w:val="00063CC6"/>
    <w:rsid w:val="00065B5A"/>
    <w:rsid w:val="000667C2"/>
    <w:rsid w:val="00066DC8"/>
    <w:rsid w:val="00070ACB"/>
    <w:rsid w:val="00076D57"/>
    <w:rsid w:val="0007717F"/>
    <w:rsid w:val="00083B00"/>
    <w:rsid w:val="00083C63"/>
    <w:rsid w:val="00084E8F"/>
    <w:rsid w:val="00087193"/>
    <w:rsid w:val="0009029E"/>
    <w:rsid w:val="00091B0E"/>
    <w:rsid w:val="0009506D"/>
    <w:rsid w:val="000958C3"/>
    <w:rsid w:val="000B2D2C"/>
    <w:rsid w:val="000B3464"/>
    <w:rsid w:val="000C5F2F"/>
    <w:rsid w:val="000E72B0"/>
    <w:rsid w:val="000E7B4D"/>
    <w:rsid w:val="000F147D"/>
    <w:rsid w:val="000F3B57"/>
    <w:rsid w:val="000F41A3"/>
    <w:rsid w:val="00103415"/>
    <w:rsid w:val="00107DF4"/>
    <w:rsid w:val="00110AE1"/>
    <w:rsid w:val="00114109"/>
    <w:rsid w:val="00117118"/>
    <w:rsid w:val="00122BB8"/>
    <w:rsid w:val="001279CA"/>
    <w:rsid w:val="00133739"/>
    <w:rsid w:val="00140824"/>
    <w:rsid w:val="0014233D"/>
    <w:rsid w:val="00142487"/>
    <w:rsid w:val="00142BBE"/>
    <w:rsid w:val="00151EE9"/>
    <w:rsid w:val="001552F1"/>
    <w:rsid w:val="00156761"/>
    <w:rsid w:val="001727E9"/>
    <w:rsid w:val="00172CEA"/>
    <w:rsid w:val="0017397A"/>
    <w:rsid w:val="001757B6"/>
    <w:rsid w:val="001812E2"/>
    <w:rsid w:val="00183634"/>
    <w:rsid w:val="00184F68"/>
    <w:rsid w:val="001866CF"/>
    <w:rsid w:val="00186ABA"/>
    <w:rsid w:val="00190BFB"/>
    <w:rsid w:val="00191ED7"/>
    <w:rsid w:val="001940A4"/>
    <w:rsid w:val="001967D6"/>
    <w:rsid w:val="001A185C"/>
    <w:rsid w:val="001A4390"/>
    <w:rsid w:val="001A5C0B"/>
    <w:rsid w:val="001A79B6"/>
    <w:rsid w:val="001B1217"/>
    <w:rsid w:val="001B3DB4"/>
    <w:rsid w:val="001B4DE6"/>
    <w:rsid w:val="001B64A1"/>
    <w:rsid w:val="001C10EB"/>
    <w:rsid w:val="001C2312"/>
    <w:rsid w:val="001C5B66"/>
    <w:rsid w:val="001C5DC1"/>
    <w:rsid w:val="001C6B9C"/>
    <w:rsid w:val="001D2076"/>
    <w:rsid w:val="001E2A87"/>
    <w:rsid w:val="001E681C"/>
    <w:rsid w:val="001E7AC2"/>
    <w:rsid w:val="001F44E5"/>
    <w:rsid w:val="001F792E"/>
    <w:rsid w:val="001F7AEB"/>
    <w:rsid w:val="00202BF5"/>
    <w:rsid w:val="0020389A"/>
    <w:rsid w:val="0021022A"/>
    <w:rsid w:val="002203AB"/>
    <w:rsid w:val="002208AC"/>
    <w:rsid w:val="002247E7"/>
    <w:rsid w:val="00232263"/>
    <w:rsid w:val="002350AA"/>
    <w:rsid w:val="00235A03"/>
    <w:rsid w:val="0023676D"/>
    <w:rsid w:val="00237E37"/>
    <w:rsid w:val="00240BD1"/>
    <w:rsid w:val="00240E59"/>
    <w:rsid w:val="00245E71"/>
    <w:rsid w:val="0024674F"/>
    <w:rsid w:val="00252183"/>
    <w:rsid w:val="00254336"/>
    <w:rsid w:val="002549A0"/>
    <w:rsid w:val="00255510"/>
    <w:rsid w:val="0026263F"/>
    <w:rsid w:val="00267758"/>
    <w:rsid w:val="0027617A"/>
    <w:rsid w:val="00276DC0"/>
    <w:rsid w:val="002806A5"/>
    <w:rsid w:val="00282709"/>
    <w:rsid w:val="00284B70"/>
    <w:rsid w:val="00291691"/>
    <w:rsid w:val="002939B4"/>
    <w:rsid w:val="00295B2D"/>
    <w:rsid w:val="00296AA3"/>
    <w:rsid w:val="002A133C"/>
    <w:rsid w:val="002A3D43"/>
    <w:rsid w:val="002C052B"/>
    <w:rsid w:val="002C1FA8"/>
    <w:rsid w:val="002C60AD"/>
    <w:rsid w:val="002C74B0"/>
    <w:rsid w:val="002C7F45"/>
    <w:rsid w:val="002D36DA"/>
    <w:rsid w:val="002D6EFF"/>
    <w:rsid w:val="002D76CF"/>
    <w:rsid w:val="002E52A1"/>
    <w:rsid w:val="002E5310"/>
    <w:rsid w:val="00302D3E"/>
    <w:rsid w:val="003076E0"/>
    <w:rsid w:val="003107C9"/>
    <w:rsid w:val="00311067"/>
    <w:rsid w:val="003129DC"/>
    <w:rsid w:val="003145A5"/>
    <w:rsid w:val="003155A5"/>
    <w:rsid w:val="003161CE"/>
    <w:rsid w:val="00316658"/>
    <w:rsid w:val="0031694F"/>
    <w:rsid w:val="00321D6D"/>
    <w:rsid w:val="003262C7"/>
    <w:rsid w:val="00326ECB"/>
    <w:rsid w:val="00330AB6"/>
    <w:rsid w:val="003333AF"/>
    <w:rsid w:val="00335DE6"/>
    <w:rsid w:val="003367EE"/>
    <w:rsid w:val="00342477"/>
    <w:rsid w:val="0034311D"/>
    <w:rsid w:val="00353AE0"/>
    <w:rsid w:val="00372277"/>
    <w:rsid w:val="003729A6"/>
    <w:rsid w:val="00381BC0"/>
    <w:rsid w:val="003829FE"/>
    <w:rsid w:val="00382F4F"/>
    <w:rsid w:val="0039064D"/>
    <w:rsid w:val="003908FA"/>
    <w:rsid w:val="0039324D"/>
    <w:rsid w:val="003962B1"/>
    <w:rsid w:val="003A2DE3"/>
    <w:rsid w:val="003A61DE"/>
    <w:rsid w:val="003A71FE"/>
    <w:rsid w:val="003B2E3D"/>
    <w:rsid w:val="003B4A6B"/>
    <w:rsid w:val="003C1982"/>
    <w:rsid w:val="003C70ED"/>
    <w:rsid w:val="003D0725"/>
    <w:rsid w:val="003D7851"/>
    <w:rsid w:val="003D7CE7"/>
    <w:rsid w:val="003E29F3"/>
    <w:rsid w:val="003F10C8"/>
    <w:rsid w:val="003F3A03"/>
    <w:rsid w:val="003F5AC0"/>
    <w:rsid w:val="0040287B"/>
    <w:rsid w:val="00403DE9"/>
    <w:rsid w:val="004073B3"/>
    <w:rsid w:val="00410006"/>
    <w:rsid w:val="00413C91"/>
    <w:rsid w:val="00414CEC"/>
    <w:rsid w:val="00415A60"/>
    <w:rsid w:val="004202B5"/>
    <w:rsid w:val="004203AB"/>
    <w:rsid w:val="00422D4A"/>
    <w:rsid w:val="00424A0C"/>
    <w:rsid w:val="0042572F"/>
    <w:rsid w:val="0043080F"/>
    <w:rsid w:val="00432A1F"/>
    <w:rsid w:val="004336EF"/>
    <w:rsid w:val="0043488A"/>
    <w:rsid w:val="00440F19"/>
    <w:rsid w:val="004506BE"/>
    <w:rsid w:val="0045299B"/>
    <w:rsid w:val="004533D1"/>
    <w:rsid w:val="00455B73"/>
    <w:rsid w:val="00457596"/>
    <w:rsid w:val="00462366"/>
    <w:rsid w:val="004629D5"/>
    <w:rsid w:val="00467E7A"/>
    <w:rsid w:val="00470F61"/>
    <w:rsid w:val="004719CF"/>
    <w:rsid w:val="0047340A"/>
    <w:rsid w:val="00491337"/>
    <w:rsid w:val="0049223A"/>
    <w:rsid w:val="00492496"/>
    <w:rsid w:val="00493BA3"/>
    <w:rsid w:val="00494271"/>
    <w:rsid w:val="004942F5"/>
    <w:rsid w:val="0049694C"/>
    <w:rsid w:val="004A363E"/>
    <w:rsid w:val="004B0F56"/>
    <w:rsid w:val="004B3148"/>
    <w:rsid w:val="004B365D"/>
    <w:rsid w:val="004B4CFF"/>
    <w:rsid w:val="004B6A92"/>
    <w:rsid w:val="004C13C6"/>
    <w:rsid w:val="004C13E9"/>
    <w:rsid w:val="004C43A4"/>
    <w:rsid w:val="004D20EE"/>
    <w:rsid w:val="004D2666"/>
    <w:rsid w:val="004D7489"/>
    <w:rsid w:val="004D7840"/>
    <w:rsid w:val="004E29F5"/>
    <w:rsid w:val="004E2E87"/>
    <w:rsid w:val="004E34F2"/>
    <w:rsid w:val="004E3AF1"/>
    <w:rsid w:val="004E4165"/>
    <w:rsid w:val="004F009B"/>
    <w:rsid w:val="004F207A"/>
    <w:rsid w:val="005027B4"/>
    <w:rsid w:val="0050357D"/>
    <w:rsid w:val="0050477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3972"/>
    <w:rsid w:val="005472A5"/>
    <w:rsid w:val="00550C78"/>
    <w:rsid w:val="00551DFD"/>
    <w:rsid w:val="00552952"/>
    <w:rsid w:val="00556A44"/>
    <w:rsid w:val="00560A87"/>
    <w:rsid w:val="00561291"/>
    <w:rsid w:val="0056541D"/>
    <w:rsid w:val="005654AC"/>
    <w:rsid w:val="005670C9"/>
    <w:rsid w:val="00567462"/>
    <w:rsid w:val="00567D9E"/>
    <w:rsid w:val="0057211C"/>
    <w:rsid w:val="00573277"/>
    <w:rsid w:val="00575D97"/>
    <w:rsid w:val="00582E12"/>
    <w:rsid w:val="00593BDC"/>
    <w:rsid w:val="0059545D"/>
    <w:rsid w:val="005A2E6F"/>
    <w:rsid w:val="005A6D6C"/>
    <w:rsid w:val="005A6ED8"/>
    <w:rsid w:val="005B019C"/>
    <w:rsid w:val="005B3CB6"/>
    <w:rsid w:val="005C2D90"/>
    <w:rsid w:val="005C5DA2"/>
    <w:rsid w:val="005D6837"/>
    <w:rsid w:val="005D7C3D"/>
    <w:rsid w:val="005E2D1E"/>
    <w:rsid w:val="005E3B88"/>
    <w:rsid w:val="005E61F9"/>
    <w:rsid w:val="005E744D"/>
    <w:rsid w:val="005E7CE3"/>
    <w:rsid w:val="005F3BA5"/>
    <w:rsid w:val="005F589F"/>
    <w:rsid w:val="005F78E8"/>
    <w:rsid w:val="0060301F"/>
    <w:rsid w:val="00603EEC"/>
    <w:rsid w:val="0060652F"/>
    <w:rsid w:val="006069E0"/>
    <w:rsid w:val="00611C2D"/>
    <w:rsid w:val="00617EEA"/>
    <w:rsid w:val="00626F2D"/>
    <w:rsid w:val="00627316"/>
    <w:rsid w:val="00636209"/>
    <w:rsid w:val="0064157C"/>
    <w:rsid w:val="00653904"/>
    <w:rsid w:val="0065606C"/>
    <w:rsid w:val="006625BF"/>
    <w:rsid w:val="0066301E"/>
    <w:rsid w:val="00664E7A"/>
    <w:rsid w:val="006679B5"/>
    <w:rsid w:val="00667ED8"/>
    <w:rsid w:val="00671DB1"/>
    <w:rsid w:val="00672440"/>
    <w:rsid w:val="00674B33"/>
    <w:rsid w:val="0067564A"/>
    <w:rsid w:val="00696D0B"/>
    <w:rsid w:val="006A7E2E"/>
    <w:rsid w:val="006B0582"/>
    <w:rsid w:val="006B25FE"/>
    <w:rsid w:val="006B2F1C"/>
    <w:rsid w:val="006B428F"/>
    <w:rsid w:val="006B4A01"/>
    <w:rsid w:val="006B5B2D"/>
    <w:rsid w:val="006B5E23"/>
    <w:rsid w:val="006B6DE4"/>
    <w:rsid w:val="006C425B"/>
    <w:rsid w:val="006C5037"/>
    <w:rsid w:val="006C59BD"/>
    <w:rsid w:val="006D0624"/>
    <w:rsid w:val="006D21B1"/>
    <w:rsid w:val="006D2E8E"/>
    <w:rsid w:val="006D7649"/>
    <w:rsid w:val="006D7707"/>
    <w:rsid w:val="006E3322"/>
    <w:rsid w:val="006E6B2E"/>
    <w:rsid w:val="006F254F"/>
    <w:rsid w:val="006F4FF6"/>
    <w:rsid w:val="00701EE3"/>
    <w:rsid w:val="00703C57"/>
    <w:rsid w:val="00705C49"/>
    <w:rsid w:val="00706CE9"/>
    <w:rsid w:val="00711502"/>
    <w:rsid w:val="0071327A"/>
    <w:rsid w:val="007211E1"/>
    <w:rsid w:val="00723588"/>
    <w:rsid w:val="00723A84"/>
    <w:rsid w:val="00726DB9"/>
    <w:rsid w:val="00731723"/>
    <w:rsid w:val="00732BBD"/>
    <w:rsid w:val="00734566"/>
    <w:rsid w:val="007355F3"/>
    <w:rsid w:val="00736938"/>
    <w:rsid w:val="007370E1"/>
    <w:rsid w:val="00740175"/>
    <w:rsid w:val="007432D2"/>
    <w:rsid w:val="00746E4F"/>
    <w:rsid w:val="00750221"/>
    <w:rsid w:val="007534BD"/>
    <w:rsid w:val="0075653D"/>
    <w:rsid w:val="007571F3"/>
    <w:rsid w:val="00764A07"/>
    <w:rsid w:val="00764EED"/>
    <w:rsid w:val="00765FF6"/>
    <w:rsid w:val="007737FB"/>
    <w:rsid w:val="00775421"/>
    <w:rsid w:val="00776347"/>
    <w:rsid w:val="00776D56"/>
    <w:rsid w:val="0077725F"/>
    <w:rsid w:val="00780475"/>
    <w:rsid w:val="00782C46"/>
    <w:rsid w:val="00784D7A"/>
    <w:rsid w:val="00790D3F"/>
    <w:rsid w:val="007920CF"/>
    <w:rsid w:val="007945B6"/>
    <w:rsid w:val="00795823"/>
    <w:rsid w:val="007A3367"/>
    <w:rsid w:val="007A6E1B"/>
    <w:rsid w:val="007B135F"/>
    <w:rsid w:val="007B6149"/>
    <w:rsid w:val="007C0882"/>
    <w:rsid w:val="007C1043"/>
    <w:rsid w:val="007C4BE1"/>
    <w:rsid w:val="007D419F"/>
    <w:rsid w:val="007D6F29"/>
    <w:rsid w:val="007D735A"/>
    <w:rsid w:val="007E5B50"/>
    <w:rsid w:val="007F0584"/>
    <w:rsid w:val="007F11B8"/>
    <w:rsid w:val="007F14B9"/>
    <w:rsid w:val="007F3E5C"/>
    <w:rsid w:val="007F3EEA"/>
    <w:rsid w:val="007F71BE"/>
    <w:rsid w:val="00802845"/>
    <w:rsid w:val="00803299"/>
    <w:rsid w:val="008058FF"/>
    <w:rsid w:val="008165EA"/>
    <w:rsid w:val="00816907"/>
    <w:rsid w:val="00816CF0"/>
    <w:rsid w:val="0081790A"/>
    <w:rsid w:val="00821CF3"/>
    <w:rsid w:val="00822E96"/>
    <w:rsid w:val="00830A74"/>
    <w:rsid w:val="0083635F"/>
    <w:rsid w:val="00842FF3"/>
    <w:rsid w:val="00846C3B"/>
    <w:rsid w:val="00850C34"/>
    <w:rsid w:val="00850F04"/>
    <w:rsid w:val="0085285C"/>
    <w:rsid w:val="008543E1"/>
    <w:rsid w:val="0086068B"/>
    <w:rsid w:val="008620B4"/>
    <w:rsid w:val="00865910"/>
    <w:rsid w:val="00867B52"/>
    <w:rsid w:val="00870DBE"/>
    <w:rsid w:val="00873818"/>
    <w:rsid w:val="00873F7F"/>
    <w:rsid w:val="00874239"/>
    <w:rsid w:val="00877A6D"/>
    <w:rsid w:val="0088029A"/>
    <w:rsid w:val="00885551"/>
    <w:rsid w:val="00885938"/>
    <w:rsid w:val="00886903"/>
    <w:rsid w:val="00890F00"/>
    <w:rsid w:val="0089283A"/>
    <w:rsid w:val="00895A05"/>
    <w:rsid w:val="0089696C"/>
    <w:rsid w:val="008A12DA"/>
    <w:rsid w:val="008A5DB2"/>
    <w:rsid w:val="008B1A1A"/>
    <w:rsid w:val="008B1FF2"/>
    <w:rsid w:val="008B4BFE"/>
    <w:rsid w:val="008C42DF"/>
    <w:rsid w:val="008E0178"/>
    <w:rsid w:val="008F00E8"/>
    <w:rsid w:val="008F3574"/>
    <w:rsid w:val="00904A3E"/>
    <w:rsid w:val="009078EE"/>
    <w:rsid w:val="00907A65"/>
    <w:rsid w:val="00910B3D"/>
    <w:rsid w:val="00913362"/>
    <w:rsid w:val="00916593"/>
    <w:rsid w:val="00916DBA"/>
    <w:rsid w:val="009215B7"/>
    <w:rsid w:val="00923F45"/>
    <w:rsid w:val="009242EA"/>
    <w:rsid w:val="00924381"/>
    <w:rsid w:val="00925C1B"/>
    <w:rsid w:val="009314BE"/>
    <w:rsid w:val="00932281"/>
    <w:rsid w:val="00934D2C"/>
    <w:rsid w:val="00937875"/>
    <w:rsid w:val="009402A5"/>
    <w:rsid w:val="009416A1"/>
    <w:rsid w:val="009422D4"/>
    <w:rsid w:val="0094518E"/>
    <w:rsid w:val="00945BA6"/>
    <w:rsid w:val="00946E37"/>
    <w:rsid w:val="00952276"/>
    <w:rsid w:val="00953571"/>
    <w:rsid w:val="0096111A"/>
    <w:rsid w:val="00974A56"/>
    <w:rsid w:val="00976D34"/>
    <w:rsid w:val="00977C20"/>
    <w:rsid w:val="009838CF"/>
    <w:rsid w:val="00986A33"/>
    <w:rsid w:val="00991F79"/>
    <w:rsid w:val="00996906"/>
    <w:rsid w:val="00997435"/>
    <w:rsid w:val="00997A95"/>
    <w:rsid w:val="009A550B"/>
    <w:rsid w:val="009A58AB"/>
    <w:rsid w:val="009A5B98"/>
    <w:rsid w:val="009A67AF"/>
    <w:rsid w:val="009A6C69"/>
    <w:rsid w:val="009B206D"/>
    <w:rsid w:val="009B293C"/>
    <w:rsid w:val="009C0F45"/>
    <w:rsid w:val="009C64EC"/>
    <w:rsid w:val="009D05C1"/>
    <w:rsid w:val="009D15B0"/>
    <w:rsid w:val="009D7081"/>
    <w:rsid w:val="009E0E59"/>
    <w:rsid w:val="009E0F04"/>
    <w:rsid w:val="009E3402"/>
    <w:rsid w:val="009E3473"/>
    <w:rsid w:val="009E4101"/>
    <w:rsid w:val="009E49FB"/>
    <w:rsid w:val="009E5DAB"/>
    <w:rsid w:val="009F5450"/>
    <w:rsid w:val="009F7E02"/>
    <w:rsid w:val="00A0188A"/>
    <w:rsid w:val="00A01D8D"/>
    <w:rsid w:val="00A02ED9"/>
    <w:rsid w:val="00A044B5"/>
    <w:rsid w:val="00A04892"/>
    <w:rsid w:val="00A0798E"/>
    <w:rsid w:val="00A13335"/>
    <w:rsid w:val="00A134C2"/>
    <w:rsid w:val="00A15BB3"/>
    <w:rsid w:val="00A26126"/>
    <w:rsid w:val="00A270B9"/>
    <w:rsid w:val="00A30A00"/>
    <w:rsid w:val="00A351EC"/>
    <w:rsid w:val="00A37C98"/>
    <w:rsid w:val="00A41AB8"/>
    <w:rsid w:val="00A423C8"/>
    <w:rsid w:val="00A42B52"/>
    <w:rsid w:val="00A5314E"/>
    <w:rsid w:val="00A653BB"/>
    <w:rsid w:val="00A65574"/>
    <w:rsid w:val="00A677A4"/>
    <w:rsid w:val="00A70732"/>
    <w:rsid w:val="00A72822"/>
    <w:rsid w:val="00A74CBD"/>
    <w:rsid w:val="00A75E22"/>
    <w:rsid w:val="00A76206"/>
    <w:rsid w:val="00A83E9B"/>
    <w:rsid w:val="00A84377"/>
    <w:rsid w:val="00A93989"/>
    <w:rsid w:val="00A95136"/>
    <w:rsid w:val="00AA2955"/>
    <w:rsid w:val="00AB3FDB"/>
    <w:rsid w:val="00AB431D"/>
    <w:rsid w:val="00AB49FC"/>
    <w:rsid w:val="00AB4F81"/>
    <w:rsid w:val="00AC5372"/>
    <w:rsid w:val="00AC5F56"/>
    <w:rsid w:val="00AC65C2"/>
    <w:rsid w:val="00AF4E8C"/>
    <w:rsid w:val="00B01692"/>
    <w:rsid w:val="00B02887"/>
    <w:rsid w:val="00B12C14"/>
    <w:rsid w:val="00B235ED"/>
    <w:rsid w:val="00B24F71"/>
    <w:rsid w:val="00B251A2"/>
    <w:rsid w:val="00B25A6D"/>
    <w:rsid w:val="00B2605C"/>
    <w:rsid w:val="00B269B5"/>
    <w:rsid w:val="00B30435"/>
    <w:rsid w:val="00B314C5"/>
    <w:rsid w:val="00B331CF"/>
    <w:rsid w:val="00B35548"/>
    <w:rsid w:val="00B355DA"/>
    <w:rsid w:val="00B4425C"/>
    <w:rsid w:val="00B54516"/>
    <w:rsid w:val="00B57015"/>
    <w:rsid w:val="00B627D0"/>
    <w:rsid w:val="00B657AC"/>
    <w:rsid w:val="00B703D9"/>
    <w:rsid w:val="00B719E8"/>
    <w:rsid w:val="00B72BF0"/>
    <w:rsid w:val="00B730A9"/>
    <w:rsid w:val="00B75B52"/>
    <w:rsid w:val="00B76E03"/>
    <w:rsid w:val="00B84645"/>
    <w:rsid w:val="00B94992"/>
    <w:rsid w:val="00B971BC"/>
    <w:rsid w:val="00BB2FE6"/>
    <w:rsid w:val="00BB547F"/>
    <w:rsid w:val="00BC285D"/>
    <w:rsid w:val="00BD038E"/>
    <w:rsid w:val="00BD272F"/>
    <w:rsid w:val="00BE0542"/>
    <w:rsid w:val="00BE20D4"/>
    <w:rsid w:val="00BE5E61"/>
    <w:rsid w:val="00BE7595"/>
    <w:rsid w:val="00BF278F"/>
    <w:rsid w:val="00BF5D15"/>
    <w:rsid w:val="00BF7208"/>
    <w:rsid w:val="00BF752F"/>
    <w:rsid w:val="00C054C7"/>
    <w:rsid w:val="00C1421E"/>
    <w:rsid w:val="00C16784"/>
    <w:rsid w:val="00C23EC6"/>
    <w:rsid w:val="00C2637F"/>
    <w:rsid w:val="00C269B5"/>
    <w:rsid w:val="00C307D6"/>
    <w:rsid w:val="00C3290A"/>
    <w:rsid w:val="00C34176"/>
    <w:rsid w:val="00C36EEA"/>
    <w:rsid w:val="00C371D5"/>
    <w:rsid w:val="00C43F05"/>
    <w:rsid w:val="00C4655D"/>
    <w:rsid w:val="00C46CB2"/>
    <w:rsid w:val="00C47A15"/>
    <w:rsid w:val="00C508E4"/>
    <w:rsid w:val="00C5468E"/>
    <w:rsid w:val="00C54E4F"/>
    <w:rsid w:val="00C5742A"/>
    <w:rsid w:val="00C62834"/>
    <w:rsid w:val="00C63576"/>
    <w:rsid w:val="00C64B4D"/>
    <w:rsid w:val="00C72A91"/>
    <w:rsid w:val="00C746FA"/>
    <w:rsid w:val="00C776C3"/>
    <w:rsid w:val="00C8000C"/>
    <w:rsid w:val="00C84339"/>
    <w:rsid w:val="00C846DB"/>
    <w:rsid w:val="00C85723"/>
    <w:rsid w:val="00C87130"/>
    <w:rsid w:val="00C8767A"/>
    <w:rsid w:val="00C919D8"/>
    <w:rsid w:val="00CA08D7"/>
    <w:rsid w:val="00CA2B37"/>
    <w:rsid w:val="00CA3008"/>
    <w:rsid w:val="00CB0F42"/>
    <w:rsid w:val="00CB57EB"/>
    <w:rsid w:val="00CC4686"/>
    <w:rsid w:val="00CC71B4"/>
    <w:rsid w:val="00CC7ED5"/>
    <w:rsid w:val="00CD1620"/>
    <w:rsid w:val="00CE4FC8"/>
    <w:rsid w:val="00CE5364"/>
    <w:rsid w:val="00CE6A40"/>
    <w:rsid w:val="00CE6C5B"/>
    <w:rsid w:val="00D00B95"/>
    <w:rsid w:val="00D0472A"/>
    <w:rsid w:val="00D05F1A"/>
    <w:rsid w:val="00D06ABB"/>
    <w:rsid w:val="00D13563"/>
    <w:rsid w:val="00D13C3D"/>
    <w:rsid w:val="00D14A43"/>
    <w:rsid w:val="00D150F0"/>
    <w:rsid w:val="00D22C1E"/>
    <w:rsid w:val="00D31746"/>
    <w:rsid w:val="00D346A9"/>
    <w:rsid w:val="00D411E6"/>
    <w:rsid w:val="00D44153"/>
    <w:rsid w:val="00D443FF"/>
    <w:rsid w:val="00D46507"/>
    <w:rsid w:val="00D514A5"/>
    <w:rsid w:val="00D57F45"/>
    <w:rsid w:val="00D63FF1"/>
    <w:rsid w:val="00D70462"/>
    <w:rsid w:val="00D71E68"/>
    <w:rsid w:val="00D75C3F"/>
    <w:rsid w:val="00D76320"/>
    <w:rsid w:val="00D8279D"/>
    <w:rsid w:val="00D82E7A"/>
    <w:rsid w:val="00D866A6"/>
    <w:rsid w:val="00D94305"/>
    <w:rsid w:val="00D97B2C"/>
    <w:rsid w:val="00DA16AE"/>
    <w:rsid w:val="00DB03AF"/>
    <w:rsid w:val="00DC0794"/>
    <w:rsid w:val="00DC1EB4"/>
    <w:rsid w:val="00DC1FE5"/>
    <w:rsid w:val="00DC5A17"/>
    <w:rsid w:val="00DC639E"/>
    <w:rsid w:val="00DC7D1C"/>
    <w:rsid w:val="00DD0A6A"/>
    <w:rsid w:val="00DD4CDB"/>
    <w:rsid w:val="00DD6A35"/>
    <w:rsid w:val="00DD7C5E"/>
    <w:rsid w:val="00DE68D4"/>
    <w:rsid w:val="00DF4A49"/>
    <w:rsid w:val="00DF4E20"/>
    <w:rsid w:val="00DF6357"/>
    <w:rsid w:val="00DF64A7"/>
    <w:rsid w:val="00DF652C"/>
    <w:rsid w:val="00E00C93"/>
    <w:rsid w:val="00E0415A"/>
    <w:rsid w:val="00E0543E"/>
    <w:rsid w:val="00E15924"/>
    <w:rsid w:val="00E15B13"/>
    <w:rsid w:val="00E17B79"/>
    <w:rsid w:val="00E17C0D"/>
    <w:rsid w:val="00E218E9"/>
    <w:rsid w:val="00E22EA6"/>
    <w:rsid w:val="00E3194B"/>
    <w:rsid w:val="00E33C52"/>
    <w:rsid w:val="00E33FB8"/>
    <w:rsid w:val="00E35136"/>
    <w:rsid w:val="00E35F9A"/>
    <w:rsid w:val="00E36B76"/>
    <w:rsid w:val="00E40A31"/>
    <w:rsid w:val="00E463F7"/>
    <w:rsid w:val="00E46433"/>
    <w:rsid w:val="00E46646"/>
    <w:rsid w:val="00E50E43"/>
    <w:rsid w:val="00E525E5"/>
    <w:rsid w:val="00E63E82"/>
    <w:rsid w:val="00E71C1D"/>
    <w:rsid w:val="00E71D46"/>
    <w:rsid w:val="00E71DB2"/>
    <w:rsid w:val="00E750F1"/>
    <w:rsid w:val="00E80852"/>
    <w:rsid w:val="00E822A7"/>
    <w:rsid w:val="00E83CCB"/>
    <w:rsid w:val="00E91C6E"/>
    <w:rsid w:val="00E928CB"/>
    <w:rsid w:val="00E930DA"/>
    <w:rsid w:val="00E93248"/>
    <w:rsid w:val="00EA0910"/>
    <w:rsid w:val="00EA35D2"/>
    <w:rsid w:val="00EA3BC2"/>
    <w:rsid w:val="00EA4000"/>
    <w:rsid w:val="00EA4F59"/>
    <w:rsid w:val="00EA5CA3"/>
    <w:rsid w:val="00EA7520"/>
    <w:rsid w:val="00EB0325"/>
    <w:rsid w:val="00EB03F0"/>
    <w:rsid w:val="00EC7F75"/>
    <w:rsid w:val="00ED065A"/>
    <w:rsid w:val="00ED27AA"/>
    <w:rsid w:val="00ED4BD7"/>
    <w:rsid w:val="00ED4CA9"/>
    <w:rsid w:val="00ED5076"/>
    <w:rsid w:val="00EE40A2"/>
    <w:rsid w:val="00EE425E"/>
    <w:rsid w:val="00EE6F16"/>
    <w:rsid w:val="00EF5435"/>
    <w:rsid w:val="00F002E1"/>
    <w:rsid w:val="00F00B5C"/>
    <w:rsid w:val="00F03828"/>
    <w:rsid w:val="00F04B76"/>
    <w:rsid w:val="00F064D9"/>
    <w:rsid w:val="00F06716"/>
    <w:rsid w:val="00F0728E"/>
    <w:rsid w:val="00F104E1"/>
    <w:rsid w:val="00F11BD4"/>
    <w:rsid w:val="00F21283"/>
    <w:rsid w:val="00F24689"/>
    <w:rsid w:val="00F247C9"/>
    <w:rsid w:val="00F25976"/>
    <w:rsid w:val="00F303F9"/>
    <w:rsid w:val="00F35708"/>
    <w:rsid w:val="00F37A07"/>
    <w:rsid w:val="00F476B3"/>
    <w:rsid w:val="00F5210C"/>
    <w:rsid w:val="00F548A8"/>
    <w:rsid w:val="00F6039B"/>
    <w:rsid w:val="00F6350D"/>
    <w:rsid w:val="00F6496C"/>
    <w:rsid w:val="00F703C2"/>
    <w:rsid w:val="00F7167B"/>
    <w:rsid w:val="00F75B13"/>
    <w:rsid w:val="00F779F9"/>
    <w:rsid w:val="00F80652"/>
    <w:rsid w:val="00F8531C"/>
    <w:rsid w:val="00F86C53"/>
    <w:rsid w:val="00F9117D"/>
    <w:rsid w:val="00FA410E"/>
    <w:rsid w:val="00FA6717"/>
    <w:rsid w:val="00FB14F1"/>
    <w:rsid w:val="00FB17A2"/>
    <w:rsid w:val="00FB1EC3"/>
    <w:rsid w:val="00FB2B02"/>
    <w:rsid w:val="00FB4311"/>
    <w:rsid w:val="00FB43DA"/>
    <w:rsid w:val="00FB5A3B"/>
    <w:rsid w:val="00FB6531"/>
    <w:rsid w:val="00FC19AC"/>
    <w:rsid w:val="00FC2DA3"/>
    <w:rsid w:val="00FC4848"/>
    <w:rsid w:val="00FC5034"/>
    <w:rsid w:val="00FC786E"/>
    <w:rsid w:val="00FC7A92"/>
    <w:rsid w:val="00FD19B0"/>
    <w:rsid w:val="00FD20A4"/>
    <w:rsid w:val="00FD76E4"/>
    <w:rsid w:val="00FE03EB"/>
    <w:rsid w:val="00FE0D77"/>
    <w:rsid w:val="00FE117E"/>
    <w:rsid w:val="00FF064B"/>
    <w:rsid w:val="00FF28D2"/>
    <w:rsid w:val="00FF2C76"/>
    <w:rsid w:val="00FF65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6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A6717"/>
  </w:style>
  <w:style w:type="paragraph" w:customStyle="1" w:styleId="C6B2E300D7DE4EDAB90DAFE6993F569B">
    <w:name w:val="C6B2E300D7DE4EDAB90DAFE6993F569B"/>
    <w:rsid w:val="00C776C3"/>
    <w:pPr>
      <w:widowControl w:val="0"/>
      <w:jc w:val="both"/>
    </w:pPr>
  </w:style>
  <w:style w:type="paragraph" w:customStyle="1" w:styleId="2BBC6F65C72A4E87AD04B1DCB493E048">
    <w:name w:val="2BBC6F65C72A4E87AD04B1DCB493E048"/>
    <w:rsid w:val="00C776C3"/>
    <w:pPr>
      <w:widowControl w:val="0"/>
      <w:jc w:val="both"/>
    </w:pPr>
  </w:style>
  <w:style w:type="paragraph" w:customStyle="1" w:styleId="9423CC8172A64B339A08AD5FD27446A4">
    <w:name w:val="9423CC8172A64B339A08AD5FD27446A4"/>
    <w:rsid w:val="006625BF"/>
    <w:pPr>
      <w:widowControl w:val="0"/>
      <w:jc w:val="both"/>
    </w:pPr>
  </w:style>
  <w:style w:type="paragraph" w:customStyle="1" w:styleId="7801983B39084AE2B1022D5E0B2EFEA8">
    <w:name w:val="7801983B39084AE2B1022D5E0B2EFEA8"/>
    <w:rsid w:val="006625BF"/>
    <w:pPr>
      <w:widowControl w:val="0"/>
      <w:jc w:val="both"/>
    </w:pPr>
  </w:style>
  <w:style w:type="paragraph" w:customStyle="1" w:styleId="038F7D52F0A1482E881AFA2538F96341">
    <w:name w:val="038F7D52F0A1482E881AFA2538F96341"/>
    <w:rsid w:val="006625BF"/>
    <w:pPr>
      <w:widowControl w:val="0"/>
      <w:jc w:val="both"/>
    </w:pPr>
  </w:style>
  <w:style w:type="paragraph" w:customStyle="1" w:styleId="4B02D66897F04E04BC0D9B5F9E775C5B">
    <w:name w:val="4B02D66897F04E04BC0D9B5F9E775C5B"/>
    <w:rsid w:val="006625BF"/>
    <w:pPr>
      <w:widowControl w:val="0"/>
      <w:jc w:val="both"/>
    </w:pPr>
  </w:style>
  <w:style w:type="paragraph" w:customStyle="1" w:styleId="E4588CFB96EB4FBA93F5EE50FD364CB1">
    <w:name w:val="E4588CFB96EB4FBA93F5EE50FD364CB1"/>
    <w:rsid w:val="00952276"/>
    <w:pPr>
      <w:widowControl w:val="0"/>
      <w:jc w:val="both"/>
    </w:pPr>
  </w:style>
  <w:style w:type="paragraph" w:customStyle="1" w:styleId="1916DC16912542EFBAA5BEE56D1DC7E8">
    <w:name w:val="1916DC16912542EFBAA5BEE56D1DC7E8"/>
    <w:rsid w:val="00952276"/>
    <w:pPr>
      <w:widowControl w:val="0"/>
      <w:jc w:val="both"/>
    </w:pPr>
  </w:style>
  <w:style w:type="paragraph" w:customStyle="1" w:styleId="5434A81F81094469B477618E3A465472">
    <w:name w:val="5434A81F81094469B477618E3A465472"/>
    <w:rsid w:val="00FB1EC3"/>
    <w:pPr>
      <w:widowControl w:val="0"/>
      <w:jc w:val="both"/>
    </w:pPr>
  </w:style>
  <w:style w:type="paragraph" w:customStyle="1" w:styleId="93C9781BB0CE4566980383CBAD572B37">
    <w:name w:val="93C9781BB0CE4566980383CBAD572B37"/>
    <w:rsid w:val="00FB1EC3"/>
    <w:pPr>
      <w:widowControl w:val="0"/>
      <w:jc w:val="both"/>
    </w:pPr>
  </w:style>
  <w:style w:type="paragraph" w:customStyle="1" w:styleId="D23337C70B0541B79B7B1F6C1746189A">
    <w:name w:val="D23337C70B0541B79B7B1F6C1746189A"/>
    <w:rsid w:val="00764EED"/>
    <w:pPr>
      <w:widowControl w:val="0"/>
      <w:jc w:val="both"/>
    </w:pPr>
  </w:style>
  <w:style w:type="paragraph" w:customStyle="1" w:styleId="91FF5304B3F646E2AA3BA83D130F2D69">
    <w:name w:val="91FF5304B3F646E2AA3BA83D130F2D69"/>
    <w:rsid w:val="00764EED"/>
    <w:pPr>
      <w:widowControl w:val="0"/>
      <w:jc w:val="both"/>
    </w:pPr>
  </w:style>
  <w:style w:type="paragraph" w:customStyle="1" w:styleId="E08516E884494DA88C487E93A146ED68">
    <w:name w:val="E08516E884494DA88C487E93A146ED68"/>
    <w:rsid w:val="002350AA"/>
    <w:pPr>
      <w:widowControl w:val="0"/>
      <w:jc w:val="both"/>
    </w:pPr>
  </w:style>
  <w:style w:type="paragraph" w:customStyle="1" w:styleId="6B567E00023048A5946C8EE14EC4DDE2">
    <w:name w:val="6B567E00023048A5946C8EE14EC4DDE2"/>
    <w:rsid w:val="002350AA"/>
    <w:pPr>
      <w:widowControl w:val="0"/>
      <w:jc w:val="both"/>
    </w:pPr>
  </w:style>
  <w:style w:type="paragraph" w:customStyle="1" w:styleId="A54A8EAA52314BD5BB7BF28926A40DE4">
    <w:name w:val="A54A8EAA52314BD5BB7BF28926A40DE4"/>
    <w:rsid w:val="00795823"/>
    <w:pPr>
      <w:widowControl w:val="0"/>
      <w:jc w:val="both"/>
    </w:pPr>
  </w:style>
  <w:style w:type="paragraph" w:customStyle="1" w:styleId="318262AFAB7D4CC199DB50D5EDA41AF4">
    <w:name w:val="318262AFAB7D4CC199DB50D5EDA41AF4"/>
    <w:rsid w:val="00795823"/>
    <w:pPr>
      <w:widowControl w:val="0"/>
      <w:jc w:val="both"/>
    </w:pPr>
  </w:style>
  <w:style w:type="paragraph" w:customStyle="1" w:styleId="2D09A2672447405C91A03EB6860FE945">
    <w:name w:val="2D09A2672447405C91A03EB6860FE945"/>
    <w:rsid w:val="00795823"/>
    <w:pPr>
      <w:widowControl w:val="0"/>
      <w:jc w:val="both"/>
    </w:pPr>
  </w:style>
  <w:style w:type="paragraph" w:customStyle="1" w:styleId="D1A056B75DE94EB385417C9C6522D254">
    <w:name w:val="D1A056B75DE94EB385417C9C6522D254"/>
    <w:rsid w:val="00795823"/>
    <w:pPr>
      <w:widowControl w:val="0"/>
      <w:jc w:val="both"/>
    </w:pPr>
  </w:style>
  <w:style w:type="paragraph" w:customStyle="1" w:styleId="18D8ED64125B4AB9825BC1B1751AF7C5">
    <w:name w:val="18D8ED64125B4AB9825BC1B1751AF7C5"/>
    <w:rsid w:val="00795823"/>
    <w:pPr>
      <w:widowControl w:val="0"/>
      <w:jc w:val="both"/>
    </w:pPr>
  </w:style>
  <w:style w:type="paragraph" w:customStyle="1" w:styleId="EB62EE8EC9FD4F0D8C4F3284B9208BB5">
    <w:name w:val="EB62EE8EC9FD4F0D8C4F3284B9208BB5"/>
    <w:rsid w:val="00795823"/>
    <w:pPr>
      <w:widowControl w:val="0"/>
      <w:jc w:val="both"/>
    </w:pPr>
  </w:style>
  <w:style w:type="paragraph" w:customStyle="1" w:styleId="C8D3A73292764AC3852295555221ECBF">
    <w:name w:val="C8D3A73292764AC3852295555221ECBF"/>
    <w:rsid w:val="00795823"/>
    <w:pPr>
      <w:widowControl w:val="0"/>
      <w:jc w:val="both"/>
    </w:pPr>
  </w:style>
  <w:style w:type="paragraph" w:customStyle="1" w:styleId="B7427AEA87BB4B7B8200237234DCD944">
    <w:name w:val="B7427AEA87BB4B7B8200237234DCD944"/>
    <w:rsid w:val="00795823"/>
    <w:pPr>
      <w:widowControl w:val="0"/>
      <w:jc w:val="both"/>
    </w:pPr>
  </w:style>
  <w:style w:type="paragraph" w:customStyle="1" w:styleId="B36294EFD9A84EAAAD5D83C35D302213">
    <w:name w:val="B36294EFD9A84EAAAD5D83C35D302213"/>
    <w:rsid w:val="00795823"/>
    <w:pPr>
      <w:widowControl w:val="0"/>
      <w:jc w:val="both"/>
    </w:pPr>
  </w:style>
  <w:style w:type="paragraph" w:customStyle="1" w:styleId="B9CBF3E718C6463E97987986965A8792">
    <w:name w:val="B9CBF3E718C6463E97987986965A8792"/>
    <w:rsid w:val="00795823"/>
    <w:pPr>
      <w:widowControl w:val="0"/>
      <w:jc w:val="both"/>
    </w:pPr>
  </w:style>
  <w:style w:type="paragraph" w:customStyle="1" w:styleId="D9E24E5CF4324C8B8F99A8659750ECB9">
    <w:name w:val="D9E24E5CF4324C8B8F99A8659750ECB9"/>
    <w:rsid w:val="00795823"/>
    <w:pPr>
      <w:widowControl w:val="0"/>
      <w:jc w:val="both"/>
    </w:pPr>
  </w:style>
  <w:style w:type="paragraph" w:customStyle="1" w:styleId="B2BEE2FF9CC24FC7B17A412517B36965">
    <w:name w:val="B2BEE2FF9CC24FC7B17A412517B36965"/>
    <w:rsid w:val="00795823"/>
    <w:pPr>
      <w:widowControl w:val="0"/>
      <w:jc w:val="both"/>
    </w:pPr>
  </w:style>
  <w:style w:type="paragraph" w:customStyle="1" w:styleId="29AC1F5D90A0413793D3599485EFF564">
    <w:name w:val="29AC1F5D90A0413793D3599485EFF564"/>
    <w:rsid w:val="00172CEA"/>
    <w:pPr>
      <w:widowControl w:val="0"/>
      <w:jc w:val="both"/>
    </w:pPr>
  </w:style>
  <w:style w:type="paragraph" w:customStyle="1" w:styleId="84FB0504CD73436EACC432EE216E2A1C">
    <w:name w:val="84FB0504CD73436EACC432EE216E2A1C"/>
    <w:rsid w:val="00172CEA"/>
    <w:pPr>
      <w:widowControl w:val="0"/>
      <w:jc w:val="both"/>
    </w:pPr>
  </w:style>
  <w:style w:type="paragraph" w:customStyle="1" w:styleId="DF262C9C35B54EFABC0A5E69AA860551">
    <w:name w:val="DF262C9C35B54EFABC0A5E69AA860551"/>
    <w:rsid w:val="00E463F7"/>
    <w:pPr>
      <w:widowControl w:val="0"/>
      <w:jc w:val="both"/>
    </w:pPr>
  </w:style>
  <w:style w:type="paragraph" w:customStyle="1" w:styleId="26580F16D0AC48DF98D89BAC304FCF34">
    <w:name w:val="26580F16D0AC48DF98D89BAC304FCF34"/>
    <w:rsid w:val="00E463F7"/>
    <w:pPr>
      <w:widowControl w:val="0"/>
      <w:jc w:val="both"/>
    </w:pPr>
  </w:style>
  <w:style w:type="paragraph" w:customStyle="1" w:styleId="4FF1D41669F8419D90F9CE5D8B5E34FE">
    <w:name w:val="4FF1D41669F8419D90F9CE5D8B5E34FE"/>
    <w:rsid w:val="00FA6717"/>
    <w:pPr>
      <w:widowControl w:val="0"/>
      <w:jc w:val="both"/>
    </w:pPr>
  </w:style>
  <w:style w:type="paragraph" w:customStyle="1" w:styleId="4C9E7E1680C344BDB5ED0BB126A3BE6F">
    <w:name w:val="4C9E7E1680C344BDB5ED0BB126A3BE6F"/>
    <w:rsid w:val="00FA671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招商证券股份有限公司</clcid-cgi:GongSiFaDingZhongWenMingCheng>
  <clcid-mr:GongSiFuZeRenXingMing xmlns:clcid-mr="clcid-mr">宫少林</clcid-mr:GongSiFuZeRenXingMing>
  <clcid-mr:ZhuGuanKuaiJiGongZuoFuZeRenXingMing xmlns:clcid-mr="clcid-mr">邓晓力 </clcid-mr:ZhuGuanKuaiJiGongZuoFuZeRenXingMing>
  <clcid-mr:KuaiJiJiGouFuZeRenXingMing xmlns:clcid-mr="clcid-mr">车晓昕</clcid-mr:KuaiJiJiGouFuZeRenXingMing>
  <clcid-cgi:GongSiFaDingDaiBiaoRen xmlns:clcid-cgi="clcid-cgi">宫少林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196,770.53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3,690,691.92</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97,816.68</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19,865,447.37</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-6,233,730.70</clcid-pte:FeiJingChangXingSunYiDeKouChuXiangMuDuiSuoDeShuiDeYingXiang>
  <clcid-pte:FeiJingChangXingSunYiDeKouChuXiangMuDuiSuoDeShuiDeYingXiangShuoMing xmlns:clcid-pte="clcid-pte"/>
  <clcid-pte:KouChuDeFeiJingChangXingSunYiHeJi xmlns:clcid-pte="clcid-pte">17,616,995.80</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b:binding>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]]></m:sse>
</m:mapping>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]]></t:sse>
</t:template>
</file>

<file path=customXml/itemProps1.xml><?xml version="1.0" encoding="utf-8"?>
<ds:datastoreItem xmlns:ds="http://schemas.openxmlformats.org/officeDocument/2006/customXml" ds:itemID="{98783471-03A4-493F-ACEA-A9A969C24811}">
  <ds:schemaRefs>
    <ds:schemaRef ds:uri="http://schemas.openxmlformats.org/officeDocument/2006/bibliography"/>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909E3E6F-630A-4EA9-813F-F4CF2E4565EE}">
  <ds:schemaRefs>
    <ds:schemaRef ds:uri="http://mapping.word.org/2012/mapping"/>
  </ds:schemaRefs>
</ds:datastoreItem>
</file>

<file path=customXml/itemProps5.xml><?xml version="1.0" encoding="utf-8"?>
<ds:datastoreItem xmlns:ds="http://schemas.openxmlformats.org/officeDocument/2006/customXml" ds:itemID="{CE9D1E8B-AE21-4F4D-877B-E8C7BE0A8CEC}">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9</TotalTime>
  <Pages>136</Pages>
  <Words>25698</Words>
  <Characters>146480</Characters>
  <Application>Microsoft Office Word</Application>
  <DocSecurity>0</DocSecurity>
  <Lines>1220</Lines>
  <Paragraphs>343</Paragraphs>
  <ScaleCrop>false</ScaleCrop>
  <Company>Sky123.Org</Company>
  <LinksUpToDate>false</LinksUpToDate>
  <CharactersWithSpaces>171835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khmd</cp:lastModifiedBy>
  <cp:revision>6</cp:revision>
  <cp:lastPrinted>2015-08-14T09:47:00Z</cp:lastPrinted>
  <dcterms:created xsi:type="dcterms:W3CDTF">2015-08-18T01:54:00Z</dcterms:created>
  <dcterms:modified xsi:type="dcterms:W3CDTF">2015-08-18T02:03:00Z</dcterms:modified>
</cp:coreProperties>
</file>