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8A" w:rsidRPr="00D56997" w:rsidRDefault="000D772C" w:rsidP="00D56997">
      <w:pPr>
        <w:spacing w:line="360" w:lineRule="auto"/>
        <w:jc w:val="center"/>
        <w:rPr>
          <w:rFonts w:asciiTheme="minorEastAsia" w:hAnsiTheme="minorEastAsia"/>
          <w:b/>
          <w:szCs w:val="21"/>
        </w:rPr>
      </w:pPr>
      <w:r>
        <w:rPr>
          <w:rFonts w:asciiTheme="minorEastAsia" w:hAnsiTheme="minorEastAsia" w:hint="eastAsia"/>
          <w:b/>
          <w:szCs w:val="21"/>
        </w:rPr>
        <w:t>上海证券交易所</w:t>
      </w:r>
      <w:r w:rsidR="00CB7CCE">
        <w:rPr>
          <w:rFonts w:asciiTheme="minorEastAsia" w:hAnsiTheme="minorEastAsia" w:hint="eastAsia"/>
          <w:b/>
          <w:szCs w:val="21"/>
        </w:rPr>
        <w:t>关于进一步加强</w:t>
      </w:r>
      <w:r w:rsidR="00111B91" w:rsidRPr="00D56997">
        <w:rPr>
          <w:rFonts w:asciiTheme="minorEastAsia" w:hAnsiTheme="minorEastAsia" w:hint="eastAsia"/>
          <w:b/>
          <w:szCs w:val="21"/>
        </w:rPr>
        <w:t>新股上市初期交易监管</w:t>
      </w:r>
      <w:r w:rsidR="00CB7CCE">
        <w:rPr>
          <w:rFonts w:asciiTheme="minorEastAsia" w:hAnsiTheme="minorEastAsia" w:hint="eastAsia"/>
          <w:b/>
          <w:szCs w:val="21"/>
        </w:rPr>
        <w:t>的重要</w:t>
      </w:r>
      <w:r w:rsidR="00111B91" w:rsidRPr="00D56997">
        <w:rPr>
          <w:rFonts w:asciiTheme="minorEastAsia" w:hAnsiTheme="minorEastAsia" w:hint="eastAsia"/>
          <w:b/>
          <w:szCs w:val="21"/>
        </w:rPr>
        <w:t>通知</w:t>
      </w:r>
    </w:p>
    <w:p w:rsidR="00111B91" w:rsidRPr="00111B91" w:rsidRDefault="000D772C" w:rsidP="00D56997">
      <w:pPr>
        <w:widowControl/>
        <w:spacing w:line="360" w:lineRule="auto"/>
        <w:jc w:val="left"/>
        <w:rPr>
          <w:rFonts w:asciiTheme="minorEastAsia" w:hAnsiTheme="minorEastAsia" w:cs="宋体"/>
          <w:color w:val="000000"/>
          <w:kern w:val="0"/>
          <w:szCs w:val="21"/>
        </w:rPr>
      </w:pPr>
      <w:r>
        <w:rPr>
          <w:rFonts w:asciiTheme="minorEastAsia" w:hAnsiTheme="minorEastAsia" w:cs="宋体" w:hint="eastAsia"/>
          <w:b/>
          <w:bCs/>
          <w:color w:val="000000"/>
          <w:kern w:val="0"/>
          <w:szCs w:val="21"/>
        </w:rPr>
        <w:t>各市场参与人</w:t>
      </w:r>
      <w:r w:rsidR="00111B91" w:rsidRPr="00D56997">
        <w:rPr>
          <w:rFonts w:asciiTheme="minorEastAsia" w:hAnsiTheme="minorEastAsia" w:cs="宋体" w:hint="eastAsia"/>
          <w:b/>
          <w:bCs/>
          <w:color w:val="000000"/>
          <w:kern w:val="0"/>
          <w:szCs w:val="21"/>
        </w:rPr>
        <w:t>：</w:t>
      </w:r>
    </w:p>
    <w:p w:rsidR="00111B91" w:rsidRPr="00D56997" w:rsidRDefault="00111B91" w:rsidP="00D56997">
      <w:pPr>
        <w:spacing w:line="360" w:lineRule="auto"/>
        <w:ind w:firstLineChars="200" w:firstLine="420"/>
        <w:rPr>
          <w:rFonts w:asciiTheme="minorEastAsia" w:hAnsiTheme="minorEastAsia"/>
          <w:szCs w:val="21"/>
        </w:rPr>
      </w:pPr>
      <w:r w:rsidRPr="00D56997">
        <w:rPr>
          <w:rFonts w:asciiTheme="minorEastAsia" w:hAnsiTheme="minorEastAsia" w:hint="eastAsia"/>
          <w:szCs w:val="21"/>
        </w:rPr>
        <w:t>为了加强首次公开发行股票（以下简称“新股”）上市初期（上市后的前10个交易日）的交易监管工作，防控新股炒作，维护市场交易秩序，保护投资者合法权益，根据《上海证券交易所交易规则》等有关规定，上海证券交易所（以下简称“本所”）现就加强新股上市初期交易监管的有关事项通知如下：</w:t>
      </w:r>
    </w:p>
    <w:p w:rsidR="00111B91" w:rsidRPr="00D56997" w:rsidRDefault="00111B91" w:rsidP="00CB7CCE">
      <w:pPr>
        <w:spacing w:line="360" w:lineRule="auto"/>
        <w:ind w:firstLineChars="250" w:firstLine="525"/>
        <w:rPr>
          <w:rFonts w:asciiTheme="minorEastAsia" w:hAnsiTheme="minorEastAsia"/>
          <w:szCs w:val="21"/>
        </w:rPr>
      </w:pPr>
      <w:r w:rsidRPr="00D56997">
        <w:rPr>
          <w:rFonts w:asciiTheme="minorEastAsia" w:hAnsiTheme="minorEastAsia" w:hint="eastAsia"/>
          <w:szCs w:val="21"/>
        </w:rPr>
        <w:t>一、新股上市首日，投资者的有效申报价格应当</w:t>
      </w:r>
      <w:r w:rsidR="00CB7CCE">
        <w:rPr>
          <w:rFonts w:asciiTheme="minorEastAsia" w:hAnsiTheme="minorEastAsia" w:hint="eastAsia"/>
          <w:szCs w:val="21"/>
        </w:rPr>
        <w:t>符合</w:t>
      </w:r>
      <w:r w:rsidRPr="00D56997">
        <w:rPr>
          <w:rFonts w:asciiTheme="minorEastAsia" w:hAnsiTheme="minorEastAsia" w:hint="eastAsia"/>
          <w:szCs w:val="21"/>
        </w:rPr>
        <w:t>以下要求，超过有效申报价格范围的申报为无效申报</w:t>
      </w:r>
      <w:r w:rsidR="005634E2">
        <w:rPr>
          <w:rFonts w:asciiTheme="minorEastAsia" w:hAnsiTheme="minorEastAsia" w:hint="eastAsia"/>
          <w:szCs w:val="21"/>
        </w:rPr>
        <w:t>：</w:t>
      </w:r>
    </w:p>
    <w:p w:rsidR="00111B91" w:rsidRPr="00D56997" w:rsidRDefault="00111B91" w:rsidP="00CB7CCE">
      <w:pPr>
        <w:spacing w:line="360" w:lineRule="auto"/>
        <w:ind w:firstLineChars="150" w:firstLine="315"/>
        <w:rPr>
          <w:rFonts w:asciiTheme="minorEastAsia" w:hAnsiTheme="minorEastAsia"/>
          <w:szCs w:val="21"/>
        </w:rPr>
      </w:pPr>
      <w:r w:rsidRPr="00D56997">
        <w:rPr>
          <w:rFonts w:asciiTheme="minorEastAsia" w:hAnsiTheme="minorEastAsia" w:hint="eastAsia"/>
          <w:szCs w:val="21"/>
        </w:rPr>
        <w:t>（一）集合竞价阶段有效申报价格不得高于发行价格的120%且不得低于发行价格的80%；</w:t>
      </w:r>
    </w:p>
    <w:p w:rsidR="00111B91" w:rsidRDefault="00111B91" w:rsidP="00CB7CCE">
      <w:pPr>
        <w:spacing w:line="360" w:lineRule="auto"/>
        <w:ind w:firstLineChars="150" w:firstLine="315"/>
        <w:rPr>
          <w:rFonts w:asciiTheme="minorEastAsia" w:hAnsiTheme="minorEastAsia"/>
          <w:szCs w:val="21"/>
        </w:rPr>
      </w:pPr>
      <w:r w:rsidRPr="00D56997">
        <w:rPr>
          <w:rFonts w:asciiTheme="minorEastAsia" w:hAnsiTheme="minorEastAsia" w:hint="eastAsia"/>
          <w:szCs w:val="21"/>
        </w:rPr>
        <w:t>（二）连续竞价阶段有效申报价格不得高于</w:t>
      </w:r>
      <w:r w:rsidR="00813F0D">
        <w:rPr>
          <w:rFonts w:asciiTheme="minorEastAsia" w:hAnsiTheme="minorEastAsia" w:hint="eastAsia"/>
          <w:szCs w:val="21"/>
        </w:rPr>
        <w:t>发行</w:t>
      </w:r>
      <w:r w:rsidRPr="00D56997">
        <w:rPr>
          <w:rFonts w:asciiTheme="minorEastAsia" w:hAnsiTheme="minorEastAsia" w:hint="eastAsia"/>
          <w:szCs w:val="21"/>
        </w:rPr>
        <w:t>价格的144%且不得低于发行价格的64%。其中，14</w:t>
      </w:r>
      <w:r w:rsidR="00CB7CCE" w:rsidRPr="00D56997">
        <w:rPr>
          <w:rFonts w:asciiTheme="minorEastAsia" w:hAnsiTheme="minorEastAsia" w:hint="eastAsia"/>
          <w:szCs w:val="21"/>
        </w:rPr>
        <w:t>:</w:t>
      </w:r>
      <w:r w:rsidR="00CB7CCE">
        <w:rPr>
          <w:rFonts w:asciiTheme="minorEastAsia" w:hAnsiTheme="minorEastAsia" w:hint="eastAsia"/>
          <w:szCs w:val="21"/>
        </w:rPr>
        <w:t>5</w:t>
      </w:r>
      <w:r w:rsidRPr="00D56997">
        <w:rPr>
          <w:rFonts w:asciiTheme="minorEastAsia" w:hAnsiTheme="minorEastAsia" w:hint="eastAsia"/>
          <w:szCs w:val="21"/>
        </w:rPr>
        <w:t>5至15:00有效申报价格不得高于当日开盘价的120%且不得低于当日开盘价的80%。</w:t>
      </w:r>
    </w:p>
    <w:p w:rsidR="00CB7CCE" w:rsidRPr="00D56997" w:rsidRDefault="00CB7CCE" w:rsidP="00CB7CCE">
      <w:pPr>
        <w:spacing w:line="360" w:lineRule="auto"/>
        <w:ind w:firstLineChars="200" w:firstLine="420"/>
        <w:rPr>
          <w:rFonts w:asciiTheme="minorEastAsia" w:hAnsiTheme="minorEastAsia"/>
          <w:szCs w:val="21"/>
        </w:rPr>
      </w:pPr>
      <w:r>
        <w:rPr>
          <w:rFonts w:asciiTheme="minorEastAsia" w:hAnsiTheme="minorEastAsia" w:hint="eastAsia"/>
          <w:szCs w:val="21"/>
        </w:rPr>
        <w:t>集合竞价阶段未产生开盘价的，以当日第一笔成交价格作为开盘价。</w:t>
      </w:r>
    </w:p>
    <w:p w:rsidR="00380DF5" w:rsidRPr="00D56997" w:rsidRDefault="00380DF5" w:rsidP="005634E2">
      <w:pPr>
        <w:spacing w:line="360" w:lineRule="auto"/>
        <w:ind w:firstLineChars="200" w:firstLine="420"/>
        <w:rPr>
          <w:rFonts w:asciiTheme="minorEastAsia" w:hAnsiTheme="minorEastAsia"/>
          <w:szCs w:val="21"/>
        </w:rPr>
      </w:pPr>
      <w:r w:rsidRPr="00D56997">
        <w:rPr>
          <w:rFonts w:asciiTheme="minorEastAsia" w:hAnsiTheme="minorEastAsia" w:hint="eastAsia"/>
          <w:szCs w:val="21"/>
        </w:rPr>
        <w:t>二、新股上市首日连续竞价阶段，出现下列异常波动情形之一的，本所可以对其实施盘中临时停牌：</w:t>
      </w:r>
    </w:p>
    <w:p w:rsidR="00380DF5" w:rsidRPr="00D56997" w:rsidRDefault="00380DF5" w:rsidP="00CB7CCE">
      <w:pPr>
        <w:spacing w:line="360" w:lineRule="auto"/>
        <w:ind w:firstLineChars="150" w:firstLine="315"/>
        <w:rPr>
          <w:rFonts w:asciiTheme="minorEastAsia" w:hAnsiTheme="minorEastAsia"/>
          <w:szCs w:val="21"/>
        </w:rPr>
      </w:pPr>
      <w:r w:rsidRPr="00D56997">
        <w:rPr>
          <w:rFonts w:asciiTheme="minorEastAsia" w:hAnsiTheme="minorEastAsia" w:hint="eastAsia"/>
          <w:szCs w:val="21"/>
        </w:rPr>
        <w:t>（一）盘中成交价格较当日开盘价格首次上涨或下跌10%以上（含）；</w:t>
      </w:r>
    </w:p>
    <w:p w:rsidR="00380DF5" w:rsidRPr="00D56997" w:rsidRDefault="00380DF5" w:rsidP="00CB7CCE">
      <w:pPr>
        <w:spacing w:line="360" w:lineRule="auto"/>
        <w:ind w:firstLineChars="150" w:firstLine="315"/>
        <w:rPr>
          <w:rFonts w:asciiTheme="minorEastAsia" w:hAnsiTheme="minorEastAsia"/>
          <w:szCs w:val="21"/>
        </w:rPr>
      </w:pPr>
      <w:r w:rsidRPr="00D56997">
        <w:rPr>
          <w:rFonts w:asciiTheme="minorEastAsia" w:hAnsiTheme="minorEastAsia" w:hint="eastAsia"/>
          <w:szCs w:val="21"/>
        </w:rPr>
        <w:t>（二）盘中成交价格较当日开盘价上涨或下跌20%以上（含）。</w:t>
      </w:r>
    </w:p>
    <w:p w:rsidR="00380DF5" w:rsidRDefault="00380DF5" w:rsidP="005634E2">
      <w:pPr>
        <w:spacing w:line="360" w:lineRule="auto"/>
        <w:ind w:firstLineChars="200" w:firstLine="420"/>
        <w:rPr>
          <w:rFonts w:asciiTheme="minorEastAsia" w:hAnsiTheme="minorEastAsia"/>
          <w:szCs w:val="21"/>
        </w:rPr>
      </w:pPr>
      <w:r w:rsidRPr="00D56997">
        <w:rPr>
          <w:rFonts w:asciiTheme="minorEastAsia" w:hAnsiTheme="minorEastAsia" w:hint="eastAsia"/>
          <w:szCs w:val="21"/>
        </w:rPr>
        <w:t>因前款第（一）项停牌的，当日仅停牌一次，停牌持续时间为30分钟，停牌时间达到或超过14:55的，当日14：55</w:t>
      </w:r>
      <w:r w:rsidR="005634E2">
        <w:rPr>
          <w:rFonts w:asciiTheme="minorEastAsia" w:hAnsiTheme="minorEastAsia" w:hint="eastAsia"/>
          <w:szCs w:val="21"/>
        </w:rPr>
        <w:t>复</w:t>
      </w:r>
      <w:r w:rsidRPr="00D56997">
        <w:rPr>
          <w:rFonts w:asciiTheme="minorEastAsia" w:hAnsiTheme="minorEastAsia" w:hint="eastAsia"/>
          <w:szCs w:val="21"/>
        </w:rPr>
        <w:t>牌；因第（二）项停牌的，停牌时间持续至当日14:55。</w:t>
      </w:r>
    </w:p>
    <w:p w:rsidR="005634E2" w:rsidRPr="00D56997" w:rsidRDefault="005634E2" w:rsidP="005634E2">
      <w:pPr>
        <w:spacing w:line="360" w:lineRule="auto"/>
        <w:ind w:firstLineChars="200" w:firstLine="420"/>
        <w:rPr>
          <w:rFonts w:asciiTheme="minorEastAsia" w:hAnsiTheme="minorEastAsia"/>
          <w:szCs w:val="21"/>
        </w:rPr>
      </w:pPr>
      <w:r>
        <w:rPr>
          <w:rFonts w:asciiTheme="minorEastAsia" w:hAnsiTheme="minorEastAsia" w:hint="eastAsia"/>
          <w:szCs w:val="21"/>
        </w:rPr>
        <w:t>实施盘中临时停牌后，本所将通过官方网站（www.sse.com.cn）和卫星传输系统，对外公告具体的停牌及复牌时间。</w:t>
      </w:r>
    </w:p>
    <w:p w:rsidR="00380DF5" w:rsidRPr="00D56997" w:rsidRDefault="002F5049" w:rsidP="005634E2">
      <w:pPr>
        <w:spacing w:line="360" w:lineRule="auto"/>
        <w:ind w:firstLineChars="250" w:firstLine="525"/>
        <w:rPr>
          <w:rFonts w:asciiTheme="minorEastAsia" w:hAnsiTheme="minorEastAsia"/>
          <w:szCs w:val="21"/>
        </w:rPr>
      </w:pPr>
      <w:r w:rsidRPr="00D56997">
        <w:rPr>
          <w:rFonts w:asciiTheme="minorEastAsia" w:hAnsiTheme="minorEastAsia" w:hint="eastAsia"/>
          <w:szCs w:val="21"/>
        </w:rPr>
        <w:t>三、新股上市初期出现的下列交易行为属于异常交易行为，本所予以重点监控：</w:t>
      </w:r>
    </w:p>
    <w:p w:rsidR="002F5049" w:rsidRPr="00D56997" w:rsidRDefault="002F5049" w:rsidP="005634E2">
      <w:pPr>
        <w:spacing w:line="360" w:lineRule="auto"/>
        <w:ind w:firstLineChars="150" w:firstLine="315"/>
        <w:rPr>
          <w:rFonts w:asciiTheme="minorEastAsia" w:hAnsiTheme="minorEastAsia"/>
          <w:szCs w:val="21"/>
        </w:rPr>
      </w:pPr>
      <w:r w:rsidRPr="00D56997">
        <w:rPr>
          <w:rFonts w:asciiTheme="minorEastAsia" w:hAnsiTheme="minorEastAsia" w:hint="eastAsia"/>
          <w:szCs w:val="21"/>
        </w:rPr>
        <w:t>（一）同一证券账户或同一控制人</w:t>
      </w:r>
      <w:r w:rsidR="00D56997" w:rsidRPr="00D56997">
        <w:rPr>
          <w:rFonts w:asciiTheme="minorEastAsia" w:hAnsiTheme="minorEastAsia" w:hint="eastAsia"/>
          <w:szCs w:val="21"/>
        </w:rPr>
        <w:t>控制的多个证券账户，单日以竞价方式累计买入数量超过新股实际上市流通量1‰的；</w:t>
      </w:r>
    </w:p>
    <w:p w:rsidR="00D56997" w:rsidRPr="00D56997" w:rsidRDefault="00D56997" w:rsidP="005634E2">
      <w:pPr>
        <w:spacing w:line="360" w:lineRule="auto"/>
        <w:ind w:firstLineChars="150" w:firstLine="315"/>
        <w:rPr>
          <w:rFonts w:asciiTheme="minorEastAsia" w:hAnsiTheme="minorEastAsia"/>
          <w:szCs w:val="21"/>
        </w:rPr>
      </w:pPr>
      <w:r w:rsidRPr="00D56997">
        <w:rPr>
          <w:rFonts w:asciiTheme="minorEastAsia" w:hAnsiTheme="minorEastAsia" w:hint="eastAsia"/>
          <w:szCs w:val="21"/>
        </w:rPr>
        <w:t>（二）同一证券账户或同一控制人控制的多个证券账户进行日内反向交易或频繁隔日反向交易，且数量较大的；</w:t>
      </w:r>
    </w:p>
    <w:p w:rsidR="00D56997" w:rsidRPr="00D56997" w:rsidRDefault="00D56997" w:rsidP="005634E2">
      <w:pPr>
        <w:spacing w:line="360" w:lineRule="auto"/>
        <w:ind w:firstLineChars="150" w:firstLine="315"/>
        <w:rPr>
          <w:rFonts w:asciiTheme="minorEastAsia" w:hAnsiTheme="minorEastAsia"/>
          <w:szCs w:val="21"/>
        </w:rPr>
      </w:pPr>
      <w:r w:rsidRPr="00D56997">
        <w:rPr>
          <w:rFonts w:asciiTheme="minorEastAsia" w:hAnsiTheme="minorEastAsia" w:hint="eastAsia"/>
          <w:szCs w:val="21"/>
        </w:rPr>
        <w:t>（三）在集合竞价阶段或收盘前15分钟，通过高价申报、大额申报、连续申报、频繁申报撤单等方式，严重影响新股开盘价或者收盘价的；</w:t>
      </w:r>
    </w:p>
    <w:p w:rsidR="00D56997" w:rsidRPr="00D56997" w:rsidRDefault="00D56997" w:rsidP="000B41B5">
      <w:pPr>
        <w:spacing w:line="360" w:lineRule="auto"/>
        <w:ind w:firstLineChars="150" w:firstLine="315"/>
        <w:rPr>
          <w:rFonts w:asciiTheme="minorEastAsia" w:hAnsiTheme="minorEastAsia"/>
          <w:szCs w:val="21"/>
        </w:rPr>
      </w:pPr>
      <w:r w:rsidRPr="00D56997">
        <w:rPr>
          <w:rFonts w:asciiTheme="minorEastAsia" w:hAnsiTheme="minorEastAsia" w:hint="eastAsia"/>
          <w:szCs w:val="21"/>
        </w:rPr>
        <w:t>（四）在连续竞价阶段，当最新成交价接近日内最高成交价时，以不低于行情即时揭示的最低买入价格累计申报买入数量超过新股实际上市流通量0.2‰的；</w:t>
      </w:r>
    </w:p>
    <w:p w:rsidR="00D56997" w:rsidRPr="00D56997" w:rsidRDefault="00D56997" w:rsidP="00CE219E">
      <w:pPr>
        <w:spacing w:line="360" w:lineRule="auto"/>
        <w:ind w:firstLineChars="100" w:firstLine="210"/>
        <w:rPr>
          <w:rFonts w:asciiTheme="minorEastAsia" w:hAnsiTheme="minorEastAsia"/>
          <w:szCs w:val="21"/>
        </w:rPr>
      </w:pPr>
      <w:r w:rsidRPr="00D56997">
        <w:rPr>
          <w:rFonts w:asciiTheme="minorEastAsia" w:hAnsiTheme="minorEastAsia" w:hint="eastAsia"/>
          <w:szCs w:val="21"/>
        </w:rPr>
        <w:lastRenderedPageBreak/>
        <w:t>（五）申报买入价格高于申报时点之前的行情揭示最新价的2%，且数量较大的；</w:t>
      </w:r>
    </w:p>
    <w:p w:rsidR="00D56997" w:rsidRPr="00D56997" w:rsidRDefault="00D56997" w:rsidP="00CE219E">
      <w:pPr>
        <w:spacing w:line="360" w:lineRule="auto"/>
        <w:ind w:firstLineChars="100" w:firstLine="210"/>
        <w:rPr>
          <w:rFonts w:asciiTheme="minorEastAsia" w:hAnsiTheme="minorEastAsia"/>
          <w:szCs w:val="21"/>
        </w:rPr>
      </w:pPr>
      <w:r w:rsidRPr="00D56997">
        <w:rPr>
          <w:rFonts w:asciiTheme="minorEastAsia" w:hAnsiTheme="minorEastAsia" w:hint="eastAsia"/>
          <w:szCs w:val="21"/>
        </w:rPr>
        <w:t>（六）利用市价委托进行大额申报，严重影响新股交易价格的；</w:t>
      </w:r>
    </w:p>
    <w:p w:rsidR="00D56997" w:rsidRDefault="00D56997" w:rsidP="00CE219E">
      <w:pPr>
        <w:spacing w:line="360" w:lineRule="auto"/>
        <w:ind w:firstLineChars="100" w:firstLine="210"/>
        <w:rPr>
          <w:rFonts w:asciiTheme="minorEastAsia" w:hAnsiTheme="minorEastAsia" w:hint="eastAsia"/>
          <w:szCs w:val="21"/>
        </w:rPr>
      </w:pPr>
      <w:r w:rsidRPr="00D56997">
        <w:rPr>
          <w:rFonts w:asciiTheme="minorEastAsia" w:hAnsiTheme="minorEastAsia" w:hint="eastAsia"/>
          <w:szCs w:val="21"/>
        </w:rPr>
        <w:t>（七）本所认为需要重点监控的其他新股异常交易行为。</w:t>
      </w:r>
    </w:p>
    <w:p w:rsidR="000D772C" w:rsidRDefault="000D772C" w:rsidP="00CE219E">
      <w:pPr>
        <w:spacing w:line="360" w:lineRule="auto"/>
        <w:ind w:firstLineChars="200" w:firstLine="420"/>
        <w:rPr>
          <w:rFonts w:asciiTheme="minorEastAsia" w:hAnsiTheme="minorEastAsia" w:hint="eastAsia"/>
          <w:szCs w:val="21"/>
        </w:rPr>
      </w:pPr>
      <w:r>
        <w:rPr>
          <w:rFonts w:asciiTheme="minorEastAsia" w:hAnsiTheme="minorEastAsia" w:hint="eastAsia"/>
          <w:szCs w:val="21"/>
        </w:rPr>
        <w:t>四、本所可以根据市场需要，对本通知规定的有效价格申报范围、异常波动标准和异常交易行为标准进行调整。</w:t>
      </w:r>
    </w:p>
    <w:p w:rsidR="000D772C" w:rsidRDefault="000D772C" w:rsidP="00CE219E">
      <w:pPr>
        <w:spacing w:line="360" w:lineRule="auto"/>
        <w:ind w:firstLineChars="200" w:firstLine="420"/>
        <w:rPr>
          <w:rFonts w:asciiTheme="minorEastAsia" w:hAnsiTheme="minorEastAsia" w:hint="eastAsia"/>
          <w:szCs w:val="21"/>
        </w:rPr>
      </w:pPr>
      <w:r>
        <w:rPr>
          <w:rFonts w:asciiTheme="minorEastAsia" w:hAnsiTheme="minorEastAsia" w:hint="eastAsia"/>
          <w:szCs w:val="21"/>
        </w:rPr>
        <w:t>五、对存在本通知规定的异常交易行为的证券账户，本所可以单独或同事采取下列监管措施：</w:t>
      </w:r>
    </w:p>
    <w:p w:rsidR="000D772C" w:rsidRDefault="000D772C" w:rsidP="00CE219E">
      <w:pPr>
        <w:spacing w:line="360" w:lineRule="auto"/>
        <w:ind w:firstLineChars="150" w:firstLine="315"/>
        <w:rPr>
          <w:rFonts w:asciiTheme="minorEastAsia" w:hAnsiTheme="minorEastAsia" w:hint="eastAsia"/>
          <w:szCs w:val="21"/>
        </w:rPr>
      </w:pPr>
      <w:r>
        <w:rPr>
          <w:rFonts w:asciiTheme="minorEastAsia" w:hAnsiTheme="minorEastAsia" w:hint="eastAsia"/>
          <w:szCs w:val="21"/>
        </w:rPr>
        <w:t>（一）</w:t>
      </w:r>
      <w:r w:rsidR="00CE219E">
        <w:rPr>
          <w:rFonts w:asciiTheme="minorEastAsia" w:hAnsiTheme="minorEastAsia" w:hint="eastAsia"/>
          <w:szCs w:val="21"/>
        </w:rPr>
        <w:t>口头或书面警示；</w:t>
      </w:r>
    </w:p>
    <w:p w:rsidR="00CE219E" w:rsidRDefault="00CE219E" w:rsidP="00CE219E">
      <w:pPr>
        <w:spacing w:line="360" w:lineRule="auto"/>
        <w:ind w:firstLineChars="150" w:firstLine="315"/>
        <w:rPr>
          <w:rFonts w:asciiTheme="minorEastAsia" w:hAnsiTheme="minorEastAsia" w:hint="eastAsia"/>
          <w:szCs w:val="21"/>
        </w:rPr>
      </w:pPr>
      <w:r>
        <w:rPr>
          <w:rFonts w:asciiTheme="minorEastAsia" w:hAnsiTheme="minorEastAsia" w:hint="eastAsia"/>
          <w:szCs w:val="21"/>
        </w:rPr>
        <w:t>（二）要求提交合规交易承诺；</w:t>
      </w:r>
    </w:p>
    <w:p w:rsidR="00CE219E" w:rsidRDefault="00CE219E" w:rsidP="00CE219E">
      <w:pPr>
        <w:spacing w:line="360" w:lineRule="auto"/>
        <w:ind w:firstLineChars="150" w:firstLine="315"/>
        <w:rPr>
          <w:rFonts w:asciiTheme="minorEastAsia" w:hAnsiTheme="minorEastAsia" w:hint="eastAsia"/>
          <w:szCs w:val="21"/>
        </w:rPr>
      </w:pPr>
      <w:r>
        <w:rPr>
          <w:rFonts w:asciiTheme="minorEastAsia" w:hAnsiTheme="minorEastAsia" w:hint="eastAsia"/>
          <w:szCs w:val="21"/>
        </w:rPr>
        <w:t>（三）盘中暂停账户当日交易；</w:t>
      </w:r>
    </w:p>
    <w:p w:rsidR="00CE219E" w:rsidRDefault="00CE219E" w:rsidP="00CE219E">
      <w:pPr>
        <w:spacing w:line="360" w:lineRule="auto"/>
        <w:ind w:firstLineChars="150" w:firstLine="315"/>
        <w:rPr>
          <w:rFonts w:asciiTheme="minorEastAsia" w:hAnsiTheme="minorEastAsia" w:hint="eastAsia"/>
          <w:szCs w:val="21"/>
        </w:rPr>
      </w:pPr>
      <w:r>
        <w:rPr>
          <w:rFonts w:asciiTheme="minorEastAsia" w:hAnsiTheme="minorEastAsia" w:hint="eastAsia"/>
          <w:szCs w:val="21"/>
        </w:rPr>
        <w:t>（四）认定账户所有人为不合格投资者，限制其一定时期内参与新股上市初期的交易。</w:t>
      </w:r>
    </w:p>
    <w:p w:rsidR="00CE219E" w:rsidRDefault="00CE219E" w:rsidP="00CE219E">
      <w:pPr>
        <w:spacing w:line="360" w:lineRule="auto"/>
        <w:ind w:firstLineChars="200" w:firstLine="420"/>
        <w:rPr>
          <w:rFonts w:asciiTheme="minorEastAsia" w:hAnsiTheme="minorEastAsia" w:hint="eastAsia"/>
          <w:szCs w:val="21"/>
        </w:rPr>
      </w:pPr>
      <w:r>
        <w:rPr>
          <w:rFonts w:asciiTheme="minorEastAsia" w:hAnsiTheme="minorEastAsia" w:hint="eastAsia"/>
          <w:szCs w:val="21"/>
        </w:rPr>
        <w:t>对于情节严重的，本所将给与限制证券账户交易的纪律处分，并计入诚信档案；涉嫌违法的，将上报中国证监会查处。</w:t>
      </w:r>
    </w:p>
    <w:p w:rsidR="00CE219E" w:rsidRPr="00CE219E" w:rsidRDefault="00CE219E" w:rsidP="00D56997">
      <w:pPr>
        <w:spacing w:line="360" w:lineRule="auto"/>
        <w:rPr>
          <w:rFonts w:asciiTheme="minorEastAsia" w:hAnsiTheme="minorEastAsia"/>
          <w:szCs w:val="21"/>
        </w:rPr>
      </w:pPr>
    </w:p>
    <w:sectPr w:rsidR="00CE219E" w:rsidRPr="00CE219E" w:rsidSect="00FB67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FFA" w:rsidRDefault="00CF0FFA" w:rsidP="00111B91">
      <w:r>
        <w:separator/>
      </w:r>
    </w:p>
  </w:endnote>
  <w:endnote w:type="continuationSeparator" w:id="1">
    <w:p w:rsidR="00CF0FFA" w:rsidRDefault="00CF0FFA" w:rsidP="00111B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FFA" w:rsidRDefault="00CF0FFA" w:rsidP="00111B91">
      <w:r>
        <w:separator/>
      </w:r>
    </w:p>
  </w:footnote>
  <w:footnote w:type="continuationSeparator" w:id="1">
    <w:p w:rsidR="00CF0FFA" w:rsidRDefault="00CF0FFA" w:rsidP="00111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B91"/>
    <w:rsid w:val="000637E8"/>
    <w:rsid w:val="000B41B5"/>
    <w:rsid w:val="000D772C"/>
    <w:rsid w:val="00111B91"/>
    <w:rsid w:val="001B0C1F"/>
    <w:rsid w:val="002F5049"/>
    <w:rsid w:val="00380DF5"/>
    <w:rsid w:val="005634E2"/>
    <w:rsid w:val="00813F0D"/>
    <w:rsid w:val="00871E04"/>
    <w:rsid w:val="00B32BDB"/>
    <w:rsid w:val="00CB7CCE"/>
    <w:rsid w:val="00CE219E"/>
    <w:rsid w:val="00CF0FFA"/>
    <w:rsid w:val="00D56997"/>
    <w:rsid w:val="00D816CB"/>
    <w:rsid w:val="00F234EC"/>
    <w:rsid w:val="00FB6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1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1B91"/>
    <w:rPr>
      <w:sz w:val="18"/>
      <w:szCs w:val="18"/>
    </w:rPr>
  </w:style>
  <w:style w:type="paragraph" w:styleId="a4">
    <w:name w:val="footer"/>
    <w:basedOn w:val="a"/>
    <w:link w:val="Char0"/>
    <w:uiPriority w:val="99"/>
    <w:semiHidden/>
    <w:unhideWhenUsed/>
    <w:rsid w:val="00111B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1B91"/>
    <w:rPr>
      <w:sz w:val="18"/>
      <w:szCs w:val="18"/>
    </w:rPr>
  </w:style>
  <w:style w:type="character" w:styleId="a5">
    <w:name w:val="Strong"/>
    <w:basedOn w:val="a0"/>
    <w:uiPriority w:val="22"/>
    <w:qFormat/>
    <w:rsid w:val="00111B91"/>
    <w:rPr>
      <w:b/>
      <w:bCs/>
    </w:rPr>
  </w:style>
</w:styles>
</file>

<file path=word/webSettings.xml><?xml version="1.0" encoding="utf-8"?>
<w:webSettings xmlns:r="http://schemas.openxmlformats.org/officeDocument/2006/relationships" xmlns:w="http://schemas.openxmlformats.org/wordprocessingml/2006/main">
  <w:divs>
    <w:div w:id="283930618">
      <w:bodyDiv w:val="1"/>
      <w:marLeft w:val="0"/>
      <w:marRight w:val="0"/>
      <w:marTop w:val="0"/>
      <w:marBottom w:val="0"/>
      <w:divBdr>
        <w:top w:val="none" w:sz="0" w:space="0" w:color="auto"/>
        <w:left w:val="none" w:sz="0" w:space="0" w:color="auto"/>
        <w:bottom w:val="none" w:sz="0" w:space="0" w:color="auto"/>
        <w:right w:val="none" w:sz="0" w:space="0" w:color="auto"/>
      </w:divBdr>
      <w:divsChild>
        <w:div w:id="1792825517">
          <w:marLeft w:val="0"/>
          <w:marRight w:val="0"/>
          <w:marTop w:val="0"/>
          <w:marBottom w:val="0"/>
          <w:divBdr>
            <w:top w:val="none" w:sz="0" w:space="0" w:color="auto"/>
            <w:left w:val="none" w:sz="0" w:space="0" w:color="auto"/>
            <w:bottom w:val="none" w:sz="0" w:space="0" w:color="auto"/>
            <w:right w:val="none" w:sz="0" w:space="0" w:color="auto"/>
          </w:divBdr>
          <w:divsChild>
            <w:div w:id="1934972970">
              <w:marLeft w:val="0"/>
              <w:marRight w:val="0"/>
              <w:marTop w:val="0"/>
              <w:marBottom w:val="0"/>
              <w:divBdr>
                <w:top w:val="none" w:sz="0" w:space="0" w:color="auto"/>
                <w:left w:val="none" w:sz="0" w:space="0" w:color="auto"/>
                <w:bottom w:val="none" w:sz="0" w:space="0" w:color="auto"/>
                <w:right w:val="none" w:sz="0" w:space="0" w:color="auto"/>
              </w:divBdr>
              <w:divsChild>
                <w:div w:id="1992588330">
                  <w:marLeft w:val="0"/>
                  <w:marRight w:val="0"/>
                  <w:marTop w:val="0"/>
                  <w:marBottom w:val="0"/>
                  <w:divBdr>
                    <w:top w:val="none" w:sz="0" w:space="0" w:color="auto"/>
                    <w:left w:val="none" w:sz="0" w:space="0" w:color="auto"/>
                    <w:bottom w:val="none" w:sz="0" w:space="0" w:color="auto"/>
                    <w:right w:val="none" w:sz="0" w:space="0" w:color="auto"/>
                  </w:divBdr>
                  <w:divsChild>
                    <w:div w:id="707874101">
                      <w:marLeft w:val="0"/>
                      <w:marRight w:val="0"/>
                      <w:marTop w:val="0"/>
                      <w:marBottom w:val="0"/>
                      <w:divBdr>
                        <w:top w:val="none" w:sz="0" w:space="0" w:color="auto"/>
                        <w:left w:val="none" w:sz="0" w:space="0" w:color="auto"/>
                        <w:bottom w:val="none" w:sz="0" w:space="0" w:color="auto"/>
                        <w:right w:val="none" w:sz="0" w:space="0" w:color="auto"/>
                      </w:divBdr>
                      <w:divsChild>
                        <w:div w:id="1772437082">
                          <w:marLeft w:val="0"/>
                          <w:marRight w:val="0"/>
                          <w:marTop w:val="0"/>
                          <w:marBottom w:val="0"/>
                          <w:divBdr>
                            <w:top w:val="none" w:sz="0" w:space="0" w:color="auto"/>
                            <w:left w:val="none" w:sz="0" w:space="0" w:color="auto"/>
                            <w:bottom w:val="none" w:sz="0" w:space="0" w:color="auto"/>
                            <w:right w:val="none" w:sz="0" w:space="0" w:color="auto"/>
                          </w:divBdr>
                          <w:divsChild>
                            <w:div w:id="14113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ewqe</dc:creator>
  <cp:keywords/>
  <dc:description/>
  <cp:lastModifiedBy>ewqe</cp:lastModifiedBy>
  <cp:revision>4</cp:revision>
  <dcterms:created xsi:type="dcterms:W3CDTF">2014-01-03T07:08:00Z</dcterms:created>
  <dcterms:modified xsi:type="dcterms:W3CDTF">2014-01-07T07:08:00Z</dcterms:modified>
</cp:coreProperties>
</file>