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F9" w:rsidRPr="00C970F5" w:rsidRDefault="004D6441" w:rsidP="00E50514">
      <w:pPr>
        <w:spacing w:line="360" w:lineRule="auto"/>
        <w:jc w:val="center"/>
        <w:rPr>
          <w:rFonts w:asciiTheme="minorEastAsia" w:hAnsiTheme="minorEastAsia"/>
          <w:b/>
          <w:color w:val="000000" w:themeColor="text1"/>
          <w:sz w:val="18"/>
          <w:szCs w:val="18"/>
        </w:rPr>
      </w:pPr>
      <w:r w:rsidRPr="00C970F5">
        <w:rPr>
          <w:rFonts w:asciiTheme="minorEastAsia" w:hAnsiTheme="minorEastAsia" w:hint="eastAsia"/>
          <w:b/>
          <w:color w:val="000000" w:themeColor="text1"/>
          <w:sz w:val="18"/>
          <w:szCs w:val="18"/>
        </w:rPr>
        <w:t>深圳证券交所关于</w:t>
      </w:r>
      <w:r w:rsidR="007E11D3" w:rsidRPr="00C970F5">
        <w:rPr>
          <w:rFonts w:asciiTheme="minorEastAsia" w:hAnsiTheme="minorEastAsia" w:hint="eastAsia"/>
          <w:b/>
          <w:color w:val="000000" w:themeColor="text1"/>
          <w:sz w:val="18"/>
          <w:szCs w:val="18"/>
        </w:rPr>
        <w:t>股票退市常见问题</w:t>
      </w:r>
      <w:r w:rsidRPr="00C970F5">
        <w:rPr>
          <w:rFonts w:asciiTheme="minorEastAsia" w:hAnsiTheme="minorEastAsia" w:hint="eastAsia"/>
          <w:b/>
          <w:color w:val="000000" w:themeColor="text1"/>
          <w:sz w:val="18"/>
          <w:szCs w:val="18"/>
        </w:rPr>
        <w:t>Q&amp;A</w:t>
      </w:r>
    </w:p>
    <w:p w:rsidR="00A1660A" w:rsidRPr="00C970F5" w:rsidRDefault="00E50514" w:rsidP="00E50514">
      <w:pPr>
        <w:spacing w:line="360" w:lineRule="auto"/>
        <w:rPr>
          <w:rFonts w:asciiTheme="minorEastAsia" w:hAnsiTheme="minorEastAsia" w:cs="Arial" w:hint="eastAsia"/>
          <w:b/>
          <w:bCs/>
          <w:color w:val="000000" w:themeColor="text1"/>
          <w:sz w:val="18"/>
          <w:szCs w:val="18"/>
        </w:rPr>
      </w:pPr>
      <w:r w:rsidRPr="00C970F5">
        <w:rPr>
          <w:rFonts w:asciiTheme="minorEastAsia" w:hAnsiTheme="minorEastAsia" w:cs="Arial" w:hint="eastAsia"/>
          <w:b/>
          <w:bCs/>
          <w:color w:val="000000" w:themeColor="text1"/>
          <w:sz w:val="18"/>
          <w:szCs w:val="18"/>
        </w:rPr>
        <w:t>1、</w:t>
      </w:r>
      <w:r w:rsidR="00A1660A" w:rsidRPr="00C970F5">
        <w:rPr>
          <w:rFonts w:asciiTheme="minorEastAsia" w:hAnsiTheme="minorEastAsia" w:cs="Arial"/>
          <w:b/>
          <w:bCs/>
          <w:color w:val="000000" w:themeColor="text1"/>
          <w:sz w:val="18"/>
          <w:szCs w:val="18"/>
        </w:rPr>
        <w:t>股票退市整理期间的交易是否仍然实行涨跌幅限制？</w:t>
      </w:r>
    </w:p>
    <w:p w:rsidR="00A1660A" w:rsidRPr="00C970F5" w:rsidRDefault="00A1660A" w:rsidP="00E50514">
      <w:pPr>
        <w:widowControl/>
        <w:spacing w:line="360" w:lineRule="auto"/>
        <w:ind w:firstLineChars="200" w:firstLine="361"/>
        <w:jc w:val="left"/>
        <w:rPr>
          <w:rFonts w:asciiTheme="minorEastAsia" w:hAnsiTheme="minorEastAsia" w:cs="Meiryo"/>
          <w:color w:val="000000" w:themeColor="text1"/>
          <w:kern w:val="0"/>
          <w:sz w:val="18"/>
          <w:szCs w:val="18"/>
        </w:rPr>
      </w:pPr>
      <w:r w:rsidRPr="00C970F5">
        <w:rPr>
          <w:rFonts w:asciiTheme="minorEastAsia" w:hAnsiTheme="minorEastAsia" w:cs="Meiryo" w:hint="eastAsia"/>
          <w:b/>
          <w:bCs/>
          <w:color w:val="000000" w:themeColor="text1"/>
          <w:kern w:val="0"/>
          <w:sz w:val="18"/>
          <w:szCs w:val="18"/>
        </w:rPr>
        <w:t>答：</w:t>
      </w:r>
      <w:r w:rsidRPr="00C970F5">
        <w:rPr>
          <w:rFonts w:asciiTheme="minorEastAsia" w:hAnsiTheme="minorEastAsia" w:cs="Meiryo" w:hint="eastAsia"/>
          <w:color w:val="000000" w:themeColor="text1"/>
          <w:kern w:val="0"/>
          <w:sz w:val="18"/>
          <w:szCs w:val="18"/>
        </w:rPr>
        <w:t>深交所</w:t>
      </w:r>
      <w:r w:rsidRPr="00C970F5">
        <w:rPr>
          <w:rFonts w:asciiTheme="minorEastAsia" w:hAnsiTheme="minorEastAsia" w:cs="宋体" w:hint="eastAsia"/>
          <w:color w:val="000000" w:themeColor="text1"/>
          <w:kern w:val="0"/>
          <w:sz w:val="18"/>
          <w:szCs w:val="18"/>
        </w:rPr>
        <w:t>对</w:t>
      </w:r>
      <w:r w:rsidRPr="00C970F5">
        <w:rPr>
          <w:rFonts w:asciiTheme="minorEastAsia" w:hAnsiTheme="minorEastAsia" w:cs="Meiryo" w:hint="eastAsia"/>
          <w:color w:val="000000" w:themeColor="text1"/>
          <w:kern w:val="0"/>
          <w:sz w:val="18"/>
          <w:szCs w:val="18"/>
        </w:rPr>
        <w:t>股票退市整理期</w:t>
      </w:r>
      <w:r w:rsidRPr="00C970F5">
        <w:rPr>
          <w:rFonts w:asciiTheme="minorEastAsia" w:hAnsiTheme="minorEastAsia" w:cs="宋体" w:hint="eastAsia"/>
          <w:color w:val="000000" w:themeColor="text1"/>
          <w:kern w:val="0"/>
          <w:sz w:val="18"/>
          <w:szCs w:val="18"/>
        </w:rPr>
        <w:t>间</w:t>
      </w:r>
      <w:r w:rsidRPr="00C970F5">
        <w:rPr>
          <w:rFonts w:asciiTheme="minorEastAsia" w:hAnsiTheme="minorEastAsia" w:cs="Meiryo" w:hint="eastAsia"/>
          <w:color w:val="000000" w:themeColor="text1"/>
          <w:kern w:val="0"/>
          <w:sz w:val="18"/>
          <w:szCs w:val="18"/>
        </w:rPr>
        <w:t>的交易</w:t>
      </w:r>
      <w:r w:rsidRPr="00C970F5">
        <w:rPr>
          <w:rFonts w:asciiTheme="minorEastAsia" w:hAnsiTheme="minorEastAsia" w:cs="宋体" w:hint="eastAsia"/>
          <w:color w:val="000000" w:themeColor="text1"/>
          <w:kern w:val="0"/>
          <w:sz w:val="18"/>
          <w:szCs w:val="18"/>
        </w:rPr>
        <w:t>实</w:t>
      </w:r>
      <w:r w:rsidRPr="00C970F5">
        <w:rPr>
          <w:rFonts w:asciiTheme="minorEastAsia" w:hAnsiTheme="minorEastAsia" w:cs="Meiryo" w:hint="eastAsia"/>
          <w:color w:val="000000" w:themeColor="text1"/>
          <w:kern w:val="0"/>
          <w:sz w:val="18"/>
          <w:szCs w:val="18"/>
        </w:rPr>
        <w:t>行</w:t>
      </w:r>
      <w:r w:rsidRPr="00C970F5">
        <w:rPr>
          <w:rFonts w:asciiTheme="minorEastAsia" w:hAnsiTheme="minorEastAsia" w:cs="宋体" w:hint="eastAsia"/>
          <w:color w:val="000000" w:themeColor="text1"/>
          <w:kern w:val="0"/>
          <w:sz w:val="18"/>
          <w:szCs w:val="18"/>
        </w:rPr>
        <w:t>涨</w:t>
      </w:r>
      <w:r w:rsidRPr="00C970F5">
        <w:rPr>
          <w:rFonts w:asciiTheme="minorEastAsia" w:hAnsiTheme="minorEastAsia" w:cs="Meiryo" w:hint="eastAsia"/>
          <w:color w:val="000000" w:themeColor="text1"/>
          <w:kern w:val="0"/>
          <w:sz w:val="18"/>
          <w:szCs w:val="18"/>
        </w:rPr>
        <w:t>跌幅限制，</w:t>
      </w:r>
      <w:r w:rsidRPr="00C970F5">
        <w:rPr>
          <w:rFonts w:asciiTheme="minorEastAsia" w:hAnsiTheme="minorEastAsia" w:cs="宋体" w:hint="eastAsia"/>
          <w:color w:val="000000" w:themeColor="text1"/>
          <w:kern w:val="0"/>
          <w:sz w:val="18"/>
          <w:szCs w:val="18"/>
        </w:rPr>
        <w:t>涨</w:t>
      </w:r>
      <w:r w:rsidRPr="00C970F5">
        <w:rPr>
          <w:rFonts w:asciiTheme="minorEastAsia" w:hAnsiTheme="minorEastAsia" w:cs="Meiryo" w:hint="eastAsia"/>
          <w:color w:val="000000" w:themeColor="text1"/>
          <w:kern w:val="0"/>
          <w:sz w:val="18"/>
          <w:szCs w:val="18"/>
        </w:rPr>
        <w:t>跌幅限制比例</w:t>
      </w:r>
      <w:r w:rsidRPr="00C970F5">
        <w:rPr>
          <w:rFonts w:asciiTheme="minorEastAsia" w:hAnsiTheme="minorEastAsia" w:cs="宋体" w:hint="eastAsia"/>
          <w:color w:val="000000" w:themeColor="text1"/>
          <w:kern w:val="0"/>
          <w:sz w:val="18"/>
          <w:szCs w:val="18"/>
        </w:rPr>
        <w:t>为</w:t>
      </w:r>
      <w:r w:rsidRPr="00C970F5">
        <w:rPr>
          <w:rFonts w:asciiTheme="minorEastAsia" w:hAnsiTheme="minorEastAsia" w:cs="Meiryo" w:hint="eastAsia"/>
          <w:color w:val="000000" w:themeColor="text1"/>
          <w:kern w:val="0"/>
          <w:sz w:val="18"/>
          <w:szCs w:val="18"/>
        </w:rPr>
        <w:t>10%。ST和*ST等被</w:t>
      </w:r>
      <w:r w:rsidRPr="00C970F5">
        <w:rPr>
          <w:rFonts w:asciiTheme="minorEastAsia" w:hAnsiTheme="minorEastAsia" w:cs="宋体" w:hint="eastAsia"/>
          <w:color w:val="000000" w:themeColor="text1"/>
          <w:kern w:val="0"/>
          <w:sz w:val="18"/>
          <w:szCs w:val="18"/>
        </w:rPr>
        <w:t>实</w:t>
      </w:r>
      <w:r w:rsidRPr="00C970F5">
        <w:rPr>
          <w:rFonts w:asciiTheme="minorEastAsia" w:hAnsiTheme="minorEastAsia" w:cs="Meiryo" w:hint="eastAsia"/>
          <w:color w:val="000000" w:themeColor="text1"/>
          <w:kern w:val="0"/>
          <w:sz w:val="18"/>
          <w:szCs w:val="18"/>
        </w:rPr>
        <w:t>施特别</w:t>
      </w:r>
      <w:r w:rsidRPr="00C970F5">
        <w:rPr>
          <w:rFonts w:asciiTheme="minorEastAsia" w:hAnsiTheme="minorEastAsia" w:cs="宋体" w:hint="eastAsia"/>
          <w:color w:val="000000" w:themeColor="text1"/>
          <w:kern w:val="0"/>
          <w:sz w:val="18"/>
          <w:szCs w:val="18"/>
        </w:rPr>
        <w:t>处</w:t>
      </w:r>
      <w:r w:rsidRPr="00C970F5">
        <w:rPr>
          <w:rFonts w:asciiTheme="minorEastAsia" w:hAnsiTheme="minorEastAsia" w:cs="Meiryo" w:hint="eastAsia"/>
          <w:color w:val="000000" w:themeColor="text1"/>
          <w:kern w:val="0"/>
          <w:sz w:val="18"/>
          <w:szCs w:val="18"/>
        </w:rPr>
        <w:t>理的股票</w:t>
      </w:r>
      <w:r w:rsidRPr="00C970F5">
        <w:rPr>
          <w:rFonts w:asciiTheme="minorEastAsia" w:hAnsiTheme="minorEastAsia" w:cs="宋体" w:hint="eastAsia"/>
          <w:color w:val="000000" w:themeColor="text1"/>
          <w:kern w:val="0"/>
          <w:sz w:val="18"/>
          <w:szCs w:val="18"/>
        </w:rPr>
        <w:t>进</w:t>
      </w:r>
      <w:r w:rsidRPr="00C970F5">
        <w:rPr>
          <w:rFonts w:asciiTheme="minorEastAsia" w:hAnsiTheme="minorEastAsia" w:cs="Meiryo" w:hint="eastAsia"/>
          <w:color w:val="000000" w:themeColor="text1"/>
          <w:kern w:val="0"/>
          <w:sz w:val="18"/>
          <w:szCs w:val="18"/>
        </w:rPr>
        <w:t>入退市整理期后，</w:t>
      </w:r>
      <w:r w:rsidRPr="00C970F5">
        <w:rPr>
          <w:rFonts w:asciiTheme="minorEastAsia" w:hAnsiTheme="minorEastAsia" w:cs="宋体" w:hint="eastAsia"/>
          <w:color w:val="000000" w:themeColor="text1"/>
          <w:kern w:val="0"/>
          <w:sz w:val="18"/>
          <w:szCs w:val="18"/>
        </w:rPr>
        <w:t>涨</w:t>
      </w:r>
      <w:r w:rsidRPr="00C970F5">
        <w:rPr>
          <w:rFonts w:asciiTheme="minorEastAsia" w:hAnsiTheme="minorEastAsia" w:cs="Meiryo" w:hint="eastAsia"/>
          <w:color w:val="000000" w:themeColor="text1"/>
          <w:kern w:val="0"/>
          <w:sz w:val="18"/>
          <w:szCs w:val="18"/>
        </w:rPr>
        <w:t>跌幅限制比例将由5%</w:t>
      </w:r>
      <w:r w:rsidRPr="00C970F5">
        <w:rPr>
          <w:rFonts w:asciiTheme="minorEastAsia" w:hAnsiTheme="minorEastAsia" w:cs="宋体" w:hint="eastAsia"/>
          <w:color w:val="000000" w:themeColor="text1"/>
          <w:kern w:val="0"/>
          <w:sz w:val="18"/>
          <w:szCs w:val="18"/>
        </w:rPr>
        <w:t>调</w:t>
      </w:r>
      <w:r w:rsidRPr="00C970F5">
        <w:rPr>
          <w:rFonts w:asciiTheme="minorEastAsia" w:hAnsiTheme="minorEastAsia" w:cs="Meiryo" w:hint="eastAsia"/>
          <w:color w:val="000000" w:themeColor="text1"/>
          <w:kern w:val="0"/>
          <w:sz w:val="18"/>
          <w:szCs w:val="18"/>
        </w:rPr>
        <w:t>整</w:t>
      </w:r>
      <w:r w:rsidRPr="00C970F5">
        <w:rPr>
          <w:rFonts w:asciiTheme="minorEastAsia" w:hAnsiTheme="minorEastAsia" w:cs="宋体" w:hint="eastAsia"/>
          <w:color w:val="000000" w:themeColor="text1"/>
          <w:kern w:val="0"/>
          <w:sz w:val="18"/>
          <w:szCs w:val="18"/>
        </w:rPr>
        <w:t>为</w:t>
      </w:r>
      <w:r w:rsidRPr="00C970F5">
        <w:rPr>
          <w:rFonts w:asciiTheme="minorEastAsia" w:hAnsiTheme="minorEastAsia" w:cs="Meiryo" w:hint="eastAsia"/>
          <w:color w:val="000000" w:themeColor="text1"/>
          <w:kern w:val="0"/>
          <w:sz w:val="18"/>
          <w:szCs w:val="18"/>
        </w:rPr>
        <w:t>10%。</w:t>
      </w:r>
    </w:p>
    <w:p w:rsidR="00A1660A"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2、</w:t>
      </w:r>
      <w:r w:rsidR="00A1660A" w:rsidRPr="00C970F5">
        <w:rPr>
          <w:rFonts w:asciiTheme="minorEastAsia" w:hAnsiTheme="minorEastAsia"/>
          <w:b/>
          <w:bCs/>
          <w:color w:val="000000" w:themeColor="text1"/>
          <w:sz w:val="18"/>
          <w:szCs w:val="18"/>
        </w:rPr>
        <w:t>退市整理期的股票交易是否纳入深交所指数的计算？</w:t>
      </w:r>
    </w:p>
    <w:p w:rsidR="00A1660A" w:rsidRPr="00C970F5" w:rsidRDefault="00A1660A" w:rsidP="00E50514">
      <w:pPr>
        <w:widowControl/>
        <w:spacing w:line="360" w:lineRule="auto"/>
        <w:ind w:firstLineChars="200" w:firstLine="361"/>
        <w:jc w:val="left"/>
        <w:rPr>
          <w:rFonts w:asciiTheme="minorEastAsia" w:hAnsiTheme="minorEastAsia" w:cs="Meiryo"/>
          <w:color w:val="000000" w:themeColor="text1"/>
          <w:kern w:val="0"/>
          <w:sz w:val="18"/>
          <w:szCs w:val="18"/>
        </w:rPr>
      </w:pPr>
      <w:r w:rsidRPr="00C970F5">
        <w:rPr>
          <w:rFonts w:asciiTheme="minorEastAsia" w:hAnsiTheme="minorEastAsia" w:cs="Meiryo" w:hint="eastAsia"/>
          <w:b/>
          <w:bCs/>
          <w:color w:val="000000" w:themeColor="text1"/>
          <w:sz w:val="18"/>
          <w:szCs w:val="18"/>
        </w:rPr>
        <w:t>答：</w:t>
      </w:r>
      <w:r w:rsidRPr="00C970F5">
        <w:rPr>
          <w:rFonts w:asciiTheme="minorEastAsia" w:hAnsiTheme="minorEastAsia" w:cs="Meiryo" w:hint="eastAsia"/>
          <w:color w:val="000000" w:themeColor="text1"/>
          <w:kern w:val="0"/>
          <w:sz w:val="18"/>
          <w:szCs w:val="18"/>
        </w:rPr>
        <w:t>考</w:t>
      </w:r>
      <w:r w:rsidRPr="00C970F5">
        <w:rPr>
          <w:rFonts w:asciiTheme="minorEastAsia" w:hAnsiTheme="minorEastAsia" w:cs="宋体" w:hint="eastAsia"/>
          <w:color w:val="000000" w:themeColor="text1"/>
          <w:kern w:val="0"/>
          <w:sz w:val="18"/>
          <w:szCs w:val="18"/>
        </w:rPr>
        <w:t>虑</w:t>
      </w:r>
      <w:r w:rsidRPr="00C970F5">
        <w:rPr>
          <w:rFonts w:asciiTheme="minorEastAsia" w:hAnsiTheme="minorEastAsia" w:cs="Meiryo" w:hint="eastAsia"/>
          <w:color w:val="000000" w:themeColor="text1"/>
          <w:kern w:val="0"/>
          <w:sz w:val="18"/>
          <w:szCs w:val="18"/>
        </w:rPr>
        <w:t>到股票退市整理期</w:t>
      </w:r>
      <w:r w:rsidRPr="00C970F5">
        <w:rPr>
          <w:rFonts w:asciiTheme="minorEastAsia" w:hAnsiTheme="minorEastAsia" w:cs="宋体" w:hint="eastAsia"/>
          <w:color w:val="000000" w:themeColor="text1"/>
          <w:kern w:val="0"/>
          <w:sz w:val="18"/>
          <w:szCs w:val="18"/>
        </w:rPr>
        <w:t>间</w:t>
      </w:r>
      <w:r w:rsidRPr="00C970F5">
        <w:rPr>
          <w:rFonts w:asciiTheme="minorEastAsia" w:hAnsiTheme="minorEastAsia" w:cs="Meiryo" w:hint="eastAsia"/>
          <w:color w:val="000000" w:themeColor="text1"/>
          <w:kern w:val="0"/>
          <w:sz w:val="18"/>
          <w:szCs w:val="18"/>
        </w:rPr>
        <w:t>的交易容易出</w:t>
      </w:r>
      <w:r w:rsidRPr="00C970F5">
        <w:rPr>
          <w:rFonts w:asciiTheme="minorEastAsia" w:hAnsiTheme="minorEastAsia" w:cs="宋体" w:hint="eastAsia"/>
          <w:color w:val="000000" w:themeColor="text1"/>
          <w:kern w:val="0"/>
          <w:sz w:val="18"/>
          <w:szCs w:val="18"/>
        </w:rPr>
        <w:t>现</w:t>
      </w:r>
      <w:r w:rsidRPr="00C970F5">
        <w:rPr>
          <w:rFonts w:asciiTheme="minorEastAsia" w:hAnsiTheme="minorEastAsia" w:cs="Meiryo" w:hint="eastAsia"/>
          <w:color w:val="000000" w:themeColor="text1"/>
          <w:kern w:val="0"/>
          <w:sz w:val="18"/>
          <w:szCs w:val="18"/>
        </w:rPr>
        <w:t>大幅波</w:t>
      </w:r>
      <w:r w:rsidRPr="00C970F5">
        <w:rPr>
          <w:rFonts w:asciiTheme="minorEastAsia" w:hAnsiTheme="minorEastAsia" w:cs="宋体" w:hint="eastAsia"/>
          <w:color w:val="000000" w:themeColor="text1"/>
          <w:kern w:val="0"/>
          <w:sz w:val="18"/>
          <w:szCs w:val="18"/>
        </w:rPr>
        <w:t>动</w:t>
      </w:r>
      <w:r w:rsidRPr="00C970F5">
        <w:rPr>
          <w:rFonts w:asciiTheme="minorEastAsia" w:hAnsiTheme="minorEastAsia" w:cs="Meiryo" w:hint="eastAsia"/>
          <w:color w:val="000000" w:themeColor="text1"/>
          <w:kern w:val="0"/>
          <w:sz w:val="18"/>
          <w:szCs w:val="18"/>
        </w:rPr>
        <w:t>情形，不利于相关指数的</w:t>
      </w:r>
      <w:r w:rsidRPr="00C970F5">
        <w:rPr>
          <w:rFonts w:asciiTheme="minorEastAsia" w:hAnsiTheme="minorEastAsia" w:cs="宋体" w:hint="eastAsia"/>
          <w:color w:val="000000" w:themeColor="text1"/>
          <w:kern w:val="0"/>
          <w:sz w:val="18"/>
          <w:szCs w:val="18"/>
        </w:rPr>
        <w:t>稳</w:t>
      </w:r>
      <w:r w:rsidRPr="00C970F5">
        <w:rPr>
          <w:rFonts w:asciiTheme="minorEastAsia" w:hAnsiTheme="minorEastAsia" w:cs="Meiryo" w:hint="eastAsia"/>
          <w:color w:val="000000" w:themeColor="text1"/>
          <w:kern w:val="0"/>
          <w:sz w:val="18"/>
          <w:szCs w:val="18"/>
        </w:rPr>
        <w:t>定性，股票退市整理期</w:t>
      </w:r>
      <w:r w:rsidRPr="00C970F5">
        <w:rPr>
          <w:rFonts w:asciiTheme="minorEastAsia" w:hAnsiTheme="minorEastAsia" w:cs="宋体" w:hint="eastAsia"/>
          <w:color w:val="000000" w:themeColor="text1"/>
          <w:kern w:val="0"/>
          <w:sz w:val="18"/>
          <w:szCs w:val="18"/>
        </w:rPr>
        <w:t>间</w:t>
      </w:r>
      <w:r w:rsidRPr="00C970F5">
        <w:rPr>
          <w:rFonts w:asciiTheme="minorEastAsia" w:hAnsiTheme="minorEastAsia" w:cs="Meiryo" w:hint="eastAsia"/>
          <w:color w:val="000000" w:themeColor="text1"/>
          <w:kern w:val="0"/>
          <w:sz w:val="18"/>
          <w:szCs w:val="18"/>
        </w:rPr>
        <w:t>的交易不</w:t>
      </w:r>
      <w:r w:rsidRPr="00C970F5">
        <w:rPr>
          <w:rFonts w:asciiTheme="minorEastAsia" w:hAnsiTheme="minorEastAsia" w:cs="宋体" w:hint="eastAsia"/>
          <w:color w:val="000000" w:themeColor="text1"/>
          <w:kern w:val="0"/>
          <w:sz w:val="18"/>
          <w:szCs w:val="18"/>
        </w:rPr>
        <w:t>纳</w:t>
      </w:r>
      <w:r w:rsidRPr="00C970F5">
        <w:rPr>
          <w:rFonts w:asciiTheme="minorEastAsia" w:hAnsiTheme="minorEastAsia" w:cs="Meiryo" w:hint="eastAsia"/>
          <w:color w:val="000000" w:themeColor="text1"/>
          <w:kern w:val="0"/>
          <w:sz w:val="18"/>
          <w:szCs w:val="18"/>
        </w:rPr>
        <w:t>入深交所指数的</w:t>
      </w:r>
      <w:r w:rsidRPr="00C970F5">
        <w:rPr>
          <w:rFonts w:asciiTheme="minorEastAsia" w:hAnsiTheme="minorEastAsia" w:cs="宋体" w:hint="eastAsia"/>
          <w:color w:val="000000" w:themeColor="text1"/>
          <w:kern w:val="0"/>
          <w:sz w:val="18"/>
          <w:szCs w:val="18"/>
        </w:rPr>
        <w:t>计</w:t>
      </w:r>
      <w:r w:rsidRPr="00C970F5">
        <w:rPr>
          <w:rFonts w:asciiTheme="minorEastAsia" w:hAnsiTheme="minorEastAsia" w:cs="Meiryo" w:hint="eastAsia"/>
          <w:color w:val="000000" w:themeColor="text1"/>
          <w:kern w:val="0"/>
          <w:sz w:val="18"/>
          <w:szCs w:val="18"/>
        </w:rPr>
        <w:t>算，成交量</w:t>
      </w:r>
      <w:r w:rsidRPr="00C970F5">
        <w:rPr>
          <w:rFonts w:asciiTheme="minorEastAsia" w:hAnsiTheme="minorEastAsia" w:cs="宋体" w:hint="eastAsia"/>
          <w:color w:val="000000" w:themeColor="text1"/>
          <w:kern w:val="0"/>
          <w:sz w:val="18"/>
          <w:szCs w:val="18"/>
        </w:rPr>
        <w:t>计</w:t>
      </w:r>
      <w:r w:rsidRPr="00C970F5">
        <w:rPr>
          <w:rFonts w:asciiTheme="minorEastAsia" w:hAnsiTheme="minorEastAsia" w:cs="Meiryo" w:hint="eastAsia"/>
          <w:color w:val="000000" w:themeColor="text1"/>
          <w:kern w:val="0"/>
          <w:sz w:val="18"/>
          <w:szCs w:val="18"/>
        </w:rPr>
        <w:t>入当日市</w:t>
      </w:r>
      <w:r w:rsidRPr="00C970F5">
        <w:rPr>
          <w:rFonts w:asciiTheme="minorEastAsia" w:hAnsiTheme="minorEastAsia" w:cs="宋体" w:hint="eastAsia"/>
          <w:color w:val="000000" w:themeColor="text1"/>
          <w:kern w:val="0"/>
          <w:sz w:val="18"/>
          <w:szCs w:val="18"/>
        </w:rPr>
        <w:t>场</w:t>
      </w:r>
      <w:r w:rsidRPr="00C970F5">
        <w:rPr>
          <w:rFonts w:asciiTheme="minorEastAsia" w:hAnsiTheme="minorEastAsia" w:cs="Meiryo" w:hint="eastAsia"/>
          <w:color w:val="000000" w:themeColor="text1"/>
          <w:kern w:val="0"/>
          <w:sz w:val="18"/>
          <w:szCs w:val="18"/>
        </w:rPr>
        <w:t>成交</w:t>
      </w:r>
      <w:r w:rsidRPr="00C970F5">
        <w:rPr>
          <w:rFonts w:asciiTheme="minorEastAsia" w:hAnsiTheme="minorEastAsia" w:cs="宋体" w:hint="eastAsia"/>
          <w:color w:val="000000" w:themeColor="text1"/>
          <w:kern w:val="0"/>
          <w:sz w:val="18"/>
          <w:szCs w:val="18"/>
        </w:rPr>
        <w:t>总</w:t>
      </w:r>
      <w:r w:rsidRPr="00C970F5">
        <w:rPr>
          <w:rFonts w:asciiTheme="minorEastAsia" w:hAnsiTheme="minorEastAsia" w:cs="Meiryo" w:hint="eastAsia"/>
          <w:color w:val="000000" w:themeColor="text1"/>
          <w:kern w:val="0"/>
          <w:sz w:val="18"/>
          <w:szCs w:val="18"/>
        </w:rPr>
        <w:t>量。</w:t>
      </w:r>
    </w:p>
    <w:p w:rsidR="00A1660A"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3、</w:t>
      </w:r>
      <w:r w:rsidR="00A1660A" w:rsidRPr="00C970F5">
        <w:rPr>
          <w:rFonts w:asciiTheme="minorEastAsia" w:hAnsiTheme="minorEastAsia"/>
          <w:b/>
          <w:bCs/>
          <w:color w:val="000000" w:themeColor="text1"/>
          <w:sz w:val="18"/>
          <w:szCs w:val="18"/>
        </w:rPr>
        <w:t>退市整理期的股票交易是否纳入异常波动指标的计算？</w:t>
      </w:r>
    </w:p>
    <w:p w:rsidR="00A1660A" w:rsidRPr="00C970F5" w:rsidRDefault="00A1660A" w:rsidP="00E50514">
      <w:pPr>
        <w:spacing w:line="360" w:lineRule="auto"/>
        <w:rPr>
          <w:rFonts w:asciiTheme="minorEastAsia" w:hAnsiTheme="minorEastAsia" w:cs="Meiryo"/>
          <w:color w:val="000000" w:themeColor="text1"/>
          <w:sz w:val="18"/>
          <w:szCs w:val="18"/>
        </w:rPr>
      </w:pPr>
      <w:r w:rsidRPr="00C970F5">
        <w:rPr>
          <w:rStyle w:val="a5"/>
          <w:rFonts w:asciiTheme="minorEastAsia" w:hAnsiTheme="minorEastAsia" w:cs="Meiryo" w:hint="eastAsia"/>
          <w:color w:val="000000" w:themeColor="text1"/>
          <w:sz w:val="18"/>
          <w:szCs w:val="18"/>
        </w:rPr>
        <w:t>答：</w:t>
      </w:r>
      <w:r w:rsidRPr="00C970F5">
        <w:rPr>
          <w:rFonts w:asciiTheme="minorEastAsia" w:hAnsiTheme="minorEastAsia" w:cs="Meiryo" w:hint="eastAsia"/>
          <w:color w:val="000000" w:themeColor="text1"/>
          <w:sz w:val="18"/>
          <w:szCs w:val="18"/>
        </w:rPr>
        <w:t>根据深交所相关</w:t>
      </w:r>
      <w:r w:rsidRPr="00C970F5">
        <w:rPr>
          <w:rFonts w:asciiTheme="minorEastAsia" w:hAnsiTheme="minorEastAsia" w:hint="eastAsia"/>
          <w:color w:val="000000" w:themeColor="text1"/>
          <w:sz w:val="18"/>
          <w:szCs w:val="18"/>
        </w:rPr>
        <w:t>规</w:t>
      </w:r>
      <w:r w:rsidRPr="00C970F5">
        <w:rPr>
          <w:rFonts w:asciiTheme="minorEastAsia" w:hAnsiTheme="minorEastAsia" w:cs="Meiryo" w:hint="eastAsia"/>
          <w:color w:val="000000" w:themeColor="text1"/>
          <w:sz w:val="18"/>
          <w:szCs w:val="18"/>
        </w:rPr>
        <w:t>定，退市整理期</w:t>
      </w:r>
      <w:r w:rsidRPr="00C970F5">
        <w:rPr>
          <w:rFonts w:asciiTheme="minorEastAsia" w:hAnsiTheme="minorEastAsia" w:hint="eastAsia"/>
          <w:color w:val="000000" w:themeColor="text1"/>
          <w:sz w:val="18"/>
          <w:szCs w:val="18"/>
        </w:rPr>
        <w:t>间</w:t>
      </w:r>
      <w:r w:rsidRPr="00C970F5">
        <w:rPr>
          <w:rFonts w:asciiTheme="minorEastAsia" w:hAnsiTheme="minorEastAsia" w:cs="Meiryo" w:hint="eastAsia"/>
          <w:color w:val="000000" w:themeColor="text1"/>
          <w:sz w:val="18"/>
          <w:szCs w:val="18"/>
        </w:rPr>
        <w:t>，上市公司将高</w:t>
      </w:r>
      <w:r w:rsidRPr="00C970F5">
        <w:rPr>
          <w:rFonts w:asciiTheme="minorEastAsia" w:hAnsiTheme="minorEastAsia" w:hint="eastAsia"/>
          <w:color w:val="000000" w:themeColor="text1"/>
          <w:sz w:val="18"/>
          <w:szCs w:val="18"/>
        </w:rPr>
        <w:t>频</w:t>
      </w:r>
      <w:r w:rsidRPr="00C970F5">
        <w:rPr>
          <w:rFonts w:asciiTheme="minorEastAsia" w:hAnsiTheme="minorEastAsia" w:cs="Meiryo" w:hint="eastAsia"/>
          <w:color w:val="000000" w:themeColor="text1"/>
          <w:sz w:val="18"/>
          <w:szCs w:val="18"/>
        </w:rPr>
        <w:t>率</w:t>
      </w:r>
      <w:r w:rsidRPr="00C970F5">
        <w:rPr>
          <w:rFonts w:asciiTheme="minorEastAsia" w:hAnsiTheme="minorEastAsia" w:hint="eastAsia"/>
          <w:color w:val="000000" w:themeColor="text1"/>
          <w:sz w:val="18"/>
          <w:szCs w:val="18"/>
        </w:rPr>
        <w:t>发</w:t>
      </w:r>
      <w:r w:rsidRPr="00C970F5">
        <w:rPr>
          <w:rFonts w:asciiTheme="minorEastAsia" w:hAnsiTheme="minorEastAsia" w:cs="Meiryo" w:hint="eastAsia"/>
          <w:color w:val="000000" w:themeColor="text1"/>
          <w:sz w:val="18"/>
          <w:szCs w:val="18"/>
        </w:rPr>
        <w:t>布其股票将被</w:t>
      </w:r>
      <w:r w:rsidRPr="00C970F5">
        <w:rPr>
          <w:rFonts w:asciiTheme="minorEastAsia" w:hAnsiTheme="minorEastAsia" w:hint="eastAsia"/>
          <w:color w:val="000000" w:themeColor="text1"/>
          <w:sz w:val="18"/>
          <w:szCs w:val="18"/>
        </w:rPr>
        <w:t>终</w:t>
      </w:r>
      <w:r w:rsidRPr="00C970F5">
        <w:rPr>
          <w:rFonts w:asciiTheme="minorEastAsia" w:hAnsiTheme="minorEastAsia" w:cs="Meiryo" w:hint="eastAsia"/>
          <w:color w:val="000000" w:themeColor="text1"/>
          <w:sz w:val="18"/>
          <w:szCs w:val="18"/>
        </w:rPr>
        <w:t>止上市的</w:t>
      </w:r>
      <w:r w:rsidRPr="00C970F5">
        <w:rPr>
          <w:rFonts w:asciiTheme="minorEastAsia" w:hAnsiTheme="minorEastAsia" w:hint="eastAsia"/>
          <w:color w:val="000000" w:themeColor="text1"/>
          <w:sz w:val="18"/>
          <w:szCs w:val="18"/>
        </w:rPr>
        <w:t>风险</w:t>
      </w:r>
      <w:r w:rsidRPr="00C970F5">
        <w:rPr>
          <w:rFonts w:asciiTheme="minorEastAsia" w:hAnsiTheme="minorEastAsia" w:cs="Meiryo" w:hint="eastAsia"/>
          <w:color w:val="000000" w:themeColor="text1"/>
          <w:sz w:val="18"/>
          <w:szCs w:val="18"/>
        </w:rPr>
        <w:t>提示公告，股票退市</w:t>
      </w:r>
      <w:r w:rsidRPr="00C970F5">
        <w:rPr>
          <w:rFonts w:asciiTheme="minorEastAsia" w:hAnsiTheme="minorEastAsia" w:hint="eastAsia"/>
          <w:color w:val="000000" w:themeColor="text1"/>
          <w:sz w:val="18"/>
          <w:szCs w:val="18"/>
        </w:rPr>
        <w:t>风险</w:t>
      </w:r>
      <w:r w:rsidRPr="00C970F5">
        <w:rPr>
          <w:rFonts w:asciiTheme="minorEastAsia" w:hAnsiTheme="minorEastAsia" w:cs="Meiryo" w:hint="eastAsia"/>
          <w:color w:val="000000" w:themeColor="text1"/>
          <w:sz w:val="18"/>
          <w:szCs w:val="18"/>
        </w:rPr>
        <w:t>的警示和信息披露已</w:t>
      </w:r>
      <w:r w:rsidRPr="00C970F5">
        <w:rPr>
          <w:rFonts w:asciiTheme="minorEastAsia" w:hAnsiTheme="minorEastAsia" w:hint="eastAsia"/>
          <w:color w:val="000000" w:themeColor="text1"/>
          <w:sz w:val="18"/>
          <w:szCs w:val="18"/>
        </w:rPr>
        <w:t>经较为</w:t>
      </w:r>
      <w:r w:rsidRPr="00C970F5">
        <w:rPr>
          <w:rFonts w:asciiTheme="minorEastAsia" w:hAnsiTheme="minorEastAsia" w:cs="Meiryo" w:hint="eastAsia"/>
          <w:color w:val="000000" w:themeColor="text1"/>
          <w:sz w:val="18"/>
          <w:szCs w:val="18"/>
        </w:rPr>
        <w:t>充分。因此，股票退市整理期</w:t>
      </w:r>
      <w:r w:rsidRPr="00C970F5">
        <w:rPr>
          <w:rFonts w:asciiTheme="minorEastAsia" w:hAnsiTheme="minorEastAsia" w:hint="eastAsia"/>
          <w:color w:val="000000" w:themeColor="text1"/>
          <w:sz w:val="18"/>
          <w:szCs w:val="18"/>
        </w:rPr>
        <w:t>间</w:t>
      </w:r>
      <w:r w:rsidRPr="00C970F5">
        <w:rPr>
          <w:rFonts w:asciiTheme="minorEastAsia" w:hAnsiTheme="minorEastAsia" w:cs="Meiryo" w:hint="eastAsia"/>
          <w:color w:val="000000" w:themeColor="text1"/>
          <w:sz w:val="18"/>
          <w:szCs w:val="18"/>
        </w:rPr>
        <w:t>的交易不</w:t>
      </w:r>
      <w:r w:rsidRPr="00C970F5">
        <w:rPr>
          <w:rFonts w:asciiTheme="minorEastAsia" w:hAnsiTheme="minorEastAsia" w:hint="eastAsia"/>
          <w:color w:val="000000" w:themeColor="text1"/>
          <w:sz w:val="18"/>
          <w:szCs w:val="18"/>
        </w:rPr>
        <w:t>纳</w:t>
      </w:r>
      <w:r w:rsidRPr="00C970F5">
        <w:rPr>
          <w:rFonts w:asciiTheme="minorEastAsia" w:hAnsiTheme="minorEastAsia" w:cs="Meiryo" w:hint="eastAsia"/>
          <w:color w:val="000000" w:themeColor="text1"/>
          <w:sz w:val="18"/>
          <w:szCs w:val="18"/>
        </w:rPr>
        <w:t>入异常波</w:t>
      </w:r>
      <w:r w:rsidRPr="00C970F5">
        <w:rPr>
          <w:rFonts w:asciiTheme="minorEastAsia" w:hAnsiTheme="minorEastAsia" w:hint="eastAsia"/>
          <w:color w:val="000000" w:themeColor="text1"/>
          <w:sz w:val="18"/>
          <w:szCs w:val="18"/>
        </w:rPr>
        <w:t>动</w:t>
      </w:r>
      <w:r w:rsidRPr="00C970F5">
        <w:rPr>
          <w:rFonts w:asciiTheme="minorEastAsia" w:hAnsiTheme="minorEastAsia" w:cs="Meiryo" w:hint="eastAsia"/>
          <w:color w:val="000000" w:themeColor="text1"/>
          <w:sz w:val="18"/>
          <w:szCs w:val="18"/>
        </w:rPr>
        <w:t>指</w:t>
      </w:r>
      <w:r w:rsidRPr="00C970F5">
        <w:rPr>
          <w:rFonts w:asciiTheme="minorEastAsia" w:hAnsiTheme="minorEastAsia" w:hint="eastAsia"/>
          <w:color w:val="000000" w:themeColor="text1"/>
          <w:sz w:val="18"/>
          <w:szCs w:val="18"/>
        </w:rPr>
        <w:t>标</w:t>
      </w:r>
      <w:r w:rsidRPr="00C970F5">
        <w:rPr>
          <w:rFonts w:asciiTheme="minorEastAsia" w:hAnsiTheme="minorEastAsia" w:cs="Meiryo" w:hint="eastAsia"/>
          <w:color w:val="000000" w:themeColor="text1"/>
          <w:sz w:val="18"/>
          <w:szCs w:val="18"/>
        </w:rPr>
        <w:t>的</w:t>
      </w:r>
      <w:r w:rsidRPr="00C970F5">
        <w:rPr>
          <w:rFonts w:asciiTheme="minorEastAsia" w:hAnsiTheme="minorEastAsia" w:hint="eastAsia"/>
          <w:color w:val="000000" w:themeColor="text1"/>
          <w:sz w:val="18"/>
          <w:szCs w:val="18"/>
        </w:rPr>
        <w:t>计</w:t>
      </w:r>
      <w:r w:rsidRPr="00C970F5">
        <w:rPr>
          <w:rFonts w:asciiTheme="minorEastAsia" w:hAnsiTheme="minorEastAsia" w:cs="Meiryo" w:hint="eastAsia"/>
          <w:color w:val="000000" w:themeColor="text1"/>
          <w:sz w:val="18"/>
          <w:szCs w:val="18"/>
        </w:rPr>
        <w:t>算。</w:t>
      </w:r>
    </w:p>
    <w:p w:rsidR="00A1660A"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4、</w:t>
      </w:r>
      <w:r w:rsidR="00A1660A" w:rsidRPr="00C970F5">
        <w:rPr>
          <w:rFonts w:asciiTheme="minorEastAsia" w:hAnsiTheme="minorEastAsia"/>
          <w:b/>
          <w:bCs/>
          <w:color w:val="000000" w:themeColor="text1"/>
          <w:sz w:val="18"/>
          <w:szCs w:val="18"/>
        </w:rPr>
        <w:t>退市整理期的股票交易在信息披露方面有什么特殊的安排？</w:t>
      </w:r>
    </w:p>
    <w:p w:rsidR="00A1660A" w:rsidRPr="00C970F5" w:rsidRDefault="00A1660A" w:rsidP="00E50514">
      <w:pPr>
        <w:spacing w:line="360" w:lineRule="auto"/>
        <w:rPr>
          <w:rFonts w:asciiTheme="minorEastAsia" w:hAnsiTheme="minorEastAsia" w:hint="eastAsia"/>
          <w:color w:val="000000" w:themeColor="text1"/>
          <w:sz w:val="18"/>
          <w:szCs w:val="18"/>
        </w:rPr>
      </w:pPr>
      <w:r w:rsidRPr="00C970F5">
        <w:rPr>
          <w:rStyle w:val="a5"/>
          <w:rFonts w:asciiTheme="minorEastAsia" w:hAnsiTheme="minorEastAsia"/>
          <w:color w:val="000000" w:themeColor="text1"/>
          <w:sz w:val="18"/>
          <w:szCs w:val="18"/>
        </w:rPr>
        <w:t>答：</w:t>
      </w:r>
      <w:r w:rsidRPr="00C970F5">
        <w:rPr>
          <w:rFonts w:asciiTheme="minorEastAsia" w:hAnsiTheme="minorEastAsia"/>
          <w:color w:val="000000" w:themeColor="text1"/>
          <w:sz w:val="18"/>
          <w:szCs w:val="18"/>
        </w:rPr>
        <w:t>为提高退市整理期股票交易的透明度，退市整理期间股票不纳入深交所证券公开信息披露相关指标的计算范围，深交所将专栏公布其每日买入、卖出金额最大的五家会员证券营业部或交易单元的名称及其各自的买入、卖出金额。</w:t>
      </w:r>
    </w:p>
    <w:p w:rsidR="00A1660A"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5、</w:t>
      </w:r>
      <w:r w:rsidR="00A1660A" w:rsidRPr="00C970F5">
        <w:rPr>
          <w:rFonts w:asciiTheme="minorEastAsia" w:hAnsiTheme="minorEastAsia"/>
          <w:b/>
          <w:bCs/>
          <w:color w:val="000000" w:themeColor="text1"/>
          <w:sz w:val="18"/>
          <w:szCs w:val="18"/>
        </w:rPr>
        <w:t>进入退市整理期的股票交易是否仍然在主板、中小企业板或者创业板行情中揭示？</w:t>
      </w:r>
    </w:p>
    <w:p w:rsidR="00A1660A" w:rsidRPr="00C970F5" w:rsidRDefault="00A1660A" w:rsidP="00E50514">
      <w:pPr>
        <w:spacing w:line="360" w:lineRule="auto"/>
        <w:rPr>
          <w:rFonts w:asciiTheme="minorEastAsia" w:hAnsiTheme="minorEastAsia" w:cs="Meiryo"/>
          <w:color w:val="000000" w:themeColor="text1"/>
          <w:sz w:val="18"/>
          <w:szCs w:val="18"/>
        </w:rPr>
      </w:pPr>
      <w:r w:rsidRPr="00C970F5">
        <w:rPr>
          <w:rStyle w:val="a5"/>
          <w:rFonts w:asciiTheme="minorEastAsia" w:hAnsiTheme="minorEastAsia" w:cs="Meiryo" w:hint="eastAsia"/>
          <w:color w:val="000000" w:themeColor="text1"/>
          <w:sz w:val="18"/>
          <w:szCs w:val="18"/>
        </w:rPr>
        <w:t>答：</w:t>
      </w:r>
      <w:r w:rsidRPr="00C970F5">
        <w:rPr>
          <w:rFonts w:asciiTheme="minorEastAsia" w:hAnsiTheme="minorEastAsia" w:hint="eastAsia"/>
          <w:color w:val="000000" w:themeColor="text1"/>
          <w:sz w:val="18"/>
          <w:szCs w:val="18"/>
        </w:rPr>
        <w:t>为</w:t>
      </w:r>
      <w:r w:rsidRPr="00C970F5">
        <w:rPr>
          <w:rFonts w:asciiTheme="minorEastAsia" w:hAnsiTheme="minorEastAsia" w:cs="Meiryo" w:hint="eastAsia"/>
          <w:color w:val="000000" w:themeColor="text1"/>
          <w:sz w:val="18"/>
          <w:szCs w:val="18"/>
        </w:rPr>
        <w:t>了向投</w:t>
      </w:r>
      <w:r w:rsidRPr="00C970F5">
        <w:rPr>
          <w:rFonts w:asciiTheme="minorEastAsia" w:hAnsiTheme="minorEastAsia" w:hint="eastAsia"/>
          <w:color w:val="000000" w:themeColor="text1"/>
          <w:sz w:val="18"/>
          <w:szCs w:val="18"/>
        </w:rPr>
        <w:t>资</w:t>
      </w:r>
      <w:r w:rsidRPr="00C970F5">
        <w:rPr>
          <w:rFonts w:asciiTheme="minorEastAsia" w:hAnsiTheme="minorEastAsia" w:cs="Meiryo" w:hint="eastAsia"/>
          <w:color w:val="000000" w:themeColor="text1"/>
          <w:sz w:val="18"/>
          <w:szCs w:val="18"/>
        </w:rPr>
        <w:t>者提示</w:t>
      </w:r>
      <w:r w:rsidRPr="00C970F5">
        <w:rPr>
          <w:rFonts w:asciiTheme="minorEastAsia" w:hAnsiTheme="minorEastAsia" w:hint="eastAsia"/>
          <w:color w:val="000000" w:themeColor="text1"/>
          <w:sz w:val="18"/>
          <w:szCs w:val="18"/>
        </w:rPr>
        <w:t>风险</w:t>
      </w:r>
      <w:r w:rsidRPr="00C970F5">
        <w:rPr>
          <w:rFonts w:asciiTheme="minorEastAsia" w:hAnsiTheme="minorEastAsia" w:cs="Meiryo" w:hint="eastAsia"/>
          <w:color w:val="000000" w:themeColor="text1"/>
          <w:sz w:val="18"/>
          <w:szCs w:val="18"/>
        </w:rPr>
        <w:t>，</w:t>
      </w:r>
      <w:r w:rsidRPr="00C970F5">
        <w:rPr>
          <w:rFonts w:asciiTheme="minorEastAsia" w:hAnsiTheme="minorEastAsia" w:hint="eastAsia"/>
          <w:color w:val="000000" w:themeColor="text1"/>
          <w:sz w:val="18"/>
          <w:szCs w:val="18"/>
        </w:rPr>
        <w:t>进</w:t>
      </w:r>
      <w:r w:rsidRPr="00C970F5">
        <w:rPr>
          <w:rFonts w:asciiTheme="minorEastAsia" w:hAnsiTheme="minorEastAsia" w:cs="Meiryo" w:hint="eastAsia"/>
          <w:color w:val="000000" w:themeColor="text1"/>
          <w:sz w:val="18"/>
          <w:szCs w:val="18"/>
        </w:rPr>
        <w:t>入退市整理期的股票，将</w:t>
      </w:r>
      <w:r w:rsidRPr="00C970F5">
        <w:rPr>
          <w:rFonts w:asciiTheme="minorEastAsia" w:hAnsiTheme="minorEastAsia" w:hint="eastAsia"/>
          <w:color w:val="000000" w:themeColor="text1"/>
          <w:sz w:val="18"/>
          <w:szCs w:val="18"/>
        </w:rPr>
        <w:t>实</w:t>
      </w:r>
      <w:r w:rsidRPr="00C970F5">
        <w:rPr>
          <w:rFonts w:asciiTheme="minorEastAsia" w:hAnsiTheme="minorEastAsia" w:cs="Meiryo" w:hint="eastAsia"/>
          <w:color w:val="000000" w:themeColor="text1"/>
          <w:sz w:val="18"/>
          <w:szCs w:val="18"/>
        </w:rPr>
        <w:t>行另板交易，即股票退市整理期</w:t>
      </w:r>
      <w:r w:rsidRPr="00C970F5">
        <w:rPr>
          <w:rFonts w:asciiTheme="minorEastAsia" w:hAnsiTheme="minorEastAsia" w:hint="eastAsia"/>
          <w:color w:val="000000" w:themeColor="text1"/>
          <w:sz w:val="18"/>
          <w:szCs w:val="18"/>
        </w:rPr>
        <w:t>间进</w:t>
      </w:r>
      <w:r w:rsidRPr="00C970F5">
        <w:rPr>
          <w:rFonts w:asciiTheme="minorEastAsia" w:hAnsiTheme="minorEastAsia" w:cs="Meiryo" w:hint="eastAsia"/>
          <w:color w:val="000000" w:themeColor="text1"/>
          <w:sz w:val="18"/>
          <w:szCs w:val="18"/>
        </w:rPr>
        <w:t>入退市整理板交易，不在主板、中小企</w:t>
      </w:r>
      <w:r w:rsidRPr="00C970F5">
        <w:rPr>
          <w:rFonts w:asciiTheme="minorEastAsia" w:hAnsiTheme="minorEastAsia" w:hint="eastAsia"/>
          <w:color w:val="000000" w:themeColor="text1"/>
          <w:sz w:val="18"/>
          <w:szCs w:val="18"/>
        </w:rPr>
        <w:t>业</w:t>
      </w:r>
      <w:r w:rsidRPr="00C970F5">
        <w:rPr>
          <w:rFonts w:asciiTheme="minorEastAsia" w:hAnsiTheme="minorEastAsia" w:cs="Meiryo" w:hint="eastAsia"/>
          <w:color w:val="000000" w:themeColor="text1"/>
          <w:sz w:val="18"/>
          <w:szCs w:val="18"/>
        </w:rPr>
        <w:t>板或者</w:t>
      </w:r>
      <w:r w:rsidRPr="00C970F5">
        <w:rPr>
          <w:rFonts w:asciiTheme="minorEastAsia" w:hAnsiTheme="minorEastAsia" w:hint="eastAsia"/>
          <w:color w:val="000000" w:themeColor="text1"/>
          <w:sz w:val="18"/>
          <w:szCs w:val="18"/>
        </w:rPr>
        <w:t>创业</w:t>
      </w:r>
      <w:r w:rsidRPr="00C970F5">
        <w:rPr>
          <w:rFonts w:asciiTheme="minorEastAsia" w:hAnsiTheme="minorEastAsia" w:cs="Meiryo" w:hint="eastAsia"/>
          <w:color w:val="000000" w:themeColor="text1"/>
          <w:sz w:val="18"/>
          <w:szCs w:val="18"/>
        </w:rPr>
        <w:t>板行情中揭示。此外，股票</w:t>
      </w:r>
      <w:r w:rsidRPr="00C970F5">
        <w:rPr>
          <w:rFonts w:asciiTheme="minorEastAsia" w:hAnsiTheme="minorEastAsia" w:hint="eastAsia"/>
          <w:color w:val="000000" w:themeColor="text1"/>
          <w:sz w:val="18"/>
          <w:szCs w:val="18"/>
        </w:rPr>
        <w:t>进</w:t>
      </w:r>
      <w:r w:rsidRPr="00C970F5">
        <w:rPr>
          <w:rFonts w:asciiTheme="minorEastAsia" w:hAnsiTheme="minorEastAsia" w:cs="Meiryo" w:hint="eastAsia"/>
          <w:color w:val="000000" w:themeColor="text1"/>
          <w:sz w:val="18"/>
          <w:szCs w:val="18"/>
        </w:rPr>
        <w:t>入退市整理板交易的上市公司，如同</w:t>
      </w:r>
      <w:r w:rsidRPr="00C970F5">
        <w:rPr>
          <w:rFonts w:asciiTheme="minorEastAsia" w:hAnsiTheme="minorEastAsia" w:hint="eastAsia"/>
          <w:color w:val="000000" w:themeColor="text1"/>
          <w:sz w:val="18"/>
          <w:szCs w:val="18"/>
        </w:rPr>
        <w:t>时</w:t>
      </w:r>
      <w:r w:rsidRPr="00C970F5">
        <w:rPr>
          <w:rFonts w:asciiTheme="minorEastAsia" w:hAnsiTheme="minorEastAsia" w:cs="Meiryo" w:hint="eastAsia"/>
          <w:color w:val="000000" w:themeColor="text1"/>
          <w:sz w:val="18"/>
          <w:szCs w:val="18"/>
        </w:rPr>
        <w:t>期存在可</w:t>
      </w:r>
      <w:r w:rsidRPr="00C970F5">
        <w:rPr>
          <w:rFonts w:asciiTheme="minorEastAsia" w:hAnsiTheme="minorEastAsia" w:hint="eastAsia"/>
          <w:color w:val="000000" w:themeColor="text1"/>
          <w:sz w:val="18"/>
          <w:szCs w:val="18"/>
        </w:rPr>
        <w:t>转换</w:t>
      </w:r>
      <w:r w:rsidRPr="00C970F5">
        <w:rPr>
          <w:rFonts w:asciiTheme="minorEastAsia" w:hAnsiTheme="minorEastAsia" w:cs="Meiryo" w:hint="eastAsia"/>
          <w:color w:val="000000" w:themeColor="text1"/>
          <w:sz w:val="18"/>
          <w:szCs w:val="18"/>
        </w:rPr>
        <w:t>公司</w:t>
      </w:r>
      <w:r w:rsidRPr="00C970F5">
        <w:rPr>
          <w:rFonts w:asciiTheme="minorEastAsia" w:hAnsiTheme="minorEastAsia" w:hint="eastAsia"/>
          <w:color w:val="000000" w:themeColor="text1"/>
          <w:sz w:val="18"/>
          <w:szCs w:val="18"/>
        </w:rPr>
        <w:t>债</w:t>
      </w:r>
      <w:r w:rsidRPr="00C970F5">
        <w:rPr>
          <w:rFonts w:asciiTheme="minorEastAsia" w:hAnsiTheme="minorEastAsia" w:cs="Meiryo" w:hint="eastAsia"/>
          <w:color w:val="000000" w:themeColor="text1"/>
          <w:sz w:val="18"/>
          <w:szCs w:val="18"/>
        </w:rPr>
        <w:t>券、权</w:t>
      </w:r>
      <w:r w:rsidRPr="00C970F5">
        <w:rPr>
          <w:rFonts w:asciiTheme="minorEastAsia" w:hAnsiTheme="minorEastAsia" w:hint="eastAsia"/>
          <w:color w:val="000000" w:themeColor="text1"/>
          <w:sz w:val="18"/>
          <w:szCs w:val="18"/>
        </w:rPr>
        <w:t>证</w:t>
      </w:r>
      <w:r w:rsidRPr="00C970F5">
        <w:rPr>
          <w:rFonts w:asciiTheme="minorEastAsia" w:hAnsiTheme="minorEastAsia" w:cs="Meiryo" w:hint="eastAsia"/>
          <w:color w:val="000000" w:themeColor="text1"/>
          <w:sz w:val="18"/>
          <w:szCs w:val="18"/>
        </w:rPr>
        <w:t>等衍生品种的，也可以同</w:t>
      </w:r>
      <w:r w:rsidRPr="00C970F5">
        <w:rPr>
          <w:rFonts w:asciiTheme="minorEastAsia" w:hAnsiTheme="minorEastAsia" w:hint="eastAsia"/>
          <w:color w:val="000000" w:themeColor="text1"/>
          <w:sz w:val="18"/>
          <w:szCs w:val="18"/>
        </w:rPr>
        <w:t>时进</w:t>
      </w:r>
      <w:r w:rsidRPr="00C970F5">
        <w:rPr>
          <w:rFonts w:asciiTheme="minorEastAsia" w:hAnsiTheme="minorEastAsia" w:cs="Meiryo" w:hint="eastAsia"/>
          <w:color w:val="000000" w:themeColor="text1"/>
          <w:sz w:val="18"/>
          <w:szCs w:val="18"/>
        </w:rPr>
        <w:t>入退市整理板交易，相关交易事</w:t>
      </w:r>
      <w:r w:rsidRPr="00C970F5">
        <w:rPr>
          <w:rFonts w:asciiTheme="minorEastAsia" w:hAnsiTheme="minorEastAsia" w:hint="eastAsia"/>
          <w:color w:val="000000" w:themeColor="text1"/>
          <w:sz w:val="18"/>
          <w:szCs w:val="18"/>
        </w:rPr>
        <w:t>项</w:t>
      </w:r>
      <w:r w:rsidRPr="00C970F5">
        <w:rPr>
          <w:rFonts w:asciiTheme="minorEastAsia" w:hAnsiTheme="minorEastAsia" w:cs="Meiryo" w:hint="eastAsia"/>
          <w:color w:val="000000" w:themeColor="text1"/>
          <w:sz w:val="18"/>
          <w:szCs w:val="18"/>
        </w:rPr>
        <w:t>将另行</w:t>
      </w:r>
      <w:r w:rsidRPr="00C970F5">
        <w:rPr>
          <w:rFonts w:asciiTheme="minorEastAsia" w:hAnsiTheme="minorEastAsia" w:hint="eastAsia"/>
          <w:color w:val="000000" w:themeColor="text1"/>
          <w:sz w:val="18"/>
          <w:szCs w:val="18"/>
        </w:rPr>
        <w:t>规</w:t>
      </w:r>
      <w:r w:rsidRPr="00C970F5">
        <w:rPr>
          <w:rFonts w:asciiTheme="minorEastAsia" w:hAnsiTheme="minorEastAsia" w:cs="Meiryo" w:hint="eastAsia"/>
          <w:color w:val="000000" w:themeColor="text1"/>
          <w:sz w:val="18"/>
          <w:szCs w:val="18"/>
        </w:rPr>
        <w:t>定。</w:t>
      </w:r>
    </w:p>
    <w:p w:rsidR="009A0B99"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6、</w:t>
      </w:r>
      <w:r w:rsidR="009A0B99" w:rsidRPr="00C970F5">
        <w:rPr>
          <w:rFonts w:asciiTheme="minorEastAsia" w:hAnsiTheme="minorEastAsia"/>
          <w:b/>
          <w:bCs/>
          <w:color w:val="000000" w:themeColor="text1"/>
          <w:sz w:val="18"/>
          <w:szCs w:val="18"/>
        </w:rPr>
        <w:t>上市公司退市后，投资者持有的股票怎么办？</w:t>
      </w:r>
    </w:p>
    <w:p w:rsidR="009A0B99" w:rsidRPr="00C970F5" w:rsidRDefault="009A0B99" w:rsidP="00E50514">
      <w:pPr>
        <w:widowControl/>
        <w:spacing w:line="360" w:lineRule="auto"/>
        <w:rPr>
          <w:rFonts w:asciiTheme="minorEastAsia" w:hAnsiTheme="minorEastAsia" w:cs="宋体" w:hint="eastAsia"/>
          <w:bCs/>
          <w:color w:val="000000" w:themeColor="text1"/>
          <w:kern w:val="0"/>
          <w:sz w:val="18"/>
          <w:szCs w:val="18"/>
        </w:rPr>
      </w:pPr>
      <w:r w:rsidRPr="00C970F5">
        <w:rPr>
          <w:rFonts w:asciiTheme="minorEastAsia" w:hAnsiTheme="minorEastAsia" w:cs="宋体"/>
          <w:b/>
          <w:bCs/>
          <w:color w:val="000000" w:themeColor="text1"/>
          <w:kern w:val="0"/>
          <w:sz w:val="18"/>
          <w:szCs w:val="18"/>
        </w:rPr>
        <w:t>答：</w:t>
      </w:r>
      <w:r w:rsidRPr="00C970F5">
        <w:rPr>
          <w:rFonts w:asciiTheme="minorEastAsia" w:hAnsiTheme="minorEastAsia" w:cs="宋体"/>
          <w:bCs/>
          <w:color w:val="000000" w:themeColor="text1"/>
          <w:kern w:val="0"/>
          <w:sz w:val="18"/>
          <w:szCs w:val="18"/>
        </w:rPr>
        <w:t>上市</w:t>
      </w:r>
      <w:r w:rsidRPr="00C970F5">
        <w:rPr>
          <w:rFonts w:asciiTheme="minorEastAsia" w:hAnsiTheme="minorEastAsia" w:cs="宋体-18030"/>
          <w:bCs/>
          <w:color w:val="000000" w:themeColor="text1"/>
          <w:kern w:val="0"/>
          <w:sz w:val="18"/>
          <w:szCs w:val="18"/>
        </w:rPr>
        <w:t>公司在实行终止上市后一般进入代办股份转让系统（俗称“三板”）。持有</w:t>
      </w:r>
      <w:r w:rsidRPr="00C970F5">
        <w:rPr>
          <w:rFonts w:asciiTheme="minorEastAsia" w:hAnsiTheme="minorEastAsia" w:cs="宋体"/>
          <w:bCs/>
          <w:color w:val="000000" w:themeColor="text1"/>
          <w:kern w:val="0"/>
          <w:sz w:val="18"/>
          <w:szCs w:val="18"/>
        </w:rPr>
        <w:t>退市公司股票的股东应注意该公司进入三板市场交易前的确权公告，并按公告规定的开始时间起到具备从事代办股份转让业务资格的证券公司营业部办理股份确权手续，以免错过该公司在三板市场挂牌当天的流通股份交易，公司挂牌后投资者仍可办理股份确权手续，确权成功的，流通股份于第二个交易日到投资者账上（股东全称、股东证件号码与公司退市时的股东名册所登记信息不一致及过户等情况，其流通股份于第三个交易日到投资者账上）。查询具备从事代办股份转让业务资格的证券公司名单可参阅巨潮资讯网站：</w:t>
      </w:r>
      <w:hyperlink r:id="rId6" w:history="1">
        <w:r w:rsidRPr="00C970F5">
          <w:rPr>
            <w:rFonts w:asciiTheme="minorEastAsia" w:hAnsiTheme="minorEastAsia" w:cs="宋体"/>
            <w:bCs/>
            <w:color w:val="000000" w:themeColor="text1"/>
            <w:kern w:val="0"/>
            <w:sz w:val="18"/>
            <w:szCs w:val="18"/>
          </w:rPr>
          <w:t>www.cninfo.com.cn</w:t>
        </w:r>
      </w:hyperlink>
      <w:r w:rsidRPr="00C970F5">
        <w:rPr>
          <w:rFonts w:asciiTheme="minorEastAsia" w:hAnsiTheme="minorEastAsia" w:cs="宋体"/>
          <w:bCs/>
          <w:color w:val="000000" w:themeColor="text1"/>
          <w:kern w:val="0"/>
          <w:sz w:val="18"/>
          <w:szCs w:val="18"/>
        </w:rPr>
        <w:t>或深圳证券交易所网站：</w:t>
      </w:r>
      <w:hyperlink r:id="rId7" w:history="1">
        <w:r w:rsidRPr="00C970F5">
          <w:rPr>
            <w:rFonts w:asciiTheme="minorEastAsia" w:hAnsiTheme="minorEastAsia" w:cs="宋体"/>
            <w:bCs/>
            <w:color w:val="000000" w:themeColor="text1"/>
            <w:kern w:val="0"/>
            <w:sz w:val="18"/>
            <w:szCs w:val="18"/>
          </w:rPr>
          <w:t>www.szse.cn</w:t>
        </w:r>
      </w:hyperlink>
      <w:r w:rsidRPr="00C970F5">
        <w:rPr>
          <w:rFonts w:asciiTheme="minorEastAsia" w:hAnsiTheme="minorEastAsia" w:cs="宋体"/>
          <w:bCs/>
          <w:color w:val="000000" w:themeColor="text1"/>
          <w:kern w:val="0"/>
          <w:sz w:val="18"/>
          <w:szCs w:val="18"/>
        </w:rPr>
        <w:t>代办股份转让部分。</w:t>
      </w:r>
    </w:p>
    <w:p w:rsidR="009A0B99"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7、</w:t>
      </w:r>
      <w:r w:rsidR="009A0B99" w:rsidRPr="00C970F5">
        <w:rPr>
          <w:rFonts w:asciiTheme="minorEastAsia" w:hAnsiTheme="minorEastAsia"/>
          <w:b/>
          <w:bCs/>
          <w:color w:val="000000" w:themeColor="text1"/>
          <w:sz w:val="18"/>
          <w:szCs w:val="18"/>
        </w:rPr>
        <w:t>退市公司股东有意外情况的，如何办理股份确权手续？</w:t>
      </w:r>
    </w:p>
    <w:p w:rsidR="009A0B99" w:rsidRPr="00C970F5" w:rsidRDefault="009A0B99" w:rsidP="00E50514">
      <w:pPr>
        <w:widowControl/>
        <w:spacing w:line="360" w:lineRule="auto"/>
        <w:ind w:firstLineChars="200" w:firstLine="361"/>
        <w:rPr>
          <w:rFonts w:asciiTheme="minorEastAsia" w:hAnsiTheme="minorEastAsia" w:cs="宋体" w:hint="eastAsia"/>
          <w:bCs/>
          <w:color w:val="000000" w:themeColor="text1"/>
          <w:kern w:val="0"/>
          <w:sz w:val="18"/>
          <w:szCs w:val="18"/>
        </w:rPr>
      </w:pPr>
      <w:r w:rsidRPr="00C970F5">
        <w:rPr>
          <w:rFonts w:asciiTheme="minorEastAsia" w:hAnsiTheme="minorEastAsia" w:cs="宋体"/>
          <w:b/>
          <w:bCs/>
          <w:color w:val="000000" w:themeColor="text1"/>
          <w:kern w:val="0"/>
          <w:sz w:val="18"/>
          <w:szCs w:val="18"/>
        </w:rPr>
        <w:lastRenderedPageBreak/>
        <w:t>答：</w:t>
      </w:r>
      <w:r w:rsidRPr="00C970F5">
        <w:rPr>
          <w:rFonts w:asciiTheme="minorEastAsia" w:hAnsiTheme="minorEastAsia" w:cs="宋体"/>
          <w:bCs/>
          <w:color w:val="000000" w:themeColor="text1"/>
          <w:kern w:val="0"/>
          <w:sz w:val="18"/>
          <w:szCs w:val="18"/>
        </w:rPr>
        <w:t>退市公司股东如有死亡、股东全称、股东证件号码与公司退市时的股东名册所登记信息不一致、深市证券账户与沪市证券账户注册资料不一致等情况时，只要提供相关证明文件，具备从事代办股份转让业务资格的证券公司营业部都可以为投资者办理流通股份确权手续（非流通股份确权手续只能到主办券商办理），办理股份确权须提供的材料请咨询相关的证券公司营业部，相关文件可参阅中国证券业协会发布的《关于做好主办券商相互委托股份确权业务的通知》及《关于做好主办券商相互委托股份确权业务的补充通知》。</w:t>
      </w:r>
    </w:p>
    <w:p w:rsidR="009A0B99"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8、</w:t>
      </w:r>
      <w:r w:rsidR="009A0B99" w:rsidRPr="00C970F5">
        <w:rPr>
          <w:rFonts w:asciiTheme="minorEastAsia" w:hAnsiTheme="minorEastAsia"/>
          <w:b/>
          <w:bCs/>
          <w:color w:val="000000" w:themeColor="text1"/>
          <w:sz w:val="18"/>
          <w:szCs w:val="18"/>
        </w:rPr>
        <w:t>创业板实行“直接退市”制度是指股票出现连续亏损情况就直接退市吗？</w:t>
      </w:r>
    </w:p>
    <w:p w:rsidR="009A0B99" w:rsidRPr="00C970F5" w:rsidRDefault="009A0B99" w:rsidP="00E50514">
      <w:pPr>
        <w:widowControl/>
        <w:spacing w:line="360" w:lineRule="auto"/>
        <w:ind w:firstLineChars="200" w:firstLine="361"/>
        <w:jc w:val="left"/>
        <w:rPr>
          <w:rFonts w:asciiTheme="minorEastAsia" w:hAnsiTheme="minorEastAsia" w:cs="宋体-18030"/>
          <w:color w:val="000000" w:themeColor="text1"/>
          <w:kern w:val="0"/>
          <w:sz w:val="18"/>
          <w:szCs w:val="18"/>
        </w:rPr>
      </w:pPr>
      <w:r w:rsidRPr="00C970F5">
        <w:rPr>
          <w:rFonts w:asciiTheme="minorEastAsia" w:hAnsiTheme="minorEastAsia" w:cs="宋体-18030" w:hint="eastAsia"/>
          <w:b/>
          <w:color w:val="000000" w:themeColor="text1"/>
          <w:kern w:val="0"/>
          <w:sz w:val="18"/>
          <w:szCs w:val="18"/>
        </w:rPr>
        <w:t>答：</w:t>
      </w:r>
      <w:r w:rsidRPr="00C970F5">
        <w:rPr>
          <w:rFonts w:asciiTheme="minorEastAsia" w:hAnsiTheme="minorEastAsia" w:cs="宋体-18030" w:hint="eastAsia"/>
          <w:color w:val="000000" w:themeColor="text1"/>
          <w:kern w:val="0"/>
          <w:sz w:val="18"/>
          <w:szCs w:val="18"/>
        </w:rPr>
        <w:t>不是，创业板股票“直接退市”是指创业板实行终止上市后不再像主板一样，要求在终止上市后必须进入代办股份转让系统。退市后如符合代办股份转让系统条件，可自行委托主办券商向中国证券业协会提出在代办股份转让系统进行股份转让的申请。</w:t>
      </w:r>
    </w:p>
    <w:p w:rsidR="009A0B99" w:rsidRPr="00C970F5" w:rsidRDefault="009A0B99" w:rsidP="00E50514">
      <w:pPr>
        <w:widowControl/>
        <w:spacing w:line="360" w:lineRule="auto"/>
        <w:ind w:firstLineChars="200" w:firstLine="360"/>
        <w:jc w:val="left"/>
        <w:rPr>
          <w:rFonts w:asciiTheme="minorEastAsia" w:hAnsiTheme="minorEastAsia" w:cs="宋体-18030"/>
          <w:color w:val="000000" w:themeColor="text1"/>
          <w:kern w:val="0"/>
          <w:sz w:val="18"/>
          <w:szCs w:val="18"/>
        </w:rPr>
      </w:pPr>
      <w:r w:rsidRPr="00C970F5">
        <w:rPr>
          <w:rFonts w:asciiTheme="minorEastAsia" w:hAnsiTheme="minorEastAsia" w:cs="宋体-18030" w:hint="eastAsia"/>
          <w:color w:val="000000" w:themeColor="text1"/>
          <w:kern w:val="0"/>
          <w:sz w:val="18"/>
          <w:szCs w:val="18"/>
        </w:rPr>
        <w:t>创业板公司从出现连续亏损、不按期披露定期报告等《创业板股票上市规则》规定的各种异常情况到相关状况继续恶化致其最终退市，将相继经历风险警示处理、暂停上市、终止上市等过程。</w:t>
      </w:r>
    </w:p>
    <w:p w:rsidR="009A0B99"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9、</w:t>
      </w:r>
      <w:r w:rsidR="009A0B99" w:rsidRPr="00C970F5">
        <w:rPr>
          <w:rFonts w:asciiTheme="minorEastAsia" w:hAnsiTheme="minorEastAsia"/>
          <w:b/>
          <w:bCs/>
          <w:color w:val="000000" w:themeColor="text1"/>
          <w:sz w:val="18"/>
          <w:szCs w:val="18"/>
        </w:rPr>
        <w:t>创业板公司是否出现连续两年亏损等经营状况不好的情况就会直接退市？</w:t>
      </w:r>
    </w:p>
    <w:p w:rsidR="009A0B99" w:rsidRPr="00C970F5" w:rsidRDefault="009A0B99" w:rsidP="00E50514">
      <w:pPr>
        <w:widowControl/>
        <w:spacing w:line="360" w:lineRule="auto"/>
        <w:ind w:firstLineChars="200" w:firstLine="361"/>
        <w:jc w:val="left"/>
        <w:rPr>
          <w:rFonts w:asciiTheme="minorEastAsia" w:hAnsiTheme="minorEastAsia" w:cs="宋体"/>
          <w:color w:val="000000" w:themeColor="text1"/>
          <w:kern w:val="0"/>
          <w:sz w:val="18"/>
          <w:szCs w:val="18"/>
        </w:rPr>
      </w:pPr>
      <w:r w:rsidRPr="00C970F5">
        <w:rPr>
          <w:rFonts w:asciiTheme="minorEastAsia" w:hAnsiTheme="minorEastAsia" w:cs="宋体" w:hint="eastAsia"/>
          <w:b/>
          <w:color w:val="000000" w:themeColor="text1"/>
          <w:kern w:val="0"/>
          <w:sz w:val="18"/>
          <w:szCs w:val="18"/>
        </w:rPr>
        <w:t>答：</w:t>
      </w:r>
      <w:r w:rsidRPr="00C970F5">
        <w:rPr>
          <w:rFonts w:asciiTheme="minorEastAsia" w:hAnsiTheme="minorEastAsia" w:cs="宋体" w:hint="eastAsia"/>
          <w:color w:val="000000" w:themeColor="text1"/>
          <w:kern w:val="0"/>
          <w:sz w:val="18"/>
          <w:szCs w:val="18"/>
        </w:rPr>
        <w:t>不是。创业板公司从出现连续亏损、不按期披露定期报告等《创业板股票上市规则》规定的各种异常情况到相关状况继续恶化致其最终退市，将相继经历风险警示处理、暂停上市、终止上市等过程。</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创业板实行终止上市后直接退市，不再像主板要求在终止上市后必须进入代办股份转让系统。退市后如符合代办股份转让系统条件，可自行委托主办券商向中国证券业协会提出在代办股份转让系统进行股份转让的申请。</w:t>
      </w:r>
    </w:p>
    <w:p w:rsidR="009A0B99"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10、</w:t>
      </w:r>
      <w:r w:rsidR="009A0B99" w:rsidRPr="00C970F5">
        <w:rPr>
          <w:rFonts w:asciiTheme="minorEastAsia" w:hAnsiTheme="minorEastAsia"/>
          <w:b/>
          <w:bCs/>
          <w:color w:val="000000" w:themeColor="text1"/>
          <w:sz w:val="18"/>
          <w:szCs w:val="18"/>
        </w:rPr>
        <w:t>创业板公司出现什么情况会被实施退市风险警示处理？</w:t>
      </w:r>
    </w:p>
    <w:p w:rsidR="009A0B99" w:rsidRPr="00C970F5" w:rsidRDefault="009A0B99" w:rsidP="00E50514">
      <w:pPr>
        <w:widowControl/>
        <w:spacing w:line="360" w:lineRule="auto"/>
        <w:ind w:firstLineChars="200" w:firstLine="361"/>
        <w:jc w:val="left"/>
        <w:rPr>
          <w:rFonts w:asciiTheme="minorEastAsia" w:hAnsiTheme="minorEastAsia" w:cs="宋体"/>
          <w:color w:val="000000" w:themeColor="text1"/>
          <w:kern w:val="0"/>
          <w:sz w:val="18"/>
          <w:szCs w:val="18"/>
        </w:rPr>
      </w:pPr>
      <w:r w:rsidRPr="00C970F5">
        <w:rPr>
          <w:rFonts w:asciiTheme="minorEastAsia" w:hAnsiTheme="minorEastAsia" w:cs="宋体" w:hint="eastAsia"/>
          <w:b/>
          <w:color w:val="000000" w:themeColor="text1"/>
          <w:kern w:val="0"/>
          <w:sz w:val="18"/>
          <w:szCs w:val="18"/>
        </w:rPr>
        <w:t>答：</w:t>
      </w:r>
      <w:r w:rsidRPr="00C970F5">
        <w:rPr>
          <w:rFonts w:asciiTheme="minorEastAsia" w:hAnsiTheme="minorEastAsia" w:cs="宋体" w:hint="eastAsia"/>
          <w:color w:val="000000" w:themeColor="text1"/>
          <w:kern w:val="0"/>
          <w:sz w:val="18"/>
          <w:szCs w:val="18"/>
        </w:rPr>
        <w:t xml:space="preserve">创业板上市公司出现下列情形之一的，其股票交易将被实行退市风险警示：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 xml:space="preserve">(1)最近两年连续亏损(以最近两年年度报告披露的当年经审计净利润为依据)；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 xml:space="preserve">(2)因财务会计报告存在重要的前期差错或者虚假记载，公司主动改正或者被中国证监会责令改正，对以前年度财务会计报告进行追溯调整，导致最近两年连续亏损；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 xml:space="preserve">(3)最近一个会计年度的财务会计报告显示当年经审计净资产为负；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 xml:space="preserve">(4)因财务会计报告存在重要的前期差错或者虚假记载，被中国证监会责令改正但未在规定期限内改正，且公司股票已停牌两个月；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 xml:space="preserve">(5)未在法定期限内披露年度报告或者中期报告；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 xml:space="preserve">(6)最近一个会计年度的财务会计报告被注册会计师出具否定意见或者无法表示意见的审计报告；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 xml:space="preserve">(7)出现可能导致公司解散的情形；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lastRenderedPageBreak/>
        <w:t xml:space="preserve">(8)因股权分布或股东人数不具备上市条件，公司在规定期限内提出股权分布或股东人数问题解决方案，经深交所同意其实施；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 xml:space="preserve">(9)公司股票连续一百二十个交易日通过深交所交易系统实现的累计成交量低于100万股；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 xml:space="preserve">(10)法院依法受理公司重整、和解或者破产清算申请； </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 xml:space="preserve">(11) 深交所认定的其他存在退市风险的情形。 </w:t>
      </w:r>
    </w:p>
    <w:p w:rsidR="009A0B99"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11、</w:t>
      </w:r>
      <w:r w:rsidR="009A0B99" w:rsidRPr="00C970F5">
        <w:rPr>
          <w:rFonts w:asciiTheme="minorEastAsia" w:hAnsiTheme="minorEastAsia"/>
          <w:b/>
          <w:bCs/>
          <w:color w:val="000000" w:themeColor="text1"/>
          <w:sz w:val="18"/>
          <w:szCs w:val="18"/>
        </w:rPr>
        <w:t>与主板相比创业板在退市制度方面有哪些特点？</w:t>
      </w:r>
    </w:p>
    <w:p w:rsidR="009A0B99" w:rsidRPr="00C970F5" w:rsidRDefault="009A0B99" w:rsidP="00E50514">
      <w:pPr>
        <w:widowControl/>
        <w:spacing w:line="360" w:lineRule="auto"/>
        <w:ind w:firstLineChars="200" w:firstLine="361"/>
        <w:jc w:val="left"/>
        <w:rPr>
          <w:rFonts w:asciiTheme="minorEastAsia" w:hAnsiTheme="minorEastAsia" w:cs="宋体"/>
          <w:color w:val="000000" w:themeColor="text1"/>
          <w:kern w:val="0"/>
          <w:sz w:val="18"/>
          <w:szCs w:val="18"/>
        </w:rPr>
      </w:pPr>
      <w:r w:rsidRPr="00C970F5">
        <w:rPr>
          <w:rFonts w:asciiTheme="minorEastAsia" w:hAnsiTheme="minorEastAsia" w:cs="宋体" w:hint="eastAsia"/>
          <w:b/>
          <w:color w:val="000000" w:themeColor="text1"/>
          <w:kern w:val="0"/>
          <w:sz w:val="18"/>
          <w:szCs w:val="18"/>
        </w:rPr>
        <w:t>答：</w:t>
      </w:r>
      <w:r w:rsidRPr="00C970F5">
        <w:rPr>
          <w:rFonts w:asciiTheme="minorEastAsia" w:hAnsiTheme="minorEastAsia" w:cs="宋体" w:hint="eastAsia"/>
          <w:color w:val="000000" w:themeColor="text1"/>
          <w:kern w:val="0"/>
          <w:sz w:val="18"/>
          <w:szCs w:val="18"/>
        </w:rPr>
        <w:t>相对主板我国创业板退市制度更为严格，也更加市场化，主要体现在以下几个方面：</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一是直接退市，不再像主板要求必须进入代办股份转让系统，创业板公司实施直接退市，退市后如符合代办股份转让系统条件，可自行委托主办券商向中国证券业协会提出在代办股份转让系统进行股份转让的申请。</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二是针对创业板公司的风险特征，增加了更为严格的退市标准，在主板退市标准基础上，对出现下述情形的公司也将启动退市程序：1）被会计师事务所出具否定意见或无法表示意见的审计报告的财务会计报告，且在规定期限内仍不能消除的；2）会计报表显示净资产为负，而未能在规定期限内消除的；3）股票连续120个交易日累计成交量低于100万股，限期内不能改善的。</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三是为提高市场运作效率，创业板将对三种退市情形启动快速退市程序：1）对于未在法定期限内披露年度报告或中期报告的公司，最快退市时间从主板的六个月缩短为三个月；2）对净资产为负的，暂停上市后根据中期报告而不是年度报告的情况来决定是否退市；3）财务会计报告被出具否定或拒绝表示意见的审计报告的创业板公司，暂停上市后也是根据中期报告而不是年度报告的情况来决定是否退市。</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此外，在主板市场，允许被实施退市风险警示和其他特别处理公司，在完成重大资产重组后即可向交易所申请撤销退市风险警示或其他特别处理。创业板则取消了上述相关规定。</w:t>
      </w:r>
    </w:p>
    <w:p w:rsidR="009A0B99"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12、</w:t>
      </w:r>
      <w:r w:rsidR="009A0B99" w:rsidRPr="00C970F5">
        <w:rPr>
          <w:rFonts w:asciiTheme="minorEastAsia" w:hAnsiTheme="minorEastAsia"/>
          <w:b/>
          <w:bCs/>
          <w:color w:val="000000" w:themeColor="text1"/>
          <w:sz w:val="18"/>
          <w:szCs w:val="18"/>
        </w:rPr>
        <w:t>退市股票信息到哪里查询？</w:t>
      </w:r>
    </w:p>
    <w:p w:rsidR="009A0B99" w:rsidRPr="00C970F5" w:rsidRDefault="009A0B99" w:rsidP="00E50514">
      <w:pPr>
        <w:widowControl/>
        <w:spacing w:line="360" w:lineRule="auto"/>
        <w:ind w:firstLineChars="200" w:firstLine="361"/>
        <w:jc w:val="left"/>
        <w:rPr>
          <w:rFonts w:asciiTheme="minorEastAsia" w:hAnsiTheme="minorEastAsia" w:cs="宋体"/>
          <w:color w:val="000000" w:themeColor="text1"/>
          <w:kern w:val="0"/>
          <w:sz w:val="18"/>
          <w:szCs w:val="18"/>
        </w:rPr>
      </w:pPr>
      <w:r w:rsidRPr="00C970F5">
        <w:rPr>
          <w:rFonts w:asciiTheme="minorEastAsia" w:hAnsiTheme="minorEastAsia" w:cs="宋体" w:hint="eastAsia"/>
          <w:b/>
          <w:bCs/>
          <w:color w:val="000000" w:themeColor="text1"/>
          <w:kern w:val="0"/>
          <w:sz w:val="18"/>
          <w:szCs w:val="18"/>
        </w:rPr>
        <w:t>答：</w:t>
      </w:r>
      <w:r w:rsidRPr="00C970F5">
        <w:rPr>
          <w:rFonts w:asciiTheme="minorEastAsia" w:hAnsiTheme="minorEastAsia" w:cs="宋体" w:hint="eastAsia"/>
          <w:color w:val="000000" w:themeColor="text1"/>
          <w:kern w:val="0"/>
          <w:sz w:val="18"/>
          <w:szCs w:val="18"/>
        </w:rPr>
        <w:t>投资者可登录代办股份转让信息披露平台查询相关信息。网址：</w:t>
      </w:r>
      <w:hyperlink r:id="rId8" w:history="1">
        <w:r w:rsidRPr="00C970F5">
          <w:rPr>
            <w:rFonts w:asciiTheme="minorEastAsia" w:hAnsiTheme="minorEastAsia" w:cs="宋体" w:hint="eastAsia"/>
            <w:color w:val="000000" w:themeColor="text1"/>
            <w:kern w:val="0"/>
            <w:sz w:val="18"/>
            <w:szCs w:val="18"/>
          </w:rPr>
          <w:t>http://www.gfzr.com.cn</w:t>
        </w:r>
      </w:hyperlink>
    </w:p>
    <w:p w:rsidR="009A0B99" w:rsidRPr="00C970F5" w:rsidRDefault="00E50514" w:rsidP="00E50514">
      <w:pPr>
        <w:spacing w:line="360" w:lineRule="auto"/>
        <w:rPr>
          <w:rFonts w:asciiTheme="minorEastAsia" w:hAnsiTheme="minorEastAsia" w:hint="eastAsia"/>
          <w:b/>
          <w:bCs/>
          <w:color w:val="000000" w:themeColor="text1"/>
          <w:sz w:val="18"/>
          <w:szCs w:val="18"/>
        </w:rPr>
      </w:pPr>
      <w:r w:rsidRPr="00C970F5">
        <w:rPr>
          <w:rFonts w:asciiTheme="minorEastAsia" w:hAnsiTheme="minorEastAsia" w:hint="eastAsia"/>
          <w:b/>
          <w:bCs/>
          <w:color w:val="000000" w:themeColor="text1"/>
          <w:sz w:val="18"/>
          <w:szCs w:val="18"/>
        </w:rPr>
        <w:t>13、</w:t>
      </w:r>
      <w:r w:rsidR="009A0B99" w:rsidRPr="00C970F5">
        <w:rPr>
          <w:rFonts w:asciiTheme="minorEastAsia" w:hAnsiTheme="minorEastAsia"/>
          <w:b/>
          <w:bCs/>
          <w:color w:val="000000" w:themeColor="text1"/>
          <w:sz w:val="18"/>
          <w:szCs w:val="18"/>
        </w:rPr>
        <w:t>手中持有已经退市的股票，该如何处理？</w:t>
      </w:r>
    </w:p>
    <w:p w:rsidR="009A0B99" w:rsidRPr="00C970F5" w:rsidRDefault="009A0B99" w:rsidP="00E50514">
      <w:pPr>
        <w:widowControl/>
        <w:spacing w:line="360" w:lineRule="auto"/>
        <w:ind w:firstLineChars="200" w:firstLine="361"/>
        <w:jc w:val="left"/>
        <w:rPr>
          <w:rFonts w:asciiTheme="minorEastAsia" w:hAnsiTheme="minorEastAsia" w:cs="宋体"/>
          <w:color w:val="000000" w:themeColor="text1"/>
          <w:kern w:val="0"/>
          <w:sz w:val="18"/>
          <w:szCs w:val="18"/>
        </w:rPr>
      </w:pPr>
      <w:r w:rsidRPr="00C970F5">
        <w:rPr>
          <w:rFonts w:asciiTheme="minorEastAsia" w:hAnsiTheme="minorEastAsia" w:cs="宋体" w:hint="eastAsia"/>
          <w:b/>
          <w:bCs/>
          <w:color w:val="000000" w:themeColor="text1"/>
          <w:kern w:val="0"/>
          <w:sz w:val="18"/>
          <w:szCs w:val="18"/>
        </w:rPr>
        <w:t>答：</w:t>
      </w:r>
      <w:r w:rsidRPr="00C970F5">
        <w:rPr>
          <w:rFonts w:asciiTheme="minorEastAsia" w:hAnsiTheme="minorEastAsia" w:cs="宋体" w:hint="eastAsia"/>
          <w:color w:val="000000" w:themeColor="text1"/>
          <w:kern w:val="0"/>
          <w:sz w:val="18"/>
          <w:szCs w:val="18"/>
        </w:rPr>
        <w:t>上市公司终止上市后，中国证监会将准许合格的证券公司为终止上市的公司提供代办股份转让服务，但在特定的证券公司代办股份转让服务前，先要进行股份的转托管工作。终止上市的公司股份，将依照终止上市的先后顺序办理转托管及股份转让。</w:t>
      </w:r>
    </w:p>
    <w:p w:rsidR="009A0B99" w:rsidRPr="00C970F5" w:rsidRDefault="009A0B99" w:rsidP="00E50514">
      <w:pPr>
        <w:widowControl/>
        <w:spacing w:line="360" w:lineRule="auto"/>
        <w:ind w:firstLineChars="200" w:firstLine="360"/>
        <w:jc w:val="left"/>
        <w:rPr>
          <w:rFonts w:asciiTheme="minorEastAsia" w:hAnsiTheme="minorEastAsia" w:cs="宋体"/>
          <w:color w:val="000000" w:themeColor="text1"/>
          <w:kern w:val="0"/>
          <w:sz w:val="18"/>
          <w:szCs w:val="18"/>
        </w:rPr>
      </w:pPr>
      <w:r w:rsidRPr="00C970F5">
        <w:rPr>
          <w:rFonts w:asciiTheme="minorEastAsia" w:hAnsiTheme="minorEastAsia" w:cs="宋体" w:hint="eastAsia"/>
          <w:color w:val="000000" w:themeColor="text1"/>
          <w:kern w:val="0"/>
          <w:sz w:val="18"/>
          <w:szCs w:val="18"/>
        </w:rPr>
        <w:t>请投资者参阅《证券公司代办股份转让服务业务试点办法》。</w:t>
      </w:r>
    </w:p>
    <w:p w:rsidR="00875472" w:rsidRPr="00C970F5" w:rsidRDefault="00875472" w:rsidP="00875472">
      <w:pPr>
        <w:spacing w:line="360" w:lineRule="auto"/>
        <w:rPr>
          <w:rFonts w:asciiTheme="minorEastAsia" w:hAnsiTheme="minorEastAsia"/>
          <w:b/>
          <w:bCs/>
          <w:sz w:val="18"/>
          <w:szCs w:val="18"/>
        </w:rPr>
      </w:pPr>
      <w:r w:rsidRPr="00C970F5">
        <w:rPr>
          <w:rStyle w:val="a5"/>
          <w:rFonts w:asciiTheme="minorEastAsia" w:hAnsiTheme="minorEastAsia" w:hint="eastAsia"/>
          <w:sz w:val="18"/>
          <w:szCs w:val="18"/>
        </w:rPr>
        <w:t>14</w:t>
      </w:r>
      <w:r w:rsidRPr="00C970F5">
        <w:rPr>
          <w:rStyle w:val="a5"/>
          <w:rFonts w:asciiTheme="minorEastAsia" w:hAnsiTheme="minorEastAsia"/>
          <w:sz w:val="18"/>
          <w:szCs w:val="18"/>
        </w:rPr>
        <w:t>、风险警示板在什么时候推出，投资者需要注意什么？</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《风险警示板暂行办法》自2013年1月1日起施行。考虑到元旦休市因素，风险警示板实际将于2013年1月4日正式开始运行。进入风险警示板交易的股票将包括ST公司、*ST公司以及进入退市整理期公司</w:t>
      </w:r>
      <w:r w:rsidRPr="00C970F5">
        <w:rPr>
          <w:rFonts w:asciiTheme="minorEastAsia" w:hAnsiTheme="minorEastAsia"/>
          <w:sz w:val="18"/>
          <w:szCs w:val="18"/>
        </w:rPr>
        <w:lastRenderedPageBreak/>
        <w:t>的股票。</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风险警示板相关股票在交易安排、市场监控措施、投资者适当性管理、行情显示及交易信息公开等方面与其他股票有所区别，投资者需对此予以特别注意。</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交易安排方面，一是风险警示股票和退市整理股票投资者只能使用限价委托，而不能使用市价委托；二是风险警示股票涨跌幅限制设置为±5％，退市整理股票为±10％。</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市场监控措施方面，一是风险警示股票增加了一种交易异常波动情形，风险警示股票当日换手率达到30％的，属于异常波动，上交所可对其实施盘中停牌，直至当日收盘前5分钟；二是限制单一账户当日累计买入单只风险警示股票数量不得超过50万股。</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投资者适当性管理方面，一是投资者必须通过书面或电子形式签署《风险警示股票风险揭示书》后，才能申请购买风险警示股票；签署《退市整理股票风险揭示书》后，才能申请购买退市整理股票。二是投资者每次提交买入退市整理股票的委托前，必须阅读并确认风险提示。</w:t>
      </w:r>
      <w:r w:rsidRPr="00C970F5">
        <w:rPr>
          <w:rFonts w:asciiTheme="minorEastAsia" w:hAnsiTheme="minorEastAsia"/>
          <w:sz w:val="18"/>
          <w:szCs w:val="18"/>
        </w:rPr>
        <w:br/>
        <w:t>行情显示方面，风险警示板的股票交易信息独立于其他股票的交易信息，风险警示股票以及退市整理股票的交易信息在相关股票行情中分别予以独立显示。</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交易信息公开方面，对于风险警示股票，连续三个交易日内日收盘价格涨跌幅偏离值累计达到±15%的，上交所将分别公告该股票交易异常波动期间累计买入、卖出金额最大五家会员营业部的名称及其买入、卖出金额；对于退市整理股票，上交所将专门公布其当日买入、卖出金额最大的五家会员证券营业部的名称及其各自的买入、卖出金额。投资者可以在上交所网站（</w:t>
      </w:r>
      <w:hyperlink r:id="rId9" w:history="1">
        <w:r w:rsidRPr="00C970F5">
          <w:rPr>
            <w:rStyle w:val="a6"/>
            <w:rFonts w:asciiTheme="minorEastAsia" w:hAnsiTheme="minorEastAsia"/>
            <w:sz w:val="18"/>
            <w:szCs w:val="18"/>
          </w:rPr>
          <w:t>http://www.sse.com.cn</w:t>
        </w:r>
      </w:hyperlink>
      <w:r w:rsidRPr="00C970F5">
        <w:rPr>
          <w:rFonts w:asciiTheme="minorEastAsia" w:hAnsiTheme="minorEastAsia"/>
          <w:sz w:val="18"/>
          <w:szCs w:val="18"/>
        </w:rPr>
        <w:t>）“信息披露-&gt;交易信息披露-&gt;交易公开信息” 栏目进行查询，披露内容位于交易公开信息披露的“十九、退市整理的证券”一节。</w:t>
      </w:r>
      <w:r w:rsidRPr="00C970F5">
        <w:rPr>
          <w:rFonts w:asciiTheme="minorEastAsia" w:hAnsiTheme="minorEastAsia"/>
          <w:sz w:val="18"/>
          <w:szCs w:val="18"/>
        </w:rPr>
        <w:br/>
        <w:t>上交所特别提醒投资者，除注意上述事项外，投资者还应当全文阅读《风险警示板暂行办法》和《退市整理期实施细则》，以及上交所相关业务通知，详细了解风险警示板的相关规定，谨慎做出投资决策。</w:t>
      </w:r>
      <w:r w:rsidRPr="00C970F5">
        <w:rPr>
          <w:rFonts w:asciiTheme="minorEastAsia" w:hAnsiTheme="minorEastAsia"/>
          <w:sz w:val="18"/>
          <w:szCs w:val="18"/>
        </w:rPr>
        <w:br/>
      </w:r>
      <w:r w:rsidRPr="00C970F5">
        <w:rPr>
          <w:rStyle w:val="a5"/>
          <w:rFonts w:asciiTheme="minorEastAsia" w:hAnsiTheme="minorEastAsia" w:hint="eastAsia"/>
          <w:sz w:val="18"/>
          <w:szCs w:val="18"/>
        </w:rPr>
        <w:t>15</w:t>
      </w:r>
      <w:r w:rsidRPr="00C970F5">
        <w:rPr>
          <w:rStyle w:val="a5"/>
          <w:rFonts w:asciiTheme="minorEastAsia" w:hAnsiTheme="minorEastAsia"/>
          <w:sz w:val="18"/>
          <w:szCs w:val="18"/>
        </w:rPr>
        <w:t>、进入退市整理期的股票在哪交易，有哪些主要安排，投资者需注意哪些事项？</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设置退市整理期的主要目的是为了在公司终止上市前为投资者设置退出机制，释放相关风险。除《退市整理期实施细则》允许的过渡期例外安排之外，上市公司的股票被作出终止上市的决定后，应按规定进入退市整理期，在上交所设置的风险警示板交易，涨跌幅限制为±10%。</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在交易期限方面，进入退市整理期的股票实际可交易时间是三十个交易日，期间公司股票全天停牌的，不计入三十个交易日内。但全天停牌的交易日总数最多不能超过5个交易日，以防止出现“停而不退”的情况。</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在风险防范方面，主要采取两方面措施防范市场炒作，一是规定股票进入退市整理期交易的公司不得筹划或者实施重大资产重组；二是向投资者充分披露退市风险，提醒投资者理性投资，提醒方式包括：首次</w:t>
      </w:r>
      <w:r w:rsidRPr="00C970F5">
        <w:rPr>
          <w:rFonts w:asciiTheme="minorEastAsia" w:hAnsiTheme="minorEastAsia"/>
          <w:sz w:val="18"/>
          <w:szCs w:val="18"/>
        </w:rPr>
        <w:lastRenderedPageBreak/>
        <w:t>买入退市整理股票的投资者，需以书面或电子形式签署《退市整理股票风险揭示书》；客户提交买入退市整理股票的委托时，会员应当采取有效方式向其充分提示风险；公司将按规定多次以公告方式披露其股票将退市的风险。</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在信息披露方面，上市公司股票进入退市整理期后，公司及其相关信息披露义务人仍应履行相关义务。公司需分别于其股票进入退市整理期前、整理期交易首日、整理期交易前二十个交易日中的每五个交易日、最后五个交易日的每日进行公告。另外，上交所还要求会员在每个交易日的开市前向客户提示相关股票的剩余交易日等信息。投资者在进行退市整理期股票交易时，应尤其注意上市公司以及会员的各类风险提示信息，并仔细阅读本次发布的《退市整理期实施细则》。</w:t>
      </w:r>
      <w:r w:rsidRPr="00C970F5">
        <w:rPr>
          <w:rFonts w:asciiTheme="minorEastAsia" w:hAnsiTheme="minorEastAsia"/>
          <w:sz w:val="18"/>
          <w:szCs w:val="18"/>
        </w:rPr>
        <w:br/>
      </w:r>
      <w:r w:rsidRPr="00C970F5">
        <w:rPr>
          <w:rStyle w:val="a5"/>
          <w:rFonts w:asciiTheme="minorEastAsia" w:hAnsiTheme="minorEastAsia" w:hint="eastAsia"/>
          <w:sz w:val="18"/>
          <w:szCs w:val="18"/>
        </w:rPr>
        <w:t>16</w:t>
      </w:r>
      <w:r w:rsidRPr="00C970F5">
        <w:rPr>
          <w:rStyle w:val="a5"/>
          <w:rFonts w:asciiTheme="minorEastAsia" w:hAnsiTheme="minorEastAsia"/>
          <w:sz w:val="18"/>
          <w:szCs w:val="18"/>
        </w:rPr>
        <w:t>、退市股份转让系统的服务对象是什么，投资者需要注意哪些事项？</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退市公司股份转让系统服务对象仅限于上交所退市公司。根据上交所现行《股票上市规则》的规定,上市公司被终止上市后，选择退市公司股份转让系统，且与上交所签署《股份转让服务协议》的，其股份进入退市公司股份转让系统挂牌转让。</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退市公司股份转让系统在股份转让安排、信息披露要求、投资者适当性管理等方面与上交所主板有所区别，投资者需予以特别关注。</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退市公司股份转让系统每周一至周五提供股份转让服务，同时对股份转让作了具体限制：一是每天只提供一次集合竞价，不提供连续竞价；二是涨跌幅限制为5%；三是只能使用限价委托。</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《股份转让暂行办法》规定了退市公司信息披露的基本要求。退市公司的信息披露事项包括定期报告和重大事项公告，信息披露渠道为公司网站、中国证监会指定的非上市公众公司信息披露平台和上交所网站。</w:t>
      </w:r>
      <w:r w:rsidRPr="00C970F5">
        <w:rPr>
          <w:rFonts w:asciiTheme="minorEastAsia" w:hAnsiTheme="minorEastAsia"/>
          <w:sz w:val="18"/>
          <w:szCs w:val="18"/>
        </w:rPr>
        <w:br/>
        <w:t>退市公司股份转让系统强化了投资者适当性管理：要求个人投资者必须具备3年以上股票投资经验，证券账户及资金账户总资产不低于50万元等条件。不具备上述条件的投资者，仅能通过退市公司股份转让系统卖出其所持有的退市公司股份。同时，要求券商建立投资者资质审查制度，对投资者进行前端控制，形成合格投资者名单。</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投资者在退市公司股份转让系统进行股份转让活动，应当遵守法律法规、行政规章以及有关业务规则的规定，不得从事内幕交易和市场操纵等违法违规行为。对于存在或者可能存在异常转让情形的，上交所将视情况开展调查并采取相应监管措施。</w:t>
      </w:r>
      <w:r w:rsidRPr="00C970F5">
        <w:rPr>
          <w:rFonts w:asciiTheme="minorEastAsia" w:hAnsiTheme="minorEastAsia"/>
          <w:sz w:val="18"/>
          <w:szCs w:val="18"/>
        </w:rPr>
        <w:br/>
      </w:r>
      <w:r w:rsidRPr="00C970F5">
        <w:rPr>
          <w:rStyle w:val="a5"/>
          <w:rFonts w:asciiTheme="minorEastAsia" w:hAnsiTheme="minorEastAsia" w:hint="eastAsia"/>
          <w:sz w:val="18"/>
          <w:szCs w:val="18"/>
        </w:rPr>
        <w:t>17</w:t>
      </w:r>
      <w:r w:rsidRPr="00C970F5">
        <w:rPr>
          <w:rStyle w:val="a5"/>
          <w:rFonts w:asciiTheme="minorEastAsia" w:hAnsiTheme="minorEastAsia"/>
          <w:sz w:val="18"/>
          <w:szCs w:val="18"/>
        </w:rPr>
        <w:t>、建立重新上市制度的目的是什么，哪些公司可以申请重新上市？</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建立重新上市制度的目的，是让符合条件的退市公司能够再次回到主板市场进行交易，以便在不同层次的市场之间建立起能上能下的市场机制，促进退市制度的顺畅实施。本次发布的《重新上市实施办法》，即是对前述精神的落实。</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关于可申请重新上市的公司范围，《重新上市实施办法》明确，上交所上市公司被终止上市后，符合规</w:t>
      </w:r>
      <w:r w:rsidRPr="00C970F5">
        <w:rPr>
          <w:rFonts w:asciiTheme="minorEastAsia" w:hAnsiTheme="minorEastAsia"/>
          <w:sz w:val="18"/>
          <w:szCs w:val="18"/>
        </w:rPr>
        <w:lastRenderedPageBreak/>
        <w:t>定条件的，可以申请其股票重新上市。同时，考虑到历史情况，《重新上市实施办法》实施前其股票已被上交所终止上市的公司，符合规定条件的，也可以申请重新上市。</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另外，本次发布的《重新上市实施办法》明确了申请重新上市的时间间隔要求，退市公司符合《上市规则》规定的申请条件的，可在其股票进入上交所退市股份转让系统或者其他场外交易市场转让之日起届满一个会计年度后，提出重新上市申请；但对于不配合退市工作的，上交所在 36个月内不受理其股票重新上市申请。公司重新上市未获上交所同意的，再次提出申请的最低间隔期是6个月。</w:t>
      </w:r>
      <w:r w:rsidRPr="00C970F5">
        <w:rPr>
          <w:rFonts w:asciiTheme="minorEastAsia" w:hAnsiTheme="minorEastAsia"/>
          <w:sz w:val="18"/>
          <w:szCs w:val="18"/>
        </w:rPr>
        <w:br/>
      </w:r>
      <w:r w:rsidRPr="00C970F5">
        <w:rPr>
          <w:rStyle w:val="a5"/>
          <w:rFonts w:asciiTheme="minorEastAsia" w:hAnsiTheme="minorEastAsia" w:hint="eastAsia"/>
          <w:sz w:val="18"/>
          <w:szCs w:val="18"/>
        </w:rPr>
        <w:t>18</w:t>
      </w:r>
      <w:r w:rsidRPr="00C970F5">
        <w:rPr>
          <w:rStyle w:val="a5"/>
          <w:rFonts w:asciiTheme="minorEastAsia" w:hAnsiTheme="minorEastAsia"/>
          <w:sz w:val="18"/>
          <w:szCs w:val="18"/>
        </w:rPr>
        <w:t>、重新上市的条件是怎样设定的，是否会形成借壳上市的双重标准？</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退市公司申请重新上市的条件，已在此前发布的《股票上市规则》中明确，是综合了各方市场参与者的意见，参照恢复上市条件和借壳上市条件，从退市公司的财务状况、持续经营能力、公司治理水平及规范运作等方面具体设定的。本次发布的《重新上市实施办法》未新增或者减少条件，</w:t>
      </w:r>
      <w:r w:rsidRPr="00C970F5">
        <w:rPr>
          <w:rFonts w:asciiTheme="minorEastAsia" w:hAnsiTheme="minorEastAsia"/>
          <w:sz w:val="18"/>
          <w:szCs w:val="18"/>
        </w:rPr>
        <w:br/>
        <w:t>尤其需要明确的是，《重新上市实施办法》仅规定了退市公司申请重新上市的条件和程序，并未对上市公司退市后的并购重组事项设定条件和程序。《重新上市实施办法》的征求意见稿发布后，一些市场人士担心未来借壳上市的规则不统一，会使公司借壳门槛更低。据悉，对上市公司退市后包括借壳上市在内的并购重组事项，证监会相关部门将按照对非上市公众公司的相关监管规定，对其进行有效规范，使退市公司并购重组的监管标准与上市公司基本一致，不会形成借壳上市的双重标准。</w:t>
      </w:r>
      <w:r w:rsidRPr="00C970F5">
        <w:rPr>
          <w:rFonts w:asciiTheme="minorEastAsia" w:hAnsiTheme="minorEastAsia"/>
          <w:sz w:val="18"/>
          <w:szCs w:val="18"/>
        </w:rPr>
        <w:br/>
      </w:r>
      <w:r w:rsidRPr="00C970F5">
        <w:rPr>
          <w:rStyle w:val="a5"/>
          <w:rFonts w:asciiTheme="minorEastAsia" w:hAnsiTheme="minorEastAsia" w:hint="eastAsia"/>
          <w:sz w:val="18"/>
          <w:szCs w:val="18"/>
        </w:rPr>
        <w:t>19</w:t>
      </w:r>
      <w:r w:rsidRPr="00C970F5">
        <w:rPr>
          <w:rStyle w:val="a5"/>
          <w:rFonts w:asciiTheme="minorEastAsia" w:hAnsiTheme="minorEastAsia"/>
          <w:sz w:val="18"/>
          <w:szCs w:val="18"/>
        </w:rPr>
        <w:t>、退市公司重新上市的审核程序是怎样的，有哪些信息披露要求，对相关重新上市安排有哪些规定？</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退市公司申请重新上市的审核程序，与暂停上市公司的恢复上市类似，包括退市公司申请、交易所受理、交易所上市委员会审核以及交易所决定等。《重新上市实施办法》对各环节的具体期限也有明确规定。其中，上交所决定是否受理申请的时间是五个交易日，不含公司补充材料的十五个交易日；上交所审核并作出决定的时间是60个交易日，不含补充材料的三十个交易日。另外，如上交所决定不同意公司的重新上市申请，公司还可以申请复核。</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在信息披露方面，《重新上市实施办法》坚持以信息披露为中心，引入预披露制度，要求申请人在上交所受理其申请后，应在上交所网站披露重新上市申请书（申报稿）、重新上市保荐书、法律意见书。公司还需及时披露重大的审核进度信息以及申请期间公司发生的其他重大事项。另外，上交所也强化了中介机构在退市公司重新上市申请中的作用，对中介机构的专业意见提出了具体要求，规定了保荐报告书、保荐工作底稿及法律意见书应当具备的主要内容。</w:t>
      </w:r>
      <w:r w:rsidRPr="00C970F5">
        <w:rPr>
          <w:rFonts w:asciiTheme="minorEastAsia" w:hAnsiTheme="minorEastAsia"/>
          <w:sz w:val="18"/>
          <w:szCs w:val="18"/>
        </w:rPr>
        <w:br/>
      </w:r>
      <w:r w:rsidRPr="00C970F5">
        <w:rPr>
          <w:rFonts w:asciiTheme="minorEastAsia" w:hAnsiTheme="minorEastAsia" w:hint="eastAsia"/>
          <w:sz w:val="18"/>
          <w:szCs w:val="18"/>
        </w:rPr>
        <w:t xml:space="preserve">    </w:t>
      </w:r>
      <w:r w:rsidRPr="00C970F5">
        <w:rPr>
          <w:rFonts w:asciiTheme="minorEastAsia" w:hAnsiTheme="minorEastAsia"/>
          <w:sz w:val="18"/>
          <w:szCs w:val="18"/>
        </w:rPr>
        <w:t>在重新上市安排方面，主要有两个方面的规定：一是时间规定。公司的重新上市申请获得同意后，应当在三个月内与上交所签订重新上市协议，及时办理股份重新确认、登记、托管等相关手续。二是对重新上市股票的限售规定。对公司不同类型的股票视其性质和来源的不同，作相应的限售处理。</w:t>
      </w:r>
    </w:p>
    <w:p w:rsidR="009A0B99" w:rsidRPr="00C970F5" w:rsidRDefault="009A0B99" w:rsidP="00E50514">
      <w:pPr>
        <w:spacing w:line="360" w:lineRule="auto"/>
        <w:rPr>
          <w:rFonts w:asciiTheme="minorEastAsia" w:hAnsiTheme="minorEastAsia"/>
          <w:sz w:val="18"/>
          <w:szCs w:val="18"/>
        </w:rPr>
      </w:pPr>
    </w:p>
    <w:sectPr w:rsidR="009A0B99" w:rsidRPr="00C970F5" w:rsidSect="00935F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F5C" w:rsidRDefault="009C1F5C" w:rsidP="00A1660A">
      <w:r>
        <w:separator/>
      </w:r>
    </w:p>
  </w:endnote>
  <w:endnote w:type="continuationSeparator" w:id="1">
    <w:p w:rsidR="009C1F5C" w:rsidRDefault="009C1F5C" w:rsidP="00A166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eiryo">
    <w:panose1 w:val="00000000000000000000"/>
    <w:charset w:val="00"/>
    <w:family w:val="roman"/>
    <w:notTrueType/>
    <w:pitch w:val="default"/>
    <w:sig w:usb0="00000000" w:usb1="00000000" w:usb2="00000000" w:usb3="00000000" w:csb0="00000000" w:csb1="00000000"/>
  </w:font>
  <w:font w:name="宋体-18030">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F5C" w:rsidRDefault="009C1F5C" w:rsidP="00A1660A">
      <w:r>
        <w:separator/>
      </w:r>
    </w:p>
  </w:footnote>
  <w:footnote w:type="continuationSeparator" w:id="1">
    <w:p w:rsidR="009C1F5C" w:rsidRDefault="009C1F5C" w:rsidP="00A166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60A"/>
    <w:rsid w:val="0004155B"/>
    <w:rsid w:val="002931FA"/>
    <w:rsid w:val="00315E7B"/>
    <w:rsid w:val="003F4A88"/>
    <w:rsid w:val="004D6441"/>
    <w:rsid w:val="006F1CD5"/>
    <w:rsid w:val="007E11D3"/>
    <w:rsid w:val="00875472"/>
    <w:rsid w:val="008F7D02"/>
    <w:rsid w:val="00935FF9"/>
    <w:rsid w:val="009A0B99"/>
    <w:rsid w:val="009C1F5C"/>
    <w:rsid w:val="009F5998"/>
    <w:rsid w:val="00A1660A"/>
    <w:rsid w:val="00A17521"/>
    <w:rsid w:val="00A97DF0"/>
    <w:rsid w:val="00C970F5"/>
    <w:rsid w:val="00E505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660A"/>
    <w:rPr>
      <w:sz w:val="18"/>
      <w:szCs w:val="18"/>
    </w:rPr>
  </w:style>
  <w:style w:type="paragraph" w:styleId="a4">
    <w:name w:val="footer"/>
    <w:basedOn w:val="a"/>
    <w:link w:val="Char0"/>
    <w:uiPriority w:val="99"/>
    <w:semiHidden/>
    <w:unhideWhenUsed/>
    <w:rsid w:val="00A166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660A"/>
    <w:rPr>
      <w:sz w:val="18"/>
      <w:szCs w:val="18"/>
    </w:rPr>
  </w:style>
  <w:style w:type="character" w:styleId="a5">
    <w:name w:val="Strong"/>
    <w:basedOn w:val="a0"/>
    <w:uiPriority w:val="22"/>
    <w:qFormat/>
    <w:rsid w:val="00A1660A"/>
    <w:rPr>
      <w:b/>
      <w:bCs/>
    </w:rPr>
  </w:style>
  <w:style w:type="character" w:styleId="a6">
    <w:name w:val="Hyperlink"/>
    <w:basedOn w:val="a0"/>
    <w:uiPriority w:val="99"/>
    <w:semiHidden/>
    <w:unhideWhenUsed/>
    <w:rsid w:val="00875472"/>
    <w:rPr>
      <w:color w:val="0000FF"/>
      <w:u w:val="single"/>
    </w:rPr>
  </w:style>
</w:styles>
</file>

<file path=word/webSettings.xml><?xml version="1.0" encoding="utf-8"?>
<w:webSettings xmlns:r="http://schemas.openxmlformats.org/officeDocument/2006/relationships" xmlns:w="http://schemas.openxmlformats.org/wordprocessingml/2006/main">
  <w:divs>
    <w:div w:id="111021349">
      <w:bodyDiv w:val="1"/>
      <w:marLeft w:val="0"/>
      <w:marRight w:val="0"/>
      <w:marTop w:val="0"/>
      <w:marBottom w:val="0"/>
      <w:divBdr>
        <w:top w:val="none" w:sz="0" w:space="0" w:color="auto"/>
        <w:left w:val="none" w:sz="0" w:space="0" w:color="auto"/>
        <w:bottom w:val="none" w:sz="0" w:space="0" w:color="auto"/>
        <w:right w:val="none" w:sz="0" w:space="0" w:color="auto"/>
      </w:divBdr>
      <w:divsChild>
        <w:div w:id="2141144749">
          <w:marLeft w:val="0"/>
          <w:marRight w:val="0"/>
          <w:marTop w:val="0"/>
          <w:marBottom w:val="0"/>
          <w:divBdr>
            <w:top w:val="none" w:sz="0" w:space="0" w:color="auto"/>
            <w:left w:val="none" w:sz="0" w:space="0" w:color="auto"/>
            <w:bottom w:val="none" w:sz="0" w:space="0" w:color="auto"/>
            <w:right w:val="none" w:sz="0" w:space="0" w:color="auto"/>
          </w:divBdr>
          <w:divsChild>
            <w:div w:id="927082766">
              <w:marLeft w:val="0"/>
              <w:marRight w:val="0"/>
              <w:marTop w:val="0"/>
              <w:marBottom w:val="0"/>
              <w:divBdr>
                <w:top w:val="none" w:sz="0" w:space="0" w:color="auto"/>
                <w:left w:val="none" w:sz="0" w:space="0" w:color="auto"/>
                <w:bottom w:val="none" w:sz="0" w:space="0" w:color="auto"/>
                <w:right w:val="none" w:sz="0" w:space="0" w:color="auto"/>
              </w:divBdr>
              <w:divsChild>
                <w:div w:id="119539090">
                  <w:marLeft w:val="300"/>
                  <w:marRight w:val="0"/>
                  <w:marTop w:val="0"/>
                  <w:marBottom w:val="0"/>
                  <w:divBdr>
                    <w:top w:val="none" w:sz="0" w:space="0" w:color="auto"/>
                    <w:left w:val="none" w:sz="0" w:space="0" w:color="auto"/>
                    <w:bottom w:val="none" w:sz="0" w:space="0" w:color="auto"/>
                    <w:right w:val="none" w:sz="0" w:space="0" w:color="auto"/>
                  </w:divBdr>
                  <w:divsChild>
                    <w:div w:id="2209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4499">
      <w:bodyDiv w:val="1"/>
      <w:marLeft w:val="0"/>
      <w:marRight w:val="0"/>
      <w:marTop w:val="0"/>
      <w:marBottom w:val="0"/>
      <w:divBdr>
        <w:top w:val="none" w:sz="0" w:space="0" w:color="auto"/>
        <w:left w:val="none" w:sz="0" w:space="0" w:color="auto"/>
        <w:bottom w:val="none" w:sz="0" w:space="0" w:color="auto"/>
        <w:right w:val="none" w:sz="0" w:space="0" w:color="auto"/>
      </w:divBdr>
      <w:divsChild>
        <w:div w:id="714159348">
          <w:marLeft w:val="0"/>
          <w:marRight w:val="0"/>
          <w:marTop w:val="0"/>
          <w:marBottom w:val="0"/>
          <w:divBdr>
            <w:top w:val="none" w:sz="0" w:space="0" w:color="auto"/>
            <w:left w:val="none" w:sz="0" w:space="0" w:color="auto"/>
            <w:bottom w:val="none" w:sz="0" w:space="0" w:color="auto"/>
            <w:right w:val="none" w:sz="0" w:space="0" w:color="auto"/>
          </w:divBdr>
          <w:divsChild>
            <w:div w:id="1548301170">
              <w:marLeft w:val="0"/>
              <w:marRight w:val="0"/>
              <w:marTop w:val="0"/>
              <w:marBottom w:val="0"/>
              <w:divBdr>
                <w:top w:val="none" w:sz="0" w:space="0" w:color="auto"/>
                <w:left w:val="none" w:sz="0" w:space="0" w:color="auto"/>
                <w:bottom w:val="none" w:sz="0" w:space="0" w:color="auto"/>
                <w:right w:val="none" w:sz="0" w:space="0" w:color="auto"/>
              </w:divBdr>
              <w:divsChild>
                <w:div w:id="2101676499">
                  <w:marLeft w:val="300"/>
                  <w:marRight w:val="0"/>
                  <w:marTop w:val="0"/>
                  <w:marBottom w:val="0"/>
                  <w:divBdr>
                    <w:top w:val="none" w:sz="0" w:space="0" w:color="auto"/>
                    <w:left w:val="none" w:sz="0" w:space="0" w:color="auto"/>
                    <w:bottom w:val="none" w:sz="0" w:space="0" w:color="auto"/>
                    <w:right w:val="none" w:sz="0" w:space="0" w:color="auto"/>
                  </w:divBdr>
                  <w:divsChild>
                    <w:div w:id="7032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1516">
      <w:bodyDiv w:val="1"/>
      <w:marLeft w:val="0"/>
      <w:marRight w:val="0"/>
      <w:marTop w:val="0"/>
      <w:marBottom w:val="0"/>
      <w:divBdr>
        <w:top w:val="none" w:sz="0" w:space="0" w:color="auto"/>
        <w:left w:val="none" w:sz="0" w:space="0" w:color="auto"/>
        <w:bottom w:val="none" w:sz="0" w:space="0" w:color="auto"/>
        <w:right w:val="none" w:sz="0" w:space="0" w:color="auto"/>
      </w:divBdr>
      <w:divsChild>
        <w:div w:id="170068623">
          <w:marLeft w:val="0"/>
          <w:marRight w:val="0"/>
          <w:marTop w:val="0"/>
          <w:marBottom w:val="0"/>
          <w:divBdr>
            <w:top w:val="none" w:sz="0" w:space="0" w:color="auto"/>
            <w:left w:val="none" w:sz="0" w:space="0" w:color="auto"/>
            <w:bottom w:val="none" w:sz="0" w:space="0" w:color="auto"/>
            <w:right w:val="none" w:sz="0" w:space="0" w:color="auto"/>
          </w:divBdr>
          <w:divsChild>
            <w:div w:id="246965836">
              <w:marLeft w:val="0"/>
              <w:marRight w:val="0"/>
              <w:marTop w:val="0"/>
              <w:marBottom w:val="0"/>
              <w:divBdr>
                <w:top w:val="none" w:sz="0" w:space="0" w:color="auto"/>
                <w:left w:val="none" w:sz="0" w:space="0" w:color="auto"/>
                <w:bottom w:val="none" w:sz="0" w:space="0" w:color="auto"/>
                <w:right w:val="none" w:sz="0" w:space="0" w:color="auto"/>
              </w:divBdr>
              <w:divsChild>
                <w:div w:id="992489012">
                  <w:marLeft w:val="300"/>
                  <w:marRight w:val="0"/>
                  <w:marTop w:val="0"/>
                  <w:marBottom w:val="0"/>
                  <w:divBdr>
                    <w:top w:val="none" w:sz="0" w:space="0" w:color="auto"/>
                    <w:left w:val="none" w:sz="0" w:space="0" w:color="auto"/>
                    <w:bottom w:val="none" w:sz="0" w:space="0" w:color="auto"/>
                    <w:right w:val="none" w:sz="0" w:space="0" w:color="auto"/>
                  </w:divBdr>
                  <w:divsChild>
                    <w:div w:id="2544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94543">
      <w:bodyDiv w:val="1"/>
      <w:marLeft w:val="0"/>
      <w:marRight w:val="0"/>
      <w:marTop w:val="0"/>
      <w:marBottom w:val="0"/>
      <w:divBdr>
        <w:top w:val="none" w:sz="0" w:space="0" w:color="auto"/>
        <w:left w:val="none" w:sz="0" w:space="0" w:color="auto"/>
        <w:bottom w:val="none" w:sz="0" w:space="0" w:color="auto"/>
        <w:right w:val="none" w:sz="0" w:space="0" w:color="auto"/>
      </w:divBdr>
      <w:divsChild>
        <w:div w:id="622468874">
          <w:marLeft w:val="0"/>
          <w:marRight w:val="0"/>
          <w:marTop w:val="0"/>
          <w:marBottom w:val="0"/>
          <w:divBdr>
            <w:top w:val="none" w:sz="0" w:space="0" w:color="auto"/>
            <w:left w:val="none" w:sz="0" w:space="0" w:color="auto"/>
            <w:bottom w:val="none" w:sz="0" w:space="0" w:color="auto"/>
            <w:right w:val="none" w:sz="0" w:space="0" w:color="auto"/>
          </w:divBdr>
          <w:divsChild>
            <w:div w:id="71895635">
              <w:marLeft w:val="0"/>
              <w:marRight w:val="0"/>
              <w:marTop w:val="0"/>
              <w:marBottom w:val="0"/>
              <w:divBdr>
                <w:top w:val="none" w:sz="0" w:space="0" w:color="auto"/>
                <w:left w:val="none" w:sz="0" w:space="0" w:color="auto"/>
                <w:bottom w:val="none" w:sz="0" w:space="0" w:color="auto"/>
                <w:right w:val="none" w:sz="0" w:space="0" w:color="auto"/>
              </w:divBdr>
              <w:divsChild>
                <w:div w:id="931355371">
                  <w:marLeft w:val="300"/>
                  <w:marRight w:val="0"/>
                  <w:marTop w:val="0"/>
                  <w:marBottom w:val="0"/>
                  <w:divBdr>
                    <w:top w:val="none" w:sz="0" w:space="0" w:color="auto"/>
                    <w:left w:val="none" w:sz="0" w:space="0" w:color="auto"/>
                    <w:bottom w:val="none" w:sz="0" w:space="0" w:color="auto"/>
                    <w:right w:val="none" w:sz="0" w:space="0" w:color="auto"/>
                  </w:divBdr>
                  <w:divsChild>
                    <w:div w:id="18381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91003">
      <w:bodyDiv w:val="1"/>
      <w:marLeft w:val="0"/>
      <w:marRight w:val="0"/>
      <w:marTop w:val="0"/>
      <w:marBottom w:val="0"/>
      <w:divBdr>
        <w:top w:val="none" w:sz="0" w:space="0" w:color="auto"/>
        <w:left w:val="none" w:sz="0" w:space="0" w:color="auto"/>
        <w:bottom w:val="none" w:sz="0" w:space="0" w:color="auto"/>
        <w:right w:val="none" w:sz="0" w:space="0" w:color="auto"/>
      </w:divBdr>
      <w:divsChild>
        <w:div w:id="869689203">
          <w:marLeft w:val="0"/>
          <w:marRight w:val="0"/>
          <w:marTop w:val="0"/>
          <w:marBottom w:val="0"/>
          <w:divBdr>
            <w:top w:val="none" w:sz="0" w:space="0" w:color="auto"/>
            <w:left w:val="none" w:sz="0" w:space="0" w:color="auto"/>
            <w:bottom w:val="none" w:sz="0" w:space="0" w:color="auto"/>
            <w:right w:val="none" w:sz="0" w:space="0" w:color="auto"/>
          </w:divBdr>
          <w:divsChild>
            <w:div w:id="1047727640">
              <w:marLeft w:val="0"/>
              <w:marRight w:val="0"/>
              <w:marTop w:val="0"/>
              <w:marBottom w:val="0"/>
              <w:divBdr>
                <w:top w:val="none" w:sz="0" w:space="0" w:color="auto"/>
                <w:left w:val="none" w:sz="0" w:space="0" w:color="auto"/>
                <w:bottom w:val="none" w:sz="0" w:space="0" w:color="auto"/>
                <w:right w:val="none" w:sz="0" w:space="0" w:color="auto"/>
              </w:divBdr>
              <w:divsChild>
                <w:div w:id="1459640007">
                  <w:marLeft w:val="300"/>
                  <w:marRight w:val="0"/>
                  <w:marTop w:val="0"/>
                  <w:marBottom w:val="0"/>
                  <w:divBdr>
                    <w:top w:val="none" w:sz="0" w:space="0" w:color="auto"/>
                    <w:left w:val="none" w:sz="0" w:space="0" w:color="auto"/>
                    <w:bottom w:val="none" w:sz="0" w:space="0" w:color="auto"/>
                    <w:right w:val="none" w:sz="0" w:space="0" w:color="auto"/>
                  </w:divBdr>
                  <w:divsChild>
                    <w:div w:id="17542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60495">
      <w:bodyDiv w:val="1"/>
      <w:marLeft w:val="0"/>
      <w:marRight w:val="0"/>
      <w:marTop w:val="0"/>
      <w:marBottom w:val="0"/>
      <w:divBdr>
        <w:top w:val="none" w:sz="0" w:space="0" w:color="auto"/>
        <w:left w:val="none" w:sz="0" w:space="0" w:color="auto"/>
        <w:bottom w:val="none" w:sz="0" w:space="0" w:color="auto"/>
        <w:right w:val="none" w:sz="0" w:space="0" w:color="auto"/>
      </w:divBdr>
      <w:divsChild>
        <w:div w:id="1907759468">
          <w:marLeft w:val="0"/>
          <w:marRight w:val="0"/>
          <w:marTop w:val="0"/>
          <w:marBottom w:val="0"/>
          <w:divBdr>
            <w:top w:val="none" w:sz="0" w:space="0" w:color="auto"/>
            <w:left w:val="none" w:sz="0" w:space="0" w:color="auto"/>
            <w:bottom w:val="none" w:sz="0" w:space="0" w:color="auto"/>
            <w:right w:val="none" w:sz="0" w:space="0" w:color="auto"/>
          </w:divBdr>
          <w:divsChild>
            <w:div w:id="3017041">
              <w:marLeft w:val="0"/>
              <w:marRight w:val="0"/>
              <w:marTop w:val="0"/>
              <w:marBottom w:val="0"/>
              <w:divBdr>
                <w:top w:val="none" w:sz="0" w:space="0" w:color="auto"/>
                <w:left w:val="none" w:sz="0" w:space="0" w:color="auto"/>
                <w:bottom w:val="none" w:sz="0" w:space="0" w:color="auto"/>
                <w:right w:val="none" w:sz="0" w:space="0" w:color="auto"/>
              </w:divBdr>
              <w:divsChild>
                <w:div w:id="135878312">
                  <w:marLeft w:val="300"/>
                  <w:marRight w:val="0"/>
                  <w:marTop w:val="0"/>
                  <w:marBottom w:val="0"/>
                  <w:divBdr>
                    <w:top w:val="none" w:sz="0" w:space="0" w:color="auto"/>
                    <w:left w:val="none" w:sz="0" w:space="0" w:color="auto"/>
                    <w:bottom w:val="none" w:sz="0" w:space="0" w:color="auto"/>
                    <w:right w:val="none" w:sz="0" w:space="0" w:color="auto"/>
                  </w:divBdr>
                  <w:divsChild>
                    <w:div w:id="3554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8180">
      <w:bodyDiv w:val="1"/>
      <w:marLeft w:val="0"/>
      <w:marRight w:val="0"/>
      <w:marTop w:val="0"/>
      <w:marBottom w:val="0"/>
      <w:divBdr>
        <w:top w:val="none" w:sz="0" w:space="0" w:color="auto"/>
        <w:left w:val="none" w:sz="0" w:space="0" w:color="auto"/>
        <w:bottom w:val="none" w:sz="0" w:space="0" w:color="auto"/>
        <w:right w:val="none" w:sz="0" w:space="0" w:color="auto"/>
      </w:divBdr>
      <w:divsChild>
        <w:div w:id="317805653">
          <w:marLeft w:val="0"/>
          <w:marRight w:val="0"/>
          <w:marTop w:val="0"/>
          <w:marBottom w:val="0"/>
          <w:divBdr>
            <w:top w:val="none" w:sz="0" w:space="0" w:color="auto"/>
            <w:left w:val="none" w:sz="0" w:space="0" w:color="auto"/>
            <w:bottom w:val="none" w:sz="0" w:space="0" w:color="auto"/>
            <w:right w:val="none" w:sz="0" w:space="0" w:color="auto"/>
          </w:divBdr>
          <w:divsChild>
            <w:div w:id="1702704052">
              <w:marLeft w:val="0"/>
              <w:marRight w:val="0"/>
              <w:marTop w:val="0"/>
              <w:marBottom w:val="0"/>
              <w:divBdr>
                <w:top w:val="none" w:sz="0" w:space="0" w:color="auto"/>
                <w:left w:val="none" w:sz="0" w:space="0" w:color="auto"/>
                <w:bottom w:val="none" w:sz="0" w:space="0" w:color="auto"/>
                <w:right w:val="none" w:sz="0" w:space="0" w:color="auto"/>
              </w:divBdr>
              <w:divsChild>
                <w:div w:id="1125581343">
                  <w:marLeft w:val="300"/>
                  <w:marRight w:val="0"/>
                  <w:marTop w:val="0"/>
                  <w:marBottom w:val="0"/>
                  <w:divBdr>
                    <w:top w:val="none" w:sz="0" w:space="0" w:color="auto"/>
                    <w:left w:val="none" w:sz="0" w:space="0" w:color="auto"/>
                    <w:bottom w:val="none" w:sz="0" w:space="0" w:color="auto"/>
                    <w:right w:val="none" w:sz="0" w:space="0" w:color="auto"/>
                  </w:divBdr>
                  <w:divsChild>
                    <w:div w:id="12150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2783">
      <w:bodyDiv w:val="1"/>
      <w:marLeft w:val="0"/>
      <w:marRight w:val="0"/>
      <w:marTop w:val="0"/>
      <w:marBottom w:val="0"/>
      <w:divBdr>
        <w:top w:val="none" w:sz="0" w:space="0" w:color="auto"/>
        <w:left w:val="none" w:sz="0" w:space="0" w:color="auto"/>
        <w:bottom w:val="none" w:sz="0" w:space="0" w:color="auto"/>
        <w:right w:val="none" w:sz="0" w:space="0" w:color="auto"/>
      </w:divBdr>
      <w:divsChild>
        <w:div w:id="335353886">
          <w:marLeft w:val="0"/>
          <w:marRight w:val="0"/>
          <w:marTop w:val="0"/>
          <w:marBottom w:val="0"/>
          <w:divBdr>
            <w:top w:val="none" w:sz="0" w:space="0" w:color="auto"/>
            <w:left w:val="none" w:sz="0" w:space="0" w:color="auto"/>
            <w:bottom w:val="none" w:sz="0" w:space="0" w:color="auto"/>
            <w:right w:val="none" w:sz="0" w:space="0" w:color="auto"/>
          </w:divBdr>
          <w:divsChild>
            <w:div w:id="816536269">
              <w:marLeft w:val="0"/>
              <w:marRight w:val="0"/>
              <w:marTop w:val="0"/>
              <w:marBottom w:val="0"/>
              <w:divBdr>
                <w:top w:val="none" w:sz="0" w:space="0" w:color="auto"/>
                <w:left w:val="none" w:sz="0" w:space="0" w:color="auto"/>
                <w:bottom w:val="none" w:sz="0" w:space="0" w:color="auto"/>
                <w:right w:val="none" w:sz="0" w:space="0" w:color="auto"/>
              </w:divBdr>
              <w:divsChild>
                <w:div w:id="1487477753">
                  <w:marLeft w:val="300"/>
                  <w:marRight w:val="0"/>
                  <w:marTop w:val="0"/>
                  <w:marBottom w:val="0"/>
                  <w:divBdr>
                    <w:top w:val="none" w:sz="0" w:space="0" w:color="auto"/>
                    <w:left w:val="none" w:sz="0" w:space="0" w:color="auto"/>
                    <w:bottom w:val="none" w:sz="0" w:space="0" w:color="auto"/>
                    <w:right w:val="none" w:sz="0" w:space="0" w:color="auto"/>
                  </w:divBdr>
                  <w:divsChild>
                    <w:div w:id="2981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6963">
      <w:bodyDiv w:val="1"/>
      <w:marLeft w:val="0"/>
      <w:marRight w:val="0"/>
      <w:marTop w:val="0"/>
      <w:marBottom w:val="0"/>
      <w:divBdr>
        <w:top w:val="none" w:sz="0" w:space="0" w:color="auto"/>
        <w:left w:val="none" w:sz="0" w:space="0" w:color="auto"/>
        <w:bottom w:val="none" w:sz="0" w:space="0" w:color="auto"/>
        <w:right w:val="none" w:sz="0" w:space="0" w:color="auto"/>
      </w:divBdr>
      <w:divsChild>
        <w:div w:id="201289394">
          <w:marLeft w:val="0"/>
          <w:marRight w:val="0"/>
          <w:marTop w:val="0"/>
          <w:marBottom w:val="0"/>
          <w:divBdr>
            <w:top w:val="none" w:sz="0" w:space="0" w:color="auto"/>
            <w:left w:val="none" w:sz="0" w:space="0" w:color="auto"/>
            <w:bottom w:val="none" w:sz="0" w:space="0" w:color="auto"/>
            <w:right w:val="none" w:sz="0" w:space="0" w:color="auto"/>
          </w:divBdr>
          <w:divsChild>
            <w:div w:id="1336570148">
              <w:marLeft w:val="0"/>
              <w:marRight w:val="0"/>
              <w:marTop w:val="0"/>
              <w:marBottom w:val="0"/>
              <w:divBdr>
                <w:top w:val="none" w:sz="0" w:space="0" w:color="auto"/>
                <w:left w:val="none" w:sz="0" w:space="0" w:color="auto"/>
                <w:bottom w:val="none" w:sz="0" w:space="0" w:color="auto"/>
                <w:right w:val="none" w:sz="0" w:space="0" w:color="auto"/>
              </w:divBdr>
              <w:divsChild>
                <w:div w:id="973944975">
                  <w:marLeft w:val="300"/>
                  <w:marRight w:val="0"/>
                  <w:marTop w:val="0"/>
                  <w:marBottom w:val="0"/>
                  <w:divBdr>
                    <w:top w:val="none" w:sz="0" w:space="0" w:color="auto"/>
                    <w:left w:val="none" w:sz="0" w:space="0" w:color="auto"/>
                    <w:bottom w:val="none" w:sz="0" w:space="0" w:color="auto"/>
                    <w:right w:val="none" w:sz="0" w:space="0" w:color="auto"/>
                  </w:divBdr>
                  <w:divsChild>
                    <w:div w:id="3690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87249">
      <w:bodyDiv w:val="1"/>
      <w:marLeft w:val="0"/>
      <w:marRight w:val="0"/>
      <w:marTop w:val="0"/>
      <w:marBottom w:val="0"/>
      <w:divBdr>
        <w:top w:val="none" w:sz="0" w:space="0" w:color="auto"/>
        <w:left w:val="none" w:sz="0" w:space="0" w:color="auto"/>
        <w:bottom w:val="none" w:sz="0" w:space="0" w:color="auto"/>
        <w:right w:val="none" w:sz="0" w:space="0" w:color="auto"/>
      </w:divBdr>
      <w:divsChild>
        <w:div w:id="1456409347">
          <w:marLeft w:val="0"/>
          <w:marRight w:val="0"/>
          <w:marTop w:val="0"/>
          <w:marBottom w:val="0"/>
          <w:divBdr>
            <w:top w:val="none" w:sz="0" w:space="0" w:color="auto"/>
            <w:left w:val="none" w:sz="0" w:space="0" w:color="auto"/>
            <w:bottom w:val="none" w:sz="0" w:space="0" w:color="auto"/>
            <w:right w:val="none" w:sz="0" w:space="0" w:color="auto"/>
          </w:divBdr>
          <w:divsChild>
            <w:div w:id="1137644824">
              <w:marLeft w:val="0"/>
              <w:marRight w:val="0"/>
              <w:marTop w:val="0"/>
              <w:marBottom w:val="0"/>
              <w:divBdr>
                <w:top w:val="none" w:sz="0" w:space="0" w:color="auto"/>
                <w:left w:val="none" w:sz="0" w:space="0" w:color="auto"/>
                <w:bottom w:val="none" w:sz="0" w:space="0" w:color="auto"/>
                <w:right w:val="none" w:sz="0" w:space="0" w:color="auto"/>
              </w:divBdr>
              <w:divsChild>
                <w:div w:id="474563574">
                  <w:marLeft w:val="300"/>
                  <w:marRight w:val="0"/>
                  <w:marTop w:val="0"/>
                  <w:marBottom w:val="0"/>
                  <w:divBdr>
                    <w:top w:val="none" w:sz="0" w:space="0" w:color="auto"/>
                    <w:left w:val="none" w:sz="0" w:space="0" w:color="auto"/>
                    <w:bottom w:val="none" w:sz="0" w:space="0" w:color="auto"/>
                    <w:right w:val="none" w:sz="0" w:space="0" w:color="auto"/>
                  </w:divBdr>
                  <w:divsChild>
                    <w:div w:id="9631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zr.com.cn/" TargetMode="External"/><Relationship Id="rId3" Type="http://schemas.openxmlformats.org/officeDocument/2006/relationships/webSettings" Target="webSettings.xml"/><Relationship Id="rId7" Type="http://schemas.openxmlformats.org/officeDocument/2006/relationships/hyperlink" Target="http://www.szse.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nfo.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s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1029</Words>
  <Characters>5871</Characters>
  <Application>Microsoft Office Word</Application>
  <DocSecurity>0</DocSecurity>
  <Lines>48</Lines>
  <Paragraphs>13</Paragraphs>
  <ScaleCrop>false</ScaleCrop>
  <Company>China</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lipeijie</dc:creator>
  <cp:keywords/>
  <dc:description/>
  <cp:lastModifiedBy>lipeijie</cp:lastModifiedBy>
  <cp:revision>10</cp:revision>
  <dcterms:created xsi:type="dcterms:W3CDTF">2012-12-18T02:45:00Z</dcterms:created>
  <dcterms:modified xsi:type="dcterms:W3CDTF">2012-12-18T07:59:00Z</dcterms:modified>
</cp:coreProperties>
</file>